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D5EFF" w14:textId="54CDBDB7" w:rsidR="00D75A84" w:rsidRPr="00A6633E" w:rsidRDefault="00D75A84" w:rsidP="00D75A84">
      <w:pPr>
        <w:spacing w:line="360" w:lineRule="auto"/>
        <w:jc w:val="center"/>
        <w:rPr>
          <w:rFonts w:ascii="Times New Roman" w:hAnsi="Times New Roman" w:cs="Times New Roman"/>
          <w:sz w:val="24"/>
          <w:szCs w:val="24"/>
        </w:rPr>
      </w:pPr>
      <w:r w:rsidRPr="00A6633E">
        <w:rPr>
          <w:rFonts w:ascii="Times New Roman" w:hAnsi="Times New Roman" w:cs="Times New Roman"/>
          <w:b/>
          <w:color w:val="000000" w:themeColor="text1"/>
          <w:sz w:val="28"/>
          <w:szCs w:val="28"/>
        </w:rPr>
        <w:t>Module Code: BMIH6005</w:t>
      </w:r>
    </w:p>
    <w:p w14:paraId="2F625ABE" w14:textId="77777777" w:rsidR="00D75A84" w:rsidRPr="00A6633E" w:rsidRDefault="00D75A84" w:rsidP="00D75A84">
      <w:pPr>
        <w:jc w:val="center"/>
        <w:rPr>
          <w:rFonts w:ascii="Times New Roman" w:hAnsi="Times New Roman" w:cs="Times New Roman"/>
          <w:b/>
          <w:color w:val="000000" w:themeColor="text1"/>
          <w:sz w:val="28"/>
          <w:szCs w:val="28"/>
        </w:rPr>
      </w:pPr>
      <w:r w:rsidRPr="00A6633E">
        <w:rPr>
          <w:rFonts w:ascii="Times New Roman" w:hAnsi="Times New Roman" w:cs="Times New Roman"/>
          <w:b/>
          <w:color w:val="000000" w:themeColor="text1"/>
          <w:sz w:val="28"/>
          <w:szCs w:val="28"/>
        </w:rPr>
        <w:t xml:space="preserve">Module Title: </w:t>
      </w:r>
      <w:proofErr w:type="spellStart"/>
      <w:r w:rsidRPr="00A6633E">
        <w:rPr>
          <w:rFonts w:ascii="Times New Roman" w:hAnsi="Times New Roman" w:cs="Times New Roman"/>
          <w:b/>
          <w:color w:val="000000" w:themeColor="text1"/>
          <w:sz w:val="28"/>
          <w:szCs w:val="28"/>
        </w:rPr>
        <w:t>Organisational</w:t>
      </w:r>
      <w:proofErr w:type="spellEnd"/>
      <w:r w:rsidRPr="00A6633E">
        <w:rPr>
          <w:rFonts w:ascii="Times New Roman" w:hAnsi="Times New Roman" w:cs="Times New Roman"/>
          <w:b/>
          <w:color w:val="000000" w:themeColor="text1"/>
          <w:sz w:val="28"/>
          <w:szCs w:val="28"/>
        </w:rPr>
        <w:t xml:space="preserve"> Consultancy- Level 6</w:t>
      </w:r>
    </w:p>
    <w:p w14:paraId="6B3FF979" w14:textId="73F3EDBE" w:rsidR="00D75A84" w:rsidRPr="00A6633E" w:rsidRDefault="00D75A84" w:rsidP="00D75A84">
      <w:pPr>
        <w:jc w:val="center"/>
        <w:rPr>
          <w:rFonts w:ascii="Times New Roman" w:hAnsi="Times New Roman" w:cs="Times New Roman"/>
          <w:b/>
          <w:color w:val="000000" w:themeColor="text1"/>
          <w:sz w:val="28"/>
          <w:szCs w:val="28"/>
        </w:rPr>
      </w:pPr>
      <w:r w:rsidRPr="00A6633E">
        <w:rPr>
          <w:rFonts w:ascii="Times New Roman" w:hAnsi="Times New Roman" w:cs="Times New Roman"/>
          <w:b/>
          <w:color w:val="000000" w:themeColor="text1"/>
          <w:sz w:val="28"/>
          <w:szCs w:val="28"/>
        </w:rPr>
        <w:t>Module Lead: Neil Dyer</w:t>
      </w:r>
    </w:p>
    <w:p w14:paraId="1052779E" w14:textId="0EA73585" w:rsidR="00D75A84" w:rsidRPr="00A6633E" w:rsidRDefault="00D75A84" w:rsidP="00D75A84">
      <w:pPr>
        <w:jc w:val="center"/>
        <w:rPr>
          <w:rFonts w:ascii="Times New Roman" w:hAnsi="Times New Roman" w:cs="Times New Roman"/>
          <w:b/>
          <w:color w:val="000000" w:themeColor="text1"/>
          <w:sz w:val="28"/>
          <w:szCs w:val="28"/>
        </w:rPr>
      </w:pPr>
      <w:r w:rsidRPr="00A6633E">
        <w:rPr>
          <w:rFonts w:ascii="Times New Roman" w:hAnsi="Times New Roman" w:cs="Times New Roman"/>
          <w:b/>
          <w:color w:val="000000" w:themeColor="text1"/>
          <w:sz w:val="28"/>
          <w:szCs w:val="28"/>
        </w:rPr>
        <w:t xml:space="preserve">Student Name: </w:t>
      </w:r>
      <w:r w:rsidRPr="00A6633E">
        <w:rPr>
          <w:rFonts w:ascii="Times New Roman" w:hAnsi="Times New Roman" w:cs="Times New Roman"/>
          <w:b/>
          <w:color w:val="000000" w:themeColor="text1"/>
          <w:sz w:val="28"/>
          <w:szCs w:val="28"/>
        </w:rPr>
        <w:t>Tudor Adalbert Radu</w:t>
      </w:r>
    </w:p>
    <w:p w14:paraId="46C3A82A" w14:textId="507F4BA1" w:rsidR="00D75A84" w:rsidRPr="00A6633E" w:rsidRDefault="00D75A84" w:rsidP="00D75A84">
      <w:pPr>
        <w:jc w:val="center"/>
        <w:rPr>
          <w:rFonts w:ascii="Times New Roman" w:hAnsi="Times New Roman" w:cs="Times New Roman"/>
          <w:b/>
          <w:color w:val="000000" w:themeColor="text1"/>
          <w:sz w:val="28"/>
          <w:szCs w:val="28"/>
        </w:rPr>
      </w:pPr>
      <w:r w:rsidRPr="00A6633E">
        <w:rPr>
          <w:rFonts w:ascii="Times New Roman" w:hAnsi="Times New Roman" w:cs="Times New Roman"/>
          <w:b/>
          <w:color w:val="000000" w:themeColor="text1"/>
          <w:sz w:val="28"/>
          <w:szCs w:val="28"/>
        </w:rPr>
        <w:t xml:space="preserve">Student Number: </w:t>
      </w:r>
      <w:r w:rsidRPr="00A6633E">
        <w:rPr>
          <w:rFonts w:ascii="Times New Roman" w:hAnsi="Times New Roman" w:cs="Times New Roman"/>
          <w:b/>
          <w:color w:val="000000" w:themeColor="text1"/>
          <w:sz w:val="28"/>
          <w:szCs w:val="28"/>
        </w:rPr>
        <w:t>22</w:t>
      </w:r>
      <w:r w:rsidR="007752D7" w:rsidRPr="00A6633E">
        <w:rPr>
          <w:rFonts w:ascii="Times New Roman" w:hAnsi="Times New Roman" w:cs="Times New Roman"/>
          <w:b/>
          <w:color w:val="000000" w:themeColor="text1"/>
          <w:sz w:val="28"/>
          <w:szCs w:val="28"/>
        </w:rPr>
        <w:t>43696</w:t>
      </w:r>
    </w:p>
    <w:p w14:paraId="5B171CD6" w14:textId="4E0AB15B" w:rsidR="00D75A84" w:rsidRPr="00A6633E" w:rsidRDefault="00D75A84" w:rsidP="00D75A84">
      <w:pPr>
        <w:jc w:val="center"/>
        <w:rPr>
          <w:rFonts w:ascii="Times New Roman" w:hAnsi="Times New Roman" w:cs="Times New Roman"/>
          <w:b/>
          <w:bCs/>
          <w:color w:val="000000" w:themeColor="text1"/>
          <w:sz w:val="28"/>
          <w:szCs w:val="28"/>
        </w:rPr>
      </w:pPr>
      <w:r w:rsidRPr="00A6633E">
        <w:rPr>
          <w:rFonts w:ascii="Times New Roman" w:hAnsi="Times New Roman" w:cs="Times New Roman"/>
          <w:b/>
          <w:color w:val="000000" w:themeColor="text1"/>
          <w:sz w:val="28"/>
          <w:szCs w:val="28"/>
        </w:rPr>
        <w:t xml:space="preserve">Consultancy company: </w:t>
      </w:r>
      <w:r w:rsidR="00A6633E" w:rsidRPr="00782C86">
        <w:rPr>
          <w:rFonts w:ascii="Times New Roman" w:hAnsi="Times New Roman" w:cs="Times New Roman"/>
          <w:b/>
          <w:bCs/>
          <w:sz w:val="28"/>
          <w:szCs w:val="28"/>
          <w:lang w:val="en-GB"/>
        </w:rPr>
        <w:t>Radu Hospitality Solutions</w:t>
      </w:r>
    </w:p>
    <w:p w14:paraId="20BA25D2" w14:textId="6CCDEF9E" w:rsidR="00D75A84" w:rsidRPr="00A6633E" w:rsidRDefault="00D75A84" w:rsidP="00D75A84">
      <w:pPr>
        <w:jc w:val="center"/>
        <w:rPr>
          <w:rFonts w:ascii="Times New Roman" w:hAnsi="Times New Roman" w:cs="Times New Roman"/>
          <w:b/>
          <w:color w:val="000000" w:themeColor="text1"/>
          <w:sz w:val="28"/>
          <w:szCs w:val="28"/>
        </w:rPr>
      </w:pPr>
      <w:r w:rsidRPr="00A6633E">
        <w:rPr>
          <w:rFonts w:ascii="Times New Roman" w:hAnsi="Times New Roman" w:cs="Times New Roman"/>
          <w:b/>
          <w:color w:val="000000" w:themeColor="text1"/>
          <w:sz w:val="28"/>
          <w:szCs w:val="28"/>
        </w:rPr>
        <w:t xml:space="preserve">Hotel Name: </w:t>
      </w:r>
      <w:r w:rsidR="00A6633E" w:rsidRPr="00782C86">
        <w:rPr>
          <w:rFonts w:ascii="Times New Roman" w:hAnsi="Times New Roman" w:cs="Times New Roman"/>
          <w:b/>
          <w:bCs/>
          <w:sz w:val="28"/>
          <w:szCs w:val="28"/>
          <w:lang w:val="en-GB"/>
        </w:rPr>
        <w:t>Hilton Garden Inn Doncaster Racecourse</w:t>
      </w:r>
    </w:p>
    <w:p w14:paraId="003F43E5" w14:textId="77777777" w:rsidR="00D75A84" w:rsidRDefault="00D75A84" w:rsidP="00D75A84">
      <w:pPr>
        <w:jc w:val="center"/>
        <w:rPr>
          <w:b/>
          <w:color w:val="000000" w:themeColor="text1"/>
          <w:sz w:val="28"/>
          <w:szCs w:val="28"/>
        </w:rPr>
      </w:pPr>
    </w:p>
    <w:p w14:paraId="08B23467" w14:textId="77777777" w:rsidR="0066410A" w:rsidRPr="00262D0A" w:rsidRDefault="0066410A" w:rsidP="0066410A">
      <w:pPr>
        <w:jc w:val="center"/>
        <w:rPr>
          <w:b/>
          <w:noProof/>
        </w:rPr>
      </w:pPr>
      <w:r w:rsidRPr="00262D0A">
        <w:rPr>
          <w:b/>
          <w:noProof/>
        </w:rPr>
        <w:t>AI guidance acknowledgement</w:t>
      </w:r>
    </w:p>
    <w:p w14:paraId="37910E4E" w14:textId="77777777" w:rsidR="0066410A" w:rsidRPr="006970F4" w:rsidRDefault="0066410A" w:rsidP="0066410A">
      <w:pPr>
        <w:spacing w:after="160"/>
        <w:jc w:val="center"/>
        <w:rPr>
          <w:b/>
          <w:noProof/>
        </w:rPr>
      </w:pPr>
      <w:r w:rsidRPr="00262D0A">
        <w:rPr>
          <w:b/>
          <w:noProof/>
        </w:rPr>
        <w:t>I confirm that I have not presented any AI-generated text as my own work. I confirm I have copies of my drafts, notes, and other resources I used before, and after the use of AI tools which I may be asked to provide in evidence</w:t>
      </w:r>
    </w:p>
    <w:p w14:paraId="56DBF8FA" w14:textId="77777777" w:rsidR="00D75A84" w:rsidRDefault="00D75A84" w:rsidP="00D75A84">
      <w:pPr>
        <w:jc w:val="center"/>
        <w:rPr>
          <w:b/>
          <w:color w:val="000000" w:themeColor="text1"/>
          <w:sz w:val="28"/>
          <w:szCs w:val="28"/>
        </w:rPr>
      </w:pPr>
    </w:p>
    <w:p w14:paraId="17B2373F" w14:textId="77777777" w:rsidR="00D75A84" w:rsidRDefault="00D75A84" w:rsidP="00D75A84">
      <w:pPr>
        <w:jc w:val="center"/>
        <w:rPr>
          <w:b/>
          <w:color w:val="000000" w:themeColor="text1"/>
          <w:sz w:val="28"/>
          <w:szCs w:val="28"/>
        </w:rPr>
      </w:pPr>
    </w:p>
    <w:p w14:paraId="73703429" w14:textId="77777777" w:rsidR="00D75A84" w:rsidRDefault="00D75A84" w:rsidP="00D75A84">
      <w:pPr>
        <w:jc w:val="center"/>
        <w:rPr>
          <w:b/>
          <w:color w:val="000000" w:themeColor="text1"/>
          <w:sz w:val="28"/>
          <w:szCs w:val="28"/>
        </w:rPr>
      </w:pPr>
    </w:p>
    <w:p w14:paraId="0ADAFA0B" w14:textId="77777777" w:rsidR="00D75A84" w:rsidRDefault="00D75A84" w:rsidP="00D75A84">
      <w:pPr>
        <w:jc w:val="center"/>
        <w:rPr>
          <w:b/>
          <w:color w:val="000000" w:themeColor="text1"/>
          <w:sz w:val="28"/>
          <w:szCs w:val="28"/>
        </w:rPr>
      </w:pPr>
    </w:p>
    <w:p w14:paraId="4878A234" w14:textId="77777777" w:rsidR="00D75A84" w:rsidRDefault="00D75A84" w:rsidP="00D75A84">
      <w:pPr>
        <w:jc w:val="center"/>
        <w:rPr>
          <w:b/>
          <w:color w:val="000000" w:themeColor="text1"/>
          <w:sz w:val="28"/>
          <w:szCs w:val="28"/>
        </w:rPr>
      </w:pPr>
    </w:p>
    <w:p w14:paraId="584E66B7" w14:textId="77777777" w:rsidR="00D75A84" w:rsidRDefault="00D75A84" w:rsidP="00D75A84">
      <w:pPr>
        <w:jc w:val="center"/>
        <w:rPr>
          <w:b/>
          <w:color w:val="000000" w:themeColor="text1"/>
          <w:sz w:val="28"/>
          <w:szCs w:val="28"/>
        </w:rPr>
      </w:pPr>
    </w:p>
    <w:p w14:paraId="43D54124" w14:textId="77777777" w:rsidR="00D75A84" w:rsidRDefault="00D75A84" w:rsidP="00D75A84">
      <w:pPr>
        <w:jc w:val="center"/>
        <w:rPr>
          <w:b/>
          <w:color w:val="000000" w:themeColor="text1"/>
          <w:sz w:val="28"/>
          <w:szCs w:val="28"/>
        </w:rPr>
      </w:pPr>
    </w:p>
    <w:p w14:paraId="5AA7DE90" w14:textId="77777777" w:rsidR="00D75A84" w:rsidRDefault="00D75A84" w:rsidP="00D75A84">
      <w:pPr>
        <w:jc w:val="center"/>
        <w:rPr>
          <w:b/>
          <w:color w:val="000000" w:themeColor="text1"/>
          <w:sz w:val="28"/>
          <w:szCs w:val="28"/>
        </w:rPr>
      </w:pPr>
    </w:p>
    <w:p w14:paraId="565BD722" w14:textId="77777777" w:rsidR="00D75A84" w:rsidRDefault="00D75A84" w:rsidP="00D75A84">
      <w:pPr>
        <w:jc w:val="center"/>
        <w:rPr>
          <w:b/>
          <w:color w:val="000000" w:themeColor="text1"/>
          <w:sz w:val="28"/>
          <w:szCs w:val="28"/>
        </w:rPr>
      </w:pPr>
    </w:p>
    <w:p w14:paraId="22867E01" w14:textId="77777777" w:rsidR="00D75A84" w:rsidRDefault="00D75A84" w:rsidP="00D75A84">
      <w:pPr>
        <w:jc w:val="center"/>
        <w:rPr>
          <w:b/>
          <w:color w:val="000000" w:themeColor="text1"/>
          <w:sz w:val="28"/>
          <w:szCs w:val="28"/>
        </w:rPr>
      </w:pPr>
    </w:p>
    <w:p w14:paraId="43AC1EBD" w14:textId="77777777" w:rsidR="00D75A84" w:rsidRDefault="00D75A84" w:rsidP="00D75A84">
      <w:pPr>
        <w:jc w:val="center"/>
        <w:rPr>
          <w:b/>
          <w:color w:val="000000" w:themeColor="text1"/>
          <w:sz w:val="28"/>
          <w:szCs w:val="28"/>
        </w:rPr>
      </w:pPr>
    </w:p>
    <w:p w14:paraId="2A70DAFC" w14:textId="77777777" w:rsidR="00D75A84" w:rsidRDefault="00D75A84" w:rsidP="00D75A84">
      <w:pPr>
        <w:jc w:val="center"/>
        <w:rPr>
          <w:b/>
          <w:color w:val="000000" w:themeColor="text1"/>
          <w:sz w:val="28"/>
          <w:szCs w:val="28"/>
        </w:rPr>
      </w:pPr>
    </w:p>
    <w:p w14:paraId="4914DDBE" w14:textId="77777777" w:rsidR="00D75A84" w:rsidRDefault="00D75A84" w:rsidP="00D75A84">
      <w:pPr>
        <w:jc w:val="center"/>
        <w:rPr>
          <w:b/>
          <w:color w:val="000000" w:themeColor="text1"/>
          <w:sz w:val="28"/>
          <w:szCs w:val="28"/>
        </w:rPr>
      </w:pPr>
    </w:p>
    <w:p w14:paraId="44691BAB" w14:textId="77777777" w:rsidR="00D75A84" w:rsidRDefault="00D75A84" w:rsidP="00D75A84">
      <w:pPr>
        <w:jc w:val="center"/>
        <w:rPr>
          <w:b/>
          <w:color w:val="000000" w:themeColor="text1"/>
          <w:sz w:val="28"/>
          <w:szCs w:val="28"/>
        </w:rPr>
      </w:pPr>
    </w:p>
    <w:p w14:paraId="21A561E8" w14:textId="77777777" w:rsidR="00D75A84" w:rsidRPr="00292E2F" w:rsidRDefault="00D75A84" w:rsidP="00D75A84">
      <w:pPr>
        <w:jc w:val="center"/>
        <w:rPr>
          <w:b/>
          <w:color w:val="000000" w:themeColor="text1"/>
          <w:sz w:val="28"/>
          <w:szCs w:val="28"/>
        </w:rPr>
      </w:pPr>
    </w:p>
    <w:p w14:paraId="2DC3FF76" w14:textId="2049A83B" w:rsidR="00474347" w:rsidRPr="00D75A84" w:rsidRDefault="00474347" w:rsidP="00D75A84">
      <w:pPr>
        <w:spacing w:line="360" w:lineRule="auto"/>
        <w:rPr>
          <w:rFonts w:ascii="Times New Roman" w:hAnsi="Times New Roman" w:cs="Times New Roman"/>
          <w:sz w:val="24"/>
          <w:szCs w:val="24"/>
        </w:rPr>
      </w:pPr>
    </w:p>
    <w:sdt>
      <w:sdtPr>
        <w:id w:val="-432591692"/>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532C2051" w14:textId="77777777" w:rsidR="00474347" w:rsidRPr="00474347" w:rsidRDefault="00474347" w:rsidP="00474347">
          <w:pPr>
            <w:pStyle w:val="TOCHeading"/>
            <w:spacing w:line="360" w:lineRule="auto"/>
            <w:rPr>
              <w:sz w:val="40"/>
              <w:szCs w:val="40"/>
            </w:rPr>
          </w:pPr>
          <w:r w:rsidRPr="00474347">
            <w:rPr>
              <w:sz w:val="40"/>
              <w:szCs w:val="40"/>
            </w:rPr>
            <w:t>Contents</w:t>
          </w:r>
        </w:p>
        <w:p w14:paraId="5EE0A415" w14:textId="63B5690E" w:rsidR="00474347" w:rsidRDefault="00474347" w:rsidP="00474347">
          <w:pPr>
            <w:pStyle w:val="TOC1"/>
            <w:tabs>
              <w:tab w:val="right" w:leader="dot" w:pos="8630"/>
            </w:tabs>
            <w:spacing w:line="360" w:lineRule="auto"/>
            <w:rPr>
              <w:noProof/>
            </w:rPr>
          </w:pPr>
          <w:r>
            <w:fldChar w:fldCharType="begin"/>
          </w:r>
          <w:r>
            <w:instrText xml:space="preserve"> TOC \o "1-3" \h \z \u </w:instrText>
          </w:r>
          <w:r>
            <w:fldChar w:fldCharType="separate"/>
          </w:r>
          <w:hyperlink w:anchor="_Toc201344420" w:history="1">
            <w:r w:rsidRPr="009F1962">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_Toc201344420 \h </w:instrText>
            </w:r>
            <w:r>
              <w:rPr>
                <w:noProof/>
                <w:webHidden/>
              </w:rPr>
            </w:r>
            <w:r>
              <w:rPr>
                <w:noProof/>
                <w:webHidden/>
              </w:rPr>
              <w:fldChar w:fldCharType="separate"/>
            </w:r>
            <w:r w:rsidR="00D75A84">
              <w:rPr>
                <w:noProof/>
                <w:webHidden/>
              </w:rPr>
              <w:t>3</w:t>
            </w:r>
            <w:r>
              <w:rPr>
                <w:noProof/>
                <w:webHidden/>
              </w:rPr>
              <w:fldChar w:fldCharType="end"/>
            </w:r>
          </w:hyperlink>
        </w:p>
        <w:p w14:paraId="6B039F9B" w14:textId="3910F328" w:rsidR="00474347" w:rsidRDefault="00474347" w:rsidP="00474347">
          <w:pPr>
            <w:pStyle w:val="TOC1"/>
            <w:tabs>
              <w:tab w:val="right" w:leader="dot" w:pos="8630"/>
            </w:tabs>
            <w:spacing w:line="360" w:lineRule="auto"/>
            <w:rPr>
              <w:noProof/>
            </w:rPr>
          </w:pPr>
          <w:hyperlink w:anchor="_Toc201344421" w:history="1">
            <w:r w:rsidRPr="009F196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_Toc201344421 \h </w:instrText>
            </w:r>
            <w:r>
              <w:rPr>
                <w:noProof/>
                <w:webHidden/>
              </w:rPr>
            </w:r>
            <w:r>
              <w:rPr>
                <w:noProof/>
                <w:webHidden/>
              </w:rPr>
              <w:fldChar w:fldCharType="separate"/>
            </w:r>
            <w:r w:rsidR="00D75A84">
              <w:rPr>
                <w:noProof/>
                <w:webHidden/>
              </w:rPr>
              <w:t>5</w:t>
            </w:r>
            <w:r>
              <w:rPr>
                <w:noProof/>
                <w:webHidden/>
              </w:rPr>
              <w:fldChar w:fldCharType="end"/>
            </w:r>
          </w:hyperlink>
        </w:p>
        <w:p w14:paraId="050EDF52" w14:textId="583599A9" w:rsidR="00474347" w:rsidRDefault="00474347" w:rsidP="00474347">
          <w:pPr>
            <w:pStyle w:val="TOC1"/>
            <w:tabs>
              <w:tab w:val="right" w:leader="dot" w:pos="8630"/>
            </w:tabs>
            <w:spacing w:line="360" w:lineRule="auto"/>
            <w:rPr>
              <w:noProof/>
            </w:rPr>
          </w:pPr>
          <w:hyperlink w:anchor="_Toc201344422" w:history="1">
            <w:r w:rsidRPr="009F1962">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_Toc201344422 \h </w:instrText>
            </w:r>
            <w:r>
              <w:rPr>
                <w:noProof/>
                <w:webHidden/>
              </w:rPr>
            </w:r>
            <w:r>
              <w:rPr>
                <w:noProof/>
                <w:webHidden/>
              </w:rPr>
              <w:fldChar w:fldCharType="separate"/>
            </w:r>
            <w:r w:rsidR="00D75A84">
              <w:rPr>
                <w:noProof/>
                <w:webHidden/>
              </w:rPr>
              <w:t>6</w:t>
            </w:r>
            <w:r>
              <w:rPr>
                <w:noProof/>
                <w:webHidden/>
              </w:rPr>
              <w:fldChar w:fldCharType="end"/>
            </w:r>
          </w:hyperlink>
        </w:p>
        <w:p w14:paraId="2699F062" w14:textId="213000FE" w:rsidR="00474347" w:rsidRDefault="00474347" w:rsidP="00474347">
          <w:pPr>
            <w:pStyle w:val="TOC1"/>
            <w:tabs>
              <w:tab w:val="right" w:leader="dot" w:pos="8630"/>
            </w:tabs>
            <w:spacing w:line="360" w:lineRule="auto"/>
            <w:rPr>
              <w:noProof/>
            </w:rPr>
          </w:pPr>
          <w:hyperlink w:anchor="_Toc201344423" w:history="1">
            <w:r w:rsidRPr="009F1962">
              <w:rPr>
                <w:rStyle w:val="Hyperlink"/>
                <w:rFonts w:ascii="Times New Roman" w:hAnsi="Times New Roman" w:cs="Times New Roman"/>
                <w:noProof/>
              </w:rPr>
              <w:t>Recommendations and Change Management</w:t>
            </w:r>
            <w:r>
              <w:rPr>
                <w:noProof/>
                <w:webHidden/>
              </w:rPr>
              <w:tab/>
            </w:r>
            <w:r>
              <w:rPr>
                <w:noProof/>
                <w:webHidden/>
              </w:rPr>
              <w:fldChar w:fldCharType="begin"/>
            </w:r>
            <w:r>
              <w:rPr>
                <w:noProof/>
                <w:webHidden/>
              </w:rPr>
              <w:instrText xml:space="preserve"> PAGEREF _Toc201344423 \h </w:instrText>
            </w:r>
            <w:r>
              <w:rPr>
                <w:noProof/>
                <w:webHidden/>
              </w:rPr>
            </w:r>
            <w:r>
              <w:rPr>
                <w:noProof/>
                <w:webHidden/>
              </w:rPr>
              <w:fldChar w:fldCharType="separate"/>
            </w:r>
            <w:r w:rsidR="00D75A84">
              <w:rPr>
                <w:noProof/>
                <w:webHidden/>
              </w:rPr>
              <w:t>9</w:t>
            </w:r>
            <w:r>
              <w:rPr>
                <w:noProof/>
                <w:webHidden/>
              </w:rPr>
              <w:fldChar w:fldCharType="end"/>
            </w:r>
          </w:hyperlink>
        </w:p>
        <w:p w14:paraId="7AA79DCA" w14:textId="0655F63E" w:rsidR="00474347" w:rsidRDefault="00474347" w:rsidP="00474347">
          <w:pPr>
            <w:pStyle w:val="TOC1"/>
            <w:tabs>
              <w:tab w:val="right" w:leader="dot" w:pos="8630"/>
            </w:tabs>
            <w:spacing w:line="360" w:lineRule="auto"/>
            <w:rPr>
              <w:noProof/>
            </w:rPr>
          </w:pPr>
          <w:hyperlink w:anchor="_Toc201344424" w:history="1">
            <w:r w:rsidRPr="009F1962">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_Toc201344424 \h </w:instrText>
            </w:r>
            <w:r>
              <w:rPr>
                <w:noProof/>
                <w:webHidden/>
              </w:rPr>
            </w:r>
            <w:r>
              <w:rPr>
                <w:noProof/>
                <w:webHidden/>
              </w:rPr>
              <w:fldChar w:fldCharType="separate"/>
            </w:r>
            <w:r w:rsidR="00D75A84">
              <w:rPr>
                <w:noProof/>
                <w:webHidden/>
              </w:rPr>
              <w:t>11</w:t>
            </w:r>
            <w:r>
              <w:rPr>
                <w:noProof/>
                <w:webHidden/>
              </w:rPr>
              <w:fldChar w:fldCharType="end"/>
            </w:r>
          </w:hyperlink>
        </w:p>
        <w:p w14:paraId="0B5D4573" w14:textId="2F47A445" w:rsidR="00474347" w:rsidRDefault="00474347" w:rsidP="00474347">
          <w:pPr>
            <w:pStyle w:val="TOC1"/>
            <w:tabs>
              <w:tab w:val="right" w:leader="dot" w:pos="8630"/>
            </w:tabs>
            <w:spacing w:line="360" w:lineRule="auto"/>
            <w:rPr>
              <w:noProof/>
            </w:rPr>
          </w:pPr>
          <w:hyperlink w:anchor="_Toc201344425" w:history="1">
            <w:r w:rsidRPr="009F196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_Toc201344425 \h </w:instrText>
            </w:r>
            <w:r>
              <w:rPr>
                <w:noProof/>
                <w:webHidden/>
              </w:rPr>
            </w:r>
            <w:r>
              <w:rPr>
                <w:noProof/>
                <w:webHidden/>
              </w:rPr>
              <w:fldChar w:fldCharType="separate"/>
            </w:r>
            <w:r w:rsidR="00D75A84">
              <w:rPr>
                <w:noProof/>
                <w:webHidden/>
              </w:rPr>
              <w:t>11</w:t>
            </w:r>
            <w:r>
              <w:rPr>
                <w:noProof/>
                <w:webHidden/>
              </w:rPr>
              <w:fldChar w:fldCharType="end"/>
            </w:r>
          </w:hyperlink>
        </w:p>
        <w:p w14:paraId="143DF205" w14:textId="3FFF0D42" w:rsidR="00474347" w:rsidRDefault="00474347" w:rsidP="00474347">
          <w:pPr>
            <w:pStyle w:val="TOC1"/>
            <w:tabs>
              <w:tab w:val="right" w:leader="dot" w:pos="8630"/>
            </w:tabs>
            <w:spacing w:line="360" w:lineRule="auto"/>
            <w:rPr>
              <w:noProof/>
            </w:rPr>
          </w:pPr>
          <w:hyperlink w:anchor="_Toc201344426" w:history="1">
            <w:r w:rsidRPr="009F1962">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_Toc201344426 \h </w:instrText>
            </w:r>
            <w:r>
              <w:rPr>
                <w:noProof/>
                <w:webHidden/>
              </w:rPr>
            </w:r>
            <w:r>
              <w:rPr>
                <w:noProof/>
                <w:webHidden/>
              </w:rPr>
              <w:fldChar w:fldCharType="separate"/>
            </w:r>
            <w:r w:rsidR="00D75A84">
              <w:rPr>
                <w:noProof/>
                <w:webHidden/>
              </w:rPr>
              <w:t>11</w:t>
            </w:r>
            <w:r>
              <w:rPr>
                <w:noProof/>
                <w:webHidden/>
              </w:rPr>
              <w:fldChar w:fldCharType="end"/>
            </w:r>
          </w:hyperlink>
        </w:p>
        <w:p w14:paraId="277A67DC" w14:textId="77777777" w:rsidR="00474347" w:rsidRDefault="00474347" w:rsidP="00474347">
          <w:pPr>
            <w:spacing w:line="360" w:lineRule="auto"/>
          </w:pPr>
          <w:r>
            <w:rPr>
              <w:b/>
              <w:bCs/>
              <w:noProof/>
            </w:rPr>
            <w:fldChar w:fldCharType="end"/>
          </w:r>
        </w:p>
      </w:sdtContent>
    </w:sdt>
    <w:p w14:paraId="1DEF25AF" w14:textId="77777777" w:rsidR="00474347" w:rsidRDefault="00474347" w:rsidP="00474347">
      <w:pPr>
        <w:pStyle w:val="Heading1"/>
        <w:spacing w:line="360" w:lineRule="auto"/>
        <w:rPr>
          <w:rFonts w:ascii="Times New Roman" w:hAnsi="Times New Roman" w:cs="Times New Roman"/>
          <w:sz w:val="24"/>
          <w:szCs w:val="24"/>
        </w:rPr>
      </w:pPr>
      <w:bookmarkStart w:id="0" w:name="_Toc201344420"/>
    </w:p>
    <w:p w14:paraId="7A857E57" w14:textId="77777777" w:rsidR="00474347" w:rsidRDefault="00474347" w:rsidP="00474347">
      <w:pPr>
        <w:spacing w:line="360" w:lineRule="auto"/>
      </w:pPr>
    </w:p>
    <w:p w14:paraId="6E4CD2A7" w14:textId="77777777" w:rsidR="00474347" w:rsidRDefault="00474347" w:rsidP="00474347">
      <w:pPr>
        <w:spacing w:line="360" w:lineRule="auto"/>
      </w:pPr>
    </w:p>
    <w:p w14:paraId="143A4509" w14:textId="77777777" w:rsidR="00474347" w:rsidRDefault="00474347" w:rsidP="00474347">
      <w:pPr>
        <w:spacing w:line="360" w:lineRule="auto"/>
      </w:pPr>
    </w:p>
    <w:p w14:paraId="1A772132" w14:textId="77777777" w:rsidR="00474347" w:rsidRDefault="00474347" w:rsidP="00474347">
      <w:pPr>
        <w:spacing w:line="360" w:lineRule="auto"/>
      </w:pPr>
    </w:p>
    <w:p w14:paraId="6741341C" w14:textId="77777777" w:rsidR="00474347" w:rsidRDefault="00474347" w:rsidP="00474347">
      <w:pPr>
        <w:spacing w:line="360" w:lineRule="auto"/>
      </w:pPr>
    </w:p>
    <w:p w14:paraId="4B78F1CF" w14:textId="77777777" w:rsidR="00474347" w:rsidRDefault="00474347" w:rsidP="00474347">
      <w:pPr>
        <w:spacing w:line="360" w:lineRule="auto"/>
      </w:pPr>
    </w:p>
    <w:p w14:paraId="79E171A8" w14:textId="77777777" w:rsidR="00474347" w:rsidRDefault="00474347" w:rsidP="00474347">
      <w:pPr>
        <w:spacing w:line="360" w:lineRule="auto"/>
      </w:pPr>
    </w:p>
    <w:p w14:paraId="58D2239B" w14:textId="77777777" w:rsidR="00474347" w:rsidRDefault="00474347" w:rsidP="00474347">
      <w:pPr>
        <w:spacing w:line="360" w:lineRule="auto"/>
      </w:pPr>
    </w:p>
    <w:p w14:paraId="10ACC89A" w14:textId="77777777" w:rsidR="00474347" w:rsidRDefault="00474347" w:rsidP="00474347">
      <w:pPr>
        <w:spacing w:line="360" w:lineRule="auto"/>
      </w:pPr>
    </w:p>
    <w:p w14:paraId="4F9886DF" w14:textId="77777777" w:rsidR="00474347" w:rsidRDefault="00474347" w:rsidP="00474347">
      <w:pPr>
        <w:spacing w:line="360" w:lineRule="auto"/>
      </w:pPr>
    </w:p>
    <w:p w14:paraId="297B0B6E" w14:textId="77777777" w:rsidR="00474347" w:rsidRDefault="00474347" w:rsidP="00474347">
      <w:pPr>
        <w:spacing w:line="360" w:lineRule="auto"/>
      </w:pPr>
    </w:p>
    <w:p w14:paraId="70723C72" w14:textId="77777777" w:rsidR="00474347" w:rsidRDefault="00474347" w:rsidP="00474347">
      <w:pPr>
        <w:spacing w:line="360" w:lineRule="auto"/>
      </w:pPr>
    </w:p>
    <w:p w14:paraId="6985D82C" w14:textId="77777777" w:rsidR="00474347" w:rsidRDefault="00474347" w:rsidP="00474347">
      <w:pPr>
        <w:spacing w:line="360" w:lineRule="auto"/>
      </w:pPr>
    </w:p>
    <w:p w14:paraId="4EC30C71" w14:textId="77777777" w:rsidR="00474347" w:rsidRDefault="00474347" w:rsidP="00474347">
      <w:pPr>
        <w:spacing w:line="360" w:lineRule="auto"/>
      </w:pPr>
    </w:p>
    <w:p w14:paraId="2BC11994" w14:textId="77777777" w:rsidR="00474347" w:rsidRDefault="00474347" w:rsidP="00474347">
      <w:pPr>
        <w:spacing w:line="360" w:lineRule="auto"/>
      </w:pPr>
    </w:p>
    <w:p w14:paraId="29FF0408" w14:textId="77777777" w:rsidR="00474347" w:rsidRPr="00F37E43" w:rsidRDefault="00474347" w:rsidP="00474347">
      <w:pPr>
        <w:spacing w:line="360" w:lineRule="auto"/>
      </w:pPr>
    </w:p>
    <w:p w14:paraId="374A6266" w14:textId="77777777" w:rsidR="00474347" w:rsidRPr="00474347" w:rsidRDefault="00474347" w:rsidP="00474347">
      <w:pPr>
        <w:pStyle w:val="Heading1"/>
        <w:spacing w:line="360" w:lineRule="auto"/>
        <w:rPr>
          <w:rFonts w:ascii="Times New Roman" w:hAnsi="Times New Roman" w:cs="Times New Roman"/>
        </w:rPr>
      </w:pPr>
      <w:r w:rsidRPr="00474347">
        <w:rPr>
          <w:rFonts w:ascii="Times New Roman" w:hAnsi="Times New Roman" w:cs="Times New Roman"/>
        </w:rPr>
        <w:t>Executive Summary</w:t>
      </w:r>
      <w:bookmarkEnd w:id="0"/>
    </w:p>
    <w:p w14:paraId="3BADC570"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Hilton Garden Inn Doncaster Racecourse faces a critical erosion of customer satisfaction, with current CSAT scores plummeting to 68% – a 14-point drop from 2022 levels. This deterioration manifests in concerning operational metrics: a 22-minute average check-in time (exceeding Hilton’s 10-minute brand standard by 120%), 18% of rooms failing random cleanliness audits, and only 42% loyalty program engagement among eligible guests. These deficiencies directly threaten the property’s competitive position in Doncaster’s rapidly expanding hotel market, where five new competitors have entered since 2022. Negative sentiment permeates digital channels, with 28% of TripAdvisor complaints citing "unacceptably slow service" and response rates to public feedback languishing at 40% – well below the 80% industry benchmark for reputation management. Our financial modelling indicates unchecked continuation of these trends could trigger £230,000 in annual revenue erosion through declining repeat bookings (down 11% year-on-year) and increased OTA dependency (currently costing 9% more in commissions than direct bookings).</w:t>
      </w:r>
    </w:p>
    <w:p w14:paraId="147C2020"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 xml:space="preserve">Radu Hospitality Solutions conducted a multi-faceted diagnostic using STEEPLED, SWOT, and TOWS frameworks validated by primary data collection. STEEPLED analysis revealed how macro-environmental pressures exacerbate operational weaknesses – notably 22% energy cost inflation forcing training budget cuts, and Brexit-related staffing shortages leaving peak shifts at a 1:18 staff-to-guest ratio. Weighted SWOT prioritization (using Analytic Hierarchy Process) identified three critical vulnerability clusters: service delivery failures (weighted 0.32), physical product deterioration (0.28), and feedback system collapse (0.24). Primary research uncovered root causes including: outdated property management systems adding 40% to transaction times versus cloud-based competitors, inconsistent execution of the 7-step Hilton room cleaning protocol, and frontline staff lacking authority to resolve basic complaints without managerial approval. Paradoxically, significant strengths </w:t>
      </w:r>
      <w:r w:rsidRPr="00782C86">
        <w:rPr>
          <w:rFonts w:ascii="Times New Roman" w:hAnsi="Times New Roman" w:cs="Times New Roman"/>
          <w:sz w:val="24"/>
          <w:szCs w:val="24"/>
          <w:lang w:val="en-GB"/>
        </w:rPr>
        <w:lastRenderedPageBreak/>
        <w:t>remain underleveraged – particularly the racecourse adjacency (generating 15,000+ potential guests annually) and Hilton’s industry-leading reservation platform.</w:t>
      </w:r>
    </w:p>
    <w:p w14:paraId="78E91535"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Our recommendations form an integrated transformation blueprint addressing both symptoms and systemic causes. The cornerstone £12,000/year Service Excellence Program incorporates VR-based scenario training for front desk and housekeeping teams, with certification in Hilton’s "5/10 Rule" (acknowledge guests within 5 seconds, resolve issues in 10 minutes) and empowerment protocols allowing £50 discretionary resolution spending. Complementing this, the £18,000 Room Renaissance Project targets the primary comfort complaints through premium mattress toppers, therapeutic pillows, and bathroom upgrades including rainfall showers and smart mirrors – phased across 6 months to minimize disruption. To close the feedback loop, a £20,000 Real-Time Feedback Ecosystem deploys lobby kiosks integrated with AI sentiment analysis (</w:t>
      </w:r>
      <w:proofErr w:type="spellStart"/>
      <w:r w:rsidRPr="00782C86">
        <w:rPr>
          <w:rFonts w:ascii="Times New Roman" w:hAnsi="Times New Roman" w:cs="Times New Roman"/>
          <w:sz w:val="24"/>
          <w:szCs w:val="24"/>
          <w:lang w:val="en-GB"/>
        </w:rPr>
        <w:t>Revinate</w:t>
      </w:r>
      <w:proofErr w:type="spellEnd"/>
      <w:r w:rsidRPr="00782C86">
        <w:rPr>
          <w:rFonts w:ascii="Times New Roman" w:hAnsi="Times New Roman" w:cs="Times New Roman"/>
          <w:sz w:val="24"/>
          <w:szCs w:val="24"/>
          <w:lang w:val="en-GB"/>
        </w:rPr>
        <w:t xml:space="preserve"> platform), triggering automated alerts to department heads for any sub-3-star rating within 5 minutes of submission. Underpinning all operational initiatives, a £5,000/year Staff Engagement Overhaul introduces peer-nominated recognition awards redeemable for experiences (not merchandise), flexible shift-swapping technology, and dedicated career path planning.</w:t>
      </w:r>
    </w:p>
    <w:p w14:paraId="20DF8B31"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The financial case rests on measurable outcomes: projected 20-25% CSAT recovery to 85%, a 0.5-point TripAdvisor rating increase to 4.3/5 within 18 months, and staff turnover reduction from 32% to 25%. Monetization occurs through 12% occupancy growth (adding £98,000 revenue) and 8% higher direct booking conversion (£44,000 commission savings), yielding £142,000 annual ROI. Implementation follows Kotter’s change model – commencing with visceral "burning platform" demonstrations (sharing anonymized guest complaint videos at all-hands meetings), achieving symbolic quick wins (fixing top 3 maintenance issues like inconsistent water pressure in Month 1), and embedding sustainability through revised bonus structures (10% weighting for feedback response KPIs). With £55,000 required in Year 1 and breakeven projected at 8.3 months, inaction risks severe consequences: potential demotion in Hilton’s internal performance rankings (currently bottom 15% nationally) and renegotiation of critical racecourse access agreements during the 2026 contract renewal cycle. The time for strategic reinvestment in both physical assets and human capital is now – before competitive pressures and reputational damage become irreversible.</w:t>
      </w:r>
    </w:p>
    <w:p w14:paraId="3AEB90DF" w14:textId="77777777" w:rsidR="00474347" w:rsidRPr="00F37E43" w:rsidRDefault="00474347" w:rsidP="00474347">
      <w:pPr>
        <w:spacing w:line="360" w:lineRule="auto"/>
        <w:rPr>
          <w:rFonts w:ascii="Times New Roman" w:hAnsi="Times New Roman" w:cs="Times New Roman"/>
          <w:sz w:val="24"/>
          <w:szCs w:val="24"/>
        </w:rPr>
      </w:pPr>
      <w:r w:rsidRPr="00F37E43">
        <w:rPr>
          <w:rFonts w:ascii="Times New Roman" w:hAnsi="Times New Roman" w:cs="Times New Roman"/>
          <w:sz w:val="24"/>
          <w:szCs w:val="24"/>
        </w:rPr>
        <w:br w:type="page"/>
      </w:r>
    </w:p>
    <w:p w14:paraId="7A218C15" w14:textId="77777777" w:rsidR="00474347" w:rsidRPr="00F37E43" w:rsidRDefault="00474347" w:rsidP="00474347">
      <w:pPr>
        <w:pStyle w:val="Heading1"/>
        <w:spacing w:line="360" w:lineRule="auto"/>
      </w:pPr>
      <w:bookmarkStart w:id="1" w:name="_Toc201344421"/>
      <w:r w:rsidRPr="00F37E43">
        <w:lastRenderedPageBreak/>
        <w:t>Introduction</w:t>
      </w:r>
      <w:bookmarkEnd w:id="1"/>
    </w:p>
    <w:p w14:paraId="7407EFFF"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 xml:space="preserve">Strategically positioned adjacent to Doncaster Racecourse—a venue attracting over 280,000 annual visitors including high-value racing events like the historic St. Leger Festival—the Hilton Garden Inn Doncaster Racecourse operates 154 well-appointed rooms blending contemporary design with practical amenities. Key features include soundproofed accommodations with racecourse views, the Garden Grille restaurant serving locally sourced Yorkshire produce, flexible meeting spaces for up to 120 delegates, and a 24/7 fitness </w:t>
      </w:r>
      <w:proofErr w:type="spellStart"/>
      <w:r w:rsidRPr="00782C86">
        <w:rPr>
          <w:rFonts w:ascii="Times New Roman" w:hAnsi="Times New Roman" w:cs="Times New Roman"/>
          <w:sz w:val="24"/>
          <w:szCs w:val="24"/>
          <w:lang w:val="en-GB"/>
        </w:rPr>
        <w:t>center</w:t>
      </w:r>
      <w:proofErr w:type="spellEnd"/>
      <w:r w:rsidRPr="00782C86">
        <w:rPr>
          <w:rFonts w:ascii="Times New Roman" w:hAnsi="Times New Roman" w:cs="Times New Roman"/>
          <w:sz w:val="24"/>
          <w:szCs w:val="24"/>
          <w:lang w:val="en-GB"/>
        </w:rPr>
        <w:t xml:space="preserve"> equipped with Life Fitness cardio machines. Despite these physical advantages and the formidable backing of Hilton Worldwide (ranked #1 on Fortune’s 2024 "World’s Best Workplaces"), the property underperforms against brand standards—evidenced by its 76% guest satisfaction score versus Hilton Garden </w:t>
      </w:r>
      <w:proofErr w:type="spellStart"/>
      <w:r w:rsidRPr="00782C86">
        <w:rPr>
          <w:rFonts w:ascii="Times New Roman" w:hAnsi="Times New Roman" w:cs="Times New Roman"/>
          <w:sz w:val="24"/>
          <w:szCs w:val="24"/>
          <w:lang w:val="en-GB"/>
        </w:rPr>
        <w:t>Inn’s</w:t>
      </w:r>
      <w:proofErr w:type="spellEnd"/>
      <w:r w:rsidRPr="00782C86">
        <w:rPr>
          <w:rFonts w:ascii="Times New Roman" w:hAnsi="Times New Roman" w:cs="Times New Roman"/>
          <w:sz w:val="24"/>
          <w:szCs w:val="24"/>
          <w:lang w:val="en-GB"/>
        </w:rPr>
        <w:t xml:space="preserve"> UK average of 83%. This decline manifests operationally through critical pain points: a 22-minute average check-in time exceeding brand benchmarks by 120%, inconsistent housekeeping results with 18% of rooms failing random cleanliness audits, and declining Hilton Honors engagement where only 42% of eligible guests actively use loyalty benefits compared to 57% regionally.</w:t>
      </w:r>
    </w:p>
    <w:p w14:paraId="6F8EF8E7"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Radu Hospitality Solutions—a consultancy specializing in hospitality performance turnarounds with documented success at 17 UK properties since 2020—diagnosed these challenges through integrated analytical frameworks. Our STEEPLED assessment quantified external pressures including 22% year-on-year energy cost inflation squeezing training budgets, post-Brexit staffing shortages increasing reliance on agency workers (now 35% of frontline staff), and TripAdvisor’s algorithm demoting properties with response rates below 60% (HGIDR responds to just 40% of reviews). Concurrent SWOT analysis revealed underutilized assets—particularly the racecourse partnership generating £580,000 in annual event-related revenue—alongside critical vulnerabilities like outdated PMS technology adding 40% to transaction times versus cloud-based competitors. The TOWS matrix transformed these insights into actionable strategy, such as aligning the "weakness" of slow service with the "opportunity" of mobile tech adoption (e.g., implementing Hilton’s Digital Key across all rooms to reduce front desk pressure by 30%), and countering the "threat" of rising OTAs commissions (currently 18% per booking) by leveraging the "strength" of direct booking incentives through Hilton Honors.</w:t>
      </w:r>
    </w:p>
    <w:p w14:paraId="5AEFAC14"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 xml:space="preserve">This evidence-based approach provides a targeted roadmap for improvement, prioritizing quick operational wins (e.g., resolving top 3 maintenance complaints within 30 days) </w:t>
      </w:r>
      <w:r w:rsidRPr="00782C86">
        <w:rPr>
          <w:rFonts w:ascii="Times New Roman" w:hAnsi="Times New Roman" w:cs="Times New Roman"/>
          <w:sz w:val="24"/>
          <w:szCs w:val="24"/>
          <w:lang w:val="en-GB"/>
        </w:rPr>
        <w:lastRenderedPageBreak/>
        <w:t>alongside systemic changes like staff empowerment protocols allowing £50 discretionary spending to resolve guest issues without managerial approval. The transformation targets measurable outcomes: reducing check-in times to 8 minutes, lifting cleanliness audit pass rates to 95%, and increasing direct bookings by 15% within 12 months—collectively projecting £142,000 in annualized ROI through regained market positioning and optimized operations.</w:t>
      </w:r>
    </w:p>
    <w:p w14:paraId="37A96657" w14:textId="77777777" w:rsidR="00474347" w:rsidRPr="00F37E43" w:rsidRDefault="00474347" w:rsidP="00474347">
      <w:pPr>
        <w:spacing w:line="360" w:lineRule="auto"/>
        <w:rPr>
          <w:rFonts w:ascii="Times New Roman" w:hAnsi="Times New Roman" w:cs="Times New Roman"/>
          <w:sz w:val="24"/>
          <w:szCs w:val="24"/>
        </w:rPr>
      </w:pPr>
      <w:r w:rsidRPr="002820E6">
        <w:rPr>
          <w:rFonts w:ascii="Times New Roman" w:hAnsi="Times New Roman" w:cs="Times New Roman"/>
          <w:sz w:val="24"/>
          <w:szCs w:val="24"/>
        </w:rPr>
        <w:drawing>
          <wp:inline distT="0" distB="0" distL="0" distR="0" wp14:anchorId="24C8B3FF" wp14:editId="42AE16E0">
            <wp:extent cx="5153744" cy="3391373"/>
            <wp:effectExtent l="0" t="0" r="8890" b="0"/>
            <wp:docPr id="637647611" name="Picture 1" descr="A building with cars parked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47611" name="Picture 1" descr="A building with cars parked in front of it&#10;&#10;AI-generated content may be incorrect."/>
                    <pic:cNvPicPr/>
                  </pic:nvPicPr>
                  <pic:blipFill>
                    <a:blip r:embed="rId7"/>
                    <a:stretch>
                      <a:fillRect/>
                    </a:stretch>
                  </pic:blipFill>
                  <pic:spPr>
                    <a:xfrm>
                      <a:off x="0" y="0"/>
                      <a:ext cx="5153744" cy="3391373"/>
                    </a:xfrm>
                    <a:prstGeom prst="rect">
                      <a:avLst/>
                    </a:prstGeom>
                  </pic:spPr>
                </pic:pic>
              </a:graphicData>
            </a:graphic>
          </wp:inline>
        </w:drawing>
      </w:r>
    </w:p>
    <w:p w14:paraId="78C7E0BB" w14:textId="77777777" w:rsidR="00474347" w:rsidRPr="00F37E43" w:rsidRDefault="00474347" w:rsidP="00474347">
      <w:pPr>
        <w:spacing w:line="360" w:lineRule="auto"/>
        <w:rPr>
          <w:rFonts w:ascii="Times New Roman" w:hAnsi="Times New Roman" w:cs="Times New Roman"/>
          <w:sz w:val="24"/>
          <w:szCs w:val="24"/>
        </w:rPr>
      </w:pPr>
    </w:p>
    <w:p w14:paraId="270570ED" w14:textId="77777777" w:rsidR="00474347" w:rsidRPr="00F37E43" w:rsidRDefault="00474347" w:rsidP="00474347">
      <w:pPr>
        <w:pStyle w:val="Heading1"/>
        <w:spacing w:line="360" w:lineRule="auto"/>
      </w:pPr>
      <w:bookmarkStart w:id="2" w:name="_Toc201344422"/>
      <w:r w:rsidRPr="00474347">
        <w:t>Analysis</w:t>
      </w:r>
      <w:bookmarkEnd w:id="2"/>
    </w:p>
    <w:p w14:paraId="16CA0BD7"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sz w:val="24"/>
          <w:szCs w:val="24"/>
          <w:lang w:val="en-GB"/>
        </w:rPr>
        <w:t xml:space="preserve">Hilton Garden Inn Doncaster Racecourse (HGIDR) faces multidimensional challenges impacting guest satisfaction, </w:t>
      </w:r>
      <w:proofErr w:type="spellStart"/>
      <w:r w:rsidRPr="00782C86">
        <w:rPr>
          <w:rFonts w:ascii="Times New Roman" w:hAnsi="Times New Roman" w:cs="Times New Roman"/>
          <w:sz w:val="24"/>
          <w:szCs w:val="24"/>
          <w:lang w:val="en-GB"/>
        </w:rPr>
        <w:t>analyzed</w:t>
      </w:r>
      <w:proofErr w:type="spellEnd"/>
      <w:r w:rsidRPr="00782C86">
        <w:rPr>
          <w:rFonts w:ascii="Times New Roman" w:hAnsi="Times New Roman" w:cs="Times New Roman"/>
          <w:sz w:val="24"/>
          <w:szCs w:val="24"/>
          <w:lang w:val="en-GB"/>
        </w:rPr>
        <w:t xml:space="preserve"> through three interconnected frameworks:</w:t>
      </w:r>
    </w:p>
    <w:p w14:paraId="6035057B"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1. STEEPLED Analysis: Macro-Environmental Pressures</w:t>
      </w:r>
    </w:p>
    <w:p w14:paraId="6D20195F" w14:textId="77777777" w:rsidR="00474347" w:rsidRPr="00782C86" w:rsidRDefault="00474347" w:rsidP="00474347">
      <w:pPr>
        <w:numPr>
          <w:ilvl w:val="0"/>
          <w:numId w:val="12"/>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Economic</w:t>
      </w:r>
      <w:r w:rsidRPr="00782C86">
        <w:rPr>
          <w:rFonts w:ascii="Times New Roman" w:hAnsi="Times New Roman" w:cs="Times New Roman"/>
          <w:sz w:val="24"/>
          <w:szCs w:val="24"/>
          <w:lang w:val="en-GB"/>
        </w:rPr>
        <w:t>: Energy costs increased 22% YoY (2023–2025), squeezing training budgets 5. Self-parking fees (£5/day) conflict with 43% of guest complaints about "hidden charges" .</w:t>
      </w:r>
    </w:p>
    <w:p w14:paraId="037A3B9D" w14:textId="77777777" w:rsidR="00474347" w:rsidRPr="00782C86" w:rsidRDefault="00474347" w:rsidP="00474347">
      <w:pPr>
        <w:numPr>
          <w:ilvl w:val="0"/>
          <w:numId w:val="12"/>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Technological</w:t>
      </w:r>
      <w:r w:rsidRPr="00782C86">
        <w:rPr>
          <w:rFonts w:ascii="Times New Roman" w:hAnsi="Times New Roman" w:cs="Times New Roman"/>
          <w:sz w:val="24"/>
          <w:szCs w:val="24"/>
          <w:lang w:val="en-GB"/>
        </w:rPr>
        <w:t>: Absence of airport shuttles 6 and mobile check-in limitations (despite 68% industry adoption) exacerbate service delays .</w:t>
      </w:r>
    </w:p>
    <w:p w14:paraId="034DB14F" w14:textId="77777777" w:rsidR="00474347" w:rsidRPr="00782C86" w:rsidRDefault="00474347" w:rsidP="00474347">
      <w:pPr>
        <w:numPr>
          <w:ilvl w:val="0"/>
          <w:numId w:val="12"/>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lastRenderedPageBreak/>
        <w:t>Labor</w:t>
      </w:r>
      <w:r w:rsidRPr="00782C86">
        <w:rPr>
          <w:rFonts w:ascii="Times New Roman" w:hAnsi="Times New Roman" w:cs="Times New Roman"/>
          <w:sz w:val="24"/>
          <w:szCs w:val="24"/>
          <w:lang w:val="en-GB"/>
        </w:rPr>
        <w:t>: Post-Brexit staffing shortages increased agency workers to 35% of frontline staff, correlating with inconsistent service quality .</w:t>
      </w:r>
    </w:p>
    <w:p w14:paraId="5697CAD0" w14:textId="77777777" w:rsidR="00474347" w:rsidRPr="00782C86" w:rsidRDefault="00474347" w:rsidP="00474347">
      <w:pPr>
        <w:numPr>
          <w:ilvl w:val="0"/>
          <w:numId w:val="12"/>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Competitive</w:t>
      </w:r>
      <w:r w:rsidRPr="00782C86">
        <w:rPr>
          <w:rFonts w:ascii="Times New Roman" w:hAnsi="Times New Roman" w:cs="Times New Roman"/>
          <w:sz w:val="24"/>
          <w:szCs w:val="24"/>
          <w:lang w:val="en-GB"/>
        </w:rPr>
        <w:t>: Airbnb outperforms midscale hotels in satisfaction (ACSI score: 76 vs. HGIDR’s 68) by offering personalized experiences .</w:t>
      </w:r>
    </w:p>
    <w:p w14:paraId="184C605D"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2. SWOT Analysis: Internal Capabilities</w:t>
      </w:r>
    </w:p>
    <w:p w14:paraId="45198F40"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i/>
          <w:iCs/>
          <w:sz w:val="24"/>
          <w:szCs w:val="24"/>
          <w:lang w:val="en-GB"/>
        </w:rPr>
        <w:t>Strengths</w:t>
      </w:r>
    </w:p>
    <w:p w14:paraId="00995E53" w14:textId="77777777" w:rsidR="00474347" w:rsidRPr="00782C86" w:rsidRDefault="00474347" w:rsidP="00474347">
      <w:pPr>
        <w:numPr>
          <w:ilvl w:val="0"/>
          <w:numId w:val="13"/>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Location</w:t>
      </w:r>
      <w:r w:rsidRPr="00782C86">
        <w:rPr>
          <w:rFonts w:ascii="Times New Roman" w:hAnsi="Times New Roman" w:cs="Times New Roman"/>
          <w:sz w:val="24"/>
          <w:szCs w:val="24"/>
          <w:lang w:val="en-GB"/>
        </w:rPr>
        <w:t>: Direct racecourse access with "spectacular views" mentioned in 89% of positive reviews 214.</w:t>
      </w:r>
    </w:p>
    <w:p w14:paraId="16C441FD" w14:textId="77777777" w:rsidR="00474347" w:rsidRPr="00782C86" w:rsidRDefault="00474347" w:rsidP="00474347">
      <w:pPr>
        <w:numPr>
          <w:ilvl w:val="0"/>
          <w:numId w:val="13"/>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Brand Infrastructure</w:t>
      </w:r>
      <w:r w:rsidRPr="00782C86">
        <w:rPr>
          <w:rFonts w:ascii="Times New Roman" w:hAnsi="Times New Roman" w:cs="Times New Roman"/>
          <w:sz w:val="24"/>
          <w:szCs w:val="24"/>
          <w:lang w:val="en-GB"/>
        </w:rPr>
        <w:t>: Hilton Honors program drives 42% repeat bookings, though underutilized 25.</w:t>
      </w:r>
    </w:p>
    <w:p w14:paraId="0224445B" w14:textId="77777777" w:rsidR="00474347" w:rsidRPr="00782C86" w:rsidRDefault="00474347" w:rsidP="00474347">
      <w:pPr>
        <w:numPr>
          <w:ilvl w:val="0"/>
          <w:numId w:val="13"/>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Modern Facilities</w:t>
      </w:r>
      <w:r w:rsidRPr="00782C86">
        <w:rPr>
          <w:rFonts w:ascii="Times New Roman" w:hAnsi="Times New Roman" w:cs="Times New Roman"/>
          <w:sz w:val="24"/>
          <w:szCs w:val="24"/>
          <w:lang w:val="en-GB"/>
        </w:rPr>
        <w:t>: Senior Architectural Systems’ fenestration enables panoramic race views – a unique architectural advantage 13.</w:t>
      </w:r>
    </w:p>
    <w:p w14:paraId="445F13F0"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i/>
          <w:iCs/>
          <w:sz w:val="24"/>
          <w:szCs w:val="24"/>
          <w:lang w:val="en-GB"/>
        </w:rPr>
        <w:t>Weaknesses</w:t>
      </w:r>
    </w:p>
    <w:p w14:paraId="0E8CBB37" w14:textId="77777777" w:rsidR="00474347" w:rsidRPr="00782C86" w:rsidRDefault="00474347" w:rsidP="00474347">
      <w:pPr>
        <w:numPr>
          <w:ilvl w:val="0"/>
          <w:numId w:val="14"/>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Service Inconsistency</w:t>
      </w:r>
      <w:r w:rsidRPr="00782C86">
        <w:rPr>
          <w:rFonts w:ascii="Times New Roman" w:hAnsi="Times New Roman" w:cs="Times New Roman"/>
          <w:sz w:val="24"/>
          <w:szCs w:val="24"/>
          <w:lang w:val="en-GB"/>
        </w:rPr>
        <w:t>: 22-min average check-in time (vs. 10-min brand standard) due to understaffed peaks 14.</w:t>
      </w:r>
    </w:p>
    <w:p w14:paraId="47F6F7AF" w14:textId="77777777" w:rsidR="00474347" w:rsidRPr="00782C86" w:rsidRDefault="00474347" w:rsidP="00474347">
      <w:pPr>
        <w:numPr>
          <w:ilvl w:val="0"/>
          <w:numId w:val="14"/>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Housekeeping Gaps</w:t>
      </w:r>
      <w:r w:rsidRPr="00782C86">
        <w:rPr>
          <w:rFonts w:ascii="Times New Roman" w:hAnsi="Times New Roman" w:cs="Times New Roman"/>
          <w:sz w:val="24"/>
          <w:szCs w:val="24"/>
          <w:lang w:val="en-GB"/>
        </w:rPr>
        <w:t>: 18% of rooms fail cleanliness audits; complaints cite "stained linens" and "dusty surfaces" 14.</w:t>
      </w:r>
    </w:p>
    <w:p w14:paraId="6888D215" w14:textId="77777777" w:rsidR="00474347" w:rsidRPr="00782C86" w:rsidRDefault="00474347" w:rsidP="00474347">
      <w:pPr>
        <w:numPr>
          <w:ilvl w:val="0"/>
          <w:numId w:val="14"/>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Feedback Neglect</w:t>
      </w:r>
      <w:r w:rsidRPr="00782C86">
        <w:rPr>
          <w:rFonts w:ascii="Times New Roman" w:hAnsi="Times New Roman" w:cs="Times New Roman"/>
          <w:sz w:val="24"/>
          <w:szCs w:val="24"/>
          <w:lang w:val="en-GB"/>
        </w:rPr>
        <w:t>: 60% of public complaints receive no response, worsening TripAdvisor ratings 5.</w:t>
      </w:r>
    </w:p>
    <w:p w14:paraId="63F063D7"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i/>
          <w:iCs/>
          <w:sz w:val="24"/>
          <w:szCs w:val="24"/>
          <w:lang w:val="en-GB"/>
        </w:rPr>
        <w:t>Opportunities</w:t>
      </w:r>
    </w:p>
    <w:p w14:paraId="183324BF" w14:textId="77777777" w:rsidR="00474347" w:rsidRPr="00782C86" w:rsidRDefault="00474347" w:rsidP="00474347">
      <w:pPr>
        <w:numPr>
          <w:ilvl w:val="0"/>
          <w:numId w:val="15"/>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Event Synergy</w:t>
      </w:r>
      <w:r w:rsidRPr="00782C86">
        <w:rPr>
          <w:rFonts w:ascii="Times New Roman" w:hAnsi="Times New Roman" w:cs="Times New Roman"/>
          <w:sz w:val="24"/>
          <w:szCs w:val="24"/>
          <w:lang w:val="en-GB"/>
        </w:rPr>
        <w:t>: Racecourse events attract 280,000 annual visitors – untapped for bundled packages 13.</w:t>
      </w:r>
    </w:p>
    <w:p w14:paraId="7D156D9A" w14:textId="77777777" w:rsidR="00474347" w:rsidRPr="00782C86" w:rsidRDefault="00474347" w:rsidP="00474347">
      <w:pPr>
        <w:numPr>
          <w:ilvl w:val="0"/>
          <w:numId w:val="15"/>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Tech Integration</w:t>
      </w:r>
      <w:r w:rsidRPr="00782C86">
        <w:rPr>
          <w:rFonts w:ascii="Times New Roman" w:hAnsi="Times New Roman" w:cs="Times New Roman"/>
          <w:sz w:val="24"/>
          <w:szCs w:val="24"/>
          <w:lang w:val="en-GB"/>
        </w:rPr>
        <w:t>: Digital Key adoption could reduce front desk pressure by 30% 2.</w:t>
      </w:r>
    </w:p>
    <w:p w14:paraId="3A1AB251" w14:textId="77777777" w:rsidR="00474347" w:rsidRPr="00782C86" w:rsidRDefault="00474347" w:rsidP="00474347">
      <w:pPr>
        <w:spacing w:line="360" w:lineRule="auto"/>
        <w:rPr>
          <w:rFonts w:ascii="Times New Roman" w:hAnsi="Times New Roman" w:cs="Times New Roman"/>
          <w:sz w:val="24"/>
          <w:szCs w:val="24"/>
          <w:lang w:val="en-GB"/>
        </w:rPr>
      </w:pPr>
      <w:r w:rsidRPr="00782C86">
        <w:rPr>
          <w:rFonts w:ascii="Times New Roman" w:hAnsi="Times New Roman" w:cs="Times New Roman"/>
          <w:i/>
          <w:iCs/>
          <w:sz w:val="24"/>
          <w:szCs w:val="24"/>
          <w:lang w:val="en-GB"/>
        </w:rPr>
        <w:t>Threats</w:t>
      </w:r>
    </w:p>
    <w:p w14:paraId="2D37B38E" w14:textId="77777777" w:rsidR="00474347" w:rsidRPr="00782C86" w:rsidRDefault="00474347" w:rsidP="00474347">
      <w:pPr>
        <w:numPr>
          <w:ilvl w:val="0"/>
          <w:numId w:val="16"/>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t>Market Position</w:t>
      </w:r>
      <w:r w:rsidRPr="00782C86">
        <w:rPr>
          <w:rFonts w:ascii="Times New Roman" w:hAnsi="Times New Roman" w:cs="Times New Roman"/>
          <w:sz w:val="24"/>
          <w:szCs w:val="24"/>
          <w:lang w:val="en-GB"/>
        </w:rPr>
        <w:t xml:space="preserve">: Ranks below Hilton Garden </w:t>
      </w:r>
      <w:proofErr w:type="spellStart"/>
      <w:r w:rsidRPr="00782C86">
        <w:rPr>
          <w:rFonts w:ascii="Times New Roman" w:hAnsi="Times New Roman" w:cs="Times New Roman"/>
          <w:sz w:val="24"/>
          <w:szCs w:val="24"/>
          <w:lang w:val="en-GB"/>
        </w:rPr>
        <w:t>Inn’s</w:t>
      </w:r>
      <w:proofErr w:type="spellEnd"/>
      <w:r w:rsidRPr="00782C86">
        <w:rPr>
          <w:rFonts w:ascii="Times New Roman" w:hAnsi="Times New Roman" w:cs="Times New Roman"/>
          <w:sz w:val="24"/>
          <w:szCs w:val="24"/>
          <w:lang w:val="en-GB"/>
        </w:rPr>
        <w:t xml:space="preserve"> UK average (76% vs. 83% satisfaction) 5.</w:t>
      </w:r>
    </w:p>
    <w:p w14:paraId="4CF0182A" w14:textId="77777777" w:rsidR="00474347" w:rsidRPr="00782C86" w:rsidRDefault="00474347" w:rsidP="00474347">
      <w:pPr>
        <w:numPr>
          <w:ilvl w:val="0"/>
          <w:numId w:val="16"/>
        </w:numPr>
        <w:spacing w:line="360" w:lineRule="auto"/>
        <w:rPr>
          <w:rFonts w:ascii="Times New Roman" w:hAnsi="Times New Roman" w:cs="Times New Roman"/>
          <w:sz w:val="24"/>
          <w:szCs w:val="24"/>
          <w:lang w:val="en-GB"/>
        </w:rPr>
      </w:pPr>
      <w:r w:rsidRPr="00782C86">
        <w:rPr>
          <w:rFonts w:ascii="Times New Roman" w:hAnsi="Times New Roman" w:cs="Times New Roman"/>
          <w:b/>
          <w:bCs/>
          <w:sz w:val="24"/>
          <w:szCs w:val="24"/>
          <w:lang w:val="en-GB"/>
        </w:rPr>
        <w:lastRenderedPageBreak/>
        <w:t>OTA Dependence</w:t>
      </w:r>
      <w:r w:rsidRPr="00782C86">
        <w:rPr>
          <w:rFonts w:ascii="Times New Roman" w:hAnsi="Times New Roman" w:cs="Times New Roman"/>
          <w:sz w:val="24"/>
          <w:szCs w:val="24"/>
          <w:lang w:val="en-GB"/>
        </w:rPr>
        <w:t>: 18% commission fees from third-party bookings erode profitability</w:t>
      </w:r>
    </w:p>
    <w:p w14:paraId="31DBEB56" w14:textId="69A7BA59"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rPr>
        <w:t>3</w:t>
      </w:r>
      <w:r>
        <w:rPr>
          <w:rFonts w:ascii="Times New Roman" w:hAnsi="Times New Roman" w:cs="Times New Roman"/>
          <w:sz w:val="24"/>
          <w:szCs w:val="24"/>
        </w:rPr>
        <w:t xml:space="preserve">. </w:t>
      </w:r>
      <w:r w:rsidRPr="00BF523F">
        <w:rPr>
          <w:rFonts w:ascii="Times New Roman" w:hAnsi="Times New Roman" w:cs="Times New Roman"/>
          <w:b/>
          <w:bCs/>
          <w:sz w:val="24"/>
          <w:szCs w:val="24"/>
          <w:lang w:val="en-GB"/>
        </w:rPr>
        <w:t>Reputational Risk Quantification</w:t>
      </w:r>
    </w:p>
    <w:p w14:paraId="5CE0012E" w14:textId="77777777" w:rsidR="00474347" w:rsidRPr="00BF523F" w:rsidRDefault="00474347" w:rsidP="00474347">
      <w:pPr>
        <w:numPr>
          <w:ilvl w:val="0"/>
          <w:numId w:val="17"/>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Online Sentiment</w:t>
      </w:r>
      <w:r w:rsidRPr="00BF523F">
        <w:rPr>
          <w:rFonts w:ascii="Times New Roman" w:hAnsi="Times New Roman" w:cs="Times New Roman"/>
          <w:sz w:val="24"/>
          <w:szCs w:val="24"/>
          <w:lang w:val="en-GB"/>
        </w:rPr>
        <w:t xml:space="preserve">: 28% of negative reviews cite "unresolved complaints" 14, amplifying ACSI’s finding that midscale brands suffer most from business </w:t>
      </w:r>
      <w:proofErr w:type="spellStart"/>
      <w:r w:rsidRPr="00BF523F">
        <w:rPr>
          <w:rFonts w:ascii="Times New Roman" w:hAnsi="Times New Roman" w:cs="Times New Roman"/>
          <w:sz w:val="24"/>
          <w:szCs w:val="24"/>
          <w:lang w:val="en-GB"/>
        </w:rPr>
        <w:t>traveler</w:t>
      </w:r>
      <w:proofErr w:type="spellEnd"/>
      <w:r w:rsidRPr="00BF523F">
        <w:rPr>
          <w:rFonts w:ascii="Times New Roman" w:hAnsi="Times New Roman" w:cs="Times New Roman"/>
          <w:sz w:val="24"/>
          <w:szCs w:val="24"/>
          <w:lang w:val="en-GB"/>
        </w:rPr>
        <w:t xml:space="preserve"> dissatisfaction 5.</w:t>
      </w:r>
    </w:p>
    <w:p w14:paraId="189A31BB" w14:textId="77777777" w:rsidR="00474347" w:rsidRPr="00BF523F" w:rsidRDefault="00474347" w:rsidP="00474347">
      <w:pPr>
        <w:numPr>
          <w:ilvl w:val="0"/>
          <w:numId w:val="17"/>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Financial Impact</w:t>
      </w:r>
      <w:r w:rsidRPr="00BF523F">
        <w:rPr>
          <w:rFonts w:ascii="Times New Roman" w:hAnsi="Times New Roman" w:cs="Times New Roman"/>
          <w:sz w:val="24"/>
          <w:szCs w:val="24"/>
          <w:lang w:val="en-GB"/>
        </w:rPr>
        <w:t>: Each 1-point TripAdvisor decline correlates with 9% revenue drop – HGIDR’s 3.8/5 rating threatens £230K annual losses 5.</w:t>
      </w:r>
    </w:p>
    <w:p w14:paraId="6E729B9D" w14:textId="77777777" w:rsidR="00474347" w:rsidRPr="00BF523F" w:rsidRDefault="00474347" w:rsidP="00474347">
      <w:pPr>
        <w:numPr>
          <w:ilvl w:val="0"/>
          <w:numId w:val="17"/>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Competitive Erosion</w:t>
      </w:r>
      <w:r w:rsidRPr="00BF523F">
        <w:rPr>
          <w:rFonts w:ascii="Times New Roman" w:hAnsi="Times New Roman" w:cs="Times New Roman"/>
          <w:sz w:val="24"/>
          <w:szCs w:val="24"/>
          <w:lang w:val="en-GB"/>
        </w:rPr>
        <w:t>: Ranks below Crowne Plaza (4.2/5) in Doncaster’s business segment 14.</w:t>
      </w:r>
    </w:p>
    <w:p w14:paraId="3DC8B738" w14:textId="77777777" w:rsidR="00474347" w:rsidRPr="00BF523F" w:rsidRDefault="00474347" w:rsidP="00474347">
      <w:pPr>
        <w:spacing w:line="360" w:lineRule="auto"/>
        <w:rPr>
          <w:rFonts w:ascii="Times New Roman" w:hAnsi="Times New Roman" w:cs="Times New Roman"/>
          <w:sz w:val="24"/>
          <w:szCs w:val="24"/>
          <w:lang w:val="en-GB"/>
        </w:rPr>
      </w:pPr>
      <w:r>
        <w:rPr>
          <w:rFonts w:ascii="Times New Roman" w:hAnsi="Times New Roman" w:cs="Times New Roman"/>
          <w:b/>
          <w:bCs/>
          <w:sz w:val="24"/>
          <w:szCs w:val="24"/>
          <w:lang w:val="en-GB"/>
        </w:rPr>
        <w:t>4</w:t>
      </w:r>
      <w:r w:rsidRPr="00BF523F">
        <w:rPr>
          <w:rFonts w:ascii="Times New Roman" w:hAnsi="Times New Roman" w:cs="Times New Roman"/>
          <w:b/>
          <w:bCs/>
          <w:sz w:val="24"/>
          <w:szCs w:val="24"/>
          <w:lang w:val="en-GB"/>
        </w:rPr>
        <w:t>. Root Cause Synthesis</w:t>
      </w:r>
    </w:p>
    <w:p w14:paraId="5829A972" w14:textId="77777777" w:rsidR="00474347" w:rsidRPr="00BF523F" w:rsidRDefault="00474347" w:rsidP="00474347">
      <w:pPr>
        <w:numPr>
          <w:ilvl w:val="0"/>
          <w:numId w:val="18"/>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Staff Empowerment Deficit</w:t>
      </w:r>
      <w:r w:rsidRPr="00BF523F">
        <w:rPr>
          <w:rFonts w:ascii="Times New Roman" w:hAnsi="Times New Roman" w:cs="Times New Roman"/>
          <w:sz w:val="24"/>
          <w:szCs w:val="24"/>
          <w:lang w:val="en-GB"/>
        </w:rPr>
        <w:t>: Frontline workers lack authority to resolve basic issues (e.g., waived parking fees).</w:t>
      </w:r>
    </w:p>
    <w:p w14:paraId="51566CE7" w14:textId="77777777" w:rsidR="00474347" w:rsidRPr="00BF523F" w:rsidRDefault="00474347" w:rsidP="00474347">
      <w:pPr>
        <w:numPr>
          <w:ilvl w:val="0"/>
          <w:numId w:val="18"/>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Operational Fragmentation</w:t>
      </w:r>
      <w:r w:rsidRPr="00BF523F">
        <w:rPr>
          <w:rFonts w:ascii="Times New Roman" w:hAnsi="Times New Roman" w:cs="Times New Roman"/>
          <w:sz w:val="24"/>
          <w:szCs w:val="24"/>
          <w:lang w:val="en-GB"/>
        </w:rPr>
        <w:t>: Housekeeping uses outdated 7-step protocols vs. industry best practices 6.</w:t>
      </w:r>
    </w:p>
    <w:p w14:paraId="7B9CC8BC" w14:textId="77777777" w:rsidR="00474347" w:rsidRPr="00BF523F" w:rsidRDefault="00474347" w:rsidP="00474347">
      <w:pPr>
        <w:numPr>
          <w:ilvl w:val="0"/>
          <w:numId w:val="18"/>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Tech-Disconnect</w:t>
      </w:r>
      <w:r w:rsidRPr="00BF523F">
        <w:rPr>
          <w:rFonts w:ascii="Times New Roman" w:hAnsi="Times New Roman" w:cs="Times New Roman"/>
          <w:sz w:val="24"/>
          <w:szCs w:val="24"/>
          <w:lang w:val="en-GB"/>
        </w:rPr>
        <w:t>: Digital Key availability 2 contrasts with absent mobile check-in implementation.</w:t>
      </w:r>
    </w:p>
    <w:p w14:paraId="48CDC6F0"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Evidence-Based Insights from Guest Reviews</w:t>
      </w:r>
      <w:r w:rsidRPr="00BF523F">
        <w:rPr>
          <w:rFonts w:ascii="Times New Roman" w:hAnsi="Times New Roman" w:cs="Times New Roman"/>
          <w:sz w:val="24"/>
          <w:szCs w:val="24"/>
          <w:lang w:val="en-GB"/>
        </w:rPr>
        <w:t> </w:t>
      </w:r>
    </w:p>
    <w:p w14:paraId="1955BBBB" w14:textId="77777777" w:rsidR="00474347" w:rsidRPr="00BF523F" w:rsidRDefault="00474347" w:rsidP="00474347">
      <w:pPr>
        <w:numPr>
          <w:ilvl w:val="0"/>
          <w:numId w:val="19"/>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Positive</w:t>
      </w:r>
      <w:r w:rsidRPr="00BF523F">
        <w:rPr>
          <w:rFonts w:ascii="Times New Roman" w:hAnsi="Times New Roman" w:cs="Times New Roman"/>
          <w:sz w:val="24"/>
          <w:szCs w:val="24"/>
          <w:lang w:val="en-GB"/>
        </w:rPr>
        <w:t>: 92% praise "racecourse views" and "comfortable beds."</w:t>
      </w:r>
    </w:p>
    <w:p w14:paraId="090FC6E9" w14:textId="77777777" w:rsidR="00474347" w:rsidRPr="00BF523F" w:rsidRDefault="00474347" w:rsidP="00474347">
      <w:pPr>
        <w:numPr>
          <w:ilvl w:val="0"/>
          <w:numId w:val="19"/>
        </w:num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Negative</w:t>
      </w:r>
      <w:r w:rsidRPr="00BF523F">
        <w:rPr>
          <w:rFonts w:ascii="Times New Roman" w:hAnsi="Times New Roman" w:cs="Times New Roman"/>
          <w:sz w:val="24"/>
          <w:szCs w:val="24"/>
          <w:lang w:val="en-GB"/>
        </w:rPr>
        <w:t>:</w:t>
      </w:r>
    </w:p>
    <w:p w14:paraId="3D4E812E" w14:textId="77777777" w:rsidR="00474347" w:rsidRPr="00BF523F" w:rsidRDefault="00474347" w:rsidP="00474347">
      <w:pPr>
        <w:numPr>
          <w:ilvl w:val="1"/>
          <w:numId w:val="19"/>
        </w:numPr>
        <w:spacing w:line="360" w:lineRule="auto"/>
        <w:rPr>
          <w:rFonts w:ascii="Times New Roman" w:hAnsi="Times New Roman" w:cs="Times New Roman"/>
          <w:sz w:val="24"/>
          <w:szCs w:val="24"/>
          <w:lang w:val="en-GB"/>
        </w:rPr>
      </w:pPr>
      <w:r w:rsidRPr="00BF523F">
        <w:rPr>
          <w:rFonts w:ascii="Times New Roman" w:hAnsi="Times New Roman" w:cs="Times New Roman"/>
          <w:i/>
          <w:iCs/>
          <w:sz w:val="24"/>
          <w:szCs w:val="24"/>
          <w:lang w:val="en-GB"/>
        </w:rPr>
        <w:t>Service</w:t>
      </w:r>
      <w:r w:rsidRPr="00BF523F">
        <w:rPr>
          <w:rFonts w:ascii="Times New Roman" w:hAnsi="Times New Roman" w:cs="Times New Roman"/>
          <w:sz w:val="24"/>
          <w:szCs w:val="24"/>
          <w:lang w:val="en-GB"/>
        </w:rPr>
        <w:t>: "Aggressive staff at 2AM snack station" (Robert, Jun 2023).</w:t>
      </w:r>
    </w:p>
    <w:p w14:paraId="07BEA5D2" w14:textId="77777777" w:rsidR="00474347" w:rsidRPr="00BF523F" w:rsidRDefault="00474347" w:rsidP="00474347">
      <w:pPr>
        <w:numPr>
          <w:ilvl w:val="1"/>
          <w:numId w:val="19"/>
        </w:numPr>
        <w:spacing w:line="360" w:lineRule="auto"/>
        <w:rPr>
          <w:rFonts w:ascii="Times New Roman" w:hAnsi="Times New Roman" w:cs="Times New Roman"/>
          <w:sz w:val="24"/>
          <w:szCs w:val="24"/>
          <w:lang w:val="en-GB"/>
        </w:rPr>
      </w:pPr>
      <w:r w:rsidRPr="00BF523F">
        <w:rPr>
          <w:rFonts w:ascii="Times New Roman" w:hAnsi="Times New Roman" w:cs="Times New Roman"/>
          <w:i/>
          <w:iCs/>
          <w:sz w:val="24"/>
          <w:szCs w:val="24"/>
          <w:lang w:val="en-GB"/>
        </w:rPr>
        <w:t>Cleanliness</w:t>
      </w:r>
      <w:r w:rsidRPr="00BF523F">
        <w:rPr>
          <w:rFonts w:ascii="Times New Roman" w:hAnsi="Times New Roman" w:cs="Times New Roman"/>
          <w:sz w:val="24"/>
          <w:szCs w:val="24"/>
          <w:lang w:val="en-GB"/>
        </w:rPr>
        <w:t>: "Lumpy pillows and stained carpets" (Sam, May 2023).</w:t>
      </w:r>
    </w:p>
    <w:p w14:paraId="37EC102D" w14:textId="77777777" w:rsidR="00474347" w:rsidRPr="00BF523F" w:rsidRDefault="00474347" w:rsidP="00474347">
      <w:pPr>
        <w:numPr>
          <w:ilvl w:val="1"/>
          <w:numId w:val="19"/>
        </w:numPr>
        <w:spacing w:line="360" w:lineRule="auto"/>
        <w:rPr>
          <w:rFonts w:ascii="Times New Roman" w:hAnsi="Times New Roman" w:cs="Times New Roman"/>
          <w:sz w:val="24"/>
          <w:szCs w:val="24"/>
          <w:lang w:val="en-GB"/>
        </w:rPr>
      </w:pPr>
      <w:r w:rsidRPr="00BF523F">
        <w:rPr>
          <w:rFonts w:ascii="Times New Roman" w:hAnsi="Times New Roman" w:cs="Times New Roman"/>
          <w:i/>
          <w:iCs/>
          <w:sz w:val="24"/>
          <w:szCs w:val="24"/>
          <w:lang w:val="en-GB"/>
        </w:rPr>
        <w:t>Amenities</w:t>
      </w:r>
      <w:r w:rsidRPr="00BF523F">
        <w:rPr>
          <w:rFonts w:ascii="Times New Roman" w:hAnsi="Times New Roman" w:cs="Times New Roman"/>
          <w:sz w:val="24"/>
          <w:szCs w:val="24"/>
          <w:lang w:val="en-GB"/>
        </w:rPr>
        <w:t>: "No EV charging despite £5 parking" (Mark, Mar 2023).</w:t>
      </w:r>
    </w:p>
    <w:p w14:paraId="76357299"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sz w:val="24"/>
          <w:szCs w:val="24"/>
          <w:lang w:val="en-GB"/>
        </w:rPr>
        <w:t>This analysis confirms that HGIDR’s challenges stem from </w:t>
      </w:r>
      <w:r w:rsidRPr="00BF523F">
        <w:rPr>
          <w:rFonts w:ascii="Times New Roman" w:hAnsi="Times New Roman" w:cs="Times New Roman"/>
          <w:i/>
          <w:iCs/>
          <w:sz w:val="24"/>
          <w:szCs w:val="24"/>
          <w:lang w:val="en-GB"/>
        </w:rPr>
        <w:t>systemic</w:t>
      </w:r>
      <w:r w:rsidRPr="00BF523F">
        <w:rPr>
          <w:rFonts w:ascii="Times New Roman" w:hAnsi="Times New Roman" w:cs="Times New Roman"/>
          <w:sz w:val="24"/>
          <w:szCs w:val="24"/>
          <w:lang w:val="en-GB"/>
        </w:rPr>
        <w:t xml:space="preserve"> gaps in resource allocation and experience design – not isolated failures. Strategic realignment focusing on </w:t>
      </w:r>
      <w:r w:rsidRPr="00BF523F">
        <w:rPr>
          <w:rFonts w:ascii="Times New Roman" w:hAnsi="Times New Roman" w:cs="Times New Roman"/>
          <w:sz w:val="24"/>
          <w:szCs w:val="24"/>
          <w:lang w:val="en-GB"/>
        </w:rPr>
        <w:lastRenderedPageBreak/>
        <w:t>staff empowerment and tech integration can convert location advantages into sustainable satisfaction recovery</w:t>
      </w:r>
    </w:p>
    <w:p w14:paraId="7B7A5921" w14:textId="77777777" w:rsidR="00474347" w:rsidRPr="00F37E43" w:rsidRDefault="00474347" w:rsidP="00474347">
      <w:pPr>
        <w:spacing w:line="360" w:lineRule="auto"/>
        <w:rPr>
          <w:rFonts w:ascii="Times New Roman" w:hAnsi="Times New Roman" w:cs="Times New Roman"/>
          <w:sz w:val="24"/>
          <w:szCs w:val="24"/>
        </w:rPr>
      </w:pPr>
      <w:r w:rsidRPr="00BF523F">
        <w:rPr>
          <w:rFonts w:ascii="Times New Roman" w:hAnsi="Times New Roman" w:cs="Times New Roman"/>
          <w:sz w:val="24"/>
          <w:szCs w:val="24"/>
        </w:rPr>
        <w:drawing>
          <wp:inline distT="0" distB="0" distL="0" distR="0" wp14:anchorId="2BB07607" wp14:editId="2BACBE8A">
            <wp:extent cx="5486400" cy="2570480"/>
            <wp:effectExtent l="0" t="0" r="0" b="1270"/>
            <wp:docPr id="1838827224"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27224" name="Picture 1" descr="A diagram of a business&#10;&#10;AI-generated content may be incorrect."/>
                    <pic:cNvPicPr/>
                  </pic:nvPicPr>
                  <pic:blipFill>
                    <a:blip r:embed="rId8"/>
                    <a:stretch>
                      <a:fillRect/>
                    </a:stretch>
                  </pic:blipFill>
                  <pic:spPr>
                    <a:xfrm>
                      <a:off x="0" y="0"/>
                      <a:ext cx="5486400" cy="2570480"/>
                    </a:xfrm>
                    <a:prstGeom prst="rect">
                      <a:avLst/>
                    </a:prstGeom>
                  </pic:spPr>
                </pic:pic>
              </a:graphicData>
            </a:graphic>
          </wp:inline>
        </w:drawing>
      </w:r>
    </w:p>
    <w:p w14:paraId="1FBA4971" w14:textId="77777777" w:rsidR="00474347" w:rsidRPr="00F37E43" w:rsidRDefault="00474347" w:rsidP="00474347">
      <w:pPr>
        <w:pStyle w:val="Heading1"/>
        <w:spacing w:line="360" w:lineRule="auto"/>
        <w:rPr>
          <w:rFonts w:ascii="Times New Roman" w:hAnsi="Times New Roman" w:cs="Times New Roman"/>
          <w:sz w:val="24"/>
          <w:szCs w:val="24"/>
        </w:rPr>
      </w:pPr>
      <w:bookmarkStart w:id="3" w:name="_Toc201344423"/>
      <w:r w:rsidRPr="00474347">
        <w:rPr>
          <w:rFonts w:ascii="Times New Roman" w:hAnsi="Times New Roman" w:cs="Times New Roman"/>
        </w:rPr>
        <w:t>Recommendations and Change</w:t>
      </w:r>
      <w:r w:rsidRPr="00F37E43">
        <w:rPr>
          <w:rFonts w:ascii="Times New Roman" w:hAnsi="Times New Roman" w:cs="Times New Roman"/>
          <w:sz w:val="24"/>
          <w:szCs w:val="24"/>
        </w:rPr>
        <w:t xml:space="preserve"> </w:t>
      </w:r>
      <w:r w:rsidRPr="00474347">
        <w:rPr>
          <w:rFonts w:ascii="Times New Roman" w:hAnsi="Times New Roman" w:cs="Times New Roman"/>
        </w:rPr>
        <w:t>Management</w:t>
      </w:r>
      <w:bookmarkEnd w:id="3"/>
    </w:p>
    <w:p w14:paraId="48A030AB"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sz w:val="24"/>
          <w:szCs w:val="24"/>
          <w:lang w:val="en-GB"/>
        </w:rPr>
        <w:t>o systematically address the hotel's core challenges, we've developed a granular execution framework beginning with the critical pain point of </w:t>
      </w:r>
      <w:r w:rsidRPr="00BF523F">
        <w:rPr>
          <w:rFonts w:ascii="Times New Roman" w:hAnsi="Times New Roman" w:cs="Times New Roman"/>
          <w:b/>
          <w:bCs/>
          <w:sz w:val="24"/>
          <w:szCs w:val="24"/>
          <w:lang w:val="en-GB"/>
        </w:rPr>
        <w:t>slow service times</w:t>
      </w:r>
      <w:r w:rsidRPr="00BF523F">
        <w:rPr>
          <w:rFonts w:ascii="Times New Roman" w:hAnsi="Times New Roman" w:cs="Times New Roman"/>
          <w:sz w:val="24"/>
          <w:szCs w:val="24"/>
          <w:lang w:val="en-GB"/>
        </w:rPr>
        <w:t> (currently averaging 22 minutes for check-in). The solution deploys VR-enabled customer service training starting Month 1, using 15-minute "micro-modules" on Hilton's 5/10 rule during pre-shift briefings, coupled with laminated empowerment cards authorizing frontline staff to resolve issues under £50 without managerial approval. Ownership rests with the Director of Operations, who will track progress through Opera PMS transaction speed analytics targeting ≤8-minute check-ins by Month 3. The £12,000 annual investment covers VR content licensing (£3,500), empowerment incident reserves (£6,000), and "Service Champion" bonuses (£2,500). Change management follows Kotter's Step 5 ("Enable Action") through weekly 15-minute "empowerment victory" shares at team huddles.</w:t>
      </w:r>
    </w:p>
    <w:p w14:paraId="4477E7F0"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sz w:val="24"/>
          <w:szCs w:val="24"/>
          <w:lang w:val="en-GB"/>
        </w:rPr>
        <w:t>For </w:t>
      </w:r>
      <w:r w:rsidRPr="00BF523F">
        <w:rPr>
          <w:rFonts w:ascii="Times New Roman" w:hAnsi="Times New Roman" w:cs="Times New Roman"/>
          <w:b/>
          <w:bCs/>
          <w:sz w:val="24"/>
          <w:szCs w:val="24"/>
          <w:lang w:val="en-GB"/>
        </w:rPr>
        <w:t>room comfort deficiencies</w:t>
      </w:r>
      <w:r w:rsidRPr="00BF523F">
        <w:rPr>
          <w:rFonts w:ascii="Times New Roman" w:hAnsi="Times New Roman" w:cs="Times New Roman"/>
          <w:sz w:val="24"/>
          <w:szCs w:val="24"/>
          <w:lang w:val="en-GB"/>
        </w:rPr>
        <w:t xml:space="preserve"> reflected in 18% audit failure rates, we initiate a six-month Room Renaissance Project. Phase 1 (Months 1-2) pilots therapeutic mattress toppers and cooling-gel pillows in 50 race-view rooms, using sensors to collect sleep quality data. Phase 2 (Months 3-6) rolls out rainfall showers and Hilton's new aromatherapy amenities brand-wide, with the Chief Engineer conducting biweekly quality audits against a 95% pass-rate target. The £18,000 CAPEX covers bulk purchases from Hilton's approved vendor list (15% discount), while change tactics employ Lewin's "unfreezing" via before/after room displays in </w:t>
      </w:r>
      <w:r w:rsidRPr="00BF523F">
        <w:rPr>
          <w:rFonts w:ascii="Times New Roman" w:hAnsi="Times New Roman" w:cs="Times New Roman"/>
          <w:sz w:val="24"/>
          <w:szCs w:val="24"/>
          <w:lang w:val="en-GB"/>
        </w:rPr>
        <w:lastRenderedPageBreak/>
        <w:t>the staff cafeteria showing eliminated TripAdvisor complaints like "lumpy pillows" (Sam, May 2023).</w:t>
      </w:r>
    </w:p>
    <w:p w14:paraId="4709B788"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sz w:val="24"/>
          <w:szCs w:val="24"/>
          <w:lang w:val="en-GB"/>
        </w:rPr>
        <w:t>The </w:t>
      </w:r>
      <w:r w:rsidRPr="00BF523F">
        <w:rPr>
          <w:rFonts w:ascii="Times New Roman" w:hAnsi="Times New Roman" w:cs="Times New Roman"/>
          <w:b/>
          <w:bCs/>
          <w:sz w:val="24"/>
          <w:szCs w:val="24"/>
          <w:lang w:val="en-GB"/>
        </w:rPr>
        <w:t>feedback vacuum</w:t>
      </w:r>
      <w:r w:rsidRPr="00BF523F">
        <w:rPr>
          <w:rFonts w:ascii="Times New Roman" w:hAnsi="Times New Roman" w:cs="Times New Roman"/>
          <w:sz w:val="24"/>
          <w:szCs w:val="24"/>
          <w:lang w:val="en-GB"/>
        </w:rPr>
        <w:t xml:space="preserve"> (60% unresolved complaints) requires installing three </w:t>
      </w:r>
      <w:proofErr w:type="spellStart"/>
      <w:r w:rsidRPr="00BF523F">
        <w:rPr>
          <w:rFonts w:ascii="Times New Roman" w:hAnsi="Times New Roman" w:cs="Times New Roman"/>
          <w:sz w:val="24"/>
          <w:szCs w:val="24"/>
          <w:lang w:val="en-GB"/>
        </w:rPr>
        <w:t>Revinate</w:t>
      </w:r>
      <w:proofErr w:type="spellEnd"/>
      <w:r w:rsidRPr="00BF523F">
        <w:rPr>
          <w:rFonts w:ascii="Times New Roman" w:hAnsi="Times New Roman" w:cs="Times New Roman"/>
          <w:sz w:val="24"/>
          <w:szCs w:val="24"/>
          <w:lang w:val="en-GB"/>
        </w:rPr>
        <w:t xml:space="preserve">-powered kiosks in high-traffic zones by Month 2. These AI-driven terminals trigger SMS alerts to department heads for any ≤3-star rating within 5 minutes, with automated compensation offers ("20% next stay") for verified service failures. The Guest Experience Manager will enforce 15-minute resolution SLAs tracked on lobby dashboards, targeting 90% same-shift closure rates. The £20,000 budget includes kiosk hardware (£14,000) and </w:t>
      </w:r>
      <w:proofErr w:type="spellStart"/>
      <w:r w:rsidRPr="00BF523F">
        <w:rPr>
          <w:rFonts w:ascii="Times New Roman" w:hAnsi="Times New Roman" w:cs="Times New Roman"/>
          <w:sz w:val="24"/>
          <w:szCs w:val="24"/>
          <w:lang w:val="en-GB"/>
        </w:rPr>
        <w:t>Revinate's</w:t>
      </w:r>
      <w:proofErr w:type="spellEnd"/>
      <w:r w:rsidRPr="00BF523F">
        <w:rPr>
          <w:rFonts w:ascii="Times New Roman" w:hAnsi="Times New Roman" w:cs="Times New Roman"/>
          <w:sz w:val="24"/>
          <w:szCs w:val="24"/>
          <w:lang w:val="en-GB"/>
        </w:rPr>
        <w:t xml:space="preserve"> sentiment analysis API integration (£6,000). Kotter's Step 6 ("Generate Wins") manifests through public "resolution leaderboards" showing weekly complaint-to-advocate conversions.</w:t>
      </w:r>
    </w:p>
    <w:p w14:paraId="5AD2B1F9"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b/>
          <w:bCs/>
          <w:sz w:val="24"/>
          <w:szCs w:val="24"/>
          <w:lang w:val="en-GB"/>
        </w:rPr>
        <w:t>Peak staffing crises</w:t>
      </w:r>
      <w:r w:rsidRPr="00BF523F">
        <w:rPr>
          <w:rFonts w:ascii="Times New Roman" w:hAnsi="Times New Roman" w:cs="Times New Roman"/>
          <w:sz w:val="24"/>
          <w:szCs w:val="24"/>
          <w:lang w:val="en-GB"/>
        </w:rPr>
        <w:t> (1:18 staff ratios during races) demand SynXis AI forecasting integrated by Month 1, predicting ±3% occupancy accuracy to optimize rosters. Cross-trained "Flex Force" teams (e.g., reservations staff supporting F&amp;B during lunch rushes) will be certified through VR simulations by Month 3, targeting 1:10 peak ratios. The HR Director oversees a £8,000 annual SynXis subscription funded by projected £23,000 overtime savings. Change adoption accelerates via a shift-swap app with "Peak MVP" bonuses for staff covering critical shortages.</w:t>
      </w:r>
    </w:p>
    <w:p w14:paraId="600287EE"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sz w:val="24"/>
          <w:szCs w:val="24"/>
          <w:lang w:val="en-GB"/>
        </w:rPr>
        <w:t>To reverse </w:t>
      </w:r>
      <w:r w:rsidRPr="00BF523F">
        <w:rPr>
          <w:rFonts w:ascii="Times New Roman" w:hAnsi="Times New Roman" w:cs="Times New Roman"/>
          <w:b/>
          <w:bCs/>
          <w:sz w:val="24"/>
          <w:szCs w:val="24"/>
          <w:lang w:val="en-GB"/>
        </w:rPr>
        <w:t>32% staff turnover</w:t>
      </w:r>
      <w:r w:rsidRPr="00BF523F">
        <w:rPr>
          <w:rFonts w:ascii="Times New Roman" w:hAnsi="Times New Roman" w:cs="Times New Roman"/>
          <w:sz w:val="24"/>
          <w:szCs w:val="24"/>
          <w:lang w:val="en-GB"/>
        </w:rPr>
        <w:t xml:space="preserve">, we launch an experiential recognition program where peer-nominated "Impact Stars" earn racecourse VIP tickets (£120 value) or spa vouchers. Monthly "culture pulse" surveys track </w:t>
      </w:r>
      <w:proofErr w:type="spellStart"/>
      <w:r w:rsidRPr="00BF523F">
        <w:rPr>
          <w:rFonts w:ascii="Times New Roman" w:hAnsi="Times New Roman" w:cs="Times New Roman"/>
          <w:sz w:val="24"/>
          <w:szCs w:val="24"/>
          <w:lang w:val="en-GB"/>
        </w:rPr>
        <w:t>eNPS</w:t>
      </w:r>
      <w:proofErr w:type="spellEnd"/>
      <w:r w:rsidRPr="00BF523F">
        <w:rPr>
          <w:rFonts w:ascii="Times New Roman" w:hAnsi="Times New Roman" w:cs="Times New Roman"/>
          <w:sz w:val="24"/>
          <w:szCs w:val="24"/>
          <w:lang w:val="en-GB"/>
        </w:rPr>
        <w:t xml:space="preserve"> targets ≥45, with quarterly talent reviews prioritizing recognized staff for promotion. The £5,000 annual fund covers 40 rewards, while Kotter's Step 8 ("Institute Change") embeds recognition in promotion criteria - exemplified by requiring two "Impact Star" nominations for supervisor roles.</w:t>
      </w:r>
    </w:p>
    <w:p w14:paraId="5C259392" w14:textId="77777777" w:rsidR="00474347" w:rsidRPr="00BF523F" w:rsidRDefault="00474347" w:rsidP="00474347">
      <w:pPr>
        <w:spacing w:line="360" w:lineRule="auto"/>
        <w:rPr>
          <w:rFonts w:ascii="Times New Roman" w:hAnsi="Times New Roman" w:cs="Times New Roman"/>
          <w:sz w:val="24"/>
          <w:szCs w:val="24"/>
          <w:lang w:val="en-GB"/>
        </w:rPr>
      </w:pPr>
      <w:r w:rsidRPr="00BF523F">
        <w:rPr>
          <w:rFonts w:ascii="Times New Roman" w:hAnsi="Times New Roman" w:cs="Times New Roman"/>
          <w:sz w:val="24"/>
          <w:szCs w:val="24"/>
          <w:lang w:val="en-GB"/>
        </w:rPr>
        <w:t>Execution will be governed through biweekly steering committee reviews (GM/Ops/HR), using a 10% contingency fund (£5,500) for risks like tech delays. Critical path sequencing prioritizes kiosks (M1) → staffing algorithm (M1) → room pilot (M2) → training (M3), creating compounding benefits: real-time feedback informs VR training scenarios, while optimized staffing protects room quality standards. Financial tracking through Opera PMS shows breakeven at 8.3 months via £98,000 occupancy gains and £44,000 OTA commission savings, ultimately delivering £142,000 annual ROI when all initiatives mature by Month 9.</w:t>
      </w:r>
    </w:p>
    <w:tbl>
      <w:tblPr>
        <w:tblStyle w:val="PlainTable3"/>
        <w:tblpPr w:leftFromText="180" w:rightFromText="180" w:vertAnchor="text" w:horzAnchor="margin" w:tblpY="-715"/>
        <w:tblW w:w="0" w:type="auto"/>
        <w:tblLook w:val="04A0" w:firstRow="1" w:lastRow="0" w:firstColumn="1" w:lastColumn="0" w:noHBand="0" w:noVBand="1"/>
      </w:tblPr>
      <w:tblGrid>
        <w:gridCol w:w="8856"/>
      </w:tblGrid>
      <w:tr w:rsidR="00474347" w:rsidRPr="00E1283A" w14:paraId="5C2747BC" w14:textId="77777777" w:rsidTr="0047434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856" w:type="dxa"/>
          </w:tcPr>
          <w:p w14:paraId="6FBA60FA" w14:textId="77777777" w:rsidR="00474347" w:rsidRPr="00474347" w:rsidRDefault="00474347" w:rsidP="00474347">
            <w:pPr>
              <w:pStyle w:val="Heading1"/>
              <w:spacing w:line="360" w:lineRule="auto"/>
              <w:rPr>
                <w:rFonts w:ascii="Times New Roman" w:hAnsi="Times New Roman" w:cs="Times New Roman"/>
                <w:b w:val="0"/>
                <w:bCs w:val="0"/>
              </w:rPr>
            </w:pPr>
            <w:bookmarkStart w:id="4" w:name="_Toc201344424"/>
            <w:r w:rsidRPr="00474347">
              <w:rPr>
                <w:rFonts w:ascii="Times New Roman" w:hAnsi="Times New Roman" w:cs="Times New Roman"/>
                <w:b w:val="0"/>
                <w:bCs w:val="0"/>
              </w:rPr>
              <w:lastRenderedPageBreak/>
              <w:t>Action Plan</w:t>
            </w:r>
            <w:bookmarkEnd w:id="4"/>
          </w:p>
        </w:tc>
      </w:tr>
      <w:tr w:rsidR="00474347" w14:paraId="37C99C59" w14:textId="77777777" w:rsidTr="004743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56" w:type="dxa"/>
          </w:tcPr>
          <w:tbl>
            <w:tblPr>
              <w:tblW w:w="0" w:type="auto"/>
              <w:tblLook w:val="04A0" w:firstRow="1" w:lastRow="0" w:firstColumn="1" w:lastColumn="0" w:noHBand="0" w:noVBand="1"/>
            </w:tblPr>
            <w:tblGrid>
              <w:gridCol w:w="1728"/>
              <w:gridCol w:w="1728"/>
              <w:gridCol w:w="1728"/>
              <w:gridCol w:w="1728"/>
              <w:gridCol w:w="1728"/>
            </w:tblGrid>
            <w:tr w:rsidR="00474347" w:rsidRPr="00E1283A" w14:paraId="545A8B3A" w14:textId="77777777" w:rsidTr="00F33085">
              <w:tc>
                <w:tcPr>
                  <w:tcW w:w="1728" w:type="dxa"/>
                </w:tcPr>
                <w:p w14:paraId="69F7ED4F"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Issue</w:t>
                  </w:r>
                </w:p>
              </w:tc>
              <w:tc>
                <w:tcPr>
                  <w:tcW w:w="1728" w:type="dxa"/>
                </w:tcPr>
                <w:p w14:paraId="6757CCC2"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Solution</w:t>
                  </w:r>
                </w:p>
              </w:tc>
              <w:tc>
                <w:tcPr>
                  <w:tcW w:w="1728" w:type="dxa"/>
                </w:tcPr>
                <w:p w14:paraId="2E571F3F"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Desired Outcome</w:t>
                  </w:r>
                </w:p>
              </w:tc>
              <w:tc>
                <w:tcPr>
                  <w:tcW w:w="1728" w:type="dxa"/>
                </w:tcPr>
                <w:p w14:paraId="5F567586"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Cost</w:t>
                  </w:r>
                </w:p>
              </w:tc>
              <w:tc>
                <w:tcPr>
                  <w:tcW w:w="1728" w:type="dxa"/>
                </w:tcPr>
                <w:p w14:paraId="12E77404"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Timeline</w:t>
                  </w:r>
                </w:p>
              </w:tc>
            </w:tr>
            <w:tr w:rsidR="00474347" w:rsidRPr="00E1283A" w14:paraId="67C94F97" w14:textId="77777777" w:rsidTr="00F33085">
              <w:tc>
                <w:tcPr>
                  <w:tcW w:w="1728" w:type="dxa"/>
                </w:tcPr>
                <w:p w14:paraId="309C1EBE"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Slow service times</w:t>
                  </w:r>
                </w:p>
              </w:tc>
              <w:tc>
                <w:tcPr>
                  <w:tcW w:w="1728" w:type="dxa"/>
                </w:tcPr>
                <w:p w14:paraId="70541D5C"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Customer Service Training</w:t>
                  </w:r>
                </w:p>
              </w:tc>
              <w:tc>
                <w:tcPr>
                  <w:tcW w:w="1728" w:type="dxa"/>
                </w:tcPr>
                <w:p w14:paraId="65F7576B"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Faster guest response</w:t>
                  </w:r>
                </w:p>
              </w:tc>
              <w:tc>
                <w:tcPr>
                  <w:tcW w:w="1728" w:type="dxa"/>
                </w:tcPr>
                <w:p w14:paraId="5CE18D98"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£12,000/year</w:t>
                  </w:r>
                </w:p>
              </w:tc>
              <w:tc>
                <w:tcPr>
                  <w:tcW w:w="1728" w:type="dxa"/>
                </w:tcPr>
                <w:p w14:paraId="5401E55F"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3 months</w:t>
                  </w:r>
                </w:p>
              </w:tc>
            </w:tr>
            <w:tr w:rsidR="00474347" w:rsidRPr="00E1283A" w14:paraId="0520B107" w14:textId="77777777" w:rsidTr="00F33085">
              <w:tc>
                <w:tcPr>
                  <w:tcW w:w="1728" w:type="dxa"/>
                </w:tcPr>
                <w:p w14:paraId="30FF4B24"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Room comfort complaints</w:t>
                  </w:r>
                </w:p>
              </w:tc>
              <w:tc>
                <w:tcPr>
                  <w:tcW w:w="1728" w:type="dxa"/>
                </w:tcPr>
                <w:p w14:paraId="4CF28483"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Upgrade room amenities</w:t>
                  </w:r>
                </w:p>
              </w:tc>
              <w:tc>
                <w:tcPr>
                  <w:tcW w:w="1728" w:type="dxa"/>
                </w:tcPr>
                <w:p w14:paraId="0ED266AA"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Improved sleep quality</w:t>
                  </w:r>
                </w:p>
              </w:tc>
              <w:tc>
                <w:tcPr>
                  <w:tcW w:w="1728" w:type="dxa"/>
                </w:tcPr>
                <w:p w14:paraId="38B94FC4"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£18,000</w:t>
                  </w:r>
                </w:p>
              </w:tc>
              <w:tc>
                <w:tcPr>
                  <w:tcW w:w="1728" w:type="dxa"/>
                </w:tcPr>
                <w:p w14:paraId="3835DB09"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6 months</w:t>
                  </w:r>
                </w:p>
              </w:tc>
            </w:tr>
            <w:tr w:rsidR="00474347" w:rsidRPr="00E1283A" w14:paraId="53CD99C3" w14:textId="77777777" w:rsidTr="00F33085">
              <w:tc>
                <w:tcPr>
                  <w:tcW w:w="1728" w:type="dxa"/>
                </w:tcPr>
                <w:p w14:paraId="52341B54"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Lack of feedback channels</w:t>
                  </w:r>
                </w:p>
              </w:tc>
              <w:tc>
                <w:tcPr>
                  <w:tcW w:w="1728" w:type="dxa"/>
                </w:tcPr>
                <w:p w14:paraId="340951CA"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Install digital kiosks</w:t>
                  </w:r>
                </w:p>
              </w:tc>
              <w:tc>
                <w:tcPr>
                  <w:tcW w:w="1728" w:type="dxa"/>
                </w:tcPr>
                <w:p w14:paraId="649377EA"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Real-time resolution</w:t>
                  </w:r>
                </w:p>
              </w:tc>
              <w:tc>
                <w:tcPr>
                  <w:tcW w:w="1728" w:type="dxa"/>
                </w:tcPr>
                <w:p w14:paraId="086C3B6E"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£20,000</w:t>
                  </w:r>
                </w:p>
              </w:tc>
              <w:tc>
                <w:tcPr>
                  <w:tcW w:w="1728" w:type="dxa"/>
                </w:tcPr>
                <w:p w14:paraId="3B30A242"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2 months</w:t>
                  </w:r>
                </w:p>
              </w:tc>
            </w:tr>
            <w:tr w:rsidR="00474347" w:rsidRPr="00E1283A" w14:paraId="2E7E0374" w14:textId="77777777" w:rsidTr="00F33085">
              <w:tc>
                <w:tcPr>
                  <w:tcW w:w="1728" w:type="dxa"/>
                </w:tcPr>
                <w:p w14:paraId="1190BB3D"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Low morale</w:t>
                  </w:r>
                </w:p>
              </w:tc>
              <w:tc>
                <w:tcPr>
                  <w:tcW w:w="1728" w:type="dxa"/>
                </w:tcPr>
                <w:p w14:paraId="786BCE20"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 xml:space="preserve">Staff recognition </w:t>
                  </w:r>
                  <w:proofErr w:type="spellStart"/>
                  <w:r w:rsidRPr="00E1283A">
                    <w:rPr>
                      <w:rFonts w:ascii="Times New Roman" w:hAnsi="Times New Roman" w:cs="Times New Roman"/>
                      <w:sz w:val="24"/>
                      <w:szCs w:val="24"/>
                    </w:rPr>
                    <w:t>programme</w:t>
                  </w:r>
                  <w:proofErr w:type="spellEnd"/>
                </w:p>
              </w:tc>
              <w:tc>
                <w:tcPr>
                  <w:tcW w:w="1728" w:type="dxa"/>
                </w:tcPr>
                <w:p w14:paraId="5ACF9FF4"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Higher engagement</w:t>
                  </w:r>
                </w:p>
              </w:tc>
              <w:tc>
                <w:tcPr>
                  <w:tcW w:w="1728" w:type="dxa"/>
                </w:tcPr>
                <w:p w14:paraId="6A383711"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£5,000/year</w:t>
                  </w:r>
                </w:p>
              </w:tc>
              <w:tc>
                <w:tcPr>
                  <w:tcW w:w="1728" w:type="dxa"/>
                </w:tcPr>
                <w:p w14:paraId="09A588CE" w14:textId="77777777" w:rsidR="00474347" w:rsidRPr="00E1283A" w:rsidRDefault="00474347" w:rsidP="00474347">
                  <w:pPr>
                    <w:framePr w:hSpace="180" w:wrap="around" w:vAnchor="text" w:hAnchor="margin" w:y="-715"/>
                    <w:spacing w:line="360" w:lineRule="auto"/>
                    <w:rPr>
                      <w:rFonts w:ascii="Times New Roman" w:hAnsi="Times New Roman" w:cs="Times New Roman"/>
                      <w:sz w:val="24"/>
                      <w:szCs w:val="24"/>
                    </w:rPr>
                  </w:pPr>
                  <w:r w:rsidRPr="00E1283A">
                    <w:rPr>
                      <w:rFonts w:ascii="Times New Roman" w:hAnsi="Times New Roman" w:cs="Times New Roman"/>
                      <w:sz w:val="24"/>
                      <w:szCs w:val="24"/>
                    </w:rPr>
                    <w:t>Ongoing</w:t>
                  </w:r>
                </w:p>
              </w:tc>
            </w:tr>
          </w:tbl>
          <w:p w14:paraId="335750F5" w14:textId="77777777" w:rsidR="00474347" w:rsidRDefault="00474347" w:rsidP="00474347">
            <w:pPr>
              <w:spacing w:line="360" w:lineRule="auto"/>
            </w:pPr>
          </w:p>
        </w:tc>
      </w:tr>
    </w:tbl>
    <w:p w14:paraId="75494032" w14:textId="00E15067" w:rsidR="00474347" w:rsidRPr="00F37E43" w:rsidRDefault="00474347" w:rsidP="00474347">
      <w:pPr>
        <w:spacing w:line="360" w:lineRule="auto"/>
        <w:rPr>
          <w:rFonts w:ascii="Times New Roman" w:hAnsi="Times New Roman" w:cs="Times New Roman"/>
          <w:sz w:val="24"/>
          <w:szCs w:val="24"/>
        </w:rPr>
      </w:pPr>
    </w:p>
    <w:p w14:paraId="1630B2E8" w14:textId="77777777" w:rsidR="00474347" w:rsidRPr="00474347" w:rsidRDefault="00474347" w:rsidP="00474347">
      <w:pPr>
        <w:pStyle w:val="Heading1"/>
        <w:spacing w:line="360" w:lineRule="auto"/>
        <w:rPr>
          <w:rFonts w:ascii="Times New Roman" w:hAnsi="Times New Roman" w:cs="Times New Roman"/>
        </w:rPr>
      </w:pPr>
      <w:bookmarkStart w:id="5" w:name="_Toc201344425"/>
      <w:r w:rsidRPr="00474347">
        <w:rPr>
          <w:rFonts w:ascii="Times New Roman" w:hAnsi="Times New Roman" w:cs="Times New Roman"/>
        </w:rPr>
        <w:t>Conclusion</w:t>
      </w:r>
      <w:bookmarkStart w:id="6" w:name="_Toc201344426"/>
      <w:bookmarkEnd w:id="5"/>
    </w:p>
    <w:p w14:paraId="654C21C1" w14:textId="77777777" w:rsidR="00474347" w:rsidRPr="009B4DAA" w:rsidRDefault="00474347" w:rsidP="00474347">
      <w:pPr>
        <w:spacing w:line="360" w:lineRule="auto"/>
        <w:rPr>
          <w:lang w:val="en-GB"/>
        </w:rPr>
      </w:pPr>
      <w:r w:rsidRPr="009B4DAA">
        <w:rPr>
          <w:lang w:val="en-GB"/>
        </w:rPr>
        <w:t>The Hilton Garden Inn Doncaster Racecourse stands at an operational inflection point, where persistent customer satisfaction erosion—evidenced by the 14-point CSAT decline since 2022, 3.8/5 TripAdvisor rating lagging behind regional competitors, and 32% staff turnover rate—now directly threatens its viability within Hilton’s performance ecosystem. Our diagnostic confirms that unchecked continuation of these trends risks triggering a cascade of consequences: potential demotion to the bottom 15% of Hilton’s UK portfolio by 2026, renegotiation of critical racecourse access agreements during the 2026 contract cycle, and £230,000 in projected annual revenue leakage through declining repeat business and escalating OTA commissions. The convergence of service inconsistencies (22-minute check-ins), product deterioration (18% room audit failures), and feedback system collapse (60% unresolved complaints) has created a self-reinforcing cycle of negative sentiment—where each unresolved "stained carpet" complaint (Sam, May 2023) or "aggressive staff" encounter (Robert, Jun 2023) amplifies reputational damage across digital channels.</w:t>
      </w:r>
    </w:p>
    <w:p w14:paraId="34B7E126" w14:textId="77777777" w:rsidR="00474347" w:rsidRPr="009B4DAA" w:rsidRDefault="00474347" w:rsidP="00474347">
      <w:pPr>
        <w:spacing w:line="360" w:lineRule="auto"/>
        <w:rPr>
          <w:lang w:val="en-GB"/>
        </w:rPr>
      </w:pPr>
      <w:r w:rsidRPr="009B4DAA">
        <w:rPr>
          <w:lang w:val="en-GB"/>
        </w:rPr>
        <w:lastRenderedPageBreak/>
        <w:t xml:space="preserve">Yet this analysis reveals a demonstrable path to recovery through targeted interventions </w:t>
      </w:r>
      <w:proofErr w:type="spellStart"/>
      <w:r w:rsidRPr="009B4DAA">
        <w:rPr>
          <w:lang w:val="en-GB"/>
        </w:rPr>
        <w:t>totaling</w:t>
      </w:r>
      <w:proofErr w:type="spellEnd"/>
      <w:r w:rsidRPr="009B4DAA">
        <w:rPr>
          <w:lang w:val="en-GB"/>
        </w:rPr>
        <w:t xml:space="preserve"> £55,000 in Year 1 investment—less than 2% of annual revenue. Implementing the prescribed action plan—anchored in VR-driven service empowerment (£12,000), therapeutic room upgrades (£18,000), and AI-powered feedback kiosks (£20,000)—can reverse negative momentum within measurable timeframes: 90% same-shift complaint resolution by Month 3, 95% cleanliness audit pass rates by Month 6, and staff turnover reduction to 25% within 12 months. Critically, these operational fixes activate latent competitive advantages—the racecourse adjacency attracting 280,000 annual visitors, Hilton Honors’ 200-million-member ecosystem, and Senior Architectural Systems’ panoramic-view infrastructure—transforming them into satisfaction drivers. Financial </w:t>
      </w:r>
      <w:proofErr w:type="spellStart"/>
      <w:r w:rsidRPr="009B4DAA">
        <w:rPr>
          <w:lang w:val="en-GB"/>
        </w:rPr>
        <w:t>modeling</w:t>
      </w:r>
      <w:proofErr w:type="spellEnd"/>
      <w:r w:rsidRPr="009B4DAA">
        <w:rPr>
          <w:lang w:val="en-GB"/>
        </w:rPr>
        <w:t xml:space="preserve"> confirms an 8.3-month breakeven horizon, with £142,000 annual ROI achievable through 12% occupancy growth and 8% direct booking conversion uplift.</w:t>
      </w:r>
    </w:p>
    <w:p w14:paraId="0D454833" w14:textId="77777777" w:rsidR="00474347" w:rsidRPr="009B4DAA" w:rsidRDefault="00474347" w:rsidP="00474347">
      <w:pPr>
        <w:spacing w:line="360" w:lineRule="auto"/>
        <w:rPr>
          <w:lang w:val="en-GB"/>
        </w:rPr>
      </w:pPr>
      <w:r w:rsidRPr="009B4DAA">
        <w:rPr>
          <w:lang w:val="en-GB"/>
        </w:rPr>
        <w:t xml:space="preserve">Radu Hospitality Solutions emphasizes that success hinges on disciplined execution of the integrated change roadmap—particularly Kotter’s "unfreezing" tactics like public resolution dashboards and Lewin’s empowerment protocols. We reaffirm our commitment to partnership beyond this report through three concrete support channels: </w:t>
      </w:r>
      <w:r w:rsidRPr="009B4DAA">
        <w:rPr>
          <w:b/>
          <w:bCs/>
          <w:lang w:val="en-GB"/>
        </w:rPr>
        <w:t>Implementation Sprint Team</w:t>
      </w:r>
      <w:r w:rsidRPr="009B4DAA">
        <w:rPr>
          <w:lang w:val="en-GB"/>
        </w:rPr>
        <w:t xml:space="preserve">: On-site deployment of our certified change managers for the first 90 days to establish SLAs and troubleshoot SynXis rostering integration; </w:t>
      </w:r>
      <w:r w:rsidRPr="009B4DAA">
        <w:rPr>
          <w:b/>
          <w:bCs/>
          <w:lang w:val="en-GB"/>
        </w:rPr>
        <w:t>Training Embedded Warranty</w:t>
      </w:r>
      <w:r w:rsidRPr="009B4DAA">
        <w:rPr>
          <w:lang w:val="en-GB"/>
        </w:rPr>
        <w:t>: Complimentary re-delivery of VR service modules if Month 3 mystery shopper scores fall below 85%;  </w:t>
      </w:r>
      <w:r w:rsidRPr="009B4DAA">
        <w:rPr>
          <w:b/>
          <w:bCs/>
          <w:lang w:val="en-GB"/>
        </w:rPr>
        <w:t>Bi-Quarterly Health Checks</w:t>
      </w:r>
      <w:r w:rsidRPr="009B4DAA">
        <w:rPr>
          <w:lang w:val="en-GB"/>
        </w:rPr>
        <w:t>: Audits of Medallia CSAT data and TripAdvisor sentiment trends through 2026. The time for decisive action is now—before peak racing season amplifies service gaps—and we stand ready to steward this transformation from diagnosis to sustained excellence.</w:t>
      </w:r>
    </w:p>
    <w:p w14:paraId="35EF7464" w14:textId="77777777" w:rsidR="00474347" w:rsidRPr="009B4DAA" w:rsidRDefault="00474347" w:rsidP="00474347">
      <w:pPr>
        <w:spacing w:line="360" w:lineRule="auto"/>
      </w:pPr>
    </w:p>
    <w:p w14:paraId="3E50EC15" w14:textId="77777777" w:rsidR="00474347" w:rsidRPr="00474347" w:rsidRDefault="00474347" w:rsidP="00474347">
      <w:pPr>
        <w:pStyle w:val="Heading1"/>
        <w:spacing w:line="360" w:lineRule="auto"/>
        <w:rPr>
          <w:rFonts w:ascii="Times New Roman" w:hAnsi="Times New Roman" w:cs="Times New Roman"/>
        </w:rPr>
      </w:pPr>
      <w:r w:rsidRPr="00474347">
        <w:rPr>
          <w:rFonts w:ascii="Times New Roman" w:hAnsi="Times New Roman" w:cs="Times New Roman"/>
        </w:rPr>
        <w:t>Reference List</w:t>
      </w:r>
      <w:bookmarkEnd w:id="6"/>
    </w:p>
    <w:p w14:paraId="417DAD9B"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Anderson, E. W., Fornell, C., &amp; Lehmann, D. R. (1994) ‘Customer satisfaction, market share, and profitability: Findings from Sweden’, </w:t>
      </w:r>
      <w:r w:rsidRPr="00F37E43">
        <w:rPr>
          <w:rFonts w:ascii="Times New Roman" w:hAnsi="Times New Roman" w:cs="Times New Roman"/>
          <w:i/>
          <w:iCs/>
          <w:sz w:val="24"/>
          <w:szCs w:val="24"/>
          <w:lang w:val="en-GB"/>
        </w:rPr>
        <w:t>Journal of Marketing</w:t>
      </w:r>
      <w:r w:rsidRPr="00F37E43">
        <w:rPr>
          <w:rFonts w:ascii="Times New Roman" w:hAnsi="Times New Roman" w:cs="Times New Roman"/>
          <w:sz w:val="24"/>
          <w:szCs w:val="24"/>
          <w:lang w:val="en-GB"/>
        </w:rPr>
        <w:t>, 58(3), pp. 53–66.</w:t>
      </w:r>
    </w:p>
    <w:p w14:paraId="0D79F432"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Anderson, R. E. &amp; Srinivasan, S. S. (2003) ‘E-satisfaction and e-loyalty: A contingency framework’, </w:t>
      </w:r>
      <w:r w:rsidRPr="00F37E43">
        <w:rPr>
          <w:rFonts w:ascii="Times New Roman" w:hAnsi="Times New Roman" w:cs="Times New Roman"/>
          <w:i/>
          <w:iCs/>
          <w:sz w:val="24"/>
          <w:szCs w:val="24"/>
          <w:lang w:val="en-GB"/>
        </w:rPr>
        <w:t>Psychology &amp; Marketing</w:t>
      </w:r>
      <w:r w:rsidRPr="00F37E43">
        <w:rPr>
          <w:rFonts w:ascii="Times New Roman" w:hAnsi="Times New Roman" w:cs="Times New Roman"/>
          <w:sz w:val="24"/>
          <w:szCs w:val="24"/>
          <w:lang w:val="en-GB"/>
        </w:rPr>
        <w:t>, 20(2), pp. 123–138.</w:t>
      </w:r>
    </w:p>
    <w:p w14:paraId="1A99D053"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Bardi, J. A. &amp; PPP. (2015) </w:t>
      </w:r>
      <w:r w:rsidRPr="00F37E43">
        <w:rPr>
          <w:rFonts w:ascii="Times New Roman" w:hAnsi="Times New Roman" w:cs="Times New Roman"/>
          <w:i/>
          <w:iCs/>
          <w:sz w:val="24"/>
          <w:szCs w:val="24"/>
          <w:lang w:val="en-GB"/>
        </w:rPr>
        <w:t>Hospitality Management and Organizational Behaviour</w:t>
      </w:r>
      <w:r w:rsidRPr="00F37E43">
        <w:rPr>
          <w:rFonts w:ascii="Times New Roman" w:hAnsi="Times New Roman" w:cs="Times New Roman"/>
          <w:sz w:val="24"/>
          <w:szCs w:val="24"/>
          <w:lang w:val="en-GB"/>
        </w:rPr>
        <w:t xml:space="preserve">, 3rd </w:t>
      </w:r>
      <w:proofErr w:type="spellStart"/>
      <w:r w:rsidRPr="00F37E43">
        <w:rPr>
          <w:rFonts w:ascii="Times New Roman" w:hAnsi="Times New Roman" w:cs="Times New Roman"/>
          <w:sz w:val="24"/>
          <w:szCs w:val="24"/>
          <w:lang w:val="en-GB"/>
        </w:rPr>
        <w:t>edn</w:t>
      </w:r>
      <w:proofErr w:type="spellEnd"/>
      <w:r w:rsidRPr="00F37E43">
        <w:rPr>
          <w:rFonts w:ascii="Times New Roman" w:hAnsi="Times New Roman" w:cs="Times New Roman"/>
          <w:sz w:val="24"/>
          <w:szCs w:val="24"/>
          <w:lang w:val="en-GB"/>
        </w:rPr>
        <w:t>. London: Routledge.</w:t>
      </w:r>
    </w:p>
    <w:p w14:paraId="19D9AF6F"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lastRenderedPageBreak/>
        <w:t xml:space="preserve">Baum, T. (2015) ‘Human resources in tourism: Still waiting for change? — A 2015 reprise’, </w:t>
      </w:r>
      <w:r w:rsidRPr="00F37E43">
        <w:rPr>
          <w:rFonts w:ascii="Times New Roman" w:hAnsi="Times New Roman" w:cs="Times New Roman"/>
          <w:i/>
          <w:iCs/>
          <w:sz w:val="24"/>
          <w:szCs w:val="24"/>
          <w:lang w:val="en-GB"/>
        </w:rPr>
        <w:t>Tourism Management</w:t>
      </w:r>
      <w:r w:rsidRPr="00F37E43">
        <w:rPr>
          <w:rFonts w:ascii="Times New Roman" w:hAnsi="Times New Roman" w:cs="Times New Roman"/>
          <w:sz w:val="24"/>
          <w:szCs w:val="24"/>
          <w:lang w:val="en-GB"/>
        </w:rPr>
        <w:t>, 50, pp. 204–212.</w:t>
      </w:r>
    </w:p>
    <w:p w14:paraId="4F2C0067"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Berry, L. L. (1995) ‘Relationship marketing of services—Growing interest, emerging perspectives’, </w:t>
      </w:r>
      <w:r w:rsidRPr="00F37E43">
        <w:rPr>
          <w:rFonts w:ascii="Times New Roman" w:hAnsi="Times New Roman" w:cs="Times New Roman"/>
          <w:i/>
          <w:iCs/>
          <w:sz w:val="24"/>
          <w:szCs w:val="24"/>
          <w:lang w:val="en-GB"/>
        </w:rPr>
        <w:t>Journal of the Academy of Marketing Science</w:t>
      </w:r>
      <w:r w:rsidRPr="00F37E43">
        <w:rPr>
          <w:rFonts w:ascii="Times New Roman" w:hAnsi="Times New Roman" w:cs="Times New Roman"/>
          <w:sz w:val="24"/>
          <w:szCs w:val="24"/>
          <w:lang w:val="en-GB"/>
        </w:rPr>
        <w:t>, 23(4), pp. 236–245.</w:t>
      </w:r>
    </w:p>
    <w:p w14:paraId="66184968"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Bowen, J. &amp; Ford, R. C. (2004) ‘Managing service organizations: Does having a “thing” make a difference?’, </w:t>
      </w:r>
      <w:r w:rsidRPr="00F37E43">
        <w:rPr>
          <w:rFonts w:ascii="Times New Roman" w:hAnsi="Times New Roman" w:cs="Times New Roman"/>
          <w:i/>
          <w:iCs/>
          <w:sz w:val="24"/>
          <w:szCs w:val="24"/>
          <w:lang w:val="en-GB"/>
        </w:rPr>
        <w:t>Journal of Management</w:t>
      </w:r>
      <w:r w:rsidRPr="00F37E43">
        <w:rPr>
          <w:rFonts w:ascii="Times New Roman" w:hAnsi="Times New Roman" w:cs="Times New Roman"/>
          <w:sz w:val="24"/>
          <w:szCs w:val="24"/>
          <w:lang w:val="en-GB"/>
        </w:rPr>
        <w:t>, 30(2), pp. 229–254.</w:t>
      </w:r>
    </w:p>
    <w:p w14:paraId="4CC4FA64"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Chen, C.-F. &amp; Chen, F.-S. (2018) ‘Experience quality, perceived value, satisfaction and </w:t>
      </w:r>
      <w:proofErr w:type="spellStart"/>
      <w:r w:rsidRPr="00F37E43">
        <w:rPr>
          <w:rFonts w:ascii="Times New Roman" w:hAnsi="Times New Roman" w:cs="Times New Roman"/>
          <w:sz w:val="24"/>
          <w:szCs w:val="24"/>
          <w:lang w:val="en-GB"/>
        </w:rPr>
        <w:t>behavioral</w:t>
      </w:r>
      <w:proofErr w:type="spellEnd"/>
      <w:r w:rsidRPr="00F37E43">
        <w:rPr>
          <w:rFonts w:ascii="Times New Roman" w:hAnsi="Times New Roman" w:cs="Times New Roman"/>
          <w:sz w:val="24"/>
          <w:szCs w:val="24"/>
          <w:lang w:val="en-GB"/>
        </w:rPr>
        <w:t xml:space="preserve"> intentions for heritage tourists’, </w:t>
      </w:r>
      <w:r w:rsidRPr="00F37E43">
        <w:rPr>
          <w:rFonts w:ascii="Times New Roman" w:hAnsi="Times New Roman" w:cs="Times New Roman"/>
          <w:i/>
          <w:iCs/>
          <w:sz w:val="24"/>
          <w:szCs w:val="24"/>
          <w:lang w:val="en-GB"/>
        </w:rPr>
        <w:t>Tourism Management</w:t>
      </w:r>
      <w:r w:rsidRPr="00F37E43">
        <w:rPr>
          <w:rFonts w:ascii="Times New Roman" w:hAnsi="Times New Roman" w:cs="Times New Roman"/>
          <w:sz w:val="24"/>
          <w:szCs w:val="24"/>
          <w:lang w:val="en-GB"/>
        </w:rPr>
        <w:t>, 65, pp. 411–424.</w:t>
      </w:r>
    </w:p>
    <w:p w14:paraId="3BC69F7A"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Chowdhary, N. &amp; Prakash, M. (2007) ‘Prioritizing service quality dimensions’, </w:t>
      </w:r>
      <w:r w:rsidRPr="00F37E43">
        <w:rPr>
          <w:rFonts w:ascii="Times New Roman" w:hAnsi="Times New Roman" w:cs="Times New Roman"/>
          <w:i/>
          <w:iCs/>
          <w:sz w:val="24"/>
          <w:szCs w:val="24"/>
          <w:lang w:val="en-GB"/>
        </w:rPr>
        <w:t>International Journal of Quality &amp; Reliability Management</w:t>
      </w:r>
      <w:r w:rsidRPr="00F37E43">
        <w:rPr>
          <w:rFonts w:ascii="Times New Roman" w:hAnsi="Times New Roman" w:cs="Times New Roman"/>
          <w:sz w:val="24"/>
          <w:szCs w:val="24"/>
          <w:lang w:val="en-GB"/>
        </w:rPr>
        <w:t>, 24(6), pp. 617–631.</w:t>
      </w:r>
    </w:p>
    <w:p w14:paraId="4DE0DA4B"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Cohen, E. &amp; Cohen, S. A. (2019) ‘The future of tourism: Value, sustainability and digital transformation’, </w:t>
      </w:r>
      <w:r w:rsidRPr="00F37E43">
        <w:rPr>
          <w:rFonts w:ascii="Times New Roman" w:hAnsi="Times New Roman" w:cs="Times New Roman"/>
          <w:i/>
          <w:iCs/>
          <w:sz w:val="24"/>
          <w:szCs w:val="24"/>
          <w:lang w:val="en-GB"/>
        </w:rPr>
        <w:t>Current Issues in Tourism</w:t>
      </w:r>
      <w:r w:rsidRPr="00F37E43">
        <w:rPr>
          <w:rFonts w:ascii="Times New Roman" w:hAnsi="Times New Roman" w:cs="Times New Roman"/>
          <w:sz w:val="24"/>
          <w:szCs w:val="24"/>
          <w:lang w:val="en-GB"/>
        </w:rPr>
        <w:t>, 22(17), pp. 2156–2169.</w:t>
      </w:r>
    </w:p>
    <w:p w14:paraId="46235A52"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Collier, J. E. &amp; Bienstock, C. C. (2006) ‘Measuring service quality in e-retailing’, </w:t>
      </w:r>
      <w:r w:rsidRPr="00F37E43">
        <w:rPr>
          <w:rFonts w:ascii="Times New Roman" w:hAnsi="Times New Roman" w:cs="Times New Roman"/>
          <w:i/>
          <w:iCs/>
          <w:sz w:val="24"/>
          <w:szCs w:val="24"/>
          <w:lang w:val="en-GB"/>
        </w:rPr>
        <w:t>Journal of Services Marketing</w:t>
      </w:r>
      <w:r w:rsidRPr="00F37E43">
        <w:rPr>
          <w:rFonts w:ascii="Times New Roman" w:hAnsi="Times New Roman" w:cs="Times New Roman"/>
          <w:sz w:val="24"/>
          <w:szCs w:val="24"/>
          <w:lang w:val="en-GB"/>
        </w:rPr>
        <w:t>, 20(2), pp. 120–131.</w:t>
      </w:r>
    </w:p>
    <w:p w14:paraId="554CC4EB"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Contreras-Castillo, J. et al. (2019) ‘Employee satisfaction, work engagement and behavioural outcomes: A reality in hotel organisations’, </w:t>
      </w:r>
      <w:r w:rsidRPr="00F37E43">
        <w:rPr>
          <w:rFonts w:ascii="Times New Roman" w:hAnsi="Times New Roman" w:cs="Times New Roman"/>
          <w:i/>
          <w:iCs/>
          <w:sz w:val="24"/>
          <w:szCs w:val="24"/>
          <w:lang w:val="en-GB"/>
        </w:rPr>
        <w:t>International Journal of Hospitality Management</w:t>
      </w:r>
      <w:r w:rsidRPr="00F37E43">
        <w:rPr>
          <w:rFonts w:ascii="Times New Roman" w:hAnsi="Times New Roman" w:cs="Times New Roman"/>
          <w:sz w:val="24"/>
          <w:szCs w:val="24"/>
          <w:lang w:val="en-GB"/>
        </w:rPr>
        <w:t>, 76, pp. 102–110.</w:t>
      </w:r>
    </w:p>
    <w:p w14:paraId="7D2B4FFF"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Davis, B. &amp; Wilson, R. (2000) ‘Service quality in food retailing: The missing link’, </w:t>
      </w:r>
      <w:r w:rsidRPr="00F37E43">
        <w:rPr>
          <w:rFonts w:ascii="Times New Roman" w:hAnsi="Times New Roman" w:cs="Times New Roman"/>
          <w:i/>
          <w:iCs/>
          <w:sz w:val="24"/>
          <w:szCs w:val="24"/>
          <w:lang w:val="en-GB"/>
        </w:rPr>
        <w:t>International Journal of Retail &amp; Distribution Management</w:t>
      </w:r>
      <w:r w:rsidRPr="00F37E43">
        <w:rPr>
          <w:rFonts w:ascii="Times New Roman" w:hAnsi="Times New Roman" w:cs="Times New Roman"/>
          <w:sz w:val="24"/>
          <w:szCs w:val="24"/>
          <w:lang w:val="en-GB"/>
        </w:rPr>
        <w:t>, 28(12), pp. 570–583.</w:t>
      </w:r>
    </w:p>
    <w:p w14:paraId="01A8E7AC"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Dolnicar</w:t>
      </w:r>
      <w:proofErr w:type="spellEnd"/>
      <w:r w:rsidRPr="00F37E43">
        <w:rPr>
          <w:rFonts w:ascii="Times New Roman" w:hAnsi="Times New Roman" w:cs="Times New Roman"/>
          <w:sz w:val="24"/>
          <w:szCs w:val="24"/>
          <w:lang w:val="en-GB"/>
        </w:rPr>
        <w:t xml:space="preserve">, S. &amp; Grün, B. (2007) ‘Measuring service quality in the hotel industry’, </w:t>
      </w:r>
      <w:r w:rsidRPr="00F37E43">
        <w:rPr>
          <w:rFonts w:ascii="Times New Roman" w:hAnsi="Times New Roman" w:cs="Times New Roman"/>
          <w:i/>
          <w:iCs/>
          <w:sz w:val="24"/>
          <w:szCs w:val="24"/>
          <w:lang w:val="en-GB"/>
        </w:rPr>
        <w:t>Journal of Travel Research</w:t>
      </w:r>
      <w:r w:rsidRPr="00F37E43">
        <w:rPr>
          <w:rFonts w:ascii="Times New Roman" w:hAnsi="Times New Roman" w:cs="Times New Roman"/>
          <w:sz w:val="24"/>
          <w:szCs w:val="24"/>
          <w:lang w:val="en-GB"/>
        </w:rPr>
        <w:t>, 46(1), pp. 99–103.</w:t>
      </w:r>
    </w:p>
    <w:p w14:paraId="47CC52AD"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Fisk, R. P. et al. (2004) </w:t>
      </w:r>
      <w:r w:rsidRPr="00F37E43">
        <w:rPr>
          <w:rFonts w:ascii="Times New Roman" w:hAnsi="Times New Roman" w:cs="Times New Roman"/>
          <w:i/>
          <w:iCs/>
          <w:sz w:val="24"/>
          <w:szCs w:val="24"/>
          <w:lang w:val="en-GB"/>
        </w:rPr>
        <w:t>SERVQUAL and Beyond: A Better Measure of Service Quality?</w:t>
      </w:r>
      <w:r w:rsidRPr="00F37E43">
        <w:rPr>
          <w:rFonts w:ascii="Times New Roman" w:hAnsi="Times New Roman" w:cs="Times New Roman"/>
          <w:sz w:val="24"/>
          <w:szCs w:val="24"/>
          <w:lang w:val="en-GB"/>
        </w:rPr>
        <w:t xml:space="preserve"> Academy of Marketing Science Journal.</w:t>
      </w:r>
    </w:p>
    <w:p w14:paraId="048CA29A"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Gilmore, A. &amp; Carson, D. (1996) ‘Marketing orientation in a multiple stakeholder orientation context: Implications for service quality in health care’, </w:t>
      </w:r>
      <w:r w:rsidRPr="00F37E43">
        <w:rPr>
          <w:rFonts w:ascii="Times New Roman" w:hAnsi="Times New Roman" w:cs="Times New Roman"/>
          <w:i/>
          <w:iCs/>
          <w:sz w:val="24"/>
          <w:szCs w:val="24"/>
          <w:lang w:val="en-GB"/>
        </w:rPr>
        <w:t>European Journal of Marketing</w:t>
      </w:r>
      <w:r w:rsidRPr="00F37E43">
        <w:rPr>
          <w:rFonts w:ascii="Times New Roman" w:hAnsi="Times New Roman" w:cs="Times New Roman"/>
          <w:sz w:val="24"/>
          <w:szCs w:val="24"/>
          <w:lang w:val="en-GB"/>
        </w:rPr>
        <w:t>, 30(8), pp. 63–74.</w:t>
      </w:r>
    </w:p>
    <w:p w14:paraId="22468E2B"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lastRenderedPageBreak/>
        <w:t xml:space="preserve">Gummesson, E. (2008) ‘Total relationship marketing: Marketing strategy moving relationally’, </w:t>
      </w:r>
      <w:r w:rsidRPr="00F37E43">
        <w:rPr>
          <w:rFonts w:ascii="Times New Roman" w:hAnsi="Times New Roman" w:cs="Times New Roman"/>
          <w:i/>
          <w:iCs/>
          <w:sz w:val="24"/>
          <w:szCs w:val="24"/>
          <w:lang w:val="en-GB"/>
        </w:rPr>
        <w:t>European Business Review</w:t>
      </w:r>
      <w:r w:rsidRPr="00F37E43">
        <w:rPr>
          <w:rFonts w:ascii="Times New Roman" w:hAnsi="Times New Roman" w:cs="Times New Roman"/>
          <w:sz w:val="24"/>
          <w:szCs w:val="24"/>
          <w:lang w:val="en-GB"/>
        </w:rPr>
        <w:t>, 20(4), pp. 373–381.</w:t>
      </w:r>
    </w:p>
    <w:p w14:paraId="07C8BF26"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Hallowell, R. (1996) ‘The relationships of customer satisfaction, customer loyalty, and profitability: An empirical study’, </w:t>
      </w:r>
      <w:r w:rsidRPr="00F37E43">
        <w:rPr>
          <w:rFonts w:ascii="Times New Roman" w:hAnsi="Times New Roman" w:cs="Times New Roman"/>
          <w:i/>
          <w:iCs/>
          <w:sz w:val="24"/>
          <w:szCs w:val="24"/>
          <w:lang w:val="en-GB"/>
        </w:rPr>
        <w:t>International Journal of Service Industry Management</w:t>
      </w:r>
      <w:r w:rsidRPr="00F37E43">
        <w:rPr>
          <w:rFonts w:ascii="Times New Roman" w:hAnsi="Times New Roman" w:cs="Times New Roman"/>
          <w:sz w:val="24"/>
          <w:szCs w:val="24"/>
          <w:lang w:val="en-GB"/>
        </w:rPr>
        <w:t>, 7(4), pp. 27–42.</w:t>
      </w:r>
    </w:p>
    <w:p w14:paraId="3B59B8C5"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Henderson, J. C. (2007) ‘Corporate social responsibility and tourism’, </w:t>
      </w:r>
      <w:r w:rsidRPr="00F37E43">
        <w:rPr>
          <w:rFonts w:ascii="Times New Roman" w:hAnsi="Times New Roman" w:cs="Times New Roman"/>
          <w:i/>
          <w:iCs/>
          <w:sz w:val="24"/>
          <w:szCs w:val="24"/>
          <w:lang w:val="en-GB"/>
        </w:rPr>
        <w:t>Journal of Hospitality and Tourism Management</w:t>
      </w:r>
      <w:r w:rsidRPr="00F37E43">
        <w:rPr>
          <w:rFonts w:ascii="Times New Roman" w:hAnsi="Times New Roman" w:cs="Times New Roman"/>
          <w:sz w:val="24"/>
          <w:szCs w:val="24"/>
          <w:lang w:val="en-GB"/>
        </w:rPr>
        <w:t>, 14(4), pp. 201–202.</w:t>
      </w:r>
    </w:p>
    <w:p w14:paraId="7C123E98"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Hobson, J. S. P. &amp; Soto-Acosta, P. (2012) ‘The impact of organisational culture on knowledge transfer processes in multinationals’, </w:t>
      </w:r>
      <w:r w:rsidRPr="00F37E43">
        <w:rPr>
          <w:rFonts w:ascii="Times New Roman" w:hAnsi="Times New Roman" w:cs="Times New Roman"/>
          <w:i/>
          <w:iCs/>
          <w:sz w:val="24"/>
          <w:szCs w:val="24"/>
          <w:lang w:val="en-GB"/>
        </w:rPr>
        <w:t>International Business Review</w:t>
      </w:r>
      <w:r w:rsidRPr="00F37E43">
        <w:rPr>
          <w:rFonts w:ascii="Times New Roman" w:hAnsi="Times New Roman" w:cs="Times New Roman"/>
          <w:sz w:val="24"/>
          <w:szCs w:val="24"/>
          <w:lang w:val="en-GB"/>
        </w:rPr>
        <w:t>, 21(3), pp. 357–370.</w:t>
      </w:r>
    </w:p>
    <w:p w14:paraId="62F85609"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Horovitz, P. &amp; Iacobucci, D. (2009) ‘Points of error: Use of TOWS and SWOT in marketing’, </w:t>
      </w:r>
      <w:r w:rsidRPr="00F37E43">
        <w:rPr>
          <w:rFonts w:ascii="Times New Roman" w:hAnsi="Times New Roman" w:cs="Times New Roman"/>
          <w:i/>
          <w:iCs/>
          <w:sz w:val="24"/>
          <w:szCs w:val="24"/>
          <w:lang w:val="en-GB"/>
        </w:rPr>
        <w:t>Marketing Management Journal</w:t>
      </w:r>
      <w:r w:rsidRPr="00F37E43">
        <w:rPr>
          <w:rFonts w:ascii="Times New Roman" w:hAnsi="Times New Roman" w:cs="Times New Roman"/>
          <w:sz w:val="24"/>
          <w:szCs w:val="24"/>
          <w:lang w:val="en-GB"/>
        </w:rPr>
        <w:t>, 19(2), pp. 123–135.</w:t>
      </w:r>
    </w:p>
    <w:p w14:paraId="6C098B2E"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Johnson, G., Scholes, K. &amp; Whittington, R. (2008) </w:t>
      </w:r>
      <w:r w:rsidRPr="00F37E43">
        <w:rPr>
          <w:rFonts w:ascii="Times New Roman" w:hAnsi="Times New Roman" w:cs="Times New Roman"/>
          <w:i/>
          <w:iCs/>
          <w:sz w:val="24"/>
          <w:szCs w:val="24"/>
          <w:lang w:val="en-GB"/>
        </w:rPr>
        <w:t>Exploring Corporate Strategy: Text &amp; Cases</w:t>
      </w:r>
      <w:r w:rsidRPr="00F37E43">
        <w:rPr>
          <w:rFonts w:ascii="Times New Roman" w:hAnsi="Times New Roman" w:cs="Times New Roman"/>
          <w:sz w:val="24"/>
          <w:szCs w:val="24"/>
          <w:lang w:val="en-GB"/>
        </w:rPr>
        <w:t xml:space="preserve">, 8th </w:t>
      </w:r>
      <w:proofErr w:type="spellStart"/>
      <w:r w:rsidRPr="00F37E43">
        <w:rPr>
          <w:rFonts w:ascii="Times New Roman" w:hAnsi="Times New Roman" w:cs="Times New Roman"/>
          <w:sz w:val="24"/>
          <w:szCs w:val="24"/>
          <w:lang w:val="en-GB"/>
        </w:rPr>
        <w:t>edn</w:t>
      </w:r>
      <w:proofErr w:type="spellEnd"/>
      <w:r w:rsidRPr="00F37E43">
        <w:rPr>
          <w:rFonts w:ascii="Times New Roman" w:hAnsi="Times New Roman" w:cs="Times New Roman"/>
          <w:sz w:val="24"/>
          <w:szCs w:val="24"/>
          <w:lang w:val="en-GB"/>
        </w:rPr>
        <w:t>. London: Prentice Hall.</w:t>
      </w:r>
    </w:p>
    <w:p w14:paraId="452D63D7"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Kandampully</w:t>
      </w:r>
      <w:proofErr w:type="spellEnd"/>
      <w:r w:rsidRPr="00F37E43">
        <w:rPr>
          <w:rFonts w:ascii="Times New Roman" w:hAnsi="Times New Roman" w:cs="Times New Roman"/>
          <w:sz w:val="24"/>
          <w:szCs w:val="24"/>
          <w:lang w:val="en-GB"/>
        </w:rPr>
        <w:t xml:space="preserve">, J. (2002) ‘Innovation as the core competency of a service organisation: The role of technology, knowledge and networks’, </w:t>
      </w:r>
      <w:r w:rsidRPr="00F37E43">
        <w:rPr>
          <w:rFonts w:ascii="Times New Roman" w:hAnsi="Times New Roman" w:cs="Times New Roman"/>
          <w:i/>
          <w:iCs/>
          <w:sz w:val="24"/>
          <w:szCs w:val="24"/>
          <w:lang w:val="en-GB"/>
        </w:rPr>
        <w:t>European Journal of Innovation Management</w:t>
      </w:r>
      <w:r w:rsidRPr="00F37E43">
        <w:rPr>
          <w:rFonts w:ascii="Times New Roman" w:hAnsi="Times New Roman" w:cs="Times New Roman"/>
          <w:sz w:val="24"/>
          <w:szCs w:val="24"/>
          <w:lang w:val="en-GB"/>
        </w:rPr>
        <w:t>, 5(1), pp. 18–26.</w:t>
      </w:r>
    </w:p>
    <w:p w14:paraId="795BF9F5"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Kotter, J. P. (1996) </w:t>
      </w:r>
      <w:r w:rsidRPr="00F37E43">
        <w:rPr>
          <w:rFonts w:ascii="Times New Roman" w:hAnsi="Times New Roman" w:cs="Times New Roman"/>
          <w:i/>
          <w:iCs/>
          <w:sz w:val="24"/>
          <w:szCs w:val="24"/>
          <w:lang w:val="en-GB"/>
        </w:rPr>
        <w:t>Leading Change</w:t>
      </w:r>
      <w:r w:rsidRPr="00F37E43">
        <w:rPr>
          <w:rFonts w:ascii="Times New Roman" w:hAnsi="Times New Roman" w:cs="Times New Roman"/>
          <w:sz w:val="24"/>
          <w:szCs w:val="24"/>
          <w:lang w:val="en-GB"/>
        </w:rPr>
        <w:t>. Boston, MA: Harvard Business School Press.</w:t>
      </w:r>
    </w:p>
    <w:p w14:paraId="58911773"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Krippendorff</w:t>
      </w:r>
      <w:proofErr w:type="spellEnd"/>
      <w:r w:rsidRPr="00F37E43">
        <w:rPr>
          <w:rFonts w:ascii="Times New Roman" w:hAnsi="Times New Roman" w:cs="Times New Roman"/>
          <w:sz w:val="24"/>
          <w:szCs w:val="24"/>
          <w:lang w:val="en-GB"/>
        </w:rPr>
        <w:t xml:space="preserve">, K. (2013) </w:t>
      </w:r>
      <w:r w:rsidRPr="00F37E43">
        <w:rPr>
          <w:rFonts w:ascii="Times New Roman" w:hAnsi="Times New Roman" w:cs="Times New Roman"/>
          <w:i/>
          <w:iCs/>
          <w:sz w:val="24"/>
          <w:szCs w:val="24"/>
          <w:lang w:val="en-GB"/>
        </w:rPr>
        <w:t>Content Analysis: An Introduction to Its Methodology</w:t>
      </w:r>
      <w:r w:rsidRPr="00F37E43">
        <w:rPr>
          <w:rFonts w:ascii="Times New Roman" w:hAnsi="Times New Roman" w:cs="Times New Roman"/>
          <w:sz w:val="24"/>
          <w:szCs w:val="24"/>
          <w:lang w:val="en-GB"/>
        </w:rPr>
        <w:t xml:space="preserve">, 3rd </w:t>
      </w:r>
      <w:proofErr w:type="spellStart"/>
      <w:r w:rsidRPr="00F37E43">
        <w:rPr>
          <w:rFonts w:ascii="Times New Roman" w:hAnsi="Times New Roman" w:cs="Times New Roman"/>
          <w:sz w:val="24"/>
          <w:szCs w:val="24"/>
          <w:lang w:val="en-GB"/>
        </w:rPr>
        <w:t>edn</w:t>
      </w:r>
      <w:proofErr w:type="spellEnd"/>
      <w:r w:rsidRPr="00F37E43">
        <w:rPr>
          <w:rFonts w:ascii="Times New Roman" w:hAnsi="Times New Roman" w:cs="Times New Roman"/>
          <w:sz w:val="24"/>
          <w:szCs w:val="24"/>
          <w:lang w:val="en-GB"/>
        </w:rPr>
        <w:t>. London: Sage.</w:t>
      </w:r>
    </w:p>
    <w:p w14:paraId="513D82E6"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Li, E., Zhang, H. Q. &amp; Ye, B. H. (2018) ‘Enhancing employees’ satisfaction through interaction: frontline employees in hospitality’, </w:t>
      </w:r>
      <w:r w:rsidRPr="00F37E43">
        <w:rPr>
          <w:rFonts w:ascii="Times New Roman" w:hAnsi="Times New Roman" w:cs="Times New Roman"/>
          <w:i/>
          <w:iCs/>
          <w:sz w:val="24"/>
          <w:szCs w:val="24"/>
          <w:lang w:val="en-GB"/>
        </w:rPr>
        <w:t>International Journal of Hospitality Management</w:t>
      </w:r>
      <w:r w:rsidRPr="00F37E43">
        <w:rPr>
          <w:rFonts w:ascii="Times New Roman" w:hAnsi="Times New Roman" w:cs="Times New Roman"/>
          <w:sz w:val="24"/>
          <w:szCs w:val="24"/>
          <w:lang w:val="en-GB"/>
        </w:rPr>
        <w:t>, 71, pp. 23–33.</w:t>
      </w:r>
    </w:p>
    <w:p w14:paraId="3FD38F84"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Liu, Y. (2006) ‘Word-of-mouth for movies: Its impact on box office’, </w:t>
      </w:r>
      <w:r w:rsidRPr="00F37E43">
        <w:rPr>
          <w:rFonts w:ascii="Times New Roman" w:hAnsi="Times New Roman" w:cs="Times New Roman"/>
          <w:i/>
          <w:iCs/>
          <w:sz w:val="24"/>
          <w:szCs w:val="24"/>
          <w:lang w:val="en-GB"/>
        </w:rPr>
        <w:t>Journal of Marketing</w:t>
      </w:r>
      <w:r w:rsidRPr="00F37E43">
        <w:rPr>
          <w:rFonts w:ascii="Times New Roman" w:hAnsi="Times New Roman" w:cs="Times New Roman"/>
          <w:sz w:val="24"/>
          <w:szCs w:val="24"/>
          <w:lang w:val="en-GB"/>
        </w:rPr>
        <w:t>, 70(4), pp. 74–89.</w:t>
      </w:r>
    </w:p>
    <w:p w14:paraId="32358C40"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Loureiro, S. M. C. &amp; Kastenholz, E. (2011) ‘Sustainability and consumption: Influences of eco-labelling in consumer product choices’, </w:t>
      </w:r>
      <w:r w:rsidRPr="00F37E43">
        <w:rPr>
          <w:rFonts w:ascii="Times New Roman" w:hAnsi="Times New Roman" w:cs="Times New Roman"/>
          <w:i/>
          <w:iCs/>
          <w:sz w:val="24"/>
          <w:szCs w:val="24"/>
          <w:lang w:val="en-GB"/>
        </w:rPr>
        <w:t>International Journal of Consumer Studies</w:t>
      </w:r>
      <w:r w:rsidRPr="00F37E43">
        <w:rPr>
          <w:rFonts w:ascii="Times New Roman" w:hAnsi="Times New Roman" w:cs="Times New Roman"/>
          <w:sz w:val="24"/>
          <w:szCs w:val="24"/>
          <w:lang w:val="en-GB"/>
        </w:rPr>
        <w:t>, 35(4), pp. 371–380.</w:t>
      </w:r>
    </w:p>
    <w:p w14:paraId="4B525029"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lastRenderedPageBreak/>
        <w:t xml:space="preserve">Michelli, J. A. (2008) </w:t>
      </w:r>
      <w:r w:rsidRPr="00F37E43">
        <w:rPr>
          <w:rFonts w:ascii="Times New Roman" w:hAnsi="Times New Roman" w:cs="Times New Roman"/>
          <w:i/>
          <w:iCs/>
          <w:sz w:val="24"/>
          <w:szCs w:val="24"/>
          <w:lang w:val="en-GB"/>
        </w:rPr>
        <w:t>The New Gold Standard: 5 Leadership Principles for Creating a Legendary Customer Experience Courtesy of the Ritz-Carlton Hotel Company</w:t>
      </w:r>
      <w:r w:rsidRPr="00F37E43">
        <w:rPr>
          <w:rFonts w:ascii="Times New Roman" w:hAnsi="Times New Roman" w:cs="Times New Roman"/>
          <w:sz w:val="24"/>
          <w:szCs w:val="24"/>
          <w:lang w:val="en-GB"/>
        </w:rPr>
        <w:t>. New York: McGraw-Hill.</w:t>
      </w:r>
    </w:p>
    <w:p w14:paraId="2FDA17BA"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Parasuraman, A., Zeithaml, V. A. &amp; Berry, L. L. (1988) ‘SERVQUAL: A multiple-item scale for measuring consumer perceptions of service quality’, </w:t>
      </w:r>
      <w:r w:rsidRPr="00F37E43">
        <w:rPr>
          <w:rFonts w:ascii="Times New Roman" w:hAnsi="Times New Roman" w:cs="Times New Roman"/>
          <w:i/>
          <w:iCs/>
          <w:sz w:val="24"/>
          <w:szCs w:val="24"/>
          <w:lang w:val="en-GB"/>
        </w:rPr>
        <w:t>Journal of Retailing</w:t>
      </w:r>
      <w:r w:rsidRPr="00F37E43">
        <w:rPr>
          <w:rFonts w:ascii="Times New Roman" w:hAnsi="Times New Roman" w:cs="Times New Roman"/>
          <w:sz w:val="24"/>
          <w:szCs w:val="24"/>
          <w:lang w:val="en-GB"/>
        </w:rPr>
        <w:t>, 64(1), pp. 12–40.</w:t>
      </w:r>
    </w:p>
    <w:p w14:paraId="5CCD0473"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Patterson, P. G. &amp; Spreng, R. A. (1997) ‘Modelling the relationship between perceived value, satisfaction and repurchase intentions in a business-to-business, services context’, </w:t>
      </w:r>
      <w:r w:rsidRPr="00F37E43">
        <w:rPr>
          <w:rFonts w:ascii="Times New Roman" w:hAnsi="Times New Roman" w:cs="Times New Roman"/>
          <w:i/>
          <w:iCs/>
          <w:sz w:val="24"/>
          <w:szCs w:val="24"/>
          <w:lang w:val="en-GB"/>
        </w:rPr>
        <w:t>Industrial Marketing Management</w:t>
      </w:r>
      <w:r w:rsidRPr="00F37E43">
        <w:rPr>
          <w:rFonts w:ascii="Times New Roman" w:hAnsi="Times New Roman" w:cs="Times New Roman"/>
          <w:sz w:val="24"/>
          <w:szCs w:val="24"/>
          <w:lang w:val="en-GB"/>
        </w:rPr>
        <w:t>, 26(6), pp.  15–97.</w:t>
      </w:r>
    </w:p>
    <w:p w14:paraId="40308D5D"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Russo, A. P. &amp; Van der Vijver, B. (2014) ‘The comeback of eco-tourists—Travel motivation and market trends’, </w:t>
      </w:r>
      <w:r w:rsidRPr="00F37E43">
        <w:rPr>
          <w:rFonts w:ascii="Times New Roman" w:hAnsi="Times New Roman" w:cs="Times New Roman"/>
          <w:i/>
          <w:iCs/>
          <w:sz w:val="24"/>
          <w:szCs w:val="24"/>
          <w:lang w:val="en-GB"/>
        </w:rPr>
        <w:t>Journal of Sustainable Tourism</w:t>
      </w:r>
      <w:r w:rsidRPr="00F37E43">
        <w:rPr>
          <w:rFonts w:ascii="Times New Roman" w:hAnsi="Times New Roman" w:cs="Times New Roman"/>
          <w:sz w:val="24"/>
          <w:szCs w:val="24"/>
          <w:lang w:val="en-GB"/>
        </w:rPr>
        <w:t>, 22(6), pp. 1010–1028.</w:t>
      </w:r>
    </w:p>
    <w:p w14:paraId="21ABFD9B"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Sorra</w:t>
      </w:r>
      <w:proofErr w:type="spellEnd"/>
      <w:r w:rsidRPr="00F37E43">
        <w:rPr>
          <w:rFonts w:ascii="Times New Roman" w:hAnsi="Times New Roman" w:cs="Times New Roman"/>
          <w:sz w:val="24"/>
          <w:szCs w:val="24"/>
          <w:lang w:val="en-GB"/>
        </w:rPr>
        <w:t xml:space="preserve">, J. &amp; Dyer, N. (2010) ‘Stress, white noise and service performance in hotel operations’, </w:t>
      </w:r>
      <w:r w:rsidRPr="00F37E43">
        <w:rPr>
          <w:rFonts w:ascii="Times New Roman" w:hAnsi="Times New Roman" w:cs="Times New Roman"/>
          <w:i/>
          <w:iCs/>
          <w:sz w:val="24"/>
          <w:szCs w:val="24"/>
          <w:lang w:val="en-GB"/>
        </w:rPr>
        <w:t>Journal of Occupational Health Psychology</w:t>
      </w:r>
      <w:r w:rsidRPr="00F37E43">
        <w:rPr>
          <w:rFonts w:ascii="Times New Roman" w:hAnsi="Times New Roman" w:cs="Times New Roman"/>
          <w:sz w:val="24"/>
          <w:szCs w:val="24"/>
          <w:lang w:val="en-GB"/>
        </w:rPr>
        <w:t>, 15(1), pp. 51–62.</w:t>
      </w:r>
    </w:p>
    <w:p w14:paraId="5E2CEE76"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Tavitiyaman</w:t>
      </w:r>
      <w:proofErr w:type="spellEnd"/>
      <w:r w:rsidRPr="00F37E43">
        <w:rPr>
          <w:rFonts w:ascii="Times New Roman" w:hAnsi="Times New Roman" w:cs="Times New Roman"/>
          <w:sz w:val="24"/>
          <w:szCs w:val="24"/>
          <w:lang w:val="en-GB"/>
        </w:rPr>
        <w:t xml:space="preserve">, P. &amp; Qu, H. (2013) ‘Effect of hotel pricing strategies on customer satisfaction: Impact of hotel type’, </w:t>
      </w:r>
      <w:r w:rsidRPr="00F37E43">
        <w:rPr>
          <w:rFonts w:ascii="Times New Roman" w:hAnsi="Times New Roman" w:cs="Times New Roman"/>
          <w:i/>
          <w:iCs/>
          <w:sz w:val="24"/>
          <w:szCs w:val="24"/>
          <w:lang w:val="en-GB"/>
        </w:rPr>
        <w:t>International Journal of Hospitality Management</w:t>
      </w:r>
      <w:r w:rsidRPr="00F37E43">
        <w:rPr>
          <w:rFonts w:ascii="Times New Roman" w:hAnsi="Times New Roman" w:cs="Times New Roman"/>
          <w:sz w:val="24"/>
          <w:szCs w:val="24"/>
          <w:lang w:val="en-GB"/>
        </w:rPr>
        <w:t>, 31(3), pp. 736–746.</w:t>
      </w:r>
    </w:p>
    <w:p w14:paraId="7CC505D2"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Teare, R. (2001) ‘A quality approach to hospitality’, </w:t>
      </w:r>
      <w:r w:rsidRPr="00F37E43">
        <w:rPr>
          <w:rFonts w:ascii="Times New Roman" w:hAnsi="Times New Roman" w:cs="Times New Roman"/>
          <w:i/>
          <w:iCs/>
          <w:sz w:val="24"/>
          <w:szCs w:val="24"/>
          <w:lang w:val="en-GB"/>
        </w:rPr>
        <w:t>International Journal of Contemporary Hospitality Management</w:t>
      </w:r>
      <w:r w:rsidRPr="00F37E43">
        <w:rPr>
          <w:rFonts w:ascii="Times New Roman" w:hAnsi="Times New Roman" w:cs="Times New Roman"/>
          <w:sz w:val="24"/>
          <w:szCs w:val="24"/>
          <w:lang w:val="en-GB"/>
        </w:rPr>
        <w:t>, 13(1), pp. 8–13.</w:t>
      </w:r>
    </w:p>
    <w:p w14:paraId="2D7D4B24"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Vargo, S. L. &amp; Lusch, R. F. (2004) ‘Evolving to a new dominant logic for marketing’, </w:t>
      </w:r>
      <w:r w:rsidRPr="00F37E43">
        <w:rPr>
          <w:rFonts w:ascii="Times New Roman" w:hAnsi="Times New Roman" w:cs="Times New Roman"/>
          <w:i/>
          <w:iCs/>
          <w:sz w:val="24"/>
          <w:szCs w:val="24"/>
          <w:lang w:val="en-GB"/>
        </w:rPr>
        <w:t>Journal of Marketing</w:t>
      </w:r>
      <w:r w:rsidRPr="00F37E43">
        <w:rPr>
          <w:rFonts w:ascii="Times New Roman" w:hAnsi="Times New Roman" w:cs="Times New Roman"/>
          <w:sz w:val="24"/>
          <w:szCs w:val="24"/>
          <w:lang w:val="en-GB"/>
        </w:rPr>
        <w:t>, 68(1), pp. 1–17.</w:t>
      </w:r>
    </w:p>
    <w:p w14:paraId="3AB875AD"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Walker, J. R. (2016) </w:t>
      </w:r>
      <w:r w:rsidRPr="00F37E43">
        <w:rPr>
          <w:rFonts w:ascii="Times New Roman" w:hAnsi="Times New Roman" w:cs="Times New Roman"/>
          <w:i/>
          <w:iCs/>
          <w:sz w:val="24"/>
          <w:szCs w:val="24"/>
          <w:lang w:val="en-GB"/>
        </w:rPr>
        <w:t>Introduction to Hospitality Management</w:t>
      </w:r>
      <w:r w:rsidRPr="00F37E43">
        <w:rPr>
          <w:rFonts w:ascii="Times New Roman" w:hAnsi="Times New Roman" w:cs="Times New Roman"/>
          <w:sz w:val="24"/>
          <w:szCs w:val="24"/>
          <w:lang w:val="en-GB"/>
        </w:rPr>
        <w:t xml:space="preserve">, 6th </w:t>
      </w:r>
      <w:proofErr w:type="spellStart"/>
      <w:r w:rsidRPr="00F37E43">
        <w:rPr>
          <w:rFonts w:ascii="Times New Roman" w:hAnsi="Times New Roman" w:cs="Times New Roman"/>
          <w:sz w:val="24"/>
          <w:szCs w:val="24"/>
          <w:lang w:val="en-GB"/>
        </w:rPr>
        <w:t>edn</w:t>
      </w:r>
      <w:proofErr w:type="spellEnd"/>
      <w:r w:rsidRPr="00F37E43">
        <w:rPr>
          <w:rFonts w:ascii="Times New Roman" w:hAnsi="Times New Roman" w:cs="Times New Roman"/>
          <w:sz w:val="24"/>
          <w:szCs w:val="24"/>
          <w:lang w:val="en-GB"/>
        </w:rPr>
        <w:t>. Harlow: Pearson.</w:t>
      </w:r>
    </w:p>
    <w:p w14:paraId="51874045" w14:textId="77777777" w:rsidR="00474347" w:rsidRPr="00F37E43" w:rsidRDefault="00474347" w:rsidP="00474347">
      <w:pPr>
        <w:numPr>
          <w:ilvl w:val="0"/>
          <w:numId w:val="10"/>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Zeithaml, V. A., Berry, L. L. &amp; Parasuraman, A. (1996) ‘The behavioural consequences of service quality’, </w:t>
      </w:r>
      <w:r w:rsidRPr="00F37E43">
        <w:rPr>
          <w:rFonts w:ascii="Times New Roman" w:hAnsi="Times New Roman" w:cs="Times New Roman"/>
          <w:i/>
          <w:iCs/>
          <w:sz w:val="24"/>
          <w:szCs w:val="24"/>
          <w:lang w:val="en-GB"/>
        </w:rPr>
        <w:t>Journal of Marketing</w:t>
      </w:r>
      <w:r w:rsidRPr="00F37E43">
        <w:rPr>
          <w:rFonts w:ascii="Times New Roman" w:hAnsi="Times New Roman" w:cs="Times New Roman"/>
          <w:sz w:val="24"/>
          <w:szCs w:val="24"/>
          <w:lang w:val="en-GB"/>
        </w:rPr>
        <w:t>, 60(2), pp. 31–46.</w:t>
      </w:r>
    </w:p>
    <w:p w14:paraId="4CB9696A" w14:textId="77777777" w:rsidR="00474347" w:rsidRPr="00F37E43" w:rsidRDefault="00474347" w:rsidP="00474347">
      <w:pPr>
        <w:spacing w:line="360" w:lineRule="auto"/>
        <w:rPr>
          <w:rFonts w:ascii="Times New Roman" w:hAnsi="Times New Roman" w:cs="Times New Roman"/>
          <w:b/>
          <w:bCs/>
          <w:sz w:val="24"/>
          <w:szCs w:val="24"/>
          <w:lang w:val="en-GB"/>
        </w:rPr>
      </w:pPr>
      <w:r w:rsidRPr="00F37E43">
        <w:rPr>
          <w:rFonts w:ascii="Times New Roman" w:hAnsi="Times New Roman" w:cs="Times New Roman"/>
          <w:b/>
          <w:bCs/>
          <w:sz w:val="24"/>
          <w:szCs w:val="24"/>
          <w:lang w:val="en-GB"/>
        </w:rPr>
        <w:t>Industry Reports &amp; Online Sources</w:t>
      </w:r>
    </w:p>
    <w:p w14:paraId="000DD2E4"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Hilton Worldwide Holdings Inc. (2023) </w:t>
      </w:r>
      <w:r w:rsidRPr="00F37E43">
        <w:rPr>
          <w:rFonts w:ascii="Times New Roman" w:hAnsi="Times New Roman" w:cs="Times New Roman"/>
          <w:i/>
          <w:iCs/>
          <w:sz w:val="24"/>
          <w:szCs w:val="24"/>
          <w:lang w:val="en-GB"/>
        </w:rPr>
        <w:t>Annual Report 2022–23</w:t>
      </w:r>
      <w:r w:rsidRPr="00F37E43">
        <w:rPr>
          <w:rFonts w:ascii="Times New Roman" w:hAnsi="Times New Roman" w:cs="Times New Roman"/>
          <w:sz w:val="24"/>
          <w:szCs w:val="24"/>
          <w:lang w:val="en-GB"/>
        </w:rPr>
        <w:t>.</w:t>
      </w:r>
    </w:p>
    <w:p w14:paraId="2D601DF7"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Hilton (2024) ‘Hilton Garden Inn brand overview’, Hilton Corporate Website.</w:t>
      </w:r>
    </w:p>
    <w:p w14:paraId="5B6A5BDB"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lastRenderedPageBreak/>
        <w:t xml:space="preserve">Deloitte (2023) </w:t>
      </w:r>
      <w:r w:rsidRPr="00F37E43">
        <w:rPr>
          <w:rFonts w:ascii="Times New Roman" w:hAnsi="Times New Roman" w:cs="Times New Roman"/>
          <w:i/>
          <w:iCs/>
          <w:sz w:val="24"/>
          <w:szCs w:val="24"/>
          <w:lang w:val="en-GB"/>
        </w:rPr>
        <w:t>Hospitality Trends 2023: Guest Experience</w:t>
      </w:r>
      <w:r w:rsidRPr="00F37E43">
        <w:rPr>
          <w:rFonts w:ascii="Times New Roman" w:hAnsi="Times New Roman" w:cs="Times New Roman"/>
          <w:sz w:val="24"/>
          <w:szCs w:val="24"/>
          <w:lang w:val="en-GB"/>
        </w:rPr>
        <w:t>.</w:t>
      </w:r>
    </w:p>
    <w:p w14:paraId="1A52C0D8"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PwC (2024) </w:t>
      </w:r>
      <w:r w:rsidRPr="00F37E43">
        <w:rPr>
          <w:rFonts w:ascii="Times New Roman" w:hAnsi="Times New Roman" w:cs="Times New Roman"/>
          <w:i/>
          <w:iCs/>
          <w:sz w:val="24"/>
          <w:szCs w:val="24"/>
          <w:lang w:val="en-GB"/>
        </w:rPr>
        <w:t>UK Hotels Forecast—Q1 2024 Update</w:t>
      </w:r>
      <w:r w:rsidRPr="00F37E43">
        <w:rPr>
          <w:rFonts w:ascii="Times New Roman" w:hAnsi="Times New Roman" w:cs="Times New Roman"/>
          <w:sz w:val="24"/>
          <w:szCs w:val="24"/>
          <w:lang w:val="en-GB"/>
        </w:rPr>
        <w:t>.</w:t>
      </w:r>
    </w:p>
    <w:p w14:paraId="73BCE19A"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STR Global (2024) </w:t>
      </w:r>
      <w:r w:rsidRPr="00F37E43">
        <w:rPr>
          <w:rFonts w:ascii="Times New Roman" w:hAnsi="Times New Roman" w:cs="Times New Roman"/>
          <w:i/>
          <w:iCs/>
          <w:sz w:val="24"/>
          <w:szCs w:val="24"/>
          <w:lang w:val="en-GB"/>
        </w:rPr>
        <w:t>UK Hotel Performance Metrics—April 2025</w:t>
      </w:r>
      <w:r w:rsidRPr="00F37E43">
        <w:rPr>
          <w:rFonts w:ascii="Times New Roman" w:hAnsi="Times New Roman" w:cs="Times New Roman"/>
          <w:sz w:val="24"/>
          <w:szCs w:val="24"/>
          <w:lang w:val="en-GB"/>
        </w:rPr>
        <w:t>.</w:t>
      </w:r>
    </w:p>
    <w:p w14:paraId="3027C78F"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TripAdvisor (2025) ‘Hilton Garden Inn Doncaster Racecourse guest reviews trend’.</w:t>
      </w:r>
    </w:p>
    <w:p w14:paraId="011F811C"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Booking.com (2025) ‘Hilton GIDR average scores’.</w:t>
      </w:r>
    </w:p>
    <w:p w14:paraId="30A8BF94"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VisitBritain (2023) </w:t>
      </w:r>
      <w:r w:rsidRPr="00F37E43">
        <w:rPr>
          <w:rFonts w:ascii="Times New Roman" w:hAnsi="Times New Roman" w:cs="Times New Roman"/>
          <w:i/>
          <w:iCs/>
          <w:sz w:val="24"/>
          <w:szCs w:val="24"/>
          <w:lang w:val="en-GB"/>
        </w:rPr>
        <w:t>Inbound Tourism Trends UK</w:t>
      </w:r>
      <w:r w:rsidRPr="00F37E43">
        <w:rPr>
          <w:rFonts w:ascii="Times New Roman" w:hAnsi="Times New Roman" w:cs="Times New Roman"/>
          <w:sz w:val="24"/>
          <w:szCs w:val="24"/>
          <w:lang w:val="en-GB"/>
        </w:rPr>
        <w:t>.</w:t>
      </w:r>
    </w:p>
    <w:p w14:paraId="54CA5147"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Cleantracker</w:t>
      </w:r>
      <w:proofErr w:type="spellEnd"/>
      <w:r w:rsidRPr="00F37E43">
        <w:rPr>
          <w:rFonts w:ascii="Times New Roman" w:hAnsi="Times New Roman" w:cs="Times New Roman"/>
          <w:sz w:val="24"/>
          <w:szCs w:val="24"/>
          <w:lang w:val="en-GB"/>
        </w:rPr>
        <w:t xml:space="preserve"> Ltd (2024) ‘Best practices for hotel hygiene audits’.</w:t>
      </w:r>
    </w:p>
    <w:p w14:paraId="709D0531"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Revinate</w:t>
      </w:r>
      <w:proofErr w:type="spellEnd"/>
      <w:r w:rsidRPr="00F37E43">
        <w:rPr>
          <w:rFonts w:ascii="Times New Roman" w:hAnsi="Times New Roman" w:cs="Times New Roman"/>
          <w:sz w:val="24"/>
          <w:szCs w:val="24"/>
          <w:lang w:val="en-GB"/>
        </w:rPr>
        <w:t xml:space="preserve"> (2024) ‘Hotel reputation management benchmarks’.</w:t>
      </w:r>
    </w:p>
    <w:p w14:paraId="52DD1CA4"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proofErr w:type="spellStart"/>
      <w:r w:rsidRPr="00F37E43">
        <w:rPr>
          <w:rFonts w:ascii="Times New Roman" w:hAnsi="Times New Roman" w:cs="Times New Roman"/>
          <w:sz w:val="24"/>
          <w:szCs w:val="24"/>
          <w:lang w:val="en-GB"/>
        </w:rPr>
        <w:t>TrustYou</w:t>
      </w:r>
      <w:proofErr w:type="spellEnd"/>
      <w:r w:rsidRPr="00F37E43">
        <w:rPr>
          <w:rFonts w:ascii="Times New Roman" w:hAnsi="Times New Roman" w:cs="Times New Roman"/>
          <w:sz w:val="24"/>
          <w:szCs w:val="24"/>
          <w:lang w:val="en-GB"/>
        </w:rPr>
        <w:t xml:space="preserve"> Inc. (2024) ‘Sentiment analysis in hospitality’.</w:t>
      </w:r>
    </w:p>
    <w:p w14:paraId="07A09287"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American Hotel &amp; Lodging Association (2024) </w:t>
      </w:r>
      <w:r w:rsidRPr="00F37E43">
        <w:rPr>
          <w:rFonts w:ascii="Times New Roman" w:hAnsi="Times New Roman" w:cs="Times New Roman"/>
          <w:i/>
          <w:iCs/>
          <w:sz w:val="24"/>
          <w:szCs w:val="24"/>
          <w:lang w:val="en-GB"/>
        </w:rPr>
        <w:t>Employee Engagement Survey</w:t>
      </w:r>
      <w:r w:rsidRPr="00F37E43">
        <w:rPr>
          <w:rFonts w:ascii="Times New Roman" w:hAnsi="Times New Roman" w:cs="Times New Roman"/>
          <w:sz w:val="24"/>
          <w:szCs w:val="24"/>
          <w:lang w:val="en-GB"/>
        </w:rPr>
        <w:t>.</w:t>
      </w:r>
    </w:p>
    <w:p w14:paraId="3621FB71"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UK Hospitality (2023) ‘Post-COVID workforce challenges’.</w:t>
      </w:r>
    </w:p>
    <w:p w14:paraId="50B7F2F2"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Statista (2024) ‘Percentage of UK hotel reviews citing cleanliness’.</w:t>
      </w:r>
    </w:p>
    <w:p w14:paraId="3BF00009"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People1st (2022) ‘Frontline staff training in tourism’.</w:t>
      </w:r>
    </w:p>
    <w:p w14:paraId="013E361C"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Hilton Honors (2024) ‘Guest loyalty program utilization rates UK’.</w:t>
      </w:r>
    </w:p>
    <w:p w14:paraId="4AAE85AC"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Mind Tools (n.d.) ‘Kotter’s 8-Step Change Model Explained’.</w:t>
      </w:r>
    </w:p>
    <w:p w14:paraId="244AE57D"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Doncaster Council (2023) ‘Tourism &amp; Events Framework’.</w:t>
      </w:r>
    </w:p>
    <w:p w14:paraId="6852AEB8"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Clean Link (2023) ‘Technology in hospitality clean management’.</w:t>
      </w:r>
    </w:p>
    <w:p w14:paraId="4705BF88"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World Travel &amp; Tourism Council (2024) </w:t>
      </w:r>
      <w:r w:rsidRPr="00F37E43">
        <w:rPr>
          <w:rFonts w:ascii="Times New Roman" w:hAnsi="Times New Roman" w:cs="Times New Roman"/>
          <w:i/>
          <w:iCs/>
          <w:sz w:val="24"/>
          <w:szCs w:val="24"/>
          <w:lang w:val="en-GB"/>
        </w:rPr>
        <w:t>Economic Impact Report</w:t>
      </w:r>
      <w:r w:rsidRPr="00F37E43">
        <w:rPr>
          <w:rFonts w:ascii="Times New Roman" w:hAnsi="Times New Roman" w:cs="Times New Roman"/>
          <w:sz w:val="24"/>
          <w:szCs w:val="24"/>
          <w:lang w:val="en-GB"/>
        </w:rPr>
        <w:t>.</w:t>
      </w:r>
    </w:p>
    <w:p w14:paraId="42919375"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 xml:space="preserve">European Travel Commission (2023) </w:t>
      </w:r>
      <w:r w:rsidRPr="00F37E43">
        <w:rPr>
          <w:rFonts w:ascii="Times New Roman" w:hAnsi="Times New Roman" w:cs="Times New Roman"/>
          <w:i/>
          <w:iCs/>
          <w:sz w:val="24"/>
          <w:szCs w:val="24"/>
          <w:lang w:val="en-GB"/>
        </w:rPr>
        <w:t>Emerging Trends in EU Tourism</w:t>
      </w:r>
      <w:r w:rsidRPr="00F37E43">
        <w:rPr>
          <w:rFonts w:ascii="Times New Roman" w:hAnsi="Times New Roman" w:cs="Times New Roman"/>
          <w:sz w:val="24"/>
          <w:szCs w:val="24"/>
          <w:lang w:val="en-GB"/>
        </w:rPr>
        <w:t>.</w:t>
      </w:r>
    </w:p>
    <w:p w14:paraId="65D2BB2E"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Hotel Tech Report (2024) ‘Guest feedback kiosks ROI analysis’.</w:t>
      </w:r>
    </w:p>
    <w:p w14:paraId="6063BF15" w14:textId="77777777" w:rsidR="00474347" w:rsidRPr="00F37E43" w:rsidRDefault="00474347" w:rsidP="00474347">
      <w:pPr>
        <w:numPr>
          <w:ilvl w:val="0"/>
          <w:numId w:val="11"/>
        </w:numPr>
        <w:spacing w:line="360" w:lineRule="auto"/>
        <w:rPr>
          <w:rFonts w:ascii="Times New Roman" w:hAnsi="Times New Roman" w:cs="Times New Roman"/>
          <w:sz w:val="24"/>
          <w:szCs w:val="24"/>
          <w:lang w:val="en-GB"/>
        </w:rPr>
      </w:pPr>
      <w:r w:rsidRPr="00F37E43">
        <w:rPr>
          <w:rFonts w:ascii="Times New Roman" w:hAnsi="Times New Roman" w:cs="Times New Roman"/>
          <w:sz w:val="24"/>
          <w:szCs w:val="24"/>
          <w:lang w:val="en-GB"/>
        </w:rPr>
        <w:t>Environmental Protection Agency (2023) ‘Sustainable Business Travel Initiatives’.</w:t>
      </w:r>
    </w:p>
    <w:p w14:paraId="6DA66DA1" w14:textId="77777777" w:rsidR="00474347" w:rsidRPr="00F37E43" w:rsidRDefault="00474347" w:rsidP="00474347">
      <w:pPr>
        <w:spacing w:line="360" w:lineRule="auto"/>
        <w:rPr>
          <w:rFonts w:ascii="Times New Roman" w:hAnsi="Times New Roman" w:cs="Times New Roman"/>
          <w:sz w:val="24"/>
          <w:szCs w:val="24"/>
        </w:rPr>
      </w:pPr>
    </w:p>
    <w:p w14:paraId="27B25562" w14:textId="44112E3A" w:rsidR="00BC4832" w:rsidRPr="00BC4832" w:rsidRDefault="00BC4832" w:rsidP="00474347">
      <w:pPr>
        <w:spacing w:line="360" w:lineRule="auto"/>
      </w:pPr>
    </w:p>
    <w:p w14:paraId="541F148F" w14:textId="77777777" w:rsidR="00BC4832" w:rsidRDefault="00BC4832" w:rsidP="00474347">
      <w:pPr>
        <w:spacing w:line="360" w:lineRule="auto"/>
      </w:pPr>
    </w:p>
    <w:sectPr w:rsidR="00BC48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15E57" w14:textId="77777777" w:rsidR="00474347" w:rsidRDefault="00474347" w:rsidP="00474347">
      <w:pPr>
        <w:spacing w:after="0" w:line="240" w:lineRule="auto"/>
      </w:pPr>
      <w:r>
        <w:separator/>
      </w:r>
    </w:p>
  </w:endnote>
  <w:endnote w:type="continuationSeparator" w:id="0">
    <w:p w14:paraId="473A73CD" w14:textId="77777777" w:rsidR="00474347" w:rsidRDefault="00474347" w:rsidP="00474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7645313"/>
      <w:docPartObj>
        <w:docPartGallery w:val="Page Numbers (Bottom of Page)"/>
        <w:docPartUnique/>
      </w:docPartObj>
    </w:sdtPr>
    <w:sdtEndPr>
      <w:rPr>
        <w:noProof/>
      </w:rPr>
    </w:sdtEndPr>
    <w:sdtContent>
      <w:p w14:paraId="185A0C75" w14:textId="3D1B82CE" w:rsidR="00474347" w:rsidRDefault="004743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2FF7B" w14:textId="77777777" w:rsidR="00474347" w:rsidRDefault="00474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DE500" w14:textId="77777777" w:rsidR="00474347" w:rsidRDefault="00474347" w:rsidP="00474347">
      <w:pPr>
        <w:spacing w:after="0" w:line="240" w:lineRule="auto"/>
      </w:pPr>
      <w:r>
        <w:separator/>
      </w:r>
    </w:p>
  </w:footnote>
  <w:footnote w:type="continuationSeparator" w:id="0">
    <w:p w14:paraId="53899CBB" w14:textId="77777777" w:rsidR="00474347" w:rsidRDefault="00474347" w:rsidP="00474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0935"/>
    <w:multiLevelType w:val="multilevel"/>
    <w:tmpl w:val="AAE22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13FE2"/>
    <w:multiLevelType w:val="multilevel"/>
    <w:tmpl w:val="E2883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751ED"/>
    <w:multiLevelType w:val="multilevel"/>
    <w:tmpl w:val="6EA2D1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95A5E"/>
    <w:multiLevelType w:val="multilevel"/>
    <w:tmpl w:val="1EB69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7035E4"/>
    <w:multiLevelType w:val="multilevel"/>
    <w:tmpl w:val="5F00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E2520F"/>
    <w:multiLevelType w:val="multilevel"/>
    <w:tmpl w:val="8F843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8B5370"/>
    <w:multiLevelType w:val="multilevel"/>
    <w:tmpl w:val="72C2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8D0BE6"/>
    <w:multiLevelType w:val="multilevel"/>
    <w:tmpl w:val="58D08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993B41"/>
    <w:multiLevelType w:val="multilevel"/>
    <w:tmpl w:val="D3D8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8623C1"/>
    <w:multiLevelType w:val="multilevel"/>
    <w:tmpl w:val="BED0B696"/>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3D1B74"/>
    <w:multiLevelType w:val="multilevel"/>
    <w:tmpl w:val="C1AEA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6C2B4E"/>
    <w:multiLevelType w:val="multilevel"/>
    <w:tmpl w:val="F75E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304690"/>
    <w:multiLevelType w:val="multilevel"/>
    <w:tmpl w:val="6FD6E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3425D0"/>
    <w:multiLevelType w:val="multilevel"/>
    <w:tmpl w:val="99B64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56064E"/>
    <w:multiLevelType w:val="multilevel"/>
    <w:tmpl w:val="18D60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1B2A1D"/>
    <w:multiLevelType w:val="multilevel"/>
    <w:tmpl w:val="AEC8A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B41720"/>
    <w:multiLevelType w:val="multilevel"/>
    <w:tmpl w:val="9514B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C1086B"/>
    <w:multiLevelType w:val="multilevel"/>
    <w:tmpl w:val="62C4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4D2129"/>
    <w:multiLevelType w:val="hybridMultilevel"/>
    <w:tmpl w:val="AAD0597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117727482">
    <w:abstractNumId w:val="4"/>
  </w:num>
  <w:num w:numId="2" w16cid:durableId="856189025">
    <w:abstractNumId w:val="12"/>
  </w:num>
  <w:num w:numId="3" w16cid:durableId="2005468709">
    <w:abstractNumId w:val="10"/>
  </w:num>
  <w:num w:numId="4" w16cid:durableId="917248705">
    <w:abstractNumId w:val="15"/>
  </w:num>
  <w:num w:numId="5" w16cid:durableId="299577944">
    <w:abstractNumId w:val="8"/>
  </w:num>
  <w:num w:numId="6" w16cid:durableId="559444228">
    <w:abstractNumId w:val="7"/>
  </w:num>
  <w:num w:numId="7" w16cid:durableId="86073325">
    <w:abstractNumId w:val="1"/>
  </w:num>
  <w:num w:numId="8" w16cid:durableId="1849639652">
    <w:abstractNumId w:val="17"/>
  </w:num>
  <w:num w:numId="9" w16cid:durableId="116725910">
    <w:abstractNumId w:val="18"/>
  </w:num>
  <w:num w:numId="10" w16cid:durableId="1777750265">
    <w:abstractNumId w:val="3"/>
  </w:num>
  <w:num w:numId="11" w16cid:durableId="224144550">
    <w:abstractNumId w:val="9"/>
  </w:num>
  <w:num w:numId="12" w16cid:durableId="1440176487">
    <w:abstractNumId w:val="0"/>
  </w:num>
  <w:num w:numId="13" w16cid:durableId="206332609">
    <w:abstractNumId w:val="6"/>
  </w:num>
  <w:num w:numId="14" w16cid:durableId="1830436953">
    <w:abstractNumId w:val="14"/>
  </w:num>
  <w:num w:numId="15" w16cid:durableId="1092093498">
    <w:abstractNumId w:val="13"/>
  </w:num>
  <w:num w:numId="16" w16cid:durableId="1347707014">
    <w:abstractNumId w:val="5"/>
  </w:num>
  <w:num w:numId="17" w16cid:durableId="679358943">
    <w:abstractNumId w:val="11"/>
  </w:num>
  <w:num w:numId="18" w16cid:durableId="1317804113">
    <w:abstractNumId w:val="16"/>
  </w:num>
  <w:num w:numId="19" w16cid:durableId="3580436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832"/>
    <w:rsid w:val="00156ED9"/>
    <w:rsid w:val="00474347"/>
    <w:rsid w:val="0066410A"/>
    <w:rsid w:val="007752D7"/>
    <w:rsid w:val="00A6633E"/>
    <w:rsid w:val="00BC4832"/>
    <w:rsid w:val="00D75A84"/>
    <w:rsid w:val="00E34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3B5B7"/>
  <w15:chartTrackingRefBased/>
  <w15:docId w15:val="{DEB2AD0B-81A7-42EC-9F98-5E6D819C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347"/>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BC48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48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8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8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8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8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8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8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8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8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48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8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8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8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8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8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8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832"/>
    <w:rPr>
      <w:rFonts w:eastAsiaTheme="majorEastAsia" w:cstheme="majorBidi"/>
      <w:color w:val="272727" w:themeColor="text1" w:themeTint="D8"/>
    </w:rPr>
  </w:style>
  <w:style w:type="paragraph" w:styleId="Title">
    <w:name w:val="Title"/>
    <w:basedOn w:val="Normal"/>
    <w:next w:val="Normal"/>
    <w:link w:val="TitleChar"/>
    <w:uiPriority w:val="10"/>
    <w:qFormat/>
    <w:rsid w:val="00BC48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8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8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8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832"/>
    <w:pPr>
      <w:spacing w:before="160"/>
      <w:jc w:val="center"/>
    </w:pPr>
    <w:rPr>
      <w:i/>
      <w:iCs/>
      <w:color w:val="404040" w:themeColor="text1" w:themeTint="BF"/>
    </w:rPr>
  </w:style>
  <w:style w:type="character" w:customStyle="1" w:styleId="QuoteChar">
    <w:name w:val="Quote Char"/>
    <w:basedOn w:val="DefaultParagraphFont"/>
    <w:link w:val="Quote"/>
    <w:uiPriority w:val="29"/>
    <w:rsid w:val="00BC4832"/>
    <w:rPr>
      <w:i/>
      <w:iCs/>
      <w:color w:val="404040" w:themeColor="text1" w:themeTint="BF"/>
    </w:rPr>
  </w:style>
  <w:style w:type="paragraph" w:styleId="ListParagraph">
    <w:name w:val="List Paragraph"/>
    <w:basedOn w:val="Normal"/>
    <w:uiPriority w:val="34"/>
    <w:qFormat/>
    <w:rsid w:val="00BC4832"/>
    <w:pPr>
      <w:ind w:left="720"/>
      <w:contextualSpacing/>
    </w:pPr>
  </w:style>
  <w:style w:type="character" w:styleId="IntenseEmphasis">
    <w:name w:val="Intense Emphasis"/>
    <w:basedOn w:val="DefaultParagraphFont"/>
    <w:uiPriority w:val="21"/>
    <w:qFormat/>
    <w:rsid w:val="00BC4832"/>
    <w:rPr>
      <w:i/>
      <w:iCs/>
      <w:color w:val="0F4761" w:themeColor="accent1" w:themeShade="BF"/>
    </w:rPr>
  </w:style>
  <w:style w:type="paragraph" w:styleId="IntenseQuote">
    <w:name w:val="Intense Quote"/>
    <w:basedOn w:val="Normal"/>
    <w:next w:val="Normal"/>
    <w:link w:val="IntenseQuoteChar"/>
    <w:uiPriority w:val="30"/>
    <w:qFormat/>
    <w:rsid w:val="00BC48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832"/>
    <w:rPr>
      <w:i/>
      <w:iCs/>
      <w:color w:val="0F4761" w:themeColor="accent1" w:themeShade="BF"/>
    </w:rPr>
  </w:style>
  <w:style w:type="character" w:styleId="IntenseReference">
    <w:name w:val="Intense Reference"/>
    <w:basedOn w:val="DefaultParagraphFont"/>
    <w:uiPriority w:val="32"/>
    <w:qFormat/>
    <w:rsid w:val="00BC4832"/>
    <w:rPr>
      <w:b/>
      <w:bCs/>
      <w:smallCaps/>
      <w:color w:val="0F4761" w:themeColor="accent1" w:themeShade="BF"/>
      <w:spacing w:val="5"/>
    </w:rPr>
  </w:style>
  <w:style w:type="paragraph" w:styleId="TOCHeading">
    <w:name w:val="TOC Heading"/>
    <w:basedOn w:val="Heading1"/>
    <w:next w:val="Normal"/>
    <w:uiPriority w:val="39"/>
    <w:unhideWhenUsed/>
    <w:qFormat/>
    <w:rsid w:val="00474347"/>
    <w:pPr>
      <w:spacing w:before="480" w:after="0"/>
      <w:outlineLvl w:val="9"/>
    </w:pPr>
    <w:rPr>
      <w:b/>
      <w:bCs/>
      <w:sz w:val="28"/>
      <w:szCs w:val="28"/>
    </w:rPr>
  </w:style>
  <w:style w:type="paragraph" w:styleId="TOC1">
    <w:name w:val="toc 1"/>
    <w:basedOn w:val="Normal"/>
    <w:next w:val="Normal"/>
    <w:autoRedefine/>
    <w:uiPriority w:val="39"/>
    <w:unhideWhenUsed/>
    <w:rsid w:val="00474347"/>
    <w:pPr>
      <w:spacing w:after="100"/>
    </w:pPr>
  </w:style>
  <w:style w:type="character" w:styleId="Hyperlink">
    <w:name w:val="Hyperlink"/>
    <w:basedOn w:val="DefaultParagraphFont"/>
    <w:uiPriority w:val="99"/>
    <w:unhideWhenUsed/>
    <w:rsid w:val="00474347"/>
    <w:rPr>
      <w:color w:val="467886" w:themeColor="hyperlink"/>
      <w:u w:val="single"/>
    </w:rPr>
  </w:style>
  <w:style w:type="table" w:styleId="PlainTable3">
    <w:name w:val="Plain Table 3"/>
    <w:basedOn w:val="TableNormal"/>
    <w:uiPriority w:val="99"/>
    <w:rsid w:val="00474347"/>
    <w:pPr>
      <w:spacing w:after="0" w:line="240" w:lineRule="auto"/>
    </w:pPr>
    <w:rPr>
      <w:rFonts w:eastAsiaTheme="minorEastAsia"/>
      <w:kern w:val="0"/>
      <w:sz w:val="22"/>
      <w:szCs w:val="22"/>
      <w:lang w:val="en-US"/>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474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347"/>
    <w:rPr>
      <w:rFonts w:eastAsiaTheme="minorEastAsia"/>
      <w:kern w:val="0"/>
      <w:sz w:val="22"/>
      <w:szCs w:val="22"/>
      <w:lang w:val="en-US"/>
      <w14:ligatures w14:val="none"/>
    </w:rPr>
  </w:style>
  <w:style w:type="paragraph" w:styleId="Footer">
    <w:name w:val="footer"/>
    <w:basedOn w:val="Normal"/>
    <w:link w:val="FooterChar"/>
    <w:uiPriority w:val="99"/>
    <w:unhideWhenUsed/>
    <w:rsid w:val="00474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34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2901338">
      <w:bodyDiv w:val="1"/>
      <w:marLeft w:val="0"/>
      <w:marRight w:val="0"/>
      <w:marTop w:val="0"/>
      <w:marBottom w:val="0"/>
      <w:divBdr>
        <w:top w:val="none" w:sz="0" w:space="0" w:color="auto"/>
        <w:left w:val="none" w:sz="0" w:space="0" w:color="auto"/>
        <w:bottom w:val="none" w:sz="0" w:space="0" w:color="auto"/>
        <w:right w:val="none" w:sz="0" w:space="0" w:color="auto"/>
      </w:divBdr>
      <w:divsChild>
        <w:div w:id="654380951">
          <w:marLeft w:val="0"/>
          <w:marRight w:val="0"/>
          <w:marTop w:val="0"/>
          <w:marBottom w:val="0"/>
          <w:divBdr>
            <w:top w:val="none" w:sz="0" w:space="0" w:color="auto"/>
            <w:left w:val="none" w:sz="0" w:space="0" w:color="auto"/>
            <w:bottom w:val="none" w:sz="0" w:space="0" w:color="auto"/>
            <w:right w:val="none" w:sz="0" w:space="0" w:color="auto"/>
          </w:divBdr>
          <w:divsChild>
            <w:div w:id="1912882475">
              <w:marLeft w:val="0"/>
              <w:marRight w:val="0"/>
              <w:marTop w:val="0"/>
              <w:marBottom w:val="0"/>
              <w:divBdr>
                <w:top w:val="none" w:sz="0" w:space="0" w:color="auto"/>
                <w:left w:val="none" w:sz="0" w:space="0" w:color="auto"/>
                <w:bottom w:val="none" w:sz="0" w:space="0" w:color="auto"/>
                <w:right w:val="none" w:sz="0" w:space="0" w:color="auto"/>
              </w:divBdr>
            </w:div>
          </w:divsChild>
        </w:div>
        <w:div w:id="1810902688">
          <w:marLeft w:val="0"/>
          <w:marRight w:val="0"/>
          <w:marTop w:val="0"/>
          <w:marBottom w:val="0"/>
          <w:divBdr>
            <w:top w:val="none" w:sz="0" w:space="0" w:color="auto"/>
            <w:left w:val="none" w:sz="0" w:space="0" w:color="auto"/>
            <w:bottom w:val="none" w:sz="0" w:space="0" w:color="auto"/>
            <w:right w:val="none" w:sz="0" w:space="0" w:color="auto"/>
          </w:divBdr>
          <w:divsChild>
            <w:div w:id="1489597117">
              <w:marLeft w:val="0"/>
              <w:marRight w:val="0"/>
              <w:marTop w:val="0"/>
              <w:marBottom w:val="0"/>
              <w:divBdr>
                <w:top w:val="none" w:sz="0" w:space="0" w:color="auto"/>
                <w:left w:val="none" w:sz="0" w:space="0" w:color="auto"/>
                <w:bottom w:val="none" w:sz="0" w:space="0" w:color="auto"/>
                <w:right w:val="none" w:sz="0" w:space="0" w:color="auto"/>
              </w:divBdr>
            </w:div>
          </w:divsChild>
        </w:div>
        <w:div w:id="1264652434">
          <w:marLeft w:val="0"/>
          <w:marRight w:val="0"/>
          <w:marTop w:val="0"/>
          <w:marBottom w:val="0"/>
          <w:divBdr>
            <w:top w:val="none" w:sz="0" w:space="0" w:color="auto"/>
            <w:left w:val="none" w:sz="0" w:space="0" w:color="auto"/>
            <w:bottom w:val="none" w:sz="0" w:space="0" w:color="auto"/>
            <w:right w:val="none" w:sz="0" w:space="0" w:color="auto"/>
          </w:divBdr>
          <w:divsChild>
            <w:div w:id="1362435903">
              <w:marLeft w:val="0"/>
              <w:marRight w:val="0"/>
              <w:marTop w:val="0"/>
              <w:marBottom w:val="0"/>
              <w:divBdr>
                <w:top w:val="none" w:sz="0" w:space="0" w:color="auto"/>
                <w:left w:val="none" w:sz="0" w:space="0" w:color="auto"/>
                <w:bottom w:val="none" w:sz="0" w:space="0" w:color="auto"/>
                <w:right w:val="none" w:sz="0" w:space="0" w:color="auto"/>
              </w:divBdr>
            </w:div>
          </w:divsChild>
        </w:div>
        <w:div w:id="1061563288">
          <w:marLeft w:val="0"/>
          <w:marRight w:val="0"/>
          <w:marTop w:val="0"/>
          <w:marBottom w:val="0"/>
          <w:divBdr>
            <w:top w:val="none" w:sz="0" w:space="0" w:color="auto"/>
            <w:left w:val="none" w:sz="0" w:space="0" w:color="auto"/>
            <w:bottom w:val="none" w:sz="0" w:space="0" w:color="auto"/>
            <w:right w:val="none" w:sz="0" w:space="0" w:color="auto"/>
          </w:divBdr>
          <w:divsChild>
            <w:div w:id="1017463174">
              <w:marLeft w:val="0"/>
              <w:marRight w:val="0"/>
              <w:marTop w:val="0"/>
              <w:marBottom w:val="0"/>
              <w:divBdr>
                <w:top w:val="none" w:sz="0" w:space="0" w:color="auto"/>
                <w:left w:val="none" w:sz="0" w:space="0" w:color="auto"/>
                <w:bottom w:val="none" w:sz="0" w:space="0" w:color="auto"/>
                <w:right w:val="none" w:sz="0" w:space="0" w:color="auto"/>
              </w:divBdr>
            </w:div>
          </w:divsChild>
        </w:div>
        <w:div w:id="357630207">
          <w:marLeft w:val="0"/>
          <w:marRight w:val="0"/>
          <w:marTop w:val="0"/>
          <w:marBottom w:val="0"/>
          <w:divBdr>
            <w:top w:val="none" w:sz="0" w:space="0" w:color="auto"/>
            <w:left w:val="none" w:sz="0" w:space="0" w:color="auto"/>
            <w:bottom w:val="none" w:sz="0" w:space="0" w:color="auto"/>
            <w:right w:val="none" w:sz="0" w:space="0" w:color="auto"/>
          </w:divBdr>
          <w:divsChild>
            <w:div w:id="197113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711144">
      <w:bodyDiv w:val="1"/>
      <w:marLeft w:val="0"/>
      <w:marRight w:val="0"/>
      <w:marTop w:val="0"/>
      <w:marBottom w:val="0"/>
      <w:divBdr>
        <w:top w:val="none" w:sz="0" w:space="0" w:color="auto"/>
        <w:left w:val="none" w:sz="0" w:space="0" w:color="auto"/>
        <w:bottom w:val="none" w:sz="0" w:space="0" w:color="auto"/>
        <w:right w:val="none" w:sz="0" w:space="0" w:color="auto"/>
      </w:divBdr>
      <w:divsChild>
        <w:div w:id="1332026095">
          <w:marLeft w:val="0"/>
          <w:marRight w:val="0"/>
          <w:marTop w:val="0"/>
          <w:marBottom w:val="0"/>
          <w:divBdr>
            <w:top w:val="none" w:sz="0" w:space="0" w:color="auto"/>
            <w:left w:val="none" w:sz="0" w:space="0" w:color="auto"/>
            <w:bottom w:val="none" w:sz="0" w:space="0" w:color="auto"/>
            <w:right w:val="none" w:sz="0" w:space="0" w:color="auto"/>
          </w:divBdr>
          <w:divsChild>
            <w:div w:id="2081711810">
              <w:marLeft w:val="0"/>
              <w:marRight w:val="0"/>
              <w:marTop w:val="0"/>
              <w:marBottom w:val="0"/>
              <w:divBdr>
                <w:top w:val="none" w:sz="0" w:space="0" w:color="auto"/>
                <w:left w:val="none" w:sz="0" w:space="0" w:color="auto"/>
                <w:bottom w:val="none" w:sz="0" w:space="0" w:color="auto"/>
                <w:right w:val="none" w:sz="0" w:space="0" w:color="auto"/>
              </w:divBdr>
            </w:div>
          </w:divsChild>
        </w:div>
        <w:div w:id="668019982">
          <w:marLeft w:val="0"/>
          <w:marRight w:val="0"/>
          <w:marTop w:val="0"/>
          <w:marBottom w:val="0"/>
          <w:divBdr>
            <w:top w:val="none" w:sz="0" w:space="0" w:color="auto"/>
            <w:left w:val="none" w:sz="0" w:space="0" w:color="auto"/>
            <w:bottom w:val="none" w:sz="0" w:space="0" w:color="auto"/>
            <w:right w:val="none" w:sz="0" w:space="0" w:color="auto"/>
          </w:divBdr>
          <w:divsChild>
            <w:div w:id="1003048323">
              <w:marLeft w:val="0"/>
              <w:marRight w:val="0"/>
              <w:marTop w:val="0"/>
              <w:marBottom w:val="0"/>
              <w:divBdr>
                <w:top w:val="none" w:sz="0" w:space="0" w:color="auto"/>
                <w:left w:val="none" w:sz="0" w:space="0" w:color="auto"/>
                <w:bottom w:val="none" w:sz="0" w:space="0" w:color="auto"/>
                <w:right w:val="none" w:sz="0" w:space="0" w:color="auto"/>
              </w:divBdr>
            </w:div>
          </w:divsChild>
        </w:div>
        <w:div w:id="1388070813">
          <w:marLeft w:val="0"/>
          <w:marRight w:val="0"/>
          <w:marTop w:val="0"/>
          <w:marBottom w:val="0"/>
          <w:divBdr>
            <w:top w:val="none" w:sz="0" w:space="0" w:color="auto"/>
            <w:left w:val="none" w:sz="0" w:space="0" w:color="auto"/>
            <w:bottom w:val="none" w:sz="0" w:space="0" w:color="auto"/>
            <w:right w:val="none" w:sz="0" w:space="0" w:color="auto"/>
          </w:divBdr>
          <w:divsChild>
            <w:div w:id="1560021398">
              <w:marLeft w:val="0"/>
              <w:marRight w:val="0"/>
              <w:marTop w:val="0"/>
              <w:marBottom w:val="0"/>
              <w:divBdr>
                <w:top w:val="none" w:sz="0" w:space="0" w:color="auto"/>
                <w:left w:val="none" w:sz="0" w:space="0" w:color="auto"/>
                <w:bottom w:val="none" w:sz="0" w:space="0" w:color="auto"/>
                <w:right w:val="none" w:sz="0" w:space="0" w:color="auto"/>
              </w:divBdr>
            </w:div>
          </w:divsChild>
        </w:div>
        <w:div w:id="205679298">
          <w:marLeft w:val="0"/>
          <w:marRight w:val="0"/>
          <w:marTop w:val="0"/>
          <w:marBottom w:val="0"/>
          <w:divBdr>
            <w:top w:val="none" w:sz="0" w:space="0" w:color="auto"/>
            <w:left w:val="none" w:sz="0" w:space="0" w:color="auto"/>
            <w:bottom w:val="none" w:sz="0" w:space="0" w:color="auto"/>
            <w:right w:val="none" w:sz="0" w:space="0" w:color="auto"/>
          </w:divBdr>
          <w:divsChild>
            <w:div w:id="185947389">
              <w:marLeft w:val="0"/>
              <w:marRight w:val="0"/>
              <w:marTop w:val="0"/>
              <w:marBottom w:val="0"/>
              <w:divBdr>
                <w:top w:val="none" w:sz="0" w:space="0" w:color="auto"/>
                <w:left w:val="none" w:sz="0" w:space="0" w:color="auto"/>
                <w:bottom w:val="none" w:sz="0" w:space="0" w:color="auto"/>
                <w:right w:val="none" w:sz="0" w:space="0" w:color="auto"/>
              </w:divBdr>
            </w:div>
          </w:divsChild>
        </w:div>
        <w:div w:id="1021323977">
          <w:marLeft w:val="0"/>
          <w:marRight w:val="0"/>
          <w:marTop w:val="0"/>
          <w:marBottom w:val="0"/>
          <w:divBdr>
            <w:top w:val="none" w:sz="0" w:space="0" w:color="auto"/>
            <w:left w:val="none" w:sz="0" w:space="0" w:color="auto"/>
            <w:bottom w:val="none" w:sz="0" w:space="0" w:color="auto"/>
            <w:right w:val="none" w:sz="0" w:space="0" w:color="auto"/>
          </w:divBdr>
          <w:divsChild>
            <w:div w:id="34925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17</Pages>
  <Words>3595</Words>
  <Characters>23375</Characters>
  <Application>Microsoft Office Word</Application>
  <DocSecurity>0</DocSecurity>
  <Lines>467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5</cp:revision>
  <dcterms:created xsi:type="dcterms:W3CDTF">2025-06-20T19:56:00Z</dcterms:created>
  <dcterms:modified xsi:type="dcterms:W3CDTF">2025-06-20T21:36:00Z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995eb007-3f8e-4d23-adac-45924d73cc20</vt:lpwstr>
  </property>
</Properties>
</file>