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C7" w:rsidRPr="007B6B85" w:rsidRDefault="00A53AC7" w:rsidP="00A53AC7">
      <w:pPr>
        <w:rPr>
          <w:rFonts w:ascii="Arial" w:hAnsi="Arial" w:cs="Arial"/>
        </w:rPr>
      </w:pPr>
      <w:r w:rsidRPr="007B6B85">
        <w:rPr>
          <w:rFonts w:ascii="Arial" w:hAnsi="Arial" w:cs="Arial"/>
        </w:rPr>
        <w:t>Student Number: 1500546</w:t>
      </w:r>
      <w:r w:rsidRPr="007B6B85">
        <w:rPr>
          <w:rFonts w:ascii="Arial" w:hAnsi="Arial" w:cs="Arial"/>
        </w:rPr>
        <w:tab/>
      </w:r>
      <w:r w:rsidRPr="007B6B85">
        <w:rPr>
          <w:rFonts w:ascii="Arial" w:hAnsi="Arial" w:cs="Arial"/>
        </w:rPr>
        <w:tab/>
      </w:r>
      <w:r w:rsidRPr="007B6B85">
        <w:rPr>
          <w:rFonts w:ascii="Arial" w:hAnsi="Arial" w:cs="Arial"/>
        </w:rPr>
        <w:tab/>
      </w:r>
      <w:r w:rsidRPr="007B6B85">
        <w:rPr>
          <w:rFonts w:ascii="Arial" w:hAnsi="Arial" w:cs="Arial"/>
        </w:rPr>
        <w:tab/>
      </w:r>
      <w:r w:rsidRPr="007B6B85">
        <w:rPr>
          <w:rFonts w:ascii="Arial" w:hAnsi="Arial" w:cs="Arial"/>
        </w:rPr>
        <w:tab/>
      </w:r>
      <w:r w:rsidRPr="007B6B85">
        <w:rPr>
          <w:rFonts w:ascii="Arial" w:hAnsi="Arial" w:cs="Arial"/>
        </w:rPr>
        <w:tab/>
        <w:t xml:space="preserve">Name: Hannah </w:t>
      </w:r>
      <w:proofErr w:type="spellStart"/>
      <w:r w:rsidRPr="007B6B85">
        <w:rPr>
          <w:rFonts w:ascii="Arial" w:hAnsi="Arial" w:cs="Arial"/>
        </w:rPr>
        <w:t>Whalley</w:t>
      </w:r>
      <w:proofErr w:type="spellEnd"/>
      <w:r w:rsidRPr="007B6B85">
        <w:rPr>
          <w:rFonts w:ascii="Arial" w:hAnsi="Arial" w:cs="Arial"/>
        </w:rPr>
        <w:t xml:space="preserve"> </w:t>
      </w:r>
    </w:p>
    <w:p w:rsidR="00A53AC7" w:rsidRPr="007B6B85" w:rsidRDefault="00A53AC7" w:rsidP="00A53AC7">
      <w:pPr>
        <w:rPr>
          <w:rFonts w:ascii="Arial" w:hAnsi="Arial" w:cs="Arial"/>
          <w:b/>
        </w:rPr>
      </w:pPr>
      <w:r w:rsidRPr="007B6B85">
        <w:rPr>
          <w:rFonts w:ascii="Arial" w:hAnsi="Arial" w:cs="Arial"/>
          <w:b/>
        </w:rPr>
        <w:t xml:space="preserve">In what ways has your work on the production helped to realise the director’s </w:t>
      </w:r>
      <w:r w:rsidR="00D63A42">
        <w:rPr>
          <w:rFonts w:ascii="Arial" w:hAnsi="Arial" w:cs="Arial"/>
          <w:b/>
        </w:rPr>
        <w:t>intended vision of the piece?</w:t>
      </w:r>
    </w:p>
    <w:p w:rsidR="00A53AC7" w:rsidRPr="007B6B85" w:rsidRDefault="00A53AC7" w:rsidP="00A53AC7">
      <w:pPr>
        <w:rPr>
          <w:rFonts w:ascii="Arial" w:hAnsi="Arial" w:cs="Arial"/>
          <w:sz w:val="20"/>
          <w:szCs w:val="20"/>
        </w:rPr>
      </w:pPr>
      <w:r w:rsidRPr="007B6B85">
        <w:rPr>
          <w:rFonts w:ascii="Arial" w:hAnsi="Arial" w:cs="Arial"/>
          <w:sz w:val="20"/>
          <w:szCs w:val="20"/>
        </w:rPr>
        <w:t>Throughout the process of o</w:t>
      </w:r>
      <w:r w:rsidR="00FB4FA3" w:rsidRPr="007B6B85">
        <w:rPr>
          <w:rFonts w:ascii="Arial" w:hAnsi="Arial" w:cs="Arial"/>
          <w:sz w:val="20"/>
          <w:szCs w:val="20"/>
        </w:rPr>
        <w:t>ur production the directors</w:t>
      </w:r>
      <w:r w:rsidRPr="007B6B85">
        <w:rPr>
          <w:rFonts w:ascii="Arial" w:hAnsi="Arial" w:cs="Arial"/>
          <w:sz w:val="20"/>
          <w:szCs w:val="20"/>
        </w:rPr>
        <w:t xml:space="preserve"> </w:t>
      </w:r>
      <w:r w:rsidR="008231DD" w:rsidRPr="007B6B85">
        <w:rPr>
          <w:rFonts w:ascii="Arial" w:hAnsi="Arial" w:cs="Arial"/>
          <w:sz w:val="20"/>
          <w:szCs w:val="20"/>
        </w:rPr>
        <w:t xml:space="preserve">have </w:t>
      </w:r>
      <w:r w:rsidRPr="007B6B85">
        <w:rPr>
          <w:rFonts w:ascii="Arial" w:hAnsi="Arial" w:cs="Arial"/>
          <w:sz w:val="20"/>
          <w:szCs w:val="20"/>
        </w:rPr>
        <w:t xml:space="preserve">had clear visions of how they see the piece. I have noted their views and implemented them into my work. ‘Far From </w:t>
      </w:r>
      <w:proofErr w:type="gramStart"/>
      <w:r w:rsidRPr="007B6B85">
        <w:rPr>
          <w:rFonts w:ascii="Arial" w:hAnsi="Arial" w:cs="Arial"/>
          <w:sz w:val="20"/>
          <w:szCs w:val="20"/>
        </w:rPr>
        <w:t>The</w:t>
      </w:r>
      <w:proofErr w:type="gramEnd"/>
      <w:r w:rsidRPr="007B6B85">
        <w:rPr>
          <w:rFonts w:ascii="Arial" w:hAnsi="Arial" w:cs="Arial"/>
          <w:sz w:val="20"/>
          <w:szCs w:val="20"/>
        </w:rPr>
        <w:t xml:space="preserve"> Madding Crowd’ is set in the 1800’s, therefore, the directors wanted to keep </w:t>
      </w:r>
      <w:r w:rsidR="008231DD" w:rsidRPr="007B6B85">
        <w:rPr>
          <w:rFonts w:ascii="Arial" w:hAnsi="Arial" w:cs="Arial"/>
          <w:sz w:val="20"/>
          <w:szCs w:val="20"/>
        </w:rPr>
        <w:t xml:space="preserve">the piece classical. </w:t>
      </w:r>
      <w:r w:rsidR="00CC323C" w:rsidRPr="007B6B85">
        <w:rPr>
          <w:rFonts w:ascii="Arial" w:hAnsi="Arial" w:cs="Arial"/>
          <w:sz w:val="20"/>
          <w:szCs w:val="20"/>
        </w:rPr>
        <w:t xml:space="preserve">Overall the directors </w:t>
      </w:r>
      <w:r w:rsidRPr="007B6B85">
        <w:rPr>
          <w:rFonts w:ascii="Arial" w:hAnsi="Arial" w:cs="Arial"/>
          <w:sz w:val="20"/>
          <w:szCs w:val="20"/>
        </w:rPr>
        <w:t>wanted the piece to be naturalistic, however, in specific mome</w:t>
      </w:r>
      <w:r w:rsidR="00CC323C" w:rsidRPr="007B6B85">
        <w:rPr>
          <w:rFonts w:ascii="Arial" w:hAnsi="Arial" w:cs="Arial"/>
          <w:sz w:val="20"/>
          <w:szCs w:val="20"/>
        </w:rPr>
        <w:t xml:space="preserve">nts stylisation was deemed </w:t>
      </w:r>
      <w:r w:rsidR="00372409" w:rsidRPr="007B6B85">
        <w:rPr>
          <w:rFonts w:ascii="Arial" w:hAnsi="Arial" w:cs="Arial"/>
          <w:sz w:val="20"/>
          <w:szCs w:val="20"/>
        </w:rPr>
        <w:t xml:space="preserve">more </w:t>
      </w:r>
      <w:r w:rsidRPr="007B6B85">
        <w:rPr>
          <w:rFonts w:ascii="Arial" w:hAnsi="Arial" w:cs="Arial"/>
          <w:sz w:val="20"/>
          <w:szCs w:val="20"/>
        </w:rPr>
        <w:t>appropriate. They believed the ensemb</w:t>
      </w:r>
      <w:r w:rsidR="00CC323C" w:rsidRPr="007B6B85">
        <w:rPr>
          <w:rFonts w:ascii="Arial" w:hAnsi="Arial" w:cs="Arial"/>
          <w:sz w:val="20"/>
          <w:szCs w:val="20"/>
        </w:rPr>
        <w:t xml:space="preserve">le should have a </w:t>
      </w:r>
      <w:r w:rsidRPr="007B6B85">
        <w:rPr>
          <w:rFonts w:ascii="Arial" w:hAnsi="Arial" w:cs="Arial"/>
          <w:sz w:val="20"/>
          <w:szCs w:val="20"/>
        </w:rPr>
        <w:t>clear position in the piece, as if to create ‘another world’.</w:t>
      </w:r>
      <w:r w:rsidR="00BE041C">
        <w:rPr>
          <w:rFonts w:ascii="Arial" w:hAnsi="Arial" w:cs="Arial"/>
          <w:sz w:val="20"/>
          <w:szCs w:val="20"/>
        </w:rPr>
        <w:t xml:space="preserve"> </w:t>
      </w:r>
    </w:p>
    <w:p w:rsidR="00A53AC7" w:rsidRPr="007B6B85" w:rsidRDefault="00BF529A" w:rsidP="00A53AC7">
      <w:pPr>
        <w:rPr>
          <w:rFonts w:ascii="Arial" w:hAnsi="Arial" w:cs="Arial"/>
          <w:sz w:val="20"/>
          <w:szCs w:val="20"/>
        </w:rPr>
      </w:pPr>
      <w:r w:rsidRPr="007B6B85">
        <w:rPr>
          <w:rFonts w:ascii="Arial" w:hAnsi="Arial" w:cs="Arial"/>
          <w:sz w:val="20"/>
          <w:szCs w:val="20"/>
        </w:rPr>
        <w:t xml:space="preserve">It was important </w:t>
      </w:r>
      <w:r w:rsidR="00A53AC7" w:rsidRPr="007B6B85">
        <w:rPr>
          <w:rFonts w:ascii="Arial" w:hAnsi="Arial" w:cs="Arial"/>
          <w:sz w:val="20"/>
          <w:szCs w:val="20"/>
        </w:rPr>
        <w:t>I didn’t make my reactions modern, as the directors wanted to keep the piece true to the period. For example, in one of the ‘</w:t>
      </w:r>
      <w:proofErr w:type="spellStart"/>
      <w:r w:rsidR="00A53AC7" w:rsidRPr="007B6B85">
        <w:rPr>
          <w:rFonts w:ascii="Arial" w:hAnsi="Arial" w:cs="Arial"/>
          <w:sz w:val="20"/>
          <w:szCs w:val="20"/>
        </w:rPr>
        <w:t>Malthouse</w:t>
      </w:r>
      <w:proofErr w:type="spellEnd"/>
      <w:r w:rsidR="00A53AC7" w:rsidRPr="007B6B85">
        <w:rPr>
          <w:rFonts w:ascii="Arial" w:hAnsi="Arial" w:cs="Arial"/>
          <w:sz w:val="20"/>
          <w:szCs w:val="20"/>
        </w:rPr>
        <w:t xml:space="preserve">’ scenes, the men talk about Bathsheba in what can be perceived as a very disrespectful manner in today’s society. However, in the 1800’s, such a manner may not have been perceived as discourteous. Therefore, I needed to convey a lack of shock in regards to the way the characters talked about </w:t>
      </w:r>
      <w:r w:rsidR="00AD5976" w:rsidRPr="007B6B85">
        <w:rPr>
          <w:rFonts w:ascii="Arial" w:hAnsi="Arial" w:cs="Arial"/>
          <w:sz w:val="20"/>
          <w:szCs w:val="20"/>
        </w:rPr>
        <w:t>Bathsheba</w:t>
      </w:r>
      <w:r w:rsidR="00A53AC7" w:rsidRPr="007B6B85">
        <w:rPr>
          <w:rFonts w:ascii="Arial" w:hAnsi="Arial" w:cs="Arial"/>
          <w:sz w:val="20"/>
          <w:szCs w:val="20"/>
        </w:rPr>
        <w:t>. I portrayed this by brushing it off as something that is regularly said, simply laughing with the girls. A particular challen</w:t>
      </w:r>
      <w:r w:rsidR="00104575" w:rsidRPr="007B6B85">
        <w:rPr>
          <w:rFonts w:ascii="Arial" w:hAnsi="Arial" w:cs="Arial"/>
          <w:sz w:val="20"/>
          <w:szCs w:val="20"/>
        </w:rPr>
        <w:t>ge I encountered during the process was not playi</w:t>
      </w:r>
      <w:r w:rsidR="009F77B2">
        <w:rPr>
          <w:rFonts w:ascii="Arial" w:hAnsi="Arial" w:cs="Arial"/>
          <w:sz w:val="20"/>
          <w:szCs w:val="20"/>
        </w:rPr>
        <w:t>ng my modern self. A</w:t>
      </w:r>
      <w:r w:rsidR="00A53AC7" w:rsidRPr="007B6B85">
        <w:rPr>
          <w:rFonts w:ascii="Arial" w:hAnsi="Arial" w:cs="Arial"/>
          <w:sz w:val="20"/>
          <w:szCs w:val="20"/>
        </w:rPr>
        <w:t>lthough wearing costumes and using props enabled me to achieve a performance related to the time period, I found having to adapt my accent a challenge. I</w:t>
      </w:r>
      <w:r w:rsidR="00104575" w:rsidRPr="007B6B85">
        <w:rPr>
          <w:rFonts w:ascii="Arial" w:hAnsi="Arial" w:cs="Arial"/>
          <w:sz w:val="20"/>
          <w:szCs w:val="20"/>
        </w:rPr>
        <w:t xml:space="preserve"> believe I overcame this</w:t>
      </w:r>
      <w:r w:rsidR="00A53AC7" w:rsidRPr="007B6B85">
        <w:rPr>
          <w:rFonts w:ascii="Arial" w:hAnsi="Arial" w:cs="Arial"/>
          <w:sz w:val="20"/>
          <w:szCs w:val="20"/>
        </w:rPr>
        <w:t>, by working on my ‘rhoticity’,</w:t>
      </w:r>
      <w:r w:rsidR="00A53AC7" w:rsidRPr="007B6B85">
        <w:rPr>
          <w:rFonts w:ascii="Arial" w:hAnsi="Arial" w:cs="Arial"/>
          <w:b/>
          <w:i/>
          <w:sz w:val="20"/>
          <w:szCs w:val="20"/>
        </w:rPr>
        <w:t>“meaning the letter ‘r’ is more prominently pronounced after vowel</w:t>
      </w:r>
      <w:r w:rsidR="00F269A2" w:rsidRPr="007B6B85">
        <w:rPr>
          <w:rFonts w:ascii="Arial" w:hAnsi="Arial" w:cs="Arial"/>
          <w:b/>
          <w:i/>
          <w:sz w:val="20"/>
          <w:szCs w:val="20"/>
        </w:rPr>
        <w:t>s”</w:t>
      </w:r>
      <w:r w:rsidR="00AB04E7" w:rsidRPr="007B6B85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1"/>
      </w:r>
      <w:r w:rsidR="00AB04E7" w:rsidRPr="007B6B85">
        <w:rPr>
          <w:rFonts w:ascii="Arial" w:hAnsi="Arial" w:cs="Arial"/>
          <w:sz w:val="20"/>
          <w:szCs w:val="20"/>
        </w:rPr>
        <w:t>.</w:t>
      </w:r>
      <w:r w:rsidR="00F269A2" w:rsidRPr="007B6B85">
        <w:rPr>
          <w:rFonts w:ascii="Arial" w:hAnsi="Arial" w:cs="Arial"/>
          <w:sz w:val="20"/>
          <w:szCs w:val="20"/>
        </w:rPr>
        <w:t xml:space="preserve">In doing so, it allowed </w:t>
      </w:r>
      <w:r w:rsidR="00FB4FA3" w:rsidRPr="007B6B85">
        <w:rPr>
          <w:rFonts w:ascii="Arial" w:hAnsi="Arial" w:cs="Arial"/>
          <w:sz w:val="20"/>
          <w:szCs w:val="20"/>
        </w:rPr>
        <w:t xml:space="preserve">the </w:t>
      </w:r>
      <w:r w:rsidR="00A53AC7" w:rsidRPr="007B6B85">
        <w:rPr>
          <w:rFonts w:ascii="Arial" w:hAnsi="Arial" w:cs="Arial"/>
          <w:sz w:val="20"/>
          <w:szCs w:val="20"/>
        </w:rPr>
        <w:t>clarity of my accent to improve; meaning I could focus on keeping my diction clear. The director wanted accents to be used when possible, so by enhancing the ‘</w:t>
      </w:r>
      <w:proofErr w:type="spellStart"/>
      <w:r w:rsidR="00A53AC7" w:rsidRPr="007B6B85">
        <w:rPr>
          <w:rFonts w:ascii="Arial" w:hAnsi="Arial" w:cs="Arial"/>
          <w:sz w:val="20"/>
          <w:szCs w:val="20"/>
        </w:rPr>
        <w:t>rhotic</w:t>
      </w:r>
      <w:proofErr w:type="spellEnd"/>
      <w:r w:rsidR="00A53AC7" w:rsidRPr="007B6B85">
        <w:rPr>
          <w:rFonts w:ascii="Arial" w:hAnsi="Arial" w:cs="Arial"/>
          <w:sz w:val="20"/>
          <w:szCs w:val="20"/>
        </w:rPr>
        <w:t>’ features of my accent, it allowe</w:t>
      </w:r>
      <w:r w:rsidR="00104575" w:rsidRPr="007B6B85">
        <w:rPr>
          <w:rFonts w:ascii="Arial" w:hAnsi="Arial" w:cs="Arial"/>
          <w:sz w:val="20"/>
          <w:szCs w:val="20"/>
        </w:rPr>
        <w:t xml:space="preserve">d me to perform an </w:t>
      </w:r>
      <w:r w:rsidR="00A53AC7" w:rsidRPr="007B6B85">
        <w:rPr>
          <w:rFonts w:ascii="Arial" w:hAnsi="Arial" w:cs="Arial"/>
          <w:sz w:val="20"/>
          <w:szCs w:val="20"/>
        </w:rPr>
        <w:t xml:space="preserve">accent (associated with the county of Dorset) </w:t>
      </w:r>
      <w:bookmarkStart w:id="0" w:name="_GoBack"/>
      <w:bookmarkEnd w:id="0"/>
      <w:r w:rsidR="00A53AC7" w:rsidRPr="007B6B85">
        <w:rPr>
          <w:rFonts w:ascii="Arial" w:hAnsi="Arial" w:cs="Arial"/>
          <w:sz w:val="20"/>
          <w:szCs w:val="20"/>
        </w:rPr>
        <w:t xml:space="preserve">throughout the piece. </w:t>
      </w:r>
      <w:r w:rsidR="00BE041C">
        <w:rPr>
          <w:rFonts w:ascii="Arial" w:hAnsi="Arial" w:cs="Arial"/>
          <w:sz w:val="20"/>
          <w:szCs w:val="20"/>
        </w:rPr>
        <w:t xml:space="preserve"> </w:t>
      </w:r>
    </w:p>
    <w:p w:rsidR="00CC323C" w:rsidRPr="007B6B85" w:rsidRDefault="00A53AC7" w:rsidP="00A53AC7">
      <w:pPr>
        <w:rPr>
          <w:rFonts w:ascii="Arial" w:hAnsi="Arial" w:cs="Arial"/>
          <w:color w:val="000000" w:themeColor="text1"/>
          <w:sz w:val="20"/>
          <w:szCs w:val="20"/>
        </w:rPr>
      </w:pPr>
      <w:r w:rsidRPr="007B6B85">
        <w:rPr>
          <w:rFonts w:ascii="Arial" w:hAnsi="Arial" w:cs="Arial"/>
          <w:sz w:val="20"/>
          <w:szCs w:val="20"/>
        </w:rPr>
        <w:t>During the work on the production, th</w:t>
      </w:r>
      <w:r w:rsidR="008231DD" w:rsidRPr="007B6B85">
        <w:rPr>
          <w:rFonts w:ascii="Arial" w:hAnsi="Arial" w:cs="Arial"/>
          <w:sz w:val="20"/>
          <w:szCs w:val="20"/>
        </w:rPr>
        <w:t>e directors worked on creating stylised scenes</w:t>
      </w:r>
      <w:r w:rsidRPr="007B6B85">
        <w:rPr>
          <w:rFonts w:ascii="Arial" w:hAnsi="Arial" w:cs="Arial"/>
          <w:sz w:val="20"/>
          <w:szCs w:val="20"/>
        </w:rPr>
        <w:t xml:space="preserve">. For example, in the opening of act two, four farm girls enter from upstage looking at Bathsheba reciting the bible after her. The director expressed that the voices </w:t>
      </w:r>
      <w:r w:rsidRPr="007B6B85">
        <w:rPr>
          <w:rFonts w:ascii="Arial" w:hAnsi="Arial" w:cs="Arial"/>
          <w:b/>
          <w:i/>
          <w:sz w:val="20"/>
          <w:szCs w:val="20"/>
        </w:rPr>
        <w:t>“need to be outer body voices”</w:t>
      </w:r>
      <w:r w:rsidR="00AB04E7" w:rsidRPr="007B6B85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7B6B85">
        <w:rPr>
          <w:rFonts w:ascii="Arial" w:hAnsi="Arial" w:cs="Arial"/>
          <w:sz w:val="20"/>
          <w:szCs w:val="20"/>
        </w:rPr>
        <w:t xml:space="preserve">, so the performers are able to construct a visual representation of her repetition. The pace we walk, our focus on Bathsheba, and the facial expressions utilised possess a stylised atmosphere, portraying stark contrast to the many naturalistic scenes. My work on this particular scene has developed over the rehearsal process. My line </w:t>
      </w:r>
      <w:r w:rsidR="00652F53">
        <w:rPr>
          <w:rFonts w:ascii="Arial" w:hAnsi="Arial" w:cs="Arial"/>
          <w:b/>
          <w:i/>
          <w:sz w:val="20"/>
          <w:szCs w:val="20"/>
        </w:rPr>
        <w:t xml:space="preserve">“What will Mr </w:t>
      </w:r>
      <w:proofErr w:type="spellStart"/>
      <w:r w:rsidR="00652F53">
        <w:rPr>
          <w:rFonts w:ascii="Arial" w:hAnsi="Arial" w:cs="Arial"/>
          <w:b/>
          <w:i/>
          <w:sz w:val="20"/>
          <w:szCs w:val="20"/>
        </w:rPr>
        <w:t>Bold</w:t>
      </w:r>
      <w:r w:rsidRPr="007B6B85">
        <w:rPr>
          <w:rFonts w:ascii="Arial" w:hAnsi="Arial" w:cs="Arial"/>
          <w:b/>
          <w:i/>
          <w:sz w:val="20"/>
          <w:szCs w:val="20"/>
        </w:rPr>
        <w:t>wood</w:t>
      </w:r>
      <w:proofErr w:type="spellEnd"/>
      <w:r w:rsidRPr="007B6B85">
        <w:rPr>
          <w:rFonts w:ascii="Arial" w:hAnsi="Arial" w:cs="Arial"/>
          <w:b/>
          <w:i/>
          <w:sz w:val="20"/>
          <w:szCs w:val="20"/>
        </w:rPr>
        <w:t xml:space="preserve"> say when he comes back, to be jilted for a man like Frank Troy”</w:t>
      </w:r>
      <w:r w:rsidR="00AB04E7" w:rsidRPr="007B6B85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3"/>
      </w:r>
      <w:r w:rsidR="00AB04E7" w:rsidRPr="007B6B85">
        <w:rPr>
          <w:rFonts w:ascii="Arial" w:hAnsi="Arial" w:cs="Arial"/>
          <w:sz w:val="20"/>
          <w:szCs w:val="20"/>
        </w:rPr>
        <w:t>,</w:t>
      </w:r>
      <w:r w:rsidR="009F77B2">
        <w:rPr>
          <w:rFonts w:ascii="Arial" w:hAnsi="Arial" w:cs="Arial"/>
          <w:sz w:val="20"/>
          <w:szCs w:val="20"/>
        </w:rPr>
        <w:t xml:space="preserve"> i</w:t>
      </w:r>
      <w:r w:rsidRPr="007B6B85">
        <w:rPr>
          <w:rFonts w:ascii="Arial" w:hAnsi="Arial" w:cs="Arial"/>
          <w:sz w:val="20"/>
          <w:szCs w:val="20"/>
        </w:rPr>
        <w:t>s integral to the directors vision at this moment, as it breaks the stylised performance, bringing it back to naturalistic.</w:t>
      </w:r>
    </w:p>
    <w:p w:rsidR="00A53AC7" w:rsidRPr="009F77B2" w:rsidRDefault="00A53AC7" w:rsidP="00A53AC7">
      <w:pPr>
        <w:rPr>
          <w:rFonts w:ascii="Arial" w:hAnsi="Arial" w:cs="Arial"/>
          <w:color w:val="000000" w:themeColor="text1"/>
          <w:sz w:val="20"/>
          <w:szCs w:val="20"/>
        </w:rPr>
      </w:pPr>
      <w:r w:rsidRPr="007B6B85">
        <w:rPr>
          <w:rFonts w:ascii="Arial" w:hAnsi="Arial" w:cs="Arial"/>
          <w:sz w:val="20"/>
          <w:szCs w:val="20"/>
        </w:rPr>
        <w:t>Throughout the piece</w:t>
      </w:r>
      <w:r w:rsidR="00CC323C" w:rsidRPr="007B6B85">
        <w:rPr>
          <w:rFonts w:ascii="Arial" w:hAnsi="Arial" w:cs="Arial"/>
          <w:sz w:val="20"/>
          <w:szCs w:val="20"/>
        </w:rPr>
        <w:t xml:space="preserve">, </w:t>
      </w:r>
      <w:r w:rsidRPr="007B6B85">
        <w:rPr>
          <w:rFonts w:ascii="Arial" w:hAnsi="Arial" w:cs="Arial"/>
          <w:sz w:val="20"/>
          <w:szCs w:val="20"/>
        </w:rPr>
        <w:t>the director</w:t>
      </w:r>
      <w:r w:rsidR="00372409" w:rsidRPr="007B6B85">
        <w:rPr>
          <w:rFonts w:ascii="Arial" w:hAnsi="Arial" w:cs="Arial"/>
          <w:sz w:val="20"/>
          <w:szCs w:val="20"/>
        </w:rPr>
        <w:t>’</w:t>
      </w:r>
      <w:r w:rsidRPr="007B6B85">
        <w:rPr>
          <w:rFonts w:ascii="Arial" w:hAnsi="Arial" w:cs="Arial"/>
          <w:sz w:val="20"/>
          <w:szCs w:val="20"/>
        </w:rPr>
        <w:t>s were clear that the ensemble members needed to convey the story in a different light to the principle roles. The dir</w:t>
      </w:r>
      <w:r w:rsidR="00CC323C" w:rsidRPr="007B6B85">
        <w:rPr>
          <w:rFonts w:ascii="Arial" w:hAnsi="Arial" w:cs="Arial"/>
          <w:sz w:val="20"/>
          <w:szCs w:val="20"/>
        </w:rPr>
        <w:t xml:space="preserve">ector expressed </w:t>
      </w:r>
      <w:r w:rsidR="00CC323C" w:rsidRPr="007B6B85">
        <w:rPr>
          <w:rFonts w:ascii="Arial" w:hAnsi="Arial" w:cs="Arial"/>
          <w:b/>
          <w:i/>
          <w:sz w:val="20"/>
          <w:szCs w:val="20"/>
        </w:rPr>
        <w:t xml:space="preserve">“The </w:t>
      </w:r>
      <w:r w:rsidR="00372409" w:rsidRPr="007B6B85">
        <w:rPr>
          <w:rFonts w:ascii="Arial" w:hAnsi="Arial" w:cs="Arial"/>
          <w:b/>
          <w:i/>
          <w:sz w:val="20"/>
          <w:szCs w:val="20"/>
        </w:rPr>
        <w:t xml:space="preserve">ensemble </w:t>
      </w:r>
      <w:r w:rsidR="00437E5B" w:rsidRPr="007B6B85">
        <w:rPr>
          <w:rFonts w:ascii="Arial" w:hAnsi="Arial" w:cs="Arial"/>
          <w:b/>
          <w:i/>
          <w:sz w:val="20"/>
          <w:szCs w:val="20"/>
        </w:rPr>
        <w:t>are</w:t>
      </w:r>
      <w:r w:rsidRPr="007B6B85">
        <w:rPr>
          <w:rFonts w:ascii="Arial" w:hAnsi="Arial" w:cs="Arial"/>
          <w:b/>
          <w:i/>
          <w:sz w:val="20"/>
          <w:szCs w:val="20"/>
        </w:rPr>
        <w:t xml:space="preserve"> important to the </w:t>
      </w:r>
      <w:r w:rsidR="00437E5B" w:rsidRPr="007B6B85">
        <w:rPr>
          <w:rFonts w:ascii="Arial" w:hAnsi="Arial" w:cs="Arial"/>
          <w:b/>
          <w:i/>
          <w:sz w:val="20"/>
          <w:szCs w:val="20"/>
        </w:rPr>
        <w:t xml:space="preserve">journey </w:t>
      </w:r>
      <w:r w:rsidR="00EF7CBE">
        <w:rPr>
          <w:rFonts w:ascii="Arial" w:hAnsi="Arial" w:cs="Arial"/>
          <w:b/>
          <w:i/>
          <w:sz w:val="20"/>
          <w:szCs w:val="20"/>
        </w:rPr>
        <w:t>and</w:t>
      </w:r>
      <w:r w:rsidR="00437E5B" w:rsidRPr="007B6B85">
        <w:rPr>
          <w:rFonts w:ascii="Arial" w:hAnsi="Arial" w:cs="Arial"/>
          <w:b/>
          <w:i/>
          <w:sz w:val="20"/>
          <w:szCs w:val="20"/>
        </w:rPr>
        <w:t xml:space="preserve"> </w:t>
      </w:r>
      <w:r w:rsidRPr="007B6B85">
        <w:rPr>
          <w:rFonts w:ascii="Arial" w:hAnsi="Arial" w:cs="Arial"/>
          <w:b/>
          <w:i/>
          <w:sz w:val="20"/>
          <w:szCs w:val="20"/>
        </w:rPr>
        <w:t xml:space="preserve">without them the story wouldn’t be the </w:t>
      </w:r>
      <w:r w:rsidR="00437E5B" w:rsidRPr="007B6B85">
        <w:rPr>
          <w:rFonts w:ascii="Arial" w:hAnsi="Arial" w:cs="Arial"/>
          <w:b/>
          <w:i/>
          <w:sz w:val="20"/>
          <w:szCs w:val="20"/>
        </w:rPr>
        <w:t>same”</w:t>
      </w:r>
      <w:r w:rsidR="00AB04E7" w:rsidRPr="007B6B85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4"/>
      </w:r>
      <w:r w:rsidR="00AB04E7" w:rsidRPr="007B6B85">
        <w:rPr>
          <w:rFonts w:ascii="Arial" w:hAnsi="Arial" w:cs="Arial"/>
          <w:sz w:val="20"/>
          <w:szCs w:val="20"/>
        </w:rPr>
        <w:t>.</w:t>
      </w:r>
      <w:r w:rsidR="009F77B2">
        <w:rPr>
          <w:rFonts w:ascii="Arial" w:hAnsi="Arial" w:cs="Arial"/>
          <w:sz w:val="20"/>
          <w:szCs w:val="20"/>
        </w:rPr>
        <w:t xml:space="preserve"> </w:t>
      </w:r>
      <w:r w:rsidR="00380563" w:rsidRPr="007B6B85">
        <w:rPr>
          <w:rFonts w:ascii="Arial" w:hAnsi="Arial" w:cs="Arial"/>
          <w:sz w:val="20"/>
          <w:szCs w:val="20"/>
        </w:rPr>
        <w:t xml:space="preserve">In the final </w:t>
      </w:r>
      <w:r w:rsidR="00AD5976" w:rsidRPr="007B6B85">
        <w:rPr>
          <w:rFonts w:ascii="Arial" w:hAnsi="Arial" w:cs="Arial"/>
          <w:sz w:val="20"/>
          <w:szCs w:val="20"/>
        </w:rPr>
        <w:t xml:space="preserve">ensemble </w:t>
      </w:r>
      <w:r w:rsidR="00437E5B" w:rsidRPr="007B6B85">
        <w:rPr>
          <w:rFonts w:ascii="Arial" w:hAnsi="Arial" w:cs="Arial"/>
          <w:sz w:val="20"/>
          <w:szCs w:val="20"/>
        </w:rPr>
        <w:t>scene Troy</w:t>
      </w:r>
      <w:r w:rsidRPr="007B6B85">
        <w:rPr>
          <w:rFonts w:ascii="Arial" w:hAnsi="Arial" w:cs="Arial"/>
          <w:sz w:val="20"/>
          <w:szCs w:val="20"/>
        </w:rPr>
        <w:t xml:space="preserve"> expresses </w:t>
      </w:r>
      <w:r w:rsidR="00652F53">
        <w:rPr>
          <w:rFonts w:ascii="Arial" w:hAnsi="Arial" w:cs="Arial"/>
          <w:sz w:val="20"/>
          <w:szCs w:val="20"/>
        </w:rPr>
        <w:t xml:space="preserve">his fury at Bathsheba and </w:t>
      </w:r>
      <w:proofErr w:type="spellStart"/>
      <w:r w:rsidR="00652F53">
        <w:rPr>
          <w:rFonts w:ascii="Arial" w:hAnsi="Arial" w:cs="Arial"/>
          <w:sz w:val="20"/>
          <w:szCs w:val="20"/>
        </w:rPr>
        <w:t>Bold</w:t>
      </w:r>
      <w:r w:rsidRPr="007B6B85">
        <w:rPr>
          <w:rFonts w:ascii="Arial" w:hAnsi="Arial" w:cs="Arial"/>
          <w:sz w:val="20"/>
          <w:szCs w:val="20"/>
        </w:rPr>
        <w:t>wood</w:t>
      </w:r>
      <w:proofErr w:type="spellEnd"/>
      <w:r w:rsidR="009F77B2">
        <w:rPr>
          <w:rFonts w:ascii="Arial" w:hAnsi="Arial" w:cs="Arial"/>
          <w:sz w:val="20"/>
          <w:szCs w:val="20"/>
        </w:rPr>
        <w:t>. O</w:t>
      </w:r>
      <w:r w:rsidR="00CC323C" w:rsidRPr="007B6B85">
        <w:rPr>
          <w:rFonts w:ascii="Arial" w:hAnsi="Arial" w:cs="Arial"/>
          <w:color w:val="000000" w:themeColor="text1"/>
          <w:sz w:val="20"/>
          <w:szCs w:val="20"/>
        </w:rPr>
        <w:t>n Troy’s</w:t>
      </w:r>
      <w:r w:rsidR="008951E7" w:rsidRPr="007B6B8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B04E7" w:rsidRPr="007B6B85">
        <w:rPr>
          <w:rFonts w:ascii="Arial" w:hAnsi="Arial" w:cs="Arial"/>
          <w:color w:val="000000" w:themeColor="text1"/>
          <w:sz w:val="20"/>
          <w:szCs w:val="20"/>
        </w:rPr>
        <w:t>line,</w:t>
      </w:r>
      <w:r w:rsidR="00AB04E7" w:rsidRPr="007B6B85">
        <w:rPr>
          <w:rFonts w:ascii="Arial" w:hAnsi="Arial" w:cs="Arial"/>
          <w:b/>
          <w:i/>
          <w:color w:val="000000" w:themeColor="text1"/>
          <w:sz w:val="20"/>
          <w:szCs w:val="20"/>
        </w:rPr>
        <w:t xml:space="preserve"> “And</w:t>
      </w:r>
      <w:r w:rsidRPr="007B6B85">
        <w:rPr>
          <w:rFonts w:ascii="Arial" w:hAnsi="Arial" w:cs="Arial"/>
          <w:b/>
          <w:i/>
          <w:color w:val="000000" w:themeColor="text1"/>
          <w:sz w:val="20"/>
          <w:szCs w:val="20"/>
        </w:rPr>
        <w:t xml:space="preserve"> then… oh, then I began to hear rumours, all around the county”</w:t>
      </w:r>
      <w:r w:rsidRPr="007B6B8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B04E7" w:rsidRPr="007B6B85">
        <w:rPr>
          <w:rStyle w:val="FootnoteReference"/>
          <w:rFonts w:ascii="Arial" w:hAnsi="Arial" w:cs="Arial"/>
          <w:b/>
          <w:i/>
          <w:color w:val="000000" w:themeColor="text1"/>
          <w:sz w:val="20"/>
          <w:szCs w:val="20"/>
        </w:rPr>
        <w:footnoteReference w:id="5"/>
      </w:r>
      <w:r w:rsidR="009F77B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72409" w:rsidRPr="007B6B85">
        <w:rPr>
          <w:rFonts w:ascii="Arial" w:hAnsi="Arial" w:cs="Arial"/>
          <w:color w:val="000000" w:themeColor="text1"/>
          <w:sz w:val="20"/>
          <w:szCs w:val="20"/>
        </w:rPr>
        <w:t>we are informed that the farm workers were the cause of Troy’s fury</w:t>
      </w:r>
      <w:r w:rsidRPr="007B6B85">
        <w:rPr>
          <w:rFonts w:ascii="Arial" w:hAnsi="Arial" w:cs="Arial"/>
          <w:sz w:val="20"/>
          <w:szCs w:val="20"/>
        </w:rPr>
        <w:t xml:space="preserve">. It was critical </w:t>
      </w:r>
      <w:r w:rsidR="008951E7" w:rsidRPr="007B6B85">
        <w:rPr>
          <w:rFonts w:ascii="Arial" w:hAnsi="Arial" w:cs="Arial"/>
          <w:sz w:val="20"/>
          <w:szCs w:val="20"/>
        </w:rPr>
        <w:t xml:space="preserve">that I gave my character a </w:t>
      </w:r>
      <w:r w:rsidRPr="007B6B85">
        <w:rPr>
          <w:rFonts w:ascii="Arial" w:hAnsi="Arial" w:cs="Arial"/>
          <w:sz w:val="20"/>
          <w:szCs w:val="20"/>
        </w:rPr>
        <w:t>journey throughout the piece, because even though she doesn’t speak much, there was a lot of subtext</w:t>
      </w:r>
      <w:r w:rsidR="00EF7CBE">
        <w:rPr>
          <w:rFonts w:ascii="Arial" w:hAnsi="Arial" w:cs="Arial"/>
          <w:sz w:val="20"/>
          <w:szCs w:val="20"/>
        </w:rPr>
        <w:t xml:space="preserve"> to be found</w:t>
      </w:r>
      <w:r w:rsidRPr="007B6B85">
        <w:rPr>
          <w:rFonts w:ascii="Arial" w:hAnsi="Arial" w:cs="Arial"/>
          <w:sz w:val="20"/>
          <w:szCs w:val="20"/>
        </w:rPr>
        <w:t>; this is why I</w:t>
      </w:r>
      <w:r w:rsidR="008951E7" w:rsidRPr="007B6B85">
        <w:rPr>
          <w:rFonts w:ascii="Arial" w:hAnsi="Arial" w:cs="Arial"/>
          <w:sz w:val="20"/>
          <w:szCs w:val="20"/>
        </w:rPr>
        <w:t xml:space="preserve"> did a character profile</w:t>
      </w:r>
      <w:r w:rsidRPr="007B6B85">
        <w:rPr>
          <w:rFonts w:ascii="Arial" w:hAnsi="Arial" w:cs="Arial"/>
          <w:sz w:val="20"/>
          <w:szCs w:val="20"/>
        </w:rPr>
        <w:t>.</w:t>
      </w:r>
      <w:r w:rsidR="00BE041C">
        <w:rPr>
          <w:rFonts w:ascii="Arial" w:hAnsi="Arial" w:cs="Arial"/>
          <w:sz w:val="20"/>
          <w:szCs w:val="20"/>
        </w:rPr>
        <w:t xml:space="preserve"> </w:t>
      </w:r>
    </w:p>
    <w:p w:rsidR="00A53AC7" w:rsidRPr="007B6B85" w:rsidRDefault="00A53AC7" w:rsidP="00A53AC7">
      <w:pPr>
        <w:rPr>
          <w:rFonts w:ascii="Arial" w:hAnsi="Arial" w:cs="Arial"/>
          <w:sz w:val="20"/>
          <w:szCs w:val="20"/>
        </w:rPr>
      </w:pPr>
      <w:r w:rsidRPr="007B6B85">
        <w:rPr>
          <w:rFonts w:ascii="Arial" w:hAnsi="Arial" w:cs="Arial"/>
          <w:sz w:val="20"/>
          <w:szCs w:val="20"/>
        </w:rPr>
        <w:t xml:space="preserve">In this essay I have demonstrated how I have applied what the director’s visions of the piece were. Throughout the </w:t>
      </w:r>
      <w:r w:rsidR="00D27B28" w:rsidRPr="007B6B85">
        <w:rPr>
          <w:rFonts w:ascii="Arial" w:hAnsi="Arial" w:cs="Arial"/>
          <w:sz w:val="20"/>
          <w:szCs w:val="20"/>
        </w:rPr>
        <w:t xml:space="preserve">rehearsal process I have </w:t>
      </w:r>
      <w:r w:rsidR="00BD2981" w:rsidRPr="007B6B85">
        <w:rPr>
          <w:rFonts w:ascii="Arial" w:hAnsi="Arial" w:cs="Arial"/>
          <w:sz w:val="20"/>
          <w:szCs w:val="20"/>
        </w:rPr>
        <w:t xml:space="preserve">experimented </w:t>
      </w:r>
      <w:r w:rsidRPr="007B6B85">
        <w:rPr>
          <w:rFonts w:ascii="Arial" w:hAnsi="Arial" w:cs="Arial"/>
          <w:sz w:val="20"/>
          <w:szCs w:val="20"/>
        </w:rPr>
        <w:t>with my character, her reactions, her movement, and her characteristics, to truly achieve an understanding of what</w:t>
      </w:r>
      <w:r w:rsidR="00437E5B" w:rsidRPr="007B6B85">
        <w:rPr>
          <w:rFonts w:ascii="Arial" w:hAnsi="Arial" w:cs="Arial"/>
          <w:sz w:val="20"/>
          <w:szCs w:val="20"/>
        </w:rPr>
        <w:t xml:space="preserve"> the director’s were looking for</w:t>
      </w:r>
      <w:r w:rsidR="00372409" w:rsidRPr="007B6B85">
        <w:rPr>
          <w:rFonts w:ascii="Arial" w:hAnsi="Arial" w:cs="Arial"/>
          <w:sz w:val="20"/>
          <w:szCs w:val="20"/>
        </w:rPr>
        <w:t>, and align my performance with their vision of the piece.</w:t>
      </w:r>
      <w:r w:rsidRPr="007B6B85">
        <w:rPr>
          <w:rFonts w:ascii="Arial" w:hAnsi="Arial" w:cs="Arial"/>
          <w:sz w:val="20"/>
          <w:szCs w:val="20"/>
        </w:rPr>
        <w:t xml:space="preserve"> </w:t>
      </w:r>
    </w:p>
    <w:p w:rsidR="007B6B85" w:rsidRDefault="00EF7CB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549 </w:t>
      </w:r>
      <w:r w:rsidR="00807EF6" w:rsidRPr="007B6B85">
        <w:rPr>
          <w:rFonts w:ascii="Arial" w:hAnsi="Arial" w:cs="Arial"/>
          <w:sz w:val="20"/>
          <w:szCs w:val="20"/>
        </w:rPr>
        <w:t>words</w:t>
      </w:r>
    </w:p>
    <w:p w:rsidR="00BA7438" w:rsidRPr="007B6B85" w:rsidRDefault="00DB0251">
      <w:pPr>
        <w:rPr>
          <w:rFonts w:ascii="Arial" w:hAnsi="Arial" w:cs="Arial"/>
          <w:sz w:val="20"/>
          <w:szCs w:val="20"/>
        </w:rPr>
      </w:pPr>
      <w:r>
        <w:lastRenderedPageBreak/>
        <w:t xml:space="preserve">Bibliography: </w:t>
      </w:r>
    </w:p>
    <w:p w:rsidR="00DB0251" w:rsidRDefault="00AB04E7" w:rsidP="00DB0251">
      <w:pPr>
        <w:pStyle w:val="ListParagraph"/>
        <w:numPr>
          <w:ilvl w:val="0"/>
          <w:numId w:val="2"/>
        </w:numPr>
      </w:pPr>
      <w:r>
        <w:t xml:space="preserve">Dialect Blog. (2011). British Accents. [online] Available at: </w:t>
      </w:r>
      <w:hyperlink r:id="rId8" w:history="1">
        <w:r w:rsidR="00DB0251" w:rsidRPr="00EA6E11">
          <w:rPr>
            <w:rStyle w:val="Hyperlink"/>
          </w:rPr>
          <w:t>http://dialectblog.com/british-accents/</w:t>
        </w:r>
      </w:hyperlink>
      <w:r>
        <w:t xml:space="preserve"> [Accessed 25 Feb. 2018].</w:t>
      </w:r>
    </w:p>
    <w:p w:rsidR="00DB0251" w:rsidRDefault="00DB0251" w:rsidP="00050087">
      <w:pPr>
        <w:pStyle w:val="ListParagraph"/>
        <w:numPr>
          <w:ilvl w:val="0"/>
          <w:numId w:val="2"/>
        </w:numPr>
      </w:pPr>
      <w:r>
        <w:t xml:space="preserve">Styles, G. (February 2018). In </w:t>
      </w:r>
      <w:r w:rsidR="00050087">
        <w:t>rehearsal</w:t>
      </w:r>
      <w:r>
        <w:t xml:space="preserve">. </w:t>
      </w:r>
      <w:proofErr w:type="gramStart"/>
      <w:r>
        <w:t>Carmarthen.</w:t>
      </w:r>
      <w:proofErr w:type="gramEnd"/>
      <w:r>
        <w:t xml:space="preserve"> </w:t>
      </w:r>
      <w:proofErr w:type="spellStart"/>
      <w:r w:rsidR="00EF7CBE">
        <w:t>Geinor</w:t>
      </w:r>
      <w:proofErr w:type="spellEnd"/>
      <w:r w:rsidR="00EF7CBE">
        <w:t xml:space="preserve"> Styles</w:t>
      </w:r>
    </w:p>
    <w:p w:rsidR="00DB0251" w:rsidRDefault="00DB0251" w:rsidP="00DB0251">
      <w:pPr>
        <w:pStyle w:val="ListParagraph"/>
        <w:numPr>
          <w:ilvl w:val="0"/>
          <w:numId w:val="2"/>
        </w:numPr>
      </w:pPr>
      <w:r>
        <w:t xml:space="preserve">Healy, M. and Hardy, T. (2009). Far from the madding crowd. London: Nick </w:t>
      </w:r>
      <w:proofErr w:type="spellStart"/>
      <w:r>
        <w:t>Hern</w:t>
      </w:r>
      <w:proofErr w:type="spellEnd"/>
      <w:r>
        <w:t xml:space="preserve"> Books. </w:t>
      </w:r>
      <w:r w:rsidR="001E7D95">
        <w:t>(Scene 21)</w:t>
      </w:r>
    </w:p>
    <w:p w:rsidR="00DB0251" w:rsidRDefault="00DB0251" w:rsidP="00DB0251">
      <w:pPr>
        <w:pStyle w:val="ListParagraph"/>
        <w:numPr>
          <w:ilvl w:val="0"/>
          <w:numId w:val="2"/>
        </w:numPr>
      </w:pPr>
      <w:r>
        <w:t>Styl</w:t>
      </w:r>
      <w:r w:rsidR="00050087">
        <w:t>es, G. (February 2018). In rehearsal</w:t>
      </w:r>
      <w:r>
        <w:t xml:space="preserve">. Carmarthen. </w:t>
      </w:r>
      <w:proofErr w:type="spellStart"/>
      <w:r>
        <w:t>Geinor</w:t>
      </w:r>
      <w:proofErr w:type="spellEnd"/>
      <w:r>
        <w:t xml:space="preserve"> Styles</w:t>
      </w:r>
    </w:p>
    <w:p w:rsidR="00DB0251" w:rsidRDefault="00DB0251" w:rsidP="00DB0251">
      <w:pPr>
        <w:pStyle w:val="ListParagraph"/>
        <w:numPr>
          <w:ilvl w:val="0"/>
          <w:numId w:val="2"/>
        </w:numPr>
      </w:pPr>
      <w:r>
        <w:t xml:space="preserve">Healy, M. and Hardy, T. (2009). Far from the madding crowd. London: Nick </w:t>
      </w:r>
      <w:proofErr w:type="spellStart"/>
      <w:r>
        <w:t>Hern</w:t>
      </w:r>
      <w:proofErr w:type="spellEnd"/>
      <w:r>
        <w:t xml:space="preserve"> Books. </w:t>
      </w:r>
      <w:r w:rsidR="001E7D95">
        <w:t>(Scene 39)</w:t>
      </w:r>
    </w:p>
    <w:p w:rsidR="00DB0251" w:rsidRDefault="00DB0251" w:rsidP="00AB04E7">
      <w:pPr>
        <w:pStyle w:val="ListParagraph"/>
      </w:pPr>
    </w:p>
    <w:sectPr w:rsidR="00DB0251" w:rsidSect="000106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D11" w:rsidRDefault="00D01D11" w:rsidP="00DB0251">
      <w:pPr>
        <w:spacing w:after="0" w:line="240" w:lineRule="auto"/>
      </w:pPr>
      <w:r>
        <w:separator/>
      </w:r>
    </w:p>
  </w:endnote>
  <w:endnote w:type="continuationSeparator" w:id="0">
    <w:p w:rsidR="00D01D11" w:rsidRDefault="00D01D11" w:rsidP="00DB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D11" w:rsidRDefault="00D01D11" w:rsidP="00DB0251">
      <w:pPr>
        <w:spacing w:after="0" w:line="240" w:lineRule="auto"/>
      </w:pPr>
      <w:r>
        <w:separator/>
      </w:r>
    </w:p>
  </w:footnote>
  <w:footnote w:type="continuationSeparator" w:id="0">
    <w:p w:rsidR="00D01D11" w:rsidRDefault="00D01D11" w:rsidP="00DB0251">
      <w:pPr>
        <w:spacing w:after="0" w:line="240" w:lineRule="auto"/>
      </w:pPr>
      <w:r>
        <w:continuationSeparator/>
      </w:r>
    </w:p>
  </w:footnote>
  <w:footnote w:id="1">
    <w:p w:rsidR="00AB04E7" w:rsidRPr="007B6B85" w:rsidRDefault="00AB04E7">
      <w:pPr>
        <w:pStyle w:val="FootnoteText"/>
        <w:rPr>
          <w:rFonts w:ascii="Arial" w:hAnsi="Arial" w:cs="Arial"/>
        </w:rPr>
      </w:pPr>
      <w:r w:rsidRPr="007B6B85">
        <w:rPr>
          <w:rStyle w:val="FootnoteReference"/>
          <w:rFonts w:ascii="Arial" w:hAnsi="Arial" w:cs="Arial"/>
        </w:rPr>
        <w:footnoteRef/>
      </w:r>
      <w:r w:rsidRPr="007B6B85">
        <w:rPr>
          <w:rFonts w:ascii="Arial" w:hAnsi="Arial" w:cs="Arial"/>
        </w:rPr>
        <w:t xml:space="preserve"> (Dialect blog, 2011) </w:t>
      </w:r>
    </w:p>
  </w:footnote>
  <w:footnote w:id="2">
    <w:p w:rsidR="00AB04E7" w:rsidRPr="007B6B85" w:rsidRDefault="00AB04E7">
      <w:pPr>
        <w:pStyle w:val="FootnoteText"/>
        <w:rPr>
          <w:rFonts w:ascii="Arial" w:hAnsi="Arial" w:cs="Arial"/>
        </w:rPr>
      </w:pPr>
      <w:r w:rsidRPr="007B6B85">
        <w:rPr>
          <w:rStyle w:val="FootnoteReference"/>
          <w:rFonts w:ascii="Arial" w:hAnsi="Arial" w:cs="Arial"/>
        </w:rPr>
        <w:footnoteRef/>
      </w:r>
      <w:r w:rsidRPr="007B6B85">
        <w:rPr>
          <w:rFonts w:ascii="Arial" w:hAnsi="Arial" w:cs="Arial"/>
        </w:rPr>
        <w:t xml:space="preserve"> (</w:t>
      </w:r>
      <w:proofErr w:type="spellStart"/>
      <w:r w:rsidRPr="007B6B85">
        <w:rPr>
          <w:rFonts w:ascii="Arial" w:hAnsi="Arial" w:cs="Arial"/>
        </w:rPr>
        <w:t>Geinor</w:t>
      </w:r>
      <w:proofErr w:type="spellEnd"/>
      <w:r w:rsidRPr="007B6B85">
        <w:rPr>
          <w:rFonts w:ascii="Arial" w:hAnsi="Arial" w:cs="Arial"/>
        </w:rPr>
        <w:t xml:space="preserve"> Styles, February 2018)</w:t>
      </w:r>
    </w:p>
  </w:footnote>
  <w:footnote w:id="3">
    <w:p w:rsidR="00AB04E7" w:rsidRPr="007B6B85" w:rsidRDefault="00AB04E7">
      <w:pPr>
        <w:pStyle w:val="FootnoteText"/>
        <w:rPr>
          <w:rFonts w:ascii="Arial" w:hAnsi="Arial" w:cs="Arial"/>
        </w:rPr>
      </w:pPr>
      <w:r w:rsidRPr="007B6B85">
        <w:rPr>
          <w:rStyle w:val="FootnoteReference"/>
          <w:rFonts w:ascii="Arial" w:hAnsi="Arial" w:cs="Arial"/>
        </w:rPr>
        <w:footnoteRef/>
      </w:r>
      <w:r w:rsidRPr="007B6B85">
        <w:rPr>
          <w:rFonts w:ascii="Arial" w:hAnsi="Arial" w:cs="Arial"/>
        </w:rPr>
        <w:t xml:space="preserve"> (Healy and Hardy, 2009)</w:t>
      </w:r>
    </w:p>
  </w:footnote>
  <w:footnote w:id="4">
    <w:p w:rsidR="00AB04E7" w:rsidRPr="007B6B85" w:rsidRDefault="00AB04E7">
      <w:pPr>
        <w:pStyle w:val="FootnoteText"/>
        <w:rPr>
          <w:rFonts w:ascii="Arial" w:hAnsi="Arial" w:cs="Arial"/>
        </w:rPr>
      </w:pPr>
      <w:r w:rsidRPr="007B6B85">
        <w:rPr>
          <w:rStyle w:val="FootnoteReference"/>
          <w:rFonts w:ascii="Arial" w:hAnsi="Arial" w:cs="Arial"/>
        </w:rPr>
        <w:footnoteRef/>
      </w:r>
      <w:r w:rsidRPr="007B6B85">
        <w:rPr>
          <w:rFonts w:ascii="Arial" w:hAnsi="Arial" w:cs="Arial"/>
        </w:rPr>
        <w:t xml:space="preserve"> (</w:t>
      </w:r>
      <w:proofErr w:type="spellStart"/>
      <w:r w:rsidRPr="007B6B85">
        <w:rPr>
          <w:rFonts w:ascii="Arial" w:hAnsi="Arial" w:cs="Arial"/>
        </w:rPr>
        <w:t>Geinor</w:t>
      </w:r>
      <w:proofErr w:type="spellEnd"/>
      <w:r w:rsidRPr="007B6B85">
        <w:rPr>
          <w:rFonts w:ascii="Arial" w:hAnsi="Arial" w:cs="Arial"/>
        </w:rPr>
        <w:t xml:space="preserve"> Styles, February 2018)</w:t>
      </w:r>
    </w:p>
  </w:footnote>
  <w:footnote w:id="5">
    <w:p w:rsidR="00AB04E7" w:rsidRDefault="00AB04E7">
      <w:pPr>
        <w:pStyle w:val="FootnoteText"/>
      </w:pPr>
      <w:r w:rsidRPr="007B6B85">
        <w:rPr>
          <w:rStyle w:val="FootnoteReference"/>
          <w:rFonts w:ascii="Arial" w:hAnsi="Arial" w:cs="Arial"/>
        </w:rPr>
        <w:footnoteRef/>
      </w:r>
      <w:r w:rsidRPr="007B6B85">
        <w:rPr>
          <w:rFonts w:ascii="Arial" w:hAnsi="Arial" w:cs="Arial"/>
        </w:rPr>
        <w:t xml:space="preserve"> (Healy and Hardy, 2009)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D3F0C"/>
    <w:multiLevelType w:val="hybridMultilevel"/>
    <w:tmpl w:val="90D85A58"/>
    <w:lvl w:ilvl="0" w:tplc="8DCC44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93A92"/>
    <w:multiLevelType w:val="hybridMultilevel"/>
    <w:tmpl w:val="3E56FEBE"/>
    <w:lvl w:ilvl="0" w:tplc="EF261F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3AC7"/>
    <w:rsid w:val="0001060A"/>
    <w:rsid w:val="00050087"/>
    <w:rsid w:val="00104575"/>
    <w:rsid w:val="001C3CB9"/>
    <w:rsid w:val="001E7D95"/>
    <w:rsid w:val="00293E2C"/>
    <w:rsid w:val="00356E02"/>
    <w:rsid w:val="00372409"/>
    <w:rsid w:val="00380563"/>
    <w:rsid w:val="003C4550"/>
    <w:rsid w:val="00437E5B"/>
    <w:rsid w:val="005437D1"/>
    <w:rsid w:val="00652F53"/>
    <w:rsid w:val="00727F46"/>
    <w:rsid w:val="00786823"/>
    <w:rsid w:val="007B6B85"/>
    <w:rsid w:val="00804694"/>
    <w:rsid w:val="00807EF6"/>
    <w:rsid w:val="008231DD"/>
    <w:rsid w:val="00842D1D"/>
    <w:rsid w:val="008951E7"/>
    <w:rsid w:val="009001FD"/>
    <w:rsid w:val="009D6A5D"/>
    <w:rsid w:val="009F77B2"/>
    <w:rsid w:val="00A53AC7"/>
    <w:rsid w:val="00AB04E7"/>
    <w:rsid w:val="00AD5976"/>
    <w:rsid w:val="00B04F8B"/>
    <w:rsid w:val="00BD2981"/>
    <w:rsid w:val="00BE041C"/>
    <w:rsid w:val="00BF529A"/>
    <w:rsid w:val="00CC323C"/>
    <w:rsid w:val="00D01D11"/>
    <w:rsid w:val="00D22C05"/>
    <w:rsid w:val="00D27B28"/>
    <w:rsid w:val="00D63A42"/>
    <w:rsid w:val="00DB0251"/>
    <w:rsid w:val="00E12B17"/>
    <w:rsid w:val="00ED1CCC"/>
    <w:rsid w:val="00EF7CBE"/>
    <w:rsid w:val="00F269A2"/>
    <w:rsid w:val="00F3523D"/>
    <w:rsid w:val="00FB4FA3"/>
    <w:rsid w:val="00FE6FE2"/>
    <w:rsid w:val="00FE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AC7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B02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0251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DB0251"/>
    <w:rPr>
      <w:vertAlign w:val="superscript"/>
    </w:rPr>
  </w:style>
  <w:style w:type="paragraph" w:styleId="ListParagraph">
    <w:name w:val="List Paragraph"/>
    <w:basedOn w:val="Normal"/>
    <w:uiPriority w:val="34"/>
    <w:qFormat/>
    <w:rsid w:val="00DB02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025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alectblog.com/british-accent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4D5C69D-164F-429E-B8DF-0713FE75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Carr</dc:creator>
  <cp:lastModifiedBy>Hannah Whalley</cp:lastModifiedBy>
  <cp:revision>7</cp:revision>
  <dcterms:created xsi:type="dcterms:W3CDTF">2018-02-26T17:01:00Z</dcterms:created>
  <dcterms:modified xsi:type="dcterms:W3CDTF">2018-03-01T11:49:00Z</dcterms:modified>
</cp:coreProperties>
</file>