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EC7546" w:rsidRDefault="001628A0" w:rsidP="001F4CE1">
      <w:pPr>
        <w:pStyle w:val="NormalWeb"/>
        <w:spacing w:before="0" w:beforeAutospacing="0" w:after="0" w:afterAutospacing="0"/>
        <w:ind w:left="-180" w:right="-334"/>
        <w:rPr>
          <w:rFonts w:ascii="Trebuchet MS" w:hAnsi="Trebuchet MS" w:cs="Tahoma"/>
          <w:sz w:val="24"/>
          <w:szCs w:val="24"/>
        </w:rPr>
      </w:pPr>
      <w:bookmarkStart w:id="0" w:name="_GoBack"/>
      <w:bookmarkEnd w:id="0"/>
      <w:r>
        <w:rPr>
          <w:noProof/>
        </w:rPr>
        <w:drawing>
          <wp:inline distT="0" distB="0" distL="0" distR="0" wp14:anchorId="70515D90" wp14:editId="07777777">
            <wp:extent cx="2880360" cy="1045845"/>
            <wp:effectExtent l="19050" t="19050" r="0" b="19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045845"/>
                    </a:xfrm>
                    <a:prstGeom prst="rect">
                      <a:avLst/>
                    </a:prstGeom>
                    <a:noFill/>
                    <a:ln w="19050" cmpd="sng">
                      <a:solidFill>
                        <a:srgbClr val="000000"/>
                      </a:solidFill>
                      <a:miter lim="800000"/>
                      <a:headEnd/>
                      <a:tailEnd/>
                    </a:ln>
                    <a:effectLst/>
                  </pic:spPr>
                </pic:pic>
              </a:graphicData>
            </a:graphic>
          </wp:inline>
        </w:drawing>
      </w:r>
    </w:p>
    <w:p w14:paraId="1977EDB2" w14:textId="77777777" w:rsidR="002E67CE" w:rsidRDefault="01270FC2" w:rsidP="01270FC2">
      <w:pPr>
        <w:pStyle w:val="Heading1"/>
        <w:jc w:val="center"/>
        <w:rPr>
          <w:lang w:val="cy-GB"/>
        </w:rPr>
      </w:pPr>
      <w:r w:rsidRPr="01270FC2">
        <w:rPr>
          <w:lang w:val="cy-GB"/>
        </w:rPr>
        <w:t>Undergraduate assignment feedback form</w:t>
      </w:r>
    </w:p>
    <w:p w14:paraId="387B60F3" w14:textId="77777777" w:rsidR="001E50BB" w:rsidRPr="001E50BB" w:rsidRDefault="01270FC2" w:rsidP="01270FC2">
      <w:pPr>
        <w:jc w:val="center"/>
        <w:rPr>
          <w:rFonts w:ascii="Arial" w:hAnsi="Arial" w:cs="Arial"/>
          <w:b/>
          <w:bCs/>
          <w:lang w:val="cy-GB"/>
        </w:rPr>
      </w:pPr>
      <w:r w:rsidRPr="01270FC2">
        <w:rPr>
          <w:rFonts w:ascii="Arial" w:hAnsi="Arial" w:cs="Arial"/>
          <w:b/>
          <w:bCs/>
          <w:lang w:val="cy-GB"/>
        </w:rPr>
        <w:t>(to be completed by marker)</w:t>
      </w:r>
    </w:p>
    <w:p w14:paraId="0A37501D" w14:textId="77777777" w:rsidR="002E67CE" w:rsidRPr="001E50BB" w:rsidRDefault="002E67CE" w:rsidP="001E50BB">
      <w:pPr>
        <w:jc w:val="center"/>
        <w:rPr>
          <w:rFonts w:ascii="Arial" w:hAnsi="Arial" w:cs="Arial"/>
          <w:b/>
          <w:lang w:val="cy-GB"/>
        </w:rPr>
      </w:pPr>
    </w:p>
    <w:p w14:paraId="5DAB6C7B" w14:textId="77777777" w:rsidR="002E67CE" w:rsidRDefault="002E67CE" w:rsidP="001E50B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1"/>
        <w:gridCol w:w="1942"/>
        <w:gridCol w:w="1967"/>
      </w:tblGrid>
      <w:tr w:rsidR="0065654E" w:rsidRPr="0065654E" w14:paraId="2FF62502" w14:textId="77777777" w:rsidTr="01270FC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82E3B85" w14:textId="77777777" w:rsidR="0065654E" w:rsidRDefault="4DFA719D" w:rsidP="4DFA719D">
            <w:pPr>
              <w:pStyle w:val="NormalWeb"/>
              <w:spacing w:before="0" w:beforeAutospacing="0" w:after="0" w:afterAutospacing="0"/>
              <w:ind w:right="34"/>
              <w:rPr>
                <w:rFonts w:ascii="Calibri" w:hAnsi="Calibri" w:cs="Tahoma"/>
                <w:i/>
                <w:iCs/>
                <w:sz w:val="24"/>
                <w:szCs w:val="24"/>
              </w:rPr>
            </w:pPr>
            <w:r w:rsidRPr="4DFA719D">
              <w:rPr>
                <w:rFonts w:ascii="Calibri" w:hAnsi="Calibri" w:cs="Tahoma"/>
                <w:i/>
                <w:iCs/>
                <w:sz w:val="24"/>
                <w:szCs w:val="24"/>
              </w:rPr>
              <w:t>Student Name:</w:t>
            </w:r>
          </w:p>
          <w:p w14:paraId="798B3954" w14:textId="77777777" w:rsidR="00FA2A4C" w:rsidRPr="0065654E" w:rsidRDefault="4DFA719D" w:rsidP="4DFA719D">
            <w:pPr>
              <w:pStyle w:val="NormalWeb"/>
              <w:spacing w:before="0" w:beforeAutospacing="0" w:after="0" w:afterAutospacing="0"/>
              <w:ind w:right="34"/>
              <w:rPr>
                <w:rFonts w:ascii="Calibri" w:hAnsi="Calibri" w:cs="Tahoma"/>
                <w:i/>
                <w:iCs/>
                <w:sz w:val="24"/>
                <w:szCs w:val="24"/>
              </w:rPr>
            </w:pPr>
            <w:r w:rsidRPr="4DFA719D">
              <w:rPr>
                <w:rFonts w:ascii="Calibri" w:hAnsi="Calibri" w:cs="Tahoma"/>
                <w:i/>
                <w:iCs/>
                <w:sz w:val="24"/>
                <w:szCs w:val="24"/>
              </w:rPr>
              <w:t>Sophie Taylor</w:t>
            </w:r>
          </w:p>
        </w:tc>
      </w:tr>
      <w:tr w:rsidR="001E50BB" w:rsidRPr="0065654E" w14:paraId="0810384E" w14:textId="77777777" w:rsidTr="01270FC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111C949" w14:textId="77777777" w:rsidR="001E50BB" w:rsidRPr="0065654E" w:rsidRDefault="4DFA719D" w:rsidP="4DFA719D">
            <w:pPr>
              <w:pStyle w:val="NormalWeb"/>
              <w:spacing w:before="0" w:beforeAutospacing="0" w:after="0" w:afterAutospacing="0"/>
              <w:ind w:right="34"/>
              <w:rPr>
                <w:rFonts w:ascii="Calibri" w:hAnsi="Calibri" w:cs="Tahoma"/>
                <w:i/>
                <w:iCs/>
                <w:sz w:val="24"/>
                <w:szCs w:val="24"/>
              </w:rPr>
            </w:pPr>
            <w:r w:rsidRPr="4DFA719D">
              <w:rPr>
                <w:rFonts w:ascii="Calibri" w:hAnsi="Calibri" w:cs="Tahoma"/>
                <w:i/>
                <w:iCs/>
                <w:sz w:val="24"/>
                <w:szCs w:val="24"/>
              </w:rPr>
              <w:t>Module title: Defenders, Conquerors, Vanquished: Greek and Hellenistic History</w:t>
            </w:r>
          </w:p>
        </w:tc>
        <w:tc>
          <w:tcPr>
            <w:tcW w:w="3967" w:type="dxa"/>
            <w:gridSpan w:val="2"/>
            <w:tcBorders>
              <w:top w:val="single" w:sz="4" w:space="0" w:color="auto"/>
              <w:left w:val="single" w:sz="4" w:space="0" w:color="auto"/>
              <w:bottom w:val="single" w:sz="4" w:space="0" w:color="auto"/>
              <w:right w:val="single" w:sz="4" w:space="0" w:color="auto"/>
            </w:tcBorders>
          </w:tcPr>
          <w:p w14:paraId="3B1873F7" w14:textId="77777777" w:rsidR="001E50BB" w:rsidRDefault="4DFA719D" w:rsidP="4DFA719D">
            <w:pPr>
              <w:pStyle w:val="NormalWeb"/>
              <w:spacing w:before="0" w:beforeAutospacing="0" w:after="0" w:afterAutospacing="0"/>
              <w:ind w:right="34"/>
              <w:rPr>
                <w:rFonts w:ascii="Calibri" w:hAnsi="Calibri" w:cs="Tahoma"/>
                <w:i/>
                <w:iCs/>
                <w:sz w:val="24"/>
                <w:szCs w:val="24"/>
              </w:rPr>
            </w:pPr>
            <w:r w:rsidRPr="4DFA719D">
              <w:rPr>
                <w:rFonts w:ascii="Calibri" w:hAnsi="Calibri" w:cs="Tahoma"/>
                <w:i/>
                <w:iCs/>
                <w:sz w:val="24"/>
                <w:szCs w:val="24"/>
              </w:rPr>
              <w:t>Student number:</w:t>
            </w:r>
          </w:p>
          <w:p w14:paraId="11400048" w14:textId="77777777" w:rsidR="00922D3E" w:rsidRPr="0065654E" w:rsidRDefault="01270FC2" w:rsidP="01270FC2">
            <w:pPr>
              <w:pStyle w:val="NormalWeb"/>
              <w:spacing w:before="0" w:beforeAutospacing="0" w:after="0" w:afterAutospacing="0"/>
              <w:ind w:right="34"/>
              <w:rPr>
                <w:rFonts w:ascii="Calibri" w:hAnsi="Calibri" w:cs="Tahoma"/>
                <w:i/>
                <w:iCs/>
                <w:sz w:val="24"/>
                <w:szCs w:val="24"/>
              </w:rPr>
            </w:pPr>
            <w:r w:rsidRPr="01270FC2">
              <w:rPr>
                <w:rFonts w:ascii="Calibri" w:hAnsi="Calibri" w:cs="Tahoma"/>
                <w:i/>
                <w:iCs/>
                <w:sz w:val="24"/>
                <w:szCs w:val="24"/>
              </w:rPr>
              <w:t>1700991</w:t>
            </w:r>
          </w:p>
        </w:tc>
      </w:tr>
      <w:tr w:rsidR="00590E9A" w:rsidRPr="0065654E" w14:paraId="560B1EDA" w14:textId="77777777" w:rsidTr="01270FC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1418A97" w14:textId="77777777" w:rsidR="00590E9A" w:rsidRPr="0065654E" w:rsidRDefault="4DFA719D" w:rsidP="4DFA719D">
            <w:pPr>
              <w:pStyle w:val="NormalWeb"/>
              <w:spacing w:before="0" w:beforeAutospacing="0" w:after="0" w:afterAutospacing="0"/>
              <w:rPr>
                <w:rFonts w:ascii="Calibri" w:hAnsi="Calibri" w:cs="Tahoma"/>
                <w:i/>
                <w:iCs/>
                <w:sz w:val="24"/>
                <w:szCs w:val="24"/>
              </w:rPr>
            </w:pPr>
            <w:r w:rsidRPr="4DFA719D">
              <w:rPr>
                <w:rFonts w:ascii="Calibri" w:hAnsi="Calibri" w:cs="Tahoma"/>
                <w:i/>
                <w:iCs/>
                <w:sz w:val="24"/>
                <w:szCs w:val="24"/>
              </w:rPr>
              <w:t>For completion by marker:</w:t>
            </w:r>
          </w:p>
          <w:p w14:paraId="2336B5CC" w14:textId="77777777" w:rsidR="00C129C7" w:rsidRDefault="4DFA719D" w:rsidP="4DFA719D">
            <w:pPr>
              <w:pStyle w:val="NormalWeb"/>
              <w:rPr>
                <w:rFonts w:ascii="Calibri" w:hAnsi="Calibri" w:cs="Tahoma"/>
                <w:i/>
                <w:iCs/>
                <w:sz w:val="24"/>
                <w:szCs w:val="24"/>
              </w:rPr>
            </w:pPr>
            <w:r w:rsidRPr="4DFA719D">
              <w:rPr>
                <w:rFonts w:ascii="Calibri" w:hAnsi="Calibri" w:cs="Tahoma"/>
                <w:i/>
                <w:iCs/>
                <w:sz w:val="24"/>
                <w:szCs w:val="24"/>
              </w:rPr>
              <w:t>Comments:</w:t>
            </w:r>
          </w:p>
          <w:p w14:paraId="02EB378F" w14:textId="77777777" w:rsidR="001E50BB" w:rsidRDefault="001E50BB" w:rsidP="00043549">
            <w:pPr>
              <w:pStyle w:val="NormalWeb"/>
              <w:rPr>
                <w:rFonts w:ascii="Calibri" w:hAnsi="Calibri" w:cs="Tahoma"/>
                <w:i/>
                <w:sz w:val="24"/>
                <w:szCs w:val="24"/>
              </w:rPr>
            </w:pPr>
          </w:p>
          <w:p w14:paraId="6A05A809" w14:textId="77777777" w:rsidR="001E50BB" w:rsidRDefault="001E50BB" w:rsidP="00043549">
            <w:pPr>
              <w:pStyle w:val="NormalWeb"/>
              <w:rPr>
                <w:rFonts w:ascii="Calibri" w:hAnsi="Calibri" w:cs="Tahoma"/>
                <w:i/>
                <w:sz w:val="24"/>
                <w:szCs w:val="24"/>
              </w:rPr>
            </w:pPr>
          </w:p>
          <w:p w14:paraId="5A39BBE3" w14:textId="77777777" w:rsidR="001E50BB" w:rsidRDefault="001E50BB" w:rsidP="00043549">
            <w:pPr>
              <w:pStyle w:val="NormalWeb"/>
              <w:rPr>
                <w:rFonts w:ascii="Calibri" w:hAnsi="Calibri" w:cs="Tahoma"/>
                <w:i/>
                <w:sz w:val="24"/>
                <w:szCs w:val="24"/>
              </w:rPr>
            </w:pPr>
          </w:p>
          <w:p w14:paraId="41C8F396" w14:textId="77777777" w:rsidR="001E50BB" w:rsidRDefault="001E50BB" w:rsidP="00043549">
            <w:pPr>
              <w:pStyle w:val="NormalWeb"/>
              <w:rPr>
                <w:rFonts w:ascii="Calibri" w:hAnsi="Calibri" w:cs="Tahoma"/>
                <w:i/>
                <w:sz w:val="24"/>
                <w:szCs w:val="24"/>
              </w:rPr>
            </w:pPr>
          </w:p>
          <w:p w14:paraId="72A3D3EC" w14:textId="77777777" w:rsidR="001E50BB" w:rsidRDefault="001E50BB" w:rsidP="00043549">
            <w:pPr>
              <w:pStyle w:val="NormalWeb"/>
              <w:rPr>
                <w:rFonts w:ascii="Calibri" w:hAnsi="Calibri" w:cs="Tahoma"/>
                <w:i/>
                <w:sz w:val="24"/>
                <w:szCs w:val="24"/>
              </w:rPr>
            </w:pPr>
          </w:p>
          <w:p w14:paraId="0D0B940D" w14:textId="77777777" w:rsidR="001E50BB" w:rsidRDefault="001E50BB" w:rsidP="00043549">
            <w:pPr>
              <w:pStyle w:val="NormalWeb"/>
              <w:rPr>
                <w:rFonts w:ascii="Calibri" w:hAnsi="Calibri" w:cs="Tahoma"/>
                <w:i/>
                <w:sz w:val="24"/>
                <w:szCs w:val="24"/>
              </w:rPr>
            </w:pPr>
          </w:p>
          <w:p w14:paraId="0E27B00A" w14:textId="77777777" w:rsidR="001E50BB" w:rsidRDefault="001E50BB" w:rsidP="00043549">
            <w:pPr>
              <w:pStyle w:val="NormalWeb"/>
              <w:rPr>
                <w:rFonts w:ascii="Calibri" w:hAnsi="Calibri" w:cs="Tahoma"/>
                <w:i/>
                <w:sz w:val="24"/>
                <w:szCs w:val="24"/>
              </w:rPr>
            </w:pPr>
          </w:p>
          <w:p w14:paraId="60061E4C" w14:textId="77777777" w:rsidR="00D121FD" w:rsidRDefault="00D121FD" w:rsidP="00043549">
            <w:pPr>
              <w:pStyle w:val="NormalWeb"/>
              <w:rPr>
                <w:rFonts w:ascii="Calibri" w:hAnsi="Calibri" w:cs="Tahoma"/>
                <w:i/>
                <w:sz w:val="24"/>
                <w:szCs w:val="24"/>
              </w:rPr>
            </w:pPr>
          </w:p>
          <w:p w14:paraId="44EAFD9C" w14:textId="77777777" w:rsidR="00D121FD" w:rsidRDefault="00D121FD" w:rsidP="00043549">
            <w:pPr>
              <w:pStyle w:val="NormalWeb"/>
              <w:rPr>
                <w:rFonts w:ascii="Calibri" w:hAnsi="Calibri" w:cs="Tahoma"/>
                <w:i/>
                <w:sz w:val="24"/>
                <w:szCs w:val="24"/>
              </w:rPr>
            </w:pPr>
          </w:p>
          <w:p w14:paraId="4B94D5A5" w14:textId="77777777" w:rsidR="00D121FD" w:rsidRDefault="00D121FD" w:rsidP="00043549">
            <w:pPr>
              <w:pStyle w:val="NormalWeb"/>
              <w:rPr>
                <w:rFonts w:ascii="Calibri" w:hAnsi="Calibri" w:cs="Tahoma"/>
                <w:i/>
                <w:sz w:val="24"/>
                <w:szCs w:val="24"/>
              </w:rPr>
            </w:pPr>
          </w:p>
          <w:p w14:paraId="3DEEC669" w14:textId="77777777" w:rsidR="001E50BB" w:rsidRPr="0065654E" w:rsidRDefault="001E50BB" w:rsidP="00043549">
            <w:pPr>
              <w:pStyle w:val="NormalWeb"/>
              <w:rPr>
                <w:rFonts w:ascii="Calibri" w:hAnsi="Calibri" w:cs="Tahoma"/>
                <w:i/>
                <w:sz w:val="24"/>
                <w:szCs w:val="24"/>
              </w:rPr>
            </w:pPr>
          </w:p>
        </w:tc>
      </w:tr>
      <w:tr w:rsidR="00EC7546" w:rsidRPr="0065654E" w14:paraId="4DD8B2D3" w14:textId="77777777" w:rsidTr="01270FC2">
        <w:trPr>
          <w:trHeight w:val="492"/>
        </w:trPr>
        <w:tc>
          <w:tcPr>
            <w:tcW w:w="6768" w:type="dxa"/>
            <w:gridSpan w:val="2"/>
            <w:tcBorders>
              <w:top w:val="single" w:sz="4" w:space="0" w:color="auto"/>
            </w:tcBorders>
            <w:vAlign w:val="center"/>
          </w:tcPr>
          <w:p w14:paraId="56E30209" w14:textId="77777777" w:rsidR="00EC7546" w:rsidRPr="0065654E" w:rsidRDefault="4DFA719D" w:rsidP="4DFA719D">
            <w:pPr>
              <w:pStyle w:val="NormalWeb"/>
              <w:ind w:left="142" w:right="34"/>
              <w:rPr>
                <w:rFonts w:ascii="Calibri" w:hAnsi="Calibri" w:cs="Tahoma"/>
                <w:i/>
                <w:iCs/>
                <w:sz w:val="24"/>
                <w:szCs w:val="24"/>
              </w:rPr>
            </w:pPr>
            <w:r w:rsidRPr="4DFA719D">
              <w:rPr>
                <w:rFonts w:ascii="Calibri" w:hAnsi="Calibri" w:cs="Tahoma"/>
                <w:i/>
                <w:iCs/>
                <w:sz w:val="24"/>
                <w:szCs w:val="24"/>
              </w:rPr>
              <w:t>Marker’s signature:</w:t>
            </w:r>
          </w:p>
        </w:tc>
        <w:tc>
          <w:tcPr>
            <w:tcW w:w="1987" w:type="dxa"/>
            <w:tcBorders>
              <w:top w:val="single" w:sz="4" w:space="0" w:color="auto"/>
            </w:tcBorders>
            <w:vAlign w:val="center"/>
          </w:tcPr>
          <w:p w14:paraId="3101716D" w14:textId="77777777" w:rsidR="00EC7546" w:rsidRPr="0065654E" w:rsidRDefault="4DFA719D" w:rsidP="4DFA719D">
            <w:pPr>
              <w:pStyle w:val="NormalWeb"/>
              <w:spacing w:after="0"/>
              <w:ind w:left="142" w:right="34"/>
              <w:rPr>
                <w:rFonts w:ascii="Calibri" w:hAnsi="Calibri" w:cs="Tahoma"/>
                <w:i/>
                <w:iCs/>
                <w:sz w:val="24"/>
                <w:szCs w:val="24"/>
              </w:rPr>
            </w:pPr>
            <w:r w:rsidRPr="4DFA719D">
              <w:rPr>
                <w:rFonts w:ascii="Calibri" w:hAnsi="Calibri" w:cs="Tahoma"/>
                <w:i/>
                <w:iCs/>
                <w:sz w:val="24"/>
                <w:szCs w:val="24"/>
              </w:rPr>
              <w:t>Date:</w:t>
            </w:r>
          </w:p>
        </w:tc>
      </w:tr>
      <w:tr w:rsidR="00EC7546" w:rsidRPr="0065654E" w14:paraId="48D5B9CC" w14:textId="77777777" w:rsidTr="01270FC2">
        <w:tc>
          <w:tcPr>
            <w:tcW w:w="8755" w:type="dxa"/>
            <w:gridSpan w:val="3"/>
            <w:vAlign w:val="center"/>
          </w:tcPr>
          <w:p w14:paraId="322FDC0C" w14:textId="77777777" w:rsidR="00043549" w:rsidRDefault="4DFA719D" w:rsidP="4DFA719D">
            <w:pPr>
              <w:pStyle w:val="NormalWeb"/>
              <w:spacing w:before="0" w:beforeAutospacing="0" w:after="0" w:afterAutospacing="0"/>
              <w:ind w:left="142" w:right="34"/>
              <w:rPr>
                <w:rFonts w:ascii="Calibri" w:hAnsi="Calibri" w:cs="Tahoma"/>
                <w:i/>
                <w:iCs/>
                <w:sz w:val="24"/>
                <w:szCs w:val="24"/>
              </w:rPr>
            </w:pPr>
            <w:r w:rsidRPr="4DFA719D">
              <w:rPr>
                <w:rFonts w:ascii="Calibri" w:hAnsi="Calibri" w:cs="Tahoma"/>
                <w:i/>
                <w:iCs/>
                <w:sz w:val="24"/>
                <w:szCs w:val="24"/>
              </w:rPr>
              <w:t xml:space="preserve">Provisional mark: </w:t>
            </w:r>
          </w:p>
          <w:p w14:paraId="1B41ADB4" w14:textId="77777777" w:rsidR="00EC7546" w:rsidRPr="0065654E" w:rsidRDefault="4DFA719D" w:rsidP="4DFA719D">
            <w:pPr>
              <w:pStyle w:val="NormalWeb"/>
              <w:spacing w:before="0" w:beforeAutospacing="0" w:after="0" w:afterAutospacing="0"/>
              <w:ind w:left="142" w:right="34"/>
              <w:rPr>
                <w:rFonts w:ascii="Calibri" w:hAnsi="Calibri" w:cs="Tahoma"/>
                <w:i/>
                <w:iCs/>
                <w:sz w:val="24"/>
                <w:szCs w:val="24"/>
              </w:rPr>
            </w:pPr>
            <w:r w:rsidRPr="4DFA719D">
              <w:rPr>
                <w:rFonts w:ascii="Calibri" w:hAnsi="Calibri" w:cs="Tahoma"/>
                <w:b/>
                <w:bCs/>
                <w:i/>
                <w:iCs/>
                <w:sz w:val="24"/>
                <w:szCs w:val="24"/>
              </w:rPr>
              <w:t>NB.</w:t>
            </w:r>
            <w:r w:rsidRPr="4DFA719D">
              <w:rPr>
                <w:rFonts w:ascii="Calibri" w:hAnsi="Calibri" w:cs="Tahoma"/>
                <w:i/>
                <w:iCs/>
                <w:sz w:val="24"/>
                <w:szCs w:val="24"/>
              </w:rPr>
              <w:t xml:space="preserve">  All marks are provisional until confirmed by the final examination board. </w:t>
            </w:r>
          </w:p>
        </w:tc>
      </w:tr>
    </w:tbl>
    <w:p w14:paraId="1620C947" w14:textId="004D8015" w:rsidR="00F12282" w:rsidRDefault="00F12282">
      <w:pPr>
        <w:rPr>
          <w:rFonts w:ascii="Georgia" w:hAnsi="Georgia"/>
          <w:color w:val="000000"/>
          <w:sz w:val="21"/>
          <w:szCs w:val="21"/>
        </w:rPr>
      </w:pPr>
      <w:r>
        <w:br w:type="page"/>
      </w:r>
    </w:p>
    <w:p w14:paraId="31884ED5" w14:textId="2E40A480" w:rsidR="6BA04158" w:rsidRDefault="00DE4546" w:rsidP="4DFA719D">
      <w:pPr>
        <w:pStyle w:val="NormalWeb"/>
        <w:jc w:val="both"/>
        <w:rPr>
          <w:rStyle w:val="eop"/>
          <w:rFonts w:ascii="Times New Roman" w:eastAsia="Times New Roman" w:hAnsi="Times New Roman"/>
          <w:sz w:val="24"/>
          <w:szCs w:val="24"/>
          <w:u w:val="single"/>
        </w:rPr>
      </w:pPr>
      <w:r w:rsidRPr="0058450D">
        <w:rPr>
          <w:rStyle w:val="normaltextrun"/>
          <w:rFonts w:ascii="Times New Roman" w:eastAsia="Times New Roman" w:hAnsi="Times New Roman"/>
          <w:sz w:val="24"/>
          <w:szCs w:val="24"/>
          <w:u w:val="single"/>
          <w:shd w:val="clear" w:color="auto" w:fill="FFFFFF"/>
        </w:rPr>
        <w:lastRenderedPageBreak/>
        <w:t>Gobbet Analysis: The Alexander Battle Mosaic:</w:t>
      </w:r>
      <w:r w:rsidRPr="0058450D">
        <w:rPr>
          <w:rStyle w:val="eop"/>
          <w:rFonts w:ascii="Times New Roman" w:eastAsia="Times New Roman" w:hAnsi="Times New Roman"/>
          <w:sz w:val="24"/>
          <w:szCs w:val="24"/>
          <w:u w:val="single"/>
          <w:shd w:val="clear" w:color="auto" w:fill="FFFFFF"/>
        </w:rPr>
        <w:t> </w:t>
      </w:r>
    </w:p>
    <w:p w14:paraId="376F6C04" w14:textId="6AABE527" w:rsidR="4DFA719D" w:rsidRDefault="4DFA719D" w:rsidP="01270FC2">
      <w:pPr>
        <w:pStyle w:val="NormalWeb"/>
        <w:spacing w:line="480" w:lineRule="auto"/>
        <w:rPr>
          <w:rFonts w:ascii="Times New Roman" w:hAnsi="Times New Roman"/>
          <w:sz w:val="24"/>
          <w:szCs w:val="24"/>
        </w:rPr>
      </w:pPr>
      <w:r w:rsidRPr="4DFA719D">
        <w:rPr>
          <w:rFonts w:ascii="Times New Roman" w:hAnsi="Times New Roman"/>
          <w:sz w:val="24"/>
          <w:szCs w:val="24"/>
        </w:rPr>
        <w:t>Displayed within the image is one of the mosaics found among the ruins of decorated houses in Pompeii. This mosaic in particular was found in The House of the Faun along with many other statues, mosaics and art works found hidden in the preserved residence. The mosaic can currently be found on display in the Museo Archeologico Nazionale di Nappoli in Italy.</w:t>
      </w:r>
      <w:r w:rsidRPr="4DFA719D">
        <w:rPr>
          <w:rStyle w:val="FootnoteReference"/>
          <w:rFonts w:ascii="Times New Roman" w:hAnsi="Times New Roman"/>
          <w:sz w:val="24"/>
          <w:szCs w:val="24"/>
        </w:rPr>
        <w:footnoteReference w:id="1"/>
      </w:r>
      <w:r w:rsidRPr="4DFA719D">
        <w:rPr>
          <w:rFonts w:ascii="Times New Roman" w:hAnsi="Times New Roman"/>
          <w:sz w:val="24"/>
          <w:szCs w:val="24"/>
        </w:rPr>
        <w:t xml:space="preserve"> The now fragmentary mosaic shows a battle scene of some description. The image on the right presenting fallen men in full armour, spears directed towards those on the left, horses drawing a chariot mid turn and an elevated man riding said chariot who appears to be leading those around him. The left hand side is however harder to make out due to missing pieces. We can clearly see a man riding towards the aforementioned chariot on horseback, as well as those accompanying him further forward in the image, but much of the foreground is now missing. In order to interpret the image we must first identify the key features of the mosaic, such as the two men shown clearly among a sea of soldiers, and then determine what they can tell us about the battle being depicted. </w:t>
      </w:r>
    </w:p>
    <w:p w14:paraId="5EB506B2" w14:textId="3FA08FE3" w:rsidR="4DFA719D" w:rsidRDefault="4DFA719D" w:rsidP="4DFA719D">
      <w:pPr>
        <w:pStyle w:val="NormalWeb"/>
        <w:spacing w:line="480" w:lineRule="auto"/>
        <w:rPr>
          <w:rFonts w:ascii="Times New Roman" w:hAnsi="Times New Roman"/>
          <w:sz w:val="24"/>
          <w:szCs w:val="24"/>
        </w:rPr>
      </w:pPr>
    </w:p>
    <w:p w14:paraId="1CCE0CAC" w14:textId="4603E3ED" w:rsidR="4DFA719D" w:rsidRDefault="4DFA719D" w:rsidP="01270FC2">
      <w:pPr>
        <w:pStyle w:val="NormalWeb"/>
        <w:spacing w:line="480" w:lineRule="auto"/>
        <w:rPr>
          <w:rFonts w:ascii="Times New Roman" w:hAnsi="Times New Roman"/>
          <w:sz w:val="24"/>
          <w:szCs w:val="24"/>
        </w:rPr>
      </w:pPr>
      <w:r w:rsidRPr="4DFA719D">
        <w:rPr>
          <w:rFonts w:ascii="Times New Roman" w:hAnsi="Times New Roman"/>
          <w:sz w:val="24"/>
          <w:szCs w:val="24"/>
        </w:rPr>
        <w:t>It is believed among modern scholarship that the mosaic shows both Alexander the Great and Darius III during battle at Issus. This battle was recorded and retold by many ancient historians and details shared within the historical works can be found within the mosaic too. For example the man on the left of the image has been identified as Darius the Persian King because he is frequently referenced as being in a chariot during this battle although he did this in others too.</w:t>
      </w:r>
      <w:r w:rsidRPr="4DFA719D">
        <w:rPr>
          <w:rStyle w:val="FootnoteReference"/>
          <w:rFonts w:ascii="Times New Roman" w:hAnsi="Times New Roman"/>
          <w:sz w:val="24"/>
          <w:szCs w:val="24"/>
        </w:rPr>
        <w:footnoteReference w:id="2"/>
      </w:r>
      <w:r w:rsidRPr="4DFA719D">
        <w:rPr>
          <w:rFonts w:ascii="Times New Roman" w:hAnsi="Times New Roman"/>
          <w:sz w:val="24"/>
          <w:szCs w:val="24"/>
        </w:rPr>
        <w:t xml:space="preserve"> He can also be identified through the clothing he is </w:t>
      </w:r>
      <w:r w:rsidRPr="4DFA719D">
        <w:rPr>
          <w:rFonts w:ascii="Times New Roman" w:hAnsi="Times New Roman"/>
          <w:sz w:val="24"/>
          <w:szCs w:val="24"/>
        </w:rPr>
        <w:lastRenderedPageBreak/>
        <w:t xml:space="preserve">seen wearing. We should focus on the headdress </w:t>
      </w:r>
      <w:r w:rsidR="01270FC2" w:rsidRPr="01270FC2">
        <w:rPr>
          <w:rFonts w:ascii="Times New Roman" w:hAnsi="Times New Roman"/>
          <w:sz w:val="24"/>
          <w:szCs w:val="24"/>
        </w:rPr>
        <w:t xml:space="preserve">in particular </w:t>
      </w:r>
      <w:r w:rsidRPr="4DFA719D">
        <w:rPr>
          <w:rFonts w:ascii="Times New Roman" w:hAnsi="Times New Roman"/>
          <w:sz w:val="24"/>
          <w:szCs w:val="24"/>
        </w:rPr>
        <w:t>which was associated with the Persian style and shown as such in a great many images found elsewhere all around the Aegean.</w:t>
      </w:r>
      <w:r w:rsidRPr="4DFA719D">
        <w:rPr>
          <w:rStyle w:val="FootnoteReference"/>
          <w:rFonts w:ascii="Times New Roman" w:hAnsi="Times New Roman"/>
          <w:sz w:val="24"/>
          <w:szCs w:val="24"/>
        </w:rPr>
        <w:footnoteReference w:id="3"/>
      </w:r>
      <w:r w:rsidRPr="4DFA719D">
        <w:rPr>
          <w:rFonts w:ascii="Times New Roman" w:hAnsi="Times New Roman"/>
          <w:sz w:val="24"/>
          <w:szCs w:val="24"/>
        </w:rPr>
        <w:t xml:space="preserve"> What is striking about this portrayal of Darius is perhaps in the pleading somewhat fearful look represented on his face. With wide eyes and a down turned mouth and eyebrows he looks to be almost speaking to his pursuer and asking for mercy over the heads of his fallen and fighting men. This is further shown by the outstretched hand reaching towards the on coming enemy. </w:t>
      </w:r>
    </w:p>
    <w:p w14:paraId="71545470" w14:textId="7A199CC5" w:rsidR="4DFA719D" w:rsidRDefault="4DFA719D" w:rsidP="01270FC2">
      <w:pPr>
        <w:pStyle w:val="NormalWeb"/>
        <w:spacing w:line="480" w:lineRule="auto"/>
        <w:rPr>
          <w:rFonts w:ascii="Times New Roman" w:hAnsi="Times New Roman"/>
          <w:sz w:val="24"/>
          <w:szCs w:val="24"/>
        </w:rPr>
      </w:pPr>
      <w:r w:rsidRPr="4DFA719D">
        <w:rPr>
          <w:rFonts w:ascii="Times New Roman" w:hAnsi="Times New Roman"/>
          <w:sz w:val="24"/>
          <w:szCs w:val="24"/>
        </w:rPr>
        <w:t>Alexander can be identified in much the same way although it is significantly harder to do given the missing lower section of the male figure he is believed to be. An expected image of Alexander is present on the left showing a young man with a gold wreath atop his head of wavy hair. This imagery is similar to busts and reliefs depicting him also.</w:t>
      </w:r>
      <w:r w:rsidRPr="4DFA719D">
        <w:rPr>
          <w:rStyle w:val="FootnoteReference"/>
          <w:rFonts w:ascii="Times New Roman" w:hAnsi="Times New Roman"/>
          <w:sz w:val="24"/>
          <w:szCs w:val="24"/>
        </w:rPr>
        <w:footnoteReference w:id="4"/>
      </w:r>
      <w:r w:rsidRPr="4DFA719D">
        <w:rPr>
          <w:rFonts w:ascii="Times New Roman" w:hAnsi="Times New Roman"/>
          <w:sz w:val="24"/>
          <w:szCs w:val="24"/>
        </w:rPr>
        <w:t xml:space="preserve"> The figure can be seen wearing a highly decorated typically Greek chest armour piece as was the standard of Alexander.</w:t>
      </w:r>
      <w:r w:rsidRPr="4DFA719D">
        <w:rPr>
          <w:rStyle w:val="FootnoteReference"/>
          <w:rFonts w:ascii="Times New Roman" w:hAnsi="Times New Roman"/>
          <w:sz w:val="24"/>
          <w:szCs w:val="24"/>
        </w:rPr>
        <w:footnoteReference w:id="5"/>
      </w:r>
      <w:r w:rsidRPr="4DFA719D">
        <w:rPr>
          <w:rFonts w:ascii="Times New Roman" w:hAnsi="Times New Roman"/>
          <w:sz w:val="24"/>
          <w:szCs w:val="24"/>
        </w:rPr>
        <w:t xml:space="preserve"> </w:t>
      </w:r>
    </w:p>
    <w:p w14:paraId="47D60106" w14:textId="40EFAF8A" w:rsidR="4DFA719D" w:rsidRDefault="4DFA719D" w:rsidP="01270FC2">
      <w:pPr>
        <w:pStyle w:val="NormalWeb"/>
        <w:spacing w:line="480" w:lineRule="auto"/>
        <w:rPr>
          <w:rFonts w:ascii="Times New Roman" w:hAnsi="Times New Roman"/>
          <w:sz w:val="24"/>
          <w:szCs w:val="24"/>
        </w:rPr>
      </w:pPr>
      <w:r w:rsidRPr="4DFA719D">
        <w:rPr>
          <w:rFonts w:ascii="Times New Roman" w:hAnsi="Times New Roman"/>
          <w:sz w:val="24"/>
          <w:szCs w:val="24"/>
        </w:rPr>
        <w:t>The representation of Alexander within the mosaic is somewhat atypical however as he is shown with brown hair where often he is described and painted with blonde perhaps to reinforce the lion like qualities and imagery often used for political propaganda purposes.</w:t>
      </w:r>
      <w:r w:rsidRPr="4DFA719D">
        <w:rPr>
          <w:rStyle w:val="FootnoteReference"/>
          <w:rFonts w:ascii="Times New Roman" w:hAnsi="Times New Roman"/>
          <w:sz w:val="24"/>
          <w:szCs w:val="24"/>
        </w:rPr>
        <w:footnoteReference w:id="6"/>
      </w:r>
      <w:r w:rsidRPr="4DFA719D">
        <w:rPr>
          <w:rFonts w:ascii="Times New Roman" w:hAnsi="Times New Roman"/>
          <w:sz w:val="24"/>
          <w:szCs w:val="24"/>
        </w:rPr>
        <w:t xml:space="preserve"> Although, it has been suggested that perhaps the image of Alexander used during his time and long after are not intended to show the true image of the man himself but more to use him as a, "chameleonlike figure (…) more a paradigm than a person".</w:t>
      </w:r>
      <w:r w:rsidRPr="4DFA719D">
        <w:rPr>
          <w:rStyle w:val="FootnoteReference"/>
          <w:rFonts w:ascii="Times New Roman" w:hAnsi="Times New Roman"/>
          <w:sz w:val="24"/>
          <w:szCs w:val="24"/>
        </w:rPr>
        <w:footnoteReference w:id="7"/>
      </w:r>
      <w:r w:rsidRPr="4DFA719D">
        <w:rPr>
          <w:rFonts w:ascii="Times New Roman" w:hAnsi="Times New Roman"/>
          <w:sz w:val="24"/>
          <w:szCs w:val="24"/>
        </w:rPr>
        <w:t xml:space="preserve"> As such we can perhaps not expect to see any one set image of Alexander and therefore </w:t>
      </w:r>
      <w:r w:rsidRPr="4DFA719D">
        <w:rPr>
          <w:rFonts w:ascii="Times New Roman" w:hAnsi="Times New Roman"/>
          <w:sz w:val="24"/>
          <w:szCs w:val="24"/>
        </w:rPr>
        <w:lastRenderedPageBreak/>
        <w:t>the representation is more important then likeness as it allows us to assess the intention behind the image.</w:t>
      </w:r>
    </w:p>
    <w:p w14:paraId="196AE431" w14:textId="27F7B9A5" w:rsidR="4DFA719D" w:rsidRDefault="4DFA719D" w:rsidP="01270FC2">
      <w:pPr>
        <w:pStyle w:val="NormalWeb"/>
        <w:spacing w:line="480" w:lineRule="auto"/>
        <w:rPr>
          <w:rFonts w:ascii="Times New Roman" w:hAnsi="Times New Roman"/>
          <w:sz w:val="24"/>
          <w:szCs w:val="24"/>
        </w:rPr>
      </w:pPr>
      <w:r w:rsidRPr="4DFA719D">
        <w:rPr>
          <w:rFonts w:ascii="Times New Roman" w:hAnsi="Times New Roman"/>
          <w:sz w:val="24"/>
          <w:szCs w:val="24"/>
        </w:rPr>
        <w:t>The battle itself can be identified again through comparison to ancient works which recorded the battles and movement of Alexander during his eastern conquests. There have been many controversies between scholars as to which battle is actually being shown. Whilst it was widely believed and agreed to be a representation of the battle of Issus the idea that the mosaic presents not the first confrontation between Alexander and Darius but in fact the second, the battle of Gaugamela, has lead opinion to change. Both battles could be seen as somewhat similar and as such it makes it difficult to confidently determine which is being shown in the imagery of the mosaic. The battle of Issus was fought along the Pinarus river on the wide plains either side of it whilst the battle of Gaugamela was fought on a vast open field near a village. However, since the background of the image fails to show any details about the geographic location of the battle there is little to assist in determining where it took place. Without knowing where the battle scene within the mosaic is set it we cannot assume to know which battle is being shown. What we do know for sure is that the Roman mosaic was based of an originally Greek painting created by a student of Nichomachus, Philoxenus of Eretria. Pliny states that King Cassander commissioned a painting to be completed showing a battle of Alexander and Darius. However which battle is not specified.</w:t>
      </w:r>
      <w:r w:rsidRPr="4DFA719D">
        <w:rPr>
          <w:rStyle w:val="FootnoteReference"/>
          <w:rFonts w:ascii="Times New Roman" w:hAnsi="Times New Roman"/>
          <w:sz w:val="24"/>
          <w:szCs w:val="24"/>
        </w:rPr>
        <w:footnoteReference w:id="8"/>
      </w:r>
      <w:r w:rsidRPr="4DFA719D">
        <w:rPr>
          <w:rFonts w:ascii="Times New Roman" w:hAnsi="Times New Roman"/>
          <w:sz w:val="24"/>
          <w:szCs w:val="24"/>
        </w:rPr>
        <w:t xml:space="preserve"> </w:t>
      </w:r>
    </w:p>
    <w:p w14:paraId="0355A716" w14:textId="6FE4FA7D" w:rsidR="4DFA719D" w:rsidRDefault="01270FC2" w:rsidP="4DFA719D">
      <w:pPr>
        <w:pStyle w:val="NormalWeb"/>
        <w:spacing w:line="480" w:lineRule="auto"/>
        <w:rPr>
          <w:rFonts w:ascii="Times New Roman" w:hAnsi="Times New Roman"/>
          <w:sz w:val="24"/>
          <w:szCs w:val="24"/>
        </w:rPr>
      </w:pPr>
      <w:r w:rsidRPr="01270FC2">
        <w:rPr>
          <w:rFonts w:ascii="Times New Roman" w:hAnsi="Times New Roman"/>
          <w:sz w:val="24"/>
          <w:szCs w:val="24"/>
        </w:rPr>
        <w:t xml:space="preserve">The Roman mosaic was clearly produced as an appreciation of the original painting and displayed proudly among many other lavishly decorated walls and floors. The action created by the artist via the movement of the horses and the urgency of Darius' men trying to fight and flee was obviously intended to catch the eye of those visiting the House of the Faun. The stories of Alexander would have now been widespread </w:t>
      </w:r>
      <w:r w:rsidRPr="01270FC2">
        <w:rPr>
          <w:rFonts w:ascii="Times New Roman" w:hAnsi="Times New Roman"/>
          <w:sz w:val="24"/>
          <w:szCs w:val="24"/>
        </w:rPr>
        <w:lastRenderedPageBreak/>
        <w:t xml:space="preserve">knowledge and the amazement at the deeds he successfully achieved proved to stand the test of time. By having such an image on such a large scale present in ones home the owners of said home proved themselves with status, education and money. Indeed all of which would of course be extremely important to any prominent Roman figure or any one trying to become a prominent Roman figure. The intention of the piece was perhaps to show off yes but also to remember and celebrate the victories of a great man. </w:t>
      </w:r>
    </w:p>
    <w:p w14:paraId="042C46D5" w14:textId="0325FCB4" w:rsidR="01270FC2" w:rsidRDefault="01270FC2" w:rsidP="01270FC2">
      <w:pPr>
        <w:pStyle w:val="NormalWeb"/>
        <w:spacing w:line="480" w:lineRule="auto"/>
        <w:rPr>
          <w:rFonts w:ascii="Times New Roman" w:hAnsi="Times New Roman"/>
          <w:sz w:val="24"/>
          <w:szCs w:val="24"/>
        </w:rPr>
      </w:pPr>
    </w:p>
    <w:p w14:paraId="7667BD6E" w14:textId="691D5783" w:rsidR="01270FC2" w:rsidRDefault="01270FC2" w:rsidP="01270FC2">
      <w:pPr>
        <w:pStyle w:val="NormalWeb"/>
        <w:spacing w:line="480" w:lineRule="auto"/>
        <w:rPr>
          <w:rFonts w:ascii="Times New Roman" w:hAnsi="Times New Roman"/>
          <w:sz w:val="24"/>
          <w:szCs w:val="24"/>
          <w:u w:val="single"/>
        </w:rPr>
      </w:pPr>
      <w:r w:rsidRPr="01270FC2">
        <w:rPr>
          <w:rFonts w:ascii="Times New Roman" w:hAnsi="Times New Roman"/>
          <w:sz w:val="24"/>
          <w:szCs w:val="24"/>
          <w:u w:val="single"/>
        </w:rPr>
        <w:t>Bibliography:</w:t>
      </w:r>
    </w:p>
    <w:p w14:paraId="7E13E5FF" w14:textId="2197E2FB" w:rsidR="01270FC2" w:rsidRDefault="01270FC2" w:rsidP="01270FC2">
      <w:pPr>
        <w:pStyle w:val="NormalWeb"/>
        <w:spacing w:line="480" w:lineRule="auto"/>
        <w:rPr>
          <w:rFonts w:ascii="Times New Roman" w:hAnsi="Times New Roman"/>
          <w:sz w:val="22"/>
          <w:szCs w:val="22"/>
          <w:u w:val="single"/>
        </w:rPr>
      </w:pPr>
      <w:r w:rsidRPr="01270FC2">
        <w:rPr>
          <w:rFonts w:ascii="Times New Roman" w:hAnsi="Times New Roman"/>
          <w:sz w:val="22"/>
          <w:szCs w:val="22"/>
          <w:u w:val="single"/>
        </w:rPr>
        <w:t>Ancient Sources:</w:t>
      </w:r>
    </w:p>
    <w:p w14:paraId="3AC12A0F" w14:textId="7B1C8D45"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Aelian,</w:t>
      </w:r>
      <w:r w:rsidRPr="01270FC2">
        <w:rPr>
          <w:rFonts w:ascii="Times New Roman" w:eastAsia="Times New Roman" w:hAnsi="Times New Roman"/>
          <w:i/>
          <w:iCs/>
          <w:sz w:val="22"/>
          <w:szCs w:val="22"/>
        </w:rPr>
        <w:t xml:space="preserve"> Historical Miscellany</w:t>
      </w:r>
      <w:r w:rsidRPr="01270FC2">
        <w:rPr>
          <w:rFonts w:ascii="Times New Roman" w:eastAsia="Times New Roman" w:hAnsi="Times New Roman"/>
          <w:sz w:val="22"/>
          <w:szCs w:val="22"/>
        </w:rPr>
        <w:t xml:space="preserve">, N.G. Wilson (trans.). 1997. Cambridge, MA: Harvard University Press. </w:t>
      </w:r>
    </w:p>
    <w:p w14:paraId="4B25F64A" w14:textId="4365C819" w:rsidR="01270FC2" w:rsidRDefault="01270FC2" w:rsidP="01270FC2">
      <w:pPr>
        <w:pStyle w:val="NormalWeb"/>
        <w:rPr>
          <w:rFonts w:ascii="Times New Roman" w:eastAsia="Times New Roman" w:hAnsi="Times New Roman"/>
          <w:sz w:val="22"/>
          <w:szCs w:val="22"/>
        </w:rPr>
      </w:pPr>
    </w:p>
    <w:p w14:paraId="245E174B" w14:textId="3EFBDF12"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Arrian, </w:t>
      </w:r>
      <w:r w:rsidRPr="01270FC2">
        <w:rPr>
          <w:rFonts w:ascii="Times New Roman" w:eastAsia="Times New Roman" w:hAnsi="Times New Roman"/>
          <w:i/>
          <w:iCs/>
          <w:sz w:val="22"/>
          <w:szCs w:val="22"/>
        </w:rPr>
        <w:t>Anabasis of Alexander</w:t>
      </w:r>
      <w:r w:rsidRPr="01270FC2">
        <w:rPr>
          <w:rFonts w:ascii="Times New Roman" w:eastAsia="Times New Roman" w:hAnsi="Times New Roman"/>
          <w:sz w:val="22"/>
          <w:szCs w:val="22"/>
        </w:rPr>
        <w:t xml:space="preserve">, P.A.Brunt (trans.). 1976. Cambridge, MA: Harvard University Press. </w:t>
      </w:r>
    </w:p>
    <w:p w14:paraId="6C4BBD2C" w14:textId="6F9C1930" w:rsidR="01270FC2" w:rsidRDefault="01270FC2" w:rsidP="01270FC2">
      <w:pPr>
        <w:pStyle w:val="NormalWeb"/>
        <w:rPr>
          <w:rFonts w:ascii="Times New Roman" w:eastAsia="Times New Roman" w:hAnsi="Times New Roman"/>
          <w:sz w:val="22"/>
          <w:szCs w:val="22"/>
        </w:rPr>
      </w:pPr>
    </w:p>
    <w:p w14:paraId="43825D44" w14:textId="0EF82072"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Diodorus Siculus, </w:t>
      </w:r>
      <w:r w:rsidRPr="01270FC2">
        <w:rPr>
          <w:rFonts w:ascii="Times New Roman" w:eastAsia="Times New Roman" w:hAnsi="Times New Roman"/>
          <w:i/>
          <w:iCs/>
          <w:sz w:val="22"/>
          <w:szCs w:val="22"/>
        </w:rPr>
        <w:t>Library</w:t>
      </w:r>
      <w:r w:rsidRPr="01270FC2">
        <w:rPr>
          <w:rFonts w:ascii="Times New Roman" w:eastAsia="Times New Roman" w:hAnsi="Times New Roman"/>
          <w:sz w:val="22"/>
          <w:szCs w:val="22"/>
        </w:rPr>
        <w:t xml:space="preserve">, C.H.Oldfather (trans.). 1989. Cambridge, MA: Harvard University Press. </w:t>
      </w:r>
    </w:p>
    <w:p w14:paraId="4422E400" w14:textId="62C7368D" w:rsidR="01270FC2" w:rsidRDefault="01270FC2" w:rsidP="01270FC2">
      <w:pPr>
        <w:pStyle w:val="NormalWeb"/>
        <w:rPr>
          <w:rFonts w:ascii="Times New Roman" w:eastAsia="Times New Roman" w:hAnsi="Times New Roman"/>
          <w:sz w:val="22"/>
          <w:szCs w:val="22"/>
        </w:rPr>
      </w:pPr>
    </w:p>
    <w:p w14:paraId="7D237208" w14:textId="6F6F7D9C"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Pliny the Elder, </w:t>
      </w:r>
      <w:r w:rsidRPr="01270FC2">
        <w:rPr>
          <w:rFonts w:ascii="Times New Roman" w:eastAsia="Times New Roman" w:hAnsi="Times New Roman"/>
          <w:i/>
          <w:iCs/>
          <w:sz w:val="22"/>
          <w:szCs w:val="22"/>
        </w:rPr>
        <w:t>Natural History</w:t>
      </w:r>
      <w:r w:rsidRPr="01270FC2">
        <w:rPr>
          <w:rFonts w:ascii="Times New Roman" w:eastAsia="Times New Roman" w:hAnsi="Times New Roman"/>
          <w:sz w:val="22"/>
          <w:szCs w:val="22"/>
        </w:rPr>
        <w:t>, J.Bostock (trans.). 1855. London.</w:t>
      </w:r>
    </w:p>
    <w:p w14:paraId="092FE30E" w14:textId="4888DD71" w:rsidR="01270FC2" w:rsidRDefault="01270FC2" w:rsidP="01270FC2">
      <w:pPr>
        <w:pStyle w:val="NormalWeb"/>
        <w:rPr>
          <w:rFonts w:ascii="Times New Roman" w:eastAsia="Times New Roman" w:hAnsi="Times New Roman"/>
          <w:sz w:val="22"/>
          <w:szCs w:val="22"/>
        </w:rPr>
      </w:pPr>
    </w:p>
    <w:p w14:paraId="362E702D" w14:textId="182B5728"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Quintus Curtius, </w:t>
      </w:r>
      <w:r w:rsidRPr="01270FC2">
        <w:rPr>
          <w:rFonts w:ascii="Times New Roman" w:eastAsia="Times New Roman" w:hAnsi="Times New Roman"/>
          <w:i/>
          <w:iCs/>
          <w:sz w:val="22"/>
          <w:szCs w:val="22"/>
        </w:rPr>
        <w:t>History of Alexander</w:t>
      </w:r>
      <w:r w:rsidRPr="01270FC2">
        <w:rPr>
          <w:rFonts w:ascii="Times New Roman" w:eastAsia="Times New Roman" w:hAnsi="Times New Roman"/>
          <w:sz w:val="22"/>
          <w:szCs w:val="22"/>
        </w:rPr>
        <w:t xml:space="preserve">, J.C.Rolfe (trans.). 1946. Cambridge, MA: Harvard University Press. </w:t>
      </w:r>
    </w:p>
    <w:p w14:paraId="527A7111" w14:textId="0C67A8AF" w:rsidR="01270FC2" w:rsidRDefault="01270FC2" w:rsidP="01270FC2">
      <w:pPr>
        <w:pStyle w:val="NormalWeb"/>
        <w:rPr>
          <w:rFonts w:ascii="Times New Roman" w:eastAsia="Times New Roman" w:hAnsi="Times New Roman"/>
          <w:sz w:val="22"/>
          <w:szCs w:val="22"/>
        </w:rPr>
      </w:pPr>
    </w:p>
    <w:p w14:paraId="7E302853" w14:textId="413E1CDC" w:rsidR="01270FC2" w:rsidRDefault="01270FC2" w:rsidP="01270FC2">
      <w:pPr>
        <w:pStyle w:val="NormalWeb"/>
        <w:rPr>
          <w:rFonts w:ascii="Times New Roman" w:eastAsia="Times New Roman" w:hAnsi="Times New Roman"/>
          <w:sz w:val="22"/>
          <w:szCs w:val="22"/>
          <w:u w:val="single"/>
        </w:rPr>
      </w:pPr>
      <w:r w:rsidRPr="01270FC2">
        <w:rPr>
          <w:rFonts w:ascii="Times New Roman" w:eastAsia="Times New Roman" w:hAnsi="Times New Roman"/>
          <w:sz w:val="22"/>
          <w:szCs w:val="22"/>
          <w:u w:val="single"/>
        </w:rPr>
        <w:t>Modern Sources:</w:t>
      </w:r>
    </w:p>
    <w:p w14:paraId="71A8F8C1" w14:textId="1560910B"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Art Resource. 'Sarcophagus of Alexander the Great: Relief with Battle Scene'. 2011. Artres.com. </w:t>
      </w:r>
      <w:hyperlink r:id="rId8">
        <w:r w:rsidRPr="01270FC2">
          <w:rPr>
            <w:rStyle w:val="Hyperlink"/>
            <w:rFonts w:ascii="Times New Roman" w:eastAsia="Times New Roman" w:hAnsi="Times New Roman"/>
            <w:sz w:val="22"/>
            <w:szCs w:val="22"/>
          </w:rPr>
          <w:t>http://www.artres.com/C.aspx?VP3=ViewBox_VPage&amp;VBID=2UN365L3L97VE&amp;IT=ZoomImageTemplate01_VForm&amp;IID=2UNTWA3TSEV&amp;PN=20&amp;CT=Search&amp;SF=0</w:t>
        </w:r>
      </w:hyperlink>
      <w:r w:rsidRPr="01270FC2">
        <w:rPr>
          <w:rFonts w:ascii="Times New Roman" w:eastAsia="Times New Roman" w:hAnsi="Times New Roman"/>
          <w:sz w:val="22"/>
          <w:szCs w:val="22"/>
        </w:rPr>
        <w:t xml:space="preserve"> . [Accessed on: 9.04.2018].</w:t>
      </w:r>
    </w:p>
    <w:p w14:paraId="21487D24" w14:textId="1DB74EF0" w:rsidR="01270FC2" w:rsidRDefault="01270FC2" w:rsidP="01270FC2">
      <w:pPr>
        <w:pStyle w:val="NormalWeb"/>
        <w:rPr>
          <w:rFonts w:ascii="Times New Roman" w:eastAsia="Times New Roman" w:hAnsi="Times New Roman"/>
          <w:sz w:val="22"/>
          <w:szCs w:val="22"/>
        </w:rPr>
      </w:pPr>
    </w:p>
    <w:p w14:paraId="689B7A65" w14:textId="1ED46649"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Art Resource. 'Bust of Alexander the Great As Youth'. 2011. Artres.com. </w:t>
      </w:r>
      <w:hyperlink r:id="rId9">
        <w:r w:rsidRPr="01270FC2">
          <w:rPr>
            <w:rStyle w:val="Hyperlink"/>
            <w:rFonts w:ascii="Times New Roman" w:eastAsia="Times New Roman" w:hAnsi="Times New Roman"/>
            <w:sz w:val="22"/>
            <w:szCs w:val="22"/>
          </w:rPr>
          <w:t>http://www.artres.com/C.aspx?VP3=ViewBox_VPage&amp;VBID=2UN365L3L97VE&amp;IT=ZoomImageTemplate01_VForm&amp;IID=2UNTWAV2YR6&amp;PN=37&amp;CT=Search&amp;SF=0</w:t>
        </w:r>
      </w:hyperlink>
      <w:r w:rsidRPr="01270FC2">
        <w:rPr>
          <w:rFonts w:ascii="Times New Roman" w:eastAsia="Times New Roman" w:hAnsi="Times New Roman"/>
          <w:sz w:val="22"/>
          <w:szCs w:val="22"/>
        </w:rPr>
        <w:t xml:space="preserve"> . [Accessed on: 04.04.2018].</w:t>
      </w:r>
    </w:p>
    <w:p w14:paraId="00FAD5C0" w14:textId="4F516AEB" w:rsidR="01270FC2" w:rsidRDefault="01270FC2" w:rsidP="01270FC2">
      <w:pPr>
        <w:pStyle w:val="NormalWeb"/>
        <w:rPr>
          <w:rFonts w:ascii="Times New Roman" w:eastAsia="Times New Roman" w:hAnsi="Times New Roman"/>
          <w:sz w:val="22"/>
          <w:szCs w:val="22"/>
        </w:rPr>
      </w:pPr>
    </w:p>
    <w:p w14:paraId="1AF924A1" w14:textId="76C79F99"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Houston, M.G. , Hornblower, F.S. 1920. </w:t>
      </w:r>
      <w:r w:rsidRPr="01270FC2">
        <w:rPr>
          <w:rFonts w:ascii="Times New Roman" w:eastAsia="Times New Roman" w:hAnsi="Times New Roman"/>
          <w:i/>
          <w:iCs/>
          <w:sz w:val="22"/>
          <w:szCs w:val="22"/>
        </w:rPr>
        <w:t>Ancient Egyptian, Assyrian and Persian Costumes</w:t>
      </w:r>
      <w:r w:rsidRPr="01270FC2">
        <w:rPr>
          <w:rFonts w:ascii="Times New Roman" w:eastAsia="Times New Roman" w:hAnsi="Times New Roman"/>
          <w:sz w:val="22"/>
          <w:szCs w:val="22"/>
        </w:rPr>
        <w:t>. London: Black Limited.</w:t>
      </w:r>
    </w:p>
    <w:p w14:paraId="1D0F0AC7" w14:textId="074B25FB" w:rsidR="01270FC2" w:rsidRDefault="01270FC2" w:rsidP="01270FC2">
      <w:pPr>
        <w:pStyle w:val="NormalWeb"/>
        <w:rPr>
          <w:rFonts w:ascii="Times New Roman" w:eastAsia="Times New Roman" w:hAnsi="Times New Roman"/>
          <w:sz w:val="22"/>
          <w:szCs w:val="22"/>
        </w:rPr>
      </w:pPr>
    </w:p>
    <w:p w14:paraId="0B12A7F1" w14:textId="55A6788B"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McIntyre, A. 'Coins of Alexander the Great'. Coinsoftime.com. </w:t>
      </w:r>
      <w:hyperlink r:id="rId10">
        <w:r w:rsidRPr="01270FC2">
          <w:rPr>
            <w:rStyle w:val="Hyperlink"/>
            <w:rFonts w:ascii="Times New Roman" w:eastAsia="Times New Roman" w:hAnsi="Times New Roman"/>
            <w:sz w:val="22"/>
            <w:szCs w:val="22"/>
          </w:rPr>
          <w:t>http://www.coinsoftime.com/Articles/Coins_of_Alexander_the_Great.html</w:t>
        </w:r>
      </w:hyperlink>
      <w:r w:rsidRPr="01270FC2">
        <w:rPr>
          <w:rFonts w:ascii="Times New Roman" w:eastAsia="Times New Roman" w:hAnsi="Times New Roman"/>
          <w:sz w:val="22"/>
          <w:szCs w:val="22"/>
        </w:rPr>
        <w:t xml:space="preserve"> . [Accessed on: 06.04.2018].</w:t>
      </w:r>
    </w:p>
    <w:p w14:paraId="37537E7D" w14:textId="17D0D7E7" w:rsidR="01270FC2" w:rsidRDefault="01270FC2" w:rsidP="01270FC2">
      <w:pPr>
        <w:pStyle w:val="NormalWeb"/>
        <w:rPr>
          <w:rFonts w:ascii="Times New Roman" w:eastAsia="Times New Roman" w:hAnsi="Times New Roman"/>
          <w:sz w:val="22"/>
          <w:szCs w:val="22"/>
        </w:rPr>
      </w:pPr>
    </w:p>
    <w:p w14:paraId="2B29AA04" w14:textId="4FDA8D0C" w:rsidR="01270FC2"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Museo Archeologico Nazionale di napoli. 'Mosaics'. 1016. </w:t>
      </w:r>
      <w:hyperlink r:id="rId11">
        <w:r w:rsidRPr="01270FC2">
          <w:rPr>
            <w:rStyle w:val="Hyperlink"/>
            <w:rFonts w:ascii="Times New Roman" w:eastAsia="Times New Roman" w:hAnsi="Times New Roman"/>
            <w:sz w:val="22"/>
            <w:szCs w:val="22"/>
          </w:rPr>
          <w:t>https://www.museoarcheologiconapoli.it/en/room-and-sections-of-the-exhibition/mosaics/</w:t>
        </w:r>
      </w:hyperlink>
      <w:r w:rsidRPr="01270FC2">
        <w:rPr>
          <w:rFonts w:ascii="Times New Roman" w:eastAsia="Times New Roman" w:hAnsi="Times New Roman"/>
          <w:sz w:val="22"/>
          <w:szCs w:val="22"/>
        </w:rPr>
        <w:t xml:space="preserve"> . [Accessed on: 17.04.2018].</w:t>
      </w:r>
    </w:p>
    <w:p w14:paraId="4699EEDD" w14:textId="40881145" w:rsidR="01270FC2" w:rsidRDefault="01270FC2" w:rsidP="01270FC2">
      <w:pPr>
        <w:pStyle w:val="NormalWeb"/>
        <w:rPr>
          <w:rFonts w:ascii="Times New Roman" w:eastAsia="Times New Roman" w:hAnsi="Times New Roman"/>
          <w:sz w:val="22"/>
          <w:szCs w:val="22"/>
        </w:rPr>
      </w:pPr>
    </w:p>
    <w:p w14:paraId="24E29E81" w14:textId="05DBAB61" w:rsidR="002265DC" w:rsidRDefault="01270FC2" w:rsidP="01270FC2">
      <w:pPr>
        <w:pStyle w:val="NormalWeb"/>
        <w:rPr>
          <w:rFonts w:ascii="Times New Roman" w:eastAsia="Times New Roman" w:hAnsi="Times New Roman"/>
          <w:sz w:val="22"/>
          <w:szCs w:val="22"/>
        </w:rPr>
      </w:pPr>
      <w:r w:rsidRPr="01270FC2">
        <w:rPr>
          <w:rFonts w:ascii="Times New Roman" w:eastAsia="Times New Roman" w:hAnsi="Times New Roman"/>
          <w:sz w:val="22"/>
          <w:szCs w:val="22"/>
        </w:rPr>
        <w:t xml:space="preserve">Stewart, A. 1913. </w:t>
      </w:r>
      <w:r w:rsidRPr="01270FC2">
        <w:rPr>
          <w:rFonts w:ascii="Times New Roman" w:eastAsia="Times New Roman" w:hAnsi="Times New Roman"/>
          <w:i/>
          <w:iCs/>
          <w:sz w:val="22"/>
          <w:szCs w:val="22"/>
        </w:rPr>
        <w:t xml:space="preserve">Faces of Power: </w:t>
      </w:r>
      <w:r w:rsidR="002265DC" w:rsidRPr="01270FC2">
        <w:rPr>
          <w:rFonts w:ascii="Times New Roman" w:eastAsia="Times New Roman" w:hAnsi="Times New Roman"/>
          <w:i/>
          <w:iCs/>
          <w:sz w:val="22"/>
          <w:szCs w:val="22"/>
        </w:rPr>
        <w:t>Alexander’s</w:t>
      </w:r>
      <w:r w:rsidRPr="01270FC2">
        <w:rPr>
          <w:rFonts w:ascii="Times New Roman" w:eastAsia="Times New Roman" w:hAnsi="Times New Roman"/>
          <w:i/>
          <w:iCs/>
          <w:sz w:val="22"/>
          <w:szCs w:val="22"/>
        </w:rPr>
        <w:t xml:space="preserve"> Image and Hellenistic Politics</w:t>
      </w:r>
      <w:r w:rsidRPr="01270FC2">
        <w:rPr>
          <w:rFonts w:ascii="Times New Roman" w:eastAsia="Times New Roman" w:hAnsi="Times New Roman"/>
          <w:sz w:val="22"/>
          <w:szCs w:val="22"/>
        </w:rPr>
        <w:t>. University of California Press</w:t>
      </w:r>
      <w:r w:rsidR="002265DC">
        <w:rPr>
          <w:rFonts w:ascii="Times New Roman" w:eastAsia="Times New Roman" w:hAnsi="Times New Roman"/>
          <w:sz w:val="22"/>
          <w:szCs w:val="22"/>
        </w:rPr>
        <w:t xml:space="preserve">. </w:t>
      </w:r>
    </w:p>
    <w:p w14:paraId="16611520" w14:textId="2FDA46E5" w:rsidR="002265DC" w:rsidRDefault="002265DC" w:rsidP="01270FC2">
      <w:pPr>
        <w:pStyle w:val="NormalWeb"/>
        <w:rPr>
          <w:rFonts w:ascii="Times New Roman" w:eastAsia="Times New Roman" w:hAnsi="Times New Roman"/>
          <w:sz w:val="22"/>
          <w:szCs w:val="22"/>
        </w:rPr>
      </w:pPr>
    </w:p>
    <w:p w14:paraId="2E37C048" w14:textId="5E8E662B" w:rsidR="01270FC2" w:rsidRDefault="01270FC2" w:rsidP="01270FC2">
      <w:pPr>
        <w:pStyle w:val="NormalWeb"/>
      </w:pPr>
      <w:r w:rsidRPr="01270FC2">
        <w:t xml:space="preserve"> </w:t>
      </w:r>
    </w:p>
    <w:p w14:paraId="402B13BD" w14:textId="07A64DA0" w:rsidR="01270FC2" w:rsidRDefault="01270FC2" w:rsidP="01270FC2">
      <w:pPr>
        <w:pStyle w:val="NormalWeb"/>
      </w:pPr>
    </w:p>
    <w:sectPr w:rsidR="01270FC2" w:rsidSect="00F73533">
      <w:headerReference w:type="default" r:id="rId12"/>
      <w:footerReference w:type="default" r:id="rId13"/>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B0818" w14:textId="77777777" w:rsidR="00F7471D" w:rsidRDefault="00F7471D" w:rsidP="00AD5D5A">
      <w:r>
        <w:separator/>
      </w:r>
    </w:p>
  </w:endnote>
  <w:endnote w:type="continuationSeparator" w:id="0">
    <w:p w14:paraId="049F31CB" w14:textId="77777777" w:rsidR="00F7471D" w:rsidRDefault="00F7471D"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lbertus">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altName w:val="Calibri"/>
    <w:panose1 w:val="02040502050405020303"/>
    <w:charset w:val="00"/>
    <w:family w:val="roman"/>
    <w:pitch w:val="variable"/>
    <w:sig w:usb0="00000287" w:usb1="00000000" w:usb2="00000000" w:usb3="00000000" w:csb0="0000009F" w:csb1="00000000"/>
  </w:font>
  <w:font w:name="Trebuchet MS">
    <w:altName w:val="Arial"/>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77777777" w:rsidR="00565B73" w:rsidRPr="00337A70" w:rsidRDefault="00565B73">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28261" w14:textId="77777777" w:rsidR="00F7471D" w:rsidRDefault="00F7471D" w:rsidP="00AD5D5A">
      <w:r>
        <w:separator/>
      </w:r>
    </w:p>
  </w:footnote>
  <w:footnote w:type="continuationSeparator" w:id="0">
    <w:p w14:paraId="62486C05" w14:textId="77777777" w:rsidR="00F7471D" w:rsidRDefault="00F7471D" w:rsidP="00AD5D5A">
      <w:r>
        <w:continuationSeparator/>
      </w:r>
    </w:p>
  </w:footnote>
  <w:footnote w:id="1">
    <w:p w14:paraId="7B82ADF6" w14:textId="2990E632" w:rsidR="4DFA719D" w:rsidRDefault="4DFA719D" w:rsidP="4DFA719D">
      <w:pPr>
        <w:pStyle w:val="FootnoteText"/>
      </w:pPr>
      <w:r w:rsidRPr="4DFA719D">
        <w:rPr>
          <w:rStyle w:val="FootnoteReference"/>
        </w:rPr>
        <w:footnoteRef/>
      </w:r>
      <w:r w:rsidRPr="01270FC2">
        <w:t xml:space="preserve"> </w:t>
      </w:r>
      <w:r>
        <w:t>Musero</w:t>
      </w:r>
      <w:r w:rsidRPr="01270FC2">
        <w:t xml:space="preserve"> </w:t>
      </w:r>
      <w:r>
        <w:t>Archeologico Nazionale di Nappoli</w:t>
      </w:r>
    </w:p>
  </w:footnote>
  <w:footnote w:id="2">
    <w:p w14:paraId="0BB6C53D" w14:textId="544EFE84" w:rsidR="4DFA719D" w:rsidRDefault="4DFA719D" w:rsidP="4DFA719D">
      <w:pPr>
        <w:pStyle w:val="FootnoteText"/>
      </w:pPr>
      <w:r w:rsidRPr="4DFA719D">
        <w:rPr>
          <w:rStyle w:val="FootnoteReference"/>
        </w:rPr>
        <w:footnoteRef/>
      </w:r>
      <w:r>
        <w:t xml:space="preserve"> Diodorus Siculus, Library of World History, 17.34.3 - 6.</w:t>
      </w:r>
    </w:p>
    <w:p w14:paraId="2EF6DE3B" w14:textId="4CFC109E" w:rsidR="4DFA719D" w:rsidRDefault="4DFA719D" w:rsidP="4DFA719D">
      <w:pPr>
        <w:pStyle w:val="FootnoteText"/>
      </w:pPr>
      <w:r>
        <w:t>Quintus Curtius, History of Alexander, 3.3.12-13.</w:t>
      </w:r>
    </w:p>
    <w:p w14:paraId="3122C509" w14:textId="524E8D78" w:rsidR="4DFA719D" w:rsidRDefault="4DFA719D" w:rsidP="4DFA719D">
      <w:pPr>
        <w:pStyle w:val="FootnoteText"/>
      </w:pPr>
      <w:r>
        <w:t>Arrian, Anabasis of Alexander, 3.15.171-172</w:t>
      </w:r>
    </w:p>
  </w:footnote>
  <w:footnote w:id="3">
    <w:p w14:paraId="4FF58B0F" w14:textId="36A36A46" w:rsidR="4DFA719D" w:rsidRDefault="4DFA719D" w:rsidP="4DFA719D">
      <w:pPr>
        <w:pStyle w:val="FootnoteText"/>
      </w:pPr>
      <w:r w:rsidRPr="4DFA719D">
        <w:rPr>
          <w:rStyle w:val="FootnoteReference"/>
        </w:rPr>
        <w:footnoteRef/>
      </w:r>
      <w:r>
        <w:t xml:space="preserve"> Houston, M.G., Hornblower, F.S. 1920, 81 </w:t>
      </w:r>
    </w:p>
  </w:footnote>
  <w:footnote w:id="4">
    <w:p w14:paraId="179EE36D" w14:textId="55C30EAA" w:rsidR="4DFA719D" w:rsidRDefault="4DFA719D" w:rsidP="4DFA719D">
      <w:pPr>
        <w:pStyle w:val="FootnoteText"/>
      </w:pPr>
      <w:r w:rsidRPr="4DFA719D">
        <w:rPr>
          <w:rStyle w:val="FootnoteReference"/>
        </w:rPr>
        <w:footnoteRef/>
      </w:r>
      <w:r>
        <w:t xml:space="preserve"> Art Resource, 2011</w:t>
      </w:r>
    </w:p>
  </w:footnote>
  <w:footnote w:id="5">
    <w:p w14:paraId="08479625" w14:textId="6058E646" w:rsidR="4DFA719D" w:rsidRDefault="4DFA719D" w:rsidP="4DFA719D">
      <w:pPr>
        <w:pStyle w:val="FootnoteText"/>
      </w:pPr>
      <w:r w:rsidRPr="4DFA719D">
        <w:rPr>
          <w:rStyle w:val="FootnoteReference"/>
        </w:rPr>
        <w:footnoteRef/>
      </w:r>
      <w:r>
        <w:t>Quintus Curius, History of Alexander, 4.4.</w:t>
      </w:r>
    </w:p>
    <w:p w14:paraId="4A268DFB" w14:textId="7584D3AC" w:rsidR="4DFA719D" w:rsidRDefault="4DFA719D" w:rsidP="4DFA719D">
      <w:pPr>
        <w:pStyle w:val="FootnoteText"/>
      </w:pPr>
      <w:r>
        <w:t>Arrian, Anabasis of Alexander, 1 / 6</w:t>
      </w:r>
    </w:p>
  </w:footnote>
  <w:footnote w:id="6">
    <w:p w14:paraId="616FCD2B" w14:textId="10E58C20" w:rsidR="4DFA719D" w:rsidRDefault="4DFA719D" w:rsidP="4DFA719D">
      <w:pPr>
        <w:pStyle w:val="FootnoteText"/>
      </w:pPr>
      <w:r w:rsidRPr="4DFA719D">
        <w:rPr>
          <w:rStyle w:val="FootnoteReference"/>
        </w:rPr>
        <w:footnoteRef/>
      </w:r>
      <w:r>
        <w:t xml:space="preserve"> Aelian, Historical Miscellany, 12.14.</w:t>
      </w:r>
    </w:p>
    <w:p w14:paraId="1FF270D7" w14:textId="2252A742" w:rsidR="4DFA719D" w:rsidRDefault="4DFA719D" w:rsidP="4DFA719D">
      <w:pPr>
        <w:pStyle w:val="FootnoteText"/>
      </w:pPr>
      <w:r>
        <w:t>McIntyre, Coins Of Time</w:t>
      </w:r>
    </w:p>
  </w:footnote>
  <w:footnote w:id="7">
    <w:p w14:paraId="5A5DD987" w14:textId="311F91E6" w:rsidR="4DFA719D" w:rsidRDefault="4DFA719D" w:rsidP="4DFA719D">
      <w:pPr>
        <w:pStyle w:val="FootnoteText"/>
      </w:pPr>
      <w:r w:rsidRPr="4DFA719D">
        <w:rPr>
          <w:rStyle w:val="FootnoteReference"/>
        </w:rPr>
        <w:footnoteRef/>
      </w:r>
      <w:r>
        <w:t xml:space="preserve"> Stewart, A. 1993. 5-6</w:t>
      </w:r>
    </w:p>
  </w:footnote>
  <w:footnote w:id="8">
    <w:p w14:paraId="6C82B384" w14:textId="55AF1DD8" w:rsidR="4DFA719D" w:rsidRDefault="4DFA719D" w:rsidP="4DFA719D">
      <w:pPr>
        <w:pStyle w:val="FootnoteText"/>
      </w:pPr>
      <w:r w:rsidRPr="4DFA719D">
        <w:rPr>
          <w:rStyle w:val="FootnoteReference"/>
        </w:rPr>
        <w:footnoteRef/>
      </w:r>
      <w:r>
        <w:t xml:space="preserve"> Pliny, Natural History, 35.36.108-109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880"/>
      <w:gridCol w:w="2880"/>
      <w:gridCol w:w="2880"/>
    </w:tblGrid>
    <w:tr w:rsidR="6BA04158" w14:paraId="0329075B" w14:textId="77777777" w:rsidTr="4DFA719D">
      <w:tc>
        <w:tcPr>
          <w:tcW w:w="2880" w:type="dxa"/>
        </w:tcPr>
        <w:p w14:paraId="7174FB30" w14:textId="5D6D1060" w:rsidR="6BA04158" w:rsidRDefault="6BA04158" w:rsidP="6BA04158">
          <w:pPr>
            <w:pStyle w:val="Header"/>
            <w:ind w:left="-115"/>
          </w:pPr>
        </w:p>
      </w:tc>
      <w:tc>
        <w:tcPr>
          <w:tcW w:w="2880" w:type="dxa"/>
        </w:tcPr>
        <w:p w14:paraId="78827FBC" w14:textId="62A083BE" w:rsidR="6BA04158" w:rsidRDefault="6BA04158" w:rsidP="6BA04158">
          <w:pPr>
            <w:pStyle w:val="Header"/>
            <w:jc w:val="center"/>
          </w:pPr>
        </w:p>
      </w:tc>
      <w:tc>
        <w:tcPr>
          <w:tcW w:w="2880" w:type="dxa"/>
        </w:tcPr>
        <w:p w14:paraId="08C130B3" w14:textId="77695847" w:rsidR="6BA04158" w:rsidRDefault="4DFA719D" w:rsidP="6BA04158">
          <w:pPr>
            <w:pStyle w:val="Header"/>
            <w:ind w:right="-115"/>
            <w:jc w:val="right"/>
          </w:pPr>
          <w:r>
            <w:t>Sophie Taylor</w:t>
          </w:r>
        </w:p>
      </w:tc>
    </w:tr>
  </w:tbl>
  <w:p w14:paraId="7AC87B82" w14:textId="3973C55E" w:rsidR="6BA04158" w:rsidRDefault="6BA04158" w:rsidP="6BA04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21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3545"/>
    <w:rsid w:val="00026363"/>
    <w:rsid w:val="00043549"/>
    <w:rsid w:val="00046A16"/>
    <w:rsid w:val="00047074"/>
    <w:rsid w:val="00076A0B"/>
    <w:rsid w:val="000854DF"/>
    <w:rsid w:val="000A6D49"/>
    <w:rsid w:val="000E3682"/>
    <w:rsid w:val="000E3751"/>
    <w:rsid w:val="001070F2"/>
    <w:rsid w:val="00111283"/>
    <w:rsid w:val="001628A0"/>
    <w:rsid w:val="00172497"/>
    <w:rsid w:val="00176E39"/>
    <w:rsid w:val="001C0B52"/>
    <w:rsid w:val="001C4B2D"/>
    <w:rsid w:val="001E0E06"/>
    <w:rsid w:val="001E50BB"/>
    <w:rsid w:val="001F4CE1"/>
    <w:rsid w:val="002132DC"/>
    <w:rsid w:val="00216211"/>
    <w:rsid w:val="00224B95"/>
    <w:rsid w:val="002265DC"/>
    <w:rsid w:val="002715FA"/>
    <w:rsid w:val="00276002"/>
    <w:rsid w:val="00277421"/>
    <w:rsid w:val="00286DBB"/>
    <w:rsid w:val="00290783"/>
    <w:rsid w:val="002D2A04"/>
    <w:rsid w:val="002E2BA0"/>
    <w:rsid w:val="002E67CE"/>
    <w:rsid w:val="002F1475"/>
    <w:rsid w:val="003014FE"/>
    <w:rsid w:val="00305185"/>
    <w:rsid w:val="00307B22"/>
    <w:rsid w:val="00326631"/>
    <w:rsid w:val="00337A70"/>
    <w:rsid w:val="00341D2F"/>
    <w:rsid w:val="0038342D"/>
    <w:rsid w:val="003C3F4F"/>
    <w:rsid w:val="003C7F6F"/>
    <w:rsid w:val="003E08F3"/>
    <w:rsid w:val="003F0AD2"/>
    <w:rsid w:val="0040732D"/>
    <w:rsid w:val="004250DD"/>
    <w:rsid w:val="0043758C"/>
    <w:rsid w:val="0044129B"/>
    <w:rsid w:val="00447497"/>
    <w:rsid w:val="00460A5C"/>
    <w:rsid w:val="004627BA"/>
    <w:rsid w:val="004724D6"/>
    <w:rsid w:val="00475C78"/>
    <w:rsid w:val="004B73BA"/>
    <w:rsid w:val="004C79CE"/>
    <w:rsid w:val="00501FCB"/>
    <w:rsid w:val="00506286"/>
    <w:rsid w:val="00521E0F"/>
    <w:rsid w:val="00531109"/>
    <w:rsid w:val="00537B4C"/>
    <w:rsid w:val="00542583"/>
    <w:rsid w:val="005429EF"/>
    <w:rsid w:val="005627D4"/>
    <w:rsid w:val="00565B73"/>
    <w:rsid w:val="0058450D"/>
    <w:rsid w:val="0058726A"/>
    <w:rsid w:val="00590E9A"/>
    <w:rsid w:val="005942E9"/>
    <w:rsid w:val="005A17DE"/>
    <w:rsid w:val="005C41D9"/>
    <w:rsid w:val="005C6560"/>
    <w:rsid w:val="00610318"/>
    <w:rsid w:val="0061152B"/>
    <w:rsid w:val="00632937"/>
    <w:rsid w:val="0065654E"/>
    <w:rsid w:val="00662A40"/>
    <w:rsid w:val="006805EC"/>
    <w:rsid w:val="00691819"/>
    <w:rsid w:val="00693C4D"/>
    <w:rsid w:val="006A205D"/>
    <w:rsid w:val="006C0A3A"/>
    <w:rsid w:val="006C5E96"/>
    <w:rsid w:val="006D3E93"/>
    <w:rsid w:val="00751BE2"/>
    <w:rsid w:val="00765417"/>
    <w:rsid w:val="00770733"/>
    <w:rsid w:val="00773D0E"/>
    <w:rsid w:val="00790E2F"/>
    <w:rsid w:val="007B721A"/>
    <w:rsid w:val="007C098A"/>
    <w:rsid w:val="007C6F33"/>
    <w:rsid w:val="007D7715"/>
    <w:rsid w:val="007E70DA"/>
    <w:rsid w:val="00823895"/>
    <w:rsid w:val="0083442E"/>
    <w:rsid w:val="00840B95"/>
    <w:rsid w:val="0084272E"/>
    <w:rsid w:val="00843DE9"/>
    <w:rsid w:val="00860711"/>
    <w:rsid w:val="0087541B"/>
    <w:rsid w:val="0089447F"/>
    <w:rsid w:val="008A4DCC"/>
    <w:rsid w:val="008B3A97"/>
    <w:rsid w:val="008C6811"/>
    <w:rsid w:val="008D03F0"/>
    <w:rsid w:val="008E525C"/>
    <w:rsid w:val="00914769"/>
    <w:rsid w:val="00922D3E"/>
    <w:rsid w:val="00961FFE"/>
    <w:rsid w:val="00973B44"/>
    <w:rsid w:val="009801D3"/>
    <w:rsid w:val="009A3D0A"/>
    <w:rsid w:val="009B2D10"/>
    <w:rsid w:val="009C01A3"/>
    <w:rsid w:val="009C396A"/>
    <w:rsid w:val="00A02C62"/>
    <w:rsid w:val="00A2073F"/>
    <w:rsid w:val="00A303FE"/>
    <w:rsid w:val="00A41032"/>
    <w:rsid w:val="00A41AF9"/>
    <w:rsid w:val="00A507E4"/>
    <w:rsid w:val="00A50BE3"/>
    <w:rsid w:val="00A62E68"/>
    <w:rsid w:val="00A972E4"/>
    <w:rsid w:val="00A9744A"/>
    <w:rsid w:val="00AC1643"/>
    <w:rsid w:val="00AC36E3"/>
    <w:rsid w:val="00AC3798"/>
    <w:rsid w:val="00AC6213"/>
    <w:rsid w:val="00AD5D5A"/>
    <w:rsid w:val="00AE24CF"/>
    <w:rsid w:val="00B11E29"/>
    <w:rsid w:val="00B17D36"/>
    <w:rsid w:val="00B36F4A"/>
    <w:rsid w:val="00B42501"/>
    <w:rsid w:val="00B45FEF"/>
    <w:rsid w:val="00B81E5D"/>
    <w:rsid w:val="00B96983"/>
    <w:rsid w:val="00B9724B"/>
    <w:rsid w:val="00BC17F1"/>
    <w:rsid w:val="00BE7B7A"/>
    <w:rsid w:val="00BF22DC"/>
    <w:rsid w:val="00BF3D29"/>
    <w:rsid w:val="00BF6291"/>
    <w:rsid w:val="00C129C7"/>
    <w:rsid w:val="00C22A88"/>
    <w:rsid w:val="00C45D06"/>
    <w:rsid w:val="00C65E7F"/>
    <w:rsid w:val="00C93CD4"/>
    <w:rsid w:val="00CC52A3"/>
    <w:rsid w:val="00CE3B79"/>
    <w:rsid w:val="00D0754F"/>
    <w:rsid w:val="00D121FD"/>
    <w:rsid w:val="00D252D1"/>
    <w:rsid w:val="00D459DC"/>
    <w:rsid w:val="00D56EFA"/>
    <w:rsid w:val="00D844B9"/>
    <w:rsid w:val="00DA3217"/>
    <w:rsid w:val="00DA3E0F"/>
    <w:rsid w:val="00DB185F"/>
    <w:rsid w:val="00DB2FD8"/>
    <w:rsid w:val="00DB43BB"/>
    <w:rsid w:val="00DD363B"/>
    <w:rsid w:val="00DE4546"/>
    <w:rsid w:val="00DE54B1"/>
    <w:rsid w:val="00E3766D"/>
    <w:rsid w:val="00E57529"/>
    <w:rsid w:val="00E64EE0"/>
    <w:rsid w:val="00E84F5D"/>
    <w:rsid w:val="00EC7546"/>
    <w:rsid w:val="00F12282"/>
    <w:rsid w:val="00F1661E"/>
    <w:rsid w:val="00F346BE"/>
    <w:rsid w:val="00F73533"/>
    <w:rsid w:val="00F7471D"/>
    <w:rsid w:val="00F92084"/>
    <w:rsid w:val="00FA07E9"/>
    <w:rsid w:val="00FA2A4C"/>
    <w:rsid w:val="00FF1125"/>
    <w:rsid w:val="00FF5097"/>
    <w:rsid w:val="01270FC2"/>
    <w:rsid w:val="4DFA719D"/>
    <w:rsid w:val="6BA04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67D5222"/>
  <w15:chartTrackingRefBased/>
  <w15:docId w15:val="{B21C1FFB-1906-2548-8B57-0E0B3E87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basedOn w:val="DefaultParagraphFont"/>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basedOn w:val="CommentText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basedOn w:val="DefaultParagraphFont"/>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basedOn w:val="DefaultParagraphFont"/>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rsid w:val="00AD5D5A"/>
    <w:rPr>
      <w:sz w:val="24"/>
      <w:szCs w:val="24"/>
      <w:lang w:eastAsia="zh-CN"/>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DE4546"/>
  </w:style>
  <w:style w:type="character" w:customStyle="1" w:styleId="eop">
    <w:name w:val="eop"/>
    <w:basedOn w:val="DefaultParagraphFont"/>
    <w:rsid w:val="00DE4546"/>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rPr>
      <w:sz w:val="20"/>
      <w:szCs w:val="20"/>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tres.com/C.aspx?VP3=ViewBox_VPage&amp;VBID=2UN365L3L97VE&amp;IT=ZoomImageTemplate01_VForm&amp;IID=2UNTWA3TSEV&amp;PN=20&amp;CT=Search&amp;SF=0"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useoarcheologiconapoli.it/en/room-and-sections-of-the-exhibition/mosaics/"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www.coinsoftime.com/Articles/Coins_of_Alexander_the_Great.html" TargetMode="External" /><Relationship Id="rId4" Type="http://schemas.openxmlformats.org/officeDocument/2006/relationships/webSettings" Target="webSettings.xml" /><Relationship Id="rId9" Type="http://schemas.openxmlformats.org/officeDocument/2006/relationships/hyperlink" Target="http://www.artres.com/C.aspx?VP3=ViewBox_VPage&amp;VBID=2UN365L3L97VE&amp;IT=ZoomImageTemplate01_VForm&amp;IID=2UNTWAV2YR6&amp;PN=37&amp;CT=Search&amp;SF=0"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1235</Words>
  <Characters>7043</Characters>
  <Application>Microsoft Office Word</Application>
  <DocSecurity>0</DocSecurity>
  <Lines>58</Lines>
  <Paragraphs>16</Paragraphs>
  <ScaleCrop>false</ScaleCrop>
  <Company>University of Wales Lampeter</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Sophie Taylor (1700991)</cp:lastModifiedBy>
  <cp:revision>2</cp:revision>
  <cp:lastPrinted>2010-10-08T16:31:00Z</cp:lastPrinted>
  <dcterms:created xsi:type="dcterms:W3CDTF">2018-04-24T15:59:00Z</dcterms:created>
  <dcterms:modified xsi:type="dcterms:W3CDTF">2018-04-24T15:59:00Z</dcterms:modified>
</cp:coreProperties>
</file>