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791E9B" w:rsidR="00791E9B" w:rsidP="0EE76D2C" w:rsidRDefault="00791E9B" w14:paraId="6BCFA18B" w14:textId="5318CDB0">
      <w:pPr>
        <w:pStyle w:val="Normal"/>
        <w:shd w:val="clear" w:color="auto" w:fill="D9E2F3" w:themeFill="accent1" w:themeFillTint="33"/>
        <w:spacing w:after="60"/>
        <w:jc w:val="center"/>
      </w:pPr>
      <w:r w:rsidR="2D91E8DF">
        <w:drawing>
          <wp:inline wp14:editId="0378F84A" wp14:anchorId="1C8723A4">
            <wp:extent cx="1962150" cy="762000"/>
            <wp:effectExtent l="0" t="0" r="0" b="0"/>
            <wp:docPr id="133439651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34396514" name="Picture 1334396514"/>
                    <pic:cNvPicPr/>
                  </pic:nvPicPr>
                  <pic:blipFill>
                    <a:blip xmlns:r="http://schemas.openxmlformats.org/officeDocument/2006/relationships" r:embed="rId810834512">
                      <a:extLst>
                        <a:ext uri="{28A0092B-C50C-407E-A947-70E740481C1C}">
                          <a14:useLocalDpi xmlns:a14="http://schemas.microsoft.com/office/drawing/2010/main"/>
                        </a:ext>
                      </a:extLst>
                    </a:blip>
                    <a:stretch>
                      <a:fillRect/>
                    </a:stretch>
                  </pic:blipFill>
                  <pic:spPr>
                    <a:xfrm>
                      <a:off x="0" y="0"/>
                      <a:ext cx="1962150" cy="762000"/>
                    </a:xfrm>
                    <a:prstGeom prst="rect">
                      <a:avLst/>
                    </a:prstGeom>
                  </pic:spPr>
                </pic:pic>
              </a:graphicData>
            </a:graphic>
          </wp:inline>
        </w:drawing>
      </w:r>
    </w:p>
    <w:p w:rsidRPr="00791E9B" w:rsidR="00791E9B" w:rsidP="0EE76D2C" w:rsidRDefault="00791E9B" w14:paraId="4E17A3D8" w14:textId="09159E67">
      <w:pPr>
        <w:keepNext w:val="1"/>
        <w:keepLines w:val="1"/>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Pr="00791E9B" w:rsidR="00791E9B" w:rsidP="0EE76D2C" w:rsidRDefault="00791E9B" w14:paraId="551829B2" w14:textId="1CB83347">
      <w:pPr>
        <w:keepNext w:val="1"/>
        <w:keepLines w:val="1"/>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Pr="00791E9B" w:rsidR="00791E9B" w:rsidP="0EE76D2C" w:rsidRDefault="00791E9B" w14:paraId="05B5BC49" w14:textId="154DDA4F">
      <w:pPr>
        <w:keepNext w:val="1"/>
        <w:keepLines w:val="1"/>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Pr="00791E9B" w:rsidR="00791E9B" w:rsidP="0EE76D2C" w:rsidRDefault="00791E9B" w14:paraId="5DF1A464" w14:textId="78B94486">
      <w:pPr>
        <w:keepNext w:val="1"/>
        <w:keepLines w:val="1"/>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Pr="00791E9B" w:rsidR="00791E9B" w:rsidP="0EE76D2C" w:rsidRDefault="00791E9B" w14:paraId="43A66B1F" w14:textId="26DAE71C">
      <w:pPr>
        <w:keepNext w:val="1"/>
        <w:keepLines w:val="1"/>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EE76D2C" w:rsidR="6FBC29FD">
        <w:rPr>
          <w:rFonts w:ascii="Arial" w:hAnsi="Arial" w:eastAsia="Arial" w:cs="Arial"/>
          <w:b w:val="0"/>
          <w:bCs w:val="0"/>
          <w:i w:val="0"/>
          <w:iCs w:val="0"/>
          <w:caps w:val="0"/>
          <w:smallCaps w:val="0"/>
          <w:noProof w:val="0"/>
          <w:color w:val="000000" w:themeColor="text1" w:themeTint="FF" w:themeShade="FF"/>
          <w:sz w:val="24"/>
          <w:szCs w:val="24"/>
          <w:lang w:val="en-GB"/>
        </w:rPr>
        <w:t>Student name: Valentina-Marinela Pana-Donichian</w:t>
      </w:r>
    </w:p>
    <w:p w:rsidRPr="00791E9B" w:rsidR="00791E9B" w:rsidP="0EE76D2C" w:rsidRDefault="00791E9B" w14:paraId="45F29BAF" w14:textId="456B33C8">
      <w:pPr>
        <w:keepNext w:val="1"/>
        <w:keepLines w:val="1"/>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EE76D2C" w:rsidR="6FBC29FD">
        <w:rPr>
          <w:rFonts w:ascii="Arial" w:hAnsi="Arial" w:eastAsia="Arial" w:cs="Arial"/>
          <w:b w:val="0"/>
          <w:bCs w:val="0"/>
          <w:i w:val="0"/>
          <w:iCs w:val="0"/>
          <w:caps w:val="0"/>
          <w:smallCaps w:val="0"/>
          <w:noProof w:val="0"/>
          <w:color w:val="000000" w:themeColor="text1" w:themeTint="FF" w:themeShade="FF"/>
          <w:sz w:val="24"/>
          <w:szCs w:val="24"/>
          <w:lang w:val="en-GB"/>
        </w:rPr>
        <w:t>Student number: 2238837</w:t>
      </w:r>
    </w:p>
    <w:p w:rsidRPr="00791E9B" w:rsidR="00791E9B" w:rsidP="0EE76D2C" w:rsidRDefault="00791E9B" w14:paraId="46AC83AF" w14:textId="5CFFA86E">
      <w:pPr>
        <w:keepNext w:val="1"/>
        <w:keepLines w:val="1"/>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EE76D2C" w:rsidR="6FBC29FD">
        <w:rPr>
          <w:rFonts w:ascii="Arial" w:hAnsi="Arial" w:eastAsia="Arial" w:cs="Arial"/>
          <w:b w:val="0"/>
          <w:bCs w:val="0"/>
          <w:i w:val="0"/>
          <w:iCs w:val="0"/>
          <w:caps w:val="0"/>
          <w:smallCaps w:val="0"/>
          <w:noProof w:val="0"/>
          <w:color w:val="000000" w:themeColor="text1" w:themeTint="FF" w:themeShade="FF"/>
          <w:sz w:val="24"/>
          <w:szCs w:val="24"/>
          <w:lang w:val="en-GB"/>
        </w:rPr>
        <w:t xml:space="preserve">Lecturer name: </w:t>
      </w:r>
      <w:r w:rsidRPr="0EE76D2C" w:rsidR="71E60442">
        <w:rPr>
          <w:rFonts w:ascii="Arial" w:hAnsi="Arial" w:eastAsia="Arial" w:cs="Arial"/>
          <w:b w:val="0"/>
          <w:bCs w:val="0"/>
          <w:i w:val="0"/>
          <w:iCs w:val="0"/>
          <w:caps w:val="0"/>
          <w:smallCaps w:val="0"/>
          <w:noProof w:val="0"/>
          <w:color w:val="000000" w:themeColor="text1" w:themeTint="FF" w:themeShade="FF"/>
          <w:sz w:val="24"/>
          <w:szCs w:val="24"/>
          <w:lang w:val="en-GB"/>
        </w:rPr>
        <w:t>Babar Syed</w:t>
      </w:r>
    </w:p>
    <w:p w:rsidRPr="00791E9B" w:rsidR="00791E9B" w:rsidP="0EE76D2C" w:rsidRDefault="00791E9B" w14:paraId="432FD92F" w14:textId="03EA06F8">
      <w:pPr>
        <w:keepNext w:val="1"/>
        <w:keepLines w:val="1"/>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EE76D2C" w:rsidR="6FBC29FD">
        <w:rPr>
          <w:rFonts w:ascii="Arial" w:hAnsi="Arial" w:eastAsia="Arial" w:cs="Arial"/>
          <w:b w:val="0"/>
          <w:bCs w:val="0"/>
          <w:i w:val="0"/>
          <w:iCs w:val="0"/>
          <w:caps w:val="0"/>
          <w:smallCaps w:val="0"/>
          <w:noProof w:val="0"/>
          <w:color w:val="000000" w:themeColor="text1" w:themeTint="FF" w:themeShade="FF"/>
          <w:sz w:val="24"/>
          <w:szCs w:val="24"/>
          <w:lang w:val="en-GB"/>
        </w:rPr>
        <w:t>Module title: M</w:t>
      </w:r>
      <w:r w:rsidRPr="0EE76D2C" w:rsidR="0BC96C3E">
        <w:rPr>
          <w:rFonts w:ascii="Arial" w:hAnsi="Arial" w:eastAsia="Arial" w:cs="Arial"/>
          <w:b w:val="0"/>
          <w:bCs w:val="0"/>
          <w:i w:val="0"/>
          <w:iCs w:val="0"/>
          <w:caps w:val="0"/>
          <w:smallCaps w:val="0"/>
          <w:noProof w:val="0"/>
          <w:color w:val="000000" w:themeColor="text1" w:themeTint="FF" w:themeShade="FF"/>
          <w:sz w:val="24"/>
          <w:szCs w:val="24"/>
          <w:lang w:val="en-GB"/>
        </w:rPr>
        <w:t>anagement Accounting for Managers</w:t>
      </w:r>
    </w:p>
    <w:p w:rsidRPr="00791E9B" w:rsidR="00791E9B" w:rsidP="0EE76D2C" w:rsidRDefault="00791E9B" w14:paraId="2BE3B2CF" w14:textId="5E682CDC">
      <w:pPr>
        <w:keepNext w:val="1"/>
        <w:keepLines w:val="1"/>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EE76D2C" w:rsidR="6FBC29FD">
        <w:rPr>
          <w:rFonts w:ascii="Arial" w:hAnsi="Arial" w:eastAsia="Arial" w:cs="Arial"/>
          <w:b w:val="0"/>
          <w:bCs w:val="0"/>
          <w:i w:val="0"/>
          <w:iCs w:val="0"/>
          <w:caps w:val="0"/>
          <w:smallCaps w:val="0"/>
          <w:noProof w:val="0"/>
          <w:color w:val="000000" w:themeColor="text1" w:themeTint="FF" w:themeShade="FF"/>
          <w:sz w:val="24"/>
          <w:szCs w:val="24"/>
          <w:lang w:val="en-GB"/>
        </w:rPr>
        <w:t>Module Code: LCBB50</w:t>
      </w:r>
      <w:r w:rsidRPr="0EE76D2C" w:rsidR="00BB1BBE">
        <w:rPr>
          <w:rFonts w:ascii="Arial" w:hAnsi="Arial" w:eastAsia="Arial" w:cs="Arial"/>
          <w:b w:val="0"/>
          <w:bCs w:val="0"/>
          <w:i w:val="0"/>
          <w:iCs w:val="0"/>
          <w:caps w:val="0"/>
          <w:smallCaps w:val="0"/>
          <w:noProof w:val="0"/>
          <w:color w:val="000000" w:themeColor="text1" w:themeTint="FF" w:themeShade="FF"/>
          <w:sz w:val="24"/>
          <w:szCs w:val="24"/>
          <w:lang w:val="en-GB"/>
        </w:rPr>
        <w:t>10</w:t>
      </w:r>
      <w:r w:rsidRPr="0EE76D2C" w:rsidR="048CB0A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Pr="00791E9B" w:rsidR="00791E9B" w:rsidP="0EE76D2C" w:rsidRDefault="00791E9B" w14:paraId="1711343E" w14:textId="7F8EC59A">
      <w:pPr>
        <w:keepNext w:val="1"/>
        <w:keepLines w:val="1"/>
        <w:spacing w:line="360" w:lineRule="auto"/>
        <w:jc w:val="both"/>
        <w:rPr>
          <w:rFonts w:ascii="Arial" w:hAnsi="Arial" w:eastAsia="Arial" w:cs="Arial"/>
          <w:sz w:val="24"/>
          <w:szCs w:val="24"/>
        </w:rPr>
      </w:pPr>
      <w:r w:rsidRPr="0EE76D2C" w:rsidR="6FBC29FD">
        <w:rPr>
          <w:rFonts w:ascii="Arial" w:hAnsi="Arial" w:eastAsia="Arial" w:cs="Arial"/>
          <w:b w:val="0"/>
          <w:bCs w:val="0"/>
          <w:i w:val="0"/>
          <w:iCs w:val="0"/>
          <w:caps w:val="0"/>
          <w:smallCaps w:val="0"/>
          <w:noProof w:val="0"/>
          <w:color w:val="000000" w:themeColor="text1" w:themeTint="FF" w:themeShade="FF"/>
          <w:sz w:val="24"/>
          <w:szCs w:val="24"/>
          <w:lang w:val="en-GB"/>
        </w:rPr>
        <w:t xml:space="preserve">Assignment title: </w:t>
      </w:r>
      <w:r w:rsidRPr="0EE76D2C" w:rsidR="00B92CF3">
        <w:rPr>
          <w:rFonts w:ascii="Arial" w:hAnsi="Arial" w:eastAsia="Arial" w:cs="Arial"/>
          <w:sz w:val="24"/>
          <w:szCs w:val="24"/>
        </w:rPr>
        <w:t>Component</w:t>
      </w:r>
      <w:r w:rsidRPr="0EE76D2C" w:rsidR="00B92CF3">
        <w:rPr>
          <w:rFonts w:ascii="Arial" w:hAnsi="Arial" w:eastAsia="Arial" w:cs="Arial"/>
          <w:sz w:val="24"/>
          <w:szCs w:val="24"/>
        </w:rPr>
        <w:t xml:space="preserve"> 1: Individual Report</w:t>
      </w:r>
    </w:p>
    <w:p w:rsidRPr="00791E9B" w:rsidR="00791E9B" w:rsidP="0EE76D2C" w:rsidRDefault="00791E9B" w14:paraId="360A10BF" w14:textId="2813F57A">
      <w:pPr>
        <w:spacing w:after="60" w:line="360" w:lineRule="auto"/>
        <w:jc w:val="both"/>
        <w:rPr>
          <w:rFonts w:ascii="Times New Roman" w:hAnsi="Times New Roman" w:cs="Times New Roman"/>
          <w:sz w:val="24"/>
          <w:szCs w:val="24"/>
        </w:rPr>
      </w:pPr>
    </w:p>
    <w:p w:rsidRPr="00791E9B" w:rsidR="00791E9B" w:rsidP="0EE76D2C" w:rsidRDefault="00791E9B" w14:paraId="25A6E9C8" w14:textId="611D296A">
      <w:pPr>
        <w:keepNext w:val="1"/>
        <w:keepLines w:val="1"/>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Pr="00791E9B" w:rsidR="00791E9B" w:rsidP="00791E9B" w:rsidRDefault="00791E9B" w14:paraId="11769375" w14:textId="19986963">
      <w:pPr>
        <w:rPr>
          <w:lang w:eastAsia="en-US"/>
        </w:rPr>
      </w:pPr>
    </w:p>
    <w:p w:rsidRPr="00791E9B" w:rsidR="00791E9B" w:rsidP="00791E9B" w:rsidRDefault="00791E9B" w14:paraId="5DC45D8C" w14:textId="77777777"/>
    <w:p w:rsidRPr="00791E9B" w:rsidR="00791E9B" w:rsidP="00791E9B" w:rsidRDefault="00791E9B" w14:paraId="77C2620F" w14:textId="77777777">
      <w:pPr>
        <w:rPr>
          <w:lang w:eastAsia="en-US"/>
        </w:rPr>
      </w:pPr>
    </w:p>
    <w:p w:rsidRPr="00791E9B" w:rsidR="00791E9B" w:rsidP="00791E9B" w:rsidRDefault="00791E9B" w14:paraId="571A5A6B" w14:textId="77777777"/>
    <w:p w:rsidRPr="00791E9B" w:rsidR="00791E9B" w:rsidP="00791E9B" w:rsidRDefault="00791E9B" w14:paraId="3F853710" w14:textId="77777777">
      <w:pPr>
        <w:rPr>
          <w:lang w:eastAsia="en-US"/>
        </w:rPr>
      </w:pPr>
    </w:p>
    <w:p w:rsidRPr="00791E9B" w:rsidR="00791E9B" w:rsidP="00791E9B" w:rsidRDefault="00791E9B" w14:paraId="72404CBD" w14:textId="77777777"/>
    <w:p w:rsidRPr="00791E9B" w:rsidR="00791E9B" w:rsidP="00791E9B" w:rsidRDefault="00791E9B" w14:paraId="797082FF" w14:textId="77777777">
      <w:pPr>
        <w:rPr>
          <w:lang w:eastAsia="en-US"/>
        </w:rPr>
      </w:pPr>
    </w:p>
    <w:p w:rsidRPr="00791E9B" w:rsidR="00791E9B" w:rsidP="00791E9B" w:rsidRDefault="00791E9B" w14:paraId="7F71CA89" w14:textId="77777777"/>
    <w:p w:rsidRPr="00791E9B" w:rsidR="00791E9B" w:rsidP="00791E9B" w:rsidRDefault="00791E9B" w14:paraId="366B63A8" w14:textId="77777777">
      <w:pPr>
        <w:rPr>
          <w:lang w:eastAsia="en-US"/>
        </w:rPr>
      </w:pPr>
    </w:p>
    <w:p w:rsidRPr="00791E9B" w:rsidR="00791E9B" w:rsidP="00791E9B" w:rsidRDefault="00791E9B" w14:paraId="7B27D2BE" w14:textId="77777777"/>
    <w:p w:rsidRPr="00322F17" w:rsidR="00791E9B" w:rsidP="0EE76D2C" w:rsidRDefault="00791E9B" w14:paraId="42558918" w14:textId="7A60026F">
      <w:pPr>
        <w:pStyle w:val="Normal"/>
        <w:spacing w:line="360" w:lineRule="auto"/>
        <w:rPr>
          <w:lang w:eastAsia="en-US"/>
        </w:rPr>
      </w:pPr>
    </w:p>
    <w:p w:rsidRPr="00322F17" w:rsidR="00791E9B" w:rsidP="00791E9B" w:rsidRDefault="00791E9B" w14:paraId="667932D6" w14:textId="0A7E54BE">
      <w:pPr>
        <w:tabs>
          <w:tab w:val="left" w:pos="5006"/>
        </w:tabs>
        <w:spacing w:line="360" w:lineRule="auto"/>
        <w:jc w:val="center"/>
        <w:rPr>
          <w:rFonts w:ascii="Times New Roman" w:hAnsi="Times New Roman" w:cs="Times New Roman"/>
        </w:rPr>
      </w:pPr>
    </w:p>
    <w:p w:rsidR="00791E9B" w:rsidP="00791E9B" w:rsidRDefault="00791E9B" w14:paraId="20893DCD" w14:textId="77777777">
      <w:pPr>
        <w:jc w:val="center"/>
        <w:rPr>
          <w:lang w:eastAsia="en-US"/>
        </w:rPr>
      </w:pPr>
    </w:p>
    <w:p w:rsidRPr="00791E9B" w:rsidR="00791E9B" w:rsidP="00791E9B" w:rsidRDefault="00791E9B" w14:paraId="0F7836BF" w14:textId="77777777">
      <w:pPr>
        <w:rPr>
          <w:lang w:eastAsia="en-US"/>
        </w:rPr>
      </w:pPr>
    </w:p>
    <w:p w:rsidRPr="00791E9B" w:rsidR="00791E9B" w:rsidP="00791E9B" w:rsidRDefault="00791E9B" w14:paraId="4BCDD240" w14:textId="77777777">
      <w:pPr>
        <w:rPr>
          <w:lang w:eastAsia="en-US"/>
        </w:rPr>
      </w:pPr>
    </w:p>
    <w:p w:rsidRPr="00791E9B" w:rsidR="00791E9B" w:rsidP="00791E9B" w:rsidRDefault="00791E9B" w14:paraId="6B56CD68" w14:textId="77777777">
      <w:pPr>
        <w:rPr>
          <w:lang w:eastAsia="en-US"/>
        </w:rPr>
      </w:pPr>
    </w:p>
    <w:p w:rsidRPr="00791E9B" w:rsidR="00791E9B" w:rsidP="00791E9B" w:rsidRDefault="00791E9B" w14:paraId="01A2F1C4" w14:textId="77777777">
      <w:pPr>
        <w:rPr>
          <w:lang w:eastAsia="en-US"/>
        </w:rPr>
      </w:pPr>
    </w:p>
    <w:p w:rsidRPr="00791E9B" w:rsidR="00791E9B" w:rsidP="00791E9B" w:rsidRDefault="00791E9B" w14:paraId="19570626" w14:textId="77777777">
      <w:pPr>
        <w:rPr>
          <w:lang w:eastAsia="en-US"/>
        </w:rPr>
      </w:pPr>
    </w:p>
    <w:p w:rsidRPr="00791E9B" w:rsidR="00791E9B" w:rsidP="00791E9B" w:rsidRDefault="00791E9B" w14:paraId="4CF5C6C4" w14:textId="77777777">
      <w:pPr>
        <w:rPr>
          <w:lang w:eastAsia="en-US"/>
        </w:rPr>
      </w:pPr>
    </w:p>
    <w:p w:rsidRPr="00791E9B" w:rsidR="00791E9B" w:rsidP="00791E9B" w:rsidRDefault="00791E9B" w14:paraId="56275801" w14:textId="77777777">
      <w:pPr>
        <w:rPr>
          <w:lang w:eastAsia="en-US"/>
        </w:rPr>
      </w:pPr>
    </w:p>
    <w:p w:rsidRPr="00791E9B" w:rsidR="00791E9B" w:rsidP="00791E9B" w:rsidRDefault="00791E9B" w14:paraId="39C2E55C" w14:textId="77777777">
      <w:pPr>
        <w:rPr>
          <w:lang w:eastAsia="en-US"/>
        </w:rPr>
      </w:pPr>
    </w:p>
    <w:p w:rsidRPr="00791E9B" w:rsidR="00791E9B" w:rsidP="0EE76D2C" w:rsidRDefault="00791E9B" w14:paraId="41A50151" w14:textId="0AB4692E">
      <w:pPr>
        <w:pStyle w:val="Normal"/>
        <w:rPr>
          <w:lang w:eastAsia="en-US"/>
        </w:rPr>
      </w:pPr>
    </w:p>
    <w:p w:rsidRPr="00791E9B" w:rsidR="00791E9B" w:rsidP="0EE76D2C" w:rsidRDefault="00791E9B" w14:paraId="7D6FD0DC" w14:textId="49FF299D">
      <w:pPr>
        <w:pStyle w:val="Normal"/>
        <w:rPr>
          <w:lang w:eastAsia="en-US"/>
        </w:rPr>
      </w:pPr>
    </w:p>
    <w:p w:rsidRPr="00791E9B" w:rsidR="00791E9B" w:rsidP="0EE76D2C" w:rsidRDefault="00791E9B" w14:paraId="26FE12F6" w14:textId="39933127">
      <w:pPr>
        <w:pStyle w:val="Normal"/>
        <w:rPr>
          <w:lang w:eastAsia="en-US"/>
        </w:rPr>
      </w:pPr>
    </w:p>
    <w:p w:rsidRPr="00791E9B" w:rsidR="00791E9B" w:rsidP="00791E9B" w:rsidRDefault="00791E9B" w14:paraId="1F085200" w14:textId="3340122E">
      <w:pPr>
        <w:rPr>
          <w:lang w:eastAsia="en-US"/>
        </w:rPr>
      </w:pPr>
    </w:p>
    <w:p w:rsidRPr="00791E9B" w:rsidR="00791E9B" w:rsidP="0EE76D2C" w:rsidRDefault="00791E9B" w14:paraId="29941448" w14:textId="295F1AC6">
      <w:pPr>
        <w:pStyle w:val="Normal"/>
        <w:rPr>
          <w:lang w:eastAsia="en-US"/>
        </w:rPr>
      </w:pPr>
    </w:p>
    <w:p w:rsidR="00791E9B" w:rsidP="0EE76D2C" w:rsidRDefault="00791E9B" w14:paraId="58D7D53F" w14:textId="77777777">
      <w:pPr>
        <w:spacing w:line="360" w:lineRule="auto"/>
        <w:jc w:val="both"/>
        <w:rPr>
          <w:lang w:eastAsia="en-US"/>
        </w:rPr>
      </w:pPr>
    </w:p>
    <w:p w:rsidR="00791E9B" w:rsidP="0EE76D2C" w:rsidRDefault="00791E9B" w14:paraId="4967488A" w14:textId="133ECF32">
      <w:pPr>
        <w:spacing w:line="360" w:lineRule="auto"/>
        <w:jc w:val="both"/>
        <w:rPr>
          <w:b w:val="0"/>
          <w:bCs w:val="0"/>
          <w:lang w:eastAsia="en-US"/>
        </w:rPr>
      </w:pPr>
      <w:r w:rsidRPr="0EE76D2C" w:rsidR="47A4662A">
        <w:rPr>
          <w:b w:val="0"/>
          <w:bCs w:val="0"/>
          <w:lang w:eastAsia="en-US"/>
        </w:rPr>
        <w:t>Table of content</w:t>
      </w:r>
    </w:p>
    <w:p w:rsidR="0EE76D2C" w:rsidP="0EE76D2C" w:rsidRDefault="0EE76D2C" w14:paraId="1B9B68A7" w14:textId="003A2B71">
      <w:pPr>
        <w:spacing w:line="360" w:lineRule="auto"/>
        <w:jc w:val="both"/>
        <w:rPr>
          <w:lang w:eastAsia="en-US"/>
        </w:rPr>
      </w:pPr>
    </w:p>
    <w:p w:rsidR="0EE76D2C" w:rsidP="0EE76D2C" w:rsidRDefault="0EE76D2C" w14:paraId="10F00509" w14:textId="68D35F80">
      <w:pPr>
        <w:spacing w:line="360" w:lineRule="auto"/>
        <w:jc w:val="both"/>
        <w:rPr>
          <w:lang w:eastAsia="en-US"/>
        </w:rPr>
      </w:pPr>
    </w:p>
    <w:p w:rsidR="00791E9B" w:rsidP="0EE76D2C" w:rsidRDefault="00791E9B" w14:paraId="63388171" w14:textId="0AB42923">
      <w:pPr>
        <w:pStyle w:val="Listparagraf"/>
        <w:numPr>
          <w:ilvl w:val="0"/>
          <w:numId w:val="3"/>
        </w:numPr>
        <w:spacing w:line="360" w:lineRule="auto"/>
        <w:jc w:val="both"/>
        <w:rPr>
          <w:lang w:eastAsia="en-US"/>
        </w:rPr>
      </w:pPr>
      <w:r w:rsidRPr="0EE76D2C" w:rsidR="47A4662A">
        <w:rPr>
          <w:lang w:eastAsia="en-US"/>
        </w:rPr>
        <w:t>Introduction .................</w:t>
      </w:r>
      <w:r w:rsidRPr="0EE76D2C" w:rsidR="6815A0BB">
        <w:rPr>
          <w:lang w:eastAsia="en-US"/>
        </w:rPr>
        <w:t>.</w:t>
      </w:r>
      <w:r w:rsidRPr="0EE76D2C" w:rsidR="47A4662A">
        <w:rPr>
          <w:lang w:eastAsia="en-US"/>
        </w:rPr>
        <w:t>.................................................................................3</w:t>
      </w:r>
    </w:p>
    <w:p w:rsidR="00791E9B" w:rsidP="0EE76D2C" w:rsidRDefault="00791E9B" w14:paraId="57971F28" w14:textId="60AC5511">
      <w:pPr>
        <w:pStyle w:val="Listparagraf"/>
        <w:spacing w:line="360" w:lineRule="auto"/>
        <w:ind w:left="720"/>
        <w:jc w:val="both"/>
        <w:rPr>
          <w:lang w:eastAsia="en-US"/>
        </w:rPr>
      </w:pPr>
      <w:r w:rsidRPr="0EE76D2C" w:rsidR="47A4662A">
        <w:rPr>
          <w:lang w:eastAsia="en-US"/>
        </w:rPr>
        <w:t xml:space="preserve">Company </w:t>
      </w:r>
      <w:r w:rsidRPr="0EE76D2C" w:rsidR="226102FC">
        <w:rPr>
          <w:lang w:eastAsia="en-US"/>
        </w:rPr>
        <w:t>background</w:t>
      </w:r>
      <w:r w:rsidRPr="0EE76D2C" w:rsidR="47A4662A">
        <w:rPr>
          <w:lang w:eastAsia="en-US"/>
        </w:rPr>
        <w:t xml:space="preserve"> and the rele</w:t>
      </w:r>
      <w:r w:rsidRPr="0EE76D2C" w:rsidR="1716D75F">
        <w:rPr>
          <w:lang w:eastAsia="en-US"/>
        </w:rPr>
        <w:t xml:space="preserve">vance of management accounting </w:t>
      </w:r>
      <w:r w:rsidRPr="0EE76D2C" w:rsidR="36AC8625">
        <w:rPr>
          <w:lang w:eastAsia="en-US"/>
        </w:rPr>
        <w:t>...3</w:t>
      </w:r>
    </w:p>
    <w:p w:rsidR="00791E9B" w:rsidP="0EE76D2C" w:rsidRDefault="00791E9B" w14:paraId="0C55E63D" w14:textId="63CA2770">
      <w:pPr>
        <w:pStyle w:val="Listparagraf"/>
        <w:numPr>
          <w:ilvl w:val="0"/>
          <w:numId w:val="3"/>
        </w:numPr>
        <w:spacing w:line="360" w:lineRule="auto"/>
        <w:jc w:val="both"/>
        <w:rPr>
          <w:lang w:eastAsia="en-US"/>
        </w:rPr>
      </w:pPr>
      <w:r w:rsidRPr="0EE76D2C" w:rsidR="0A78A822">
        <w:rPr>
          <w:lang w:eastAsia="en-US"/>
        </w:rPr>
        <w:t>Cost Analysis and Business Model .</w:t>
      </w:r>
      <w:r w:rsidRPr="0EE76D2C" w:rsidR="045F53B4">
        <w:rPr>
          <w:lang w:eastAsia="en-US"/>
        </w:rPr>
        <w:t>..........................................................</w:t>
      </w:r>
      <w:r w:rsidRPr="0EE76D2C" w:rsidR="67322B0E">
        <w:rPr>
          <w:lang w:eastAsia="en-US"/>
        </w:rPr>
        <w:t>.4</w:t>
      </w:r>
    </w:p>
    <w:p w:rsidR="00791E9B" w:rsidP="0EE76D2C" w:rsidRDefault="00791E9B" w14:paraId="60C7B578" w14:textId="2841B282">
      <w:pPr>
        <w:pStyle w:val="Listparagraf"/>
        <w:spacing w:line="360" w:lineRule="auto"/>
        <w:ind w:left="720"/>
        <w:jc w:val="both"/>
        <w:rPr>
          <w:lang w:eastAsia="en-US"/>
        </w:rPr>
      </w:pPr>
      <w:r w:rsidRPr="0EE76D2C" w:rsidR="045F53B4">
        <w:rPr>
          <w:lang w:eastAsia="en-US"/>
        </w:rPr>
        <w:t>Revenue model.............................................................................................</w:t>
      </w:r>
      <w:r w:rsidRPr="0EE76D2C" w:rsidR="380D802A">
        <w:rPr>
          <w:lang w:eastAsia="en-US"/>
        </w:rPr>
        <w:t>.4</w:t>
      </w:r>
    </w:p>
    <w:p w:rsidR="00791E9B" w:rsidP="0EE76D2C" w:rsidRDefault="00791E9B" w14:paraId="2D001D44" w14:textId="34032819">
      <w:pPr>
        <w:pStyle w:val="Listparagraf"/>
        <w:spacing w:line="360" w:lineRule="auto"/>
        <w:ind w:left="720"/>
        <w:jc w:val="both"/>
        <w:rPr>
          <w:lang w:eastAsia="en-US"/>
        </w:rPr>
      </w:pPr>
      <w:r w:rsidRPr="0EE76D2C" w:rsidR="045F53B4">
        <w:rPr>
          <w:lang w:eastAsia="en-US"/>
        </w:rPr>
        <w:t xml:space="preserve">Cost </w:t>
      </w:r>
      <w:r w:rsidRPr="0EE76D2C" w:rsidR="50327646">
        <w:rPr>
          <w:lang w:eastAsia="en-US"/>
        </w:rPr>
        <w:t>structure:</w:t>
      </w:r>
      <w:r w:rsidRPr="0EE76D2C" w:rsidR="045F53B4">
        <w:rPr>
          <w:lang w:eastAsia="en-US"/>
        </w:rPr>
        <w:t xml:space="preserve"> </w:t>
      </w:r>
      <w:r w:rsidRPr="0EE76D2C" w:rsidR="57A64578">
        <w:rPr>
          <w:lang w:eastAsia="en-US"/>
        </w:rPr>
        <w:t>fixed versus variable .......................................................</w:t>
      </w:r>
      <w:r w:rsidRPr="0EE76D2C" w:rsidR="12B2520B">
        <w:rPr>
          <w:lang w:eastAsia="en-US"/>
        </w:rPr>
        <w:t>..5</w:t>
      </w:r>
    </w:p>
    <w:p w:rsidR="00791E9B" w:rsidP="0EE76D2C" w:rsidRDefault="00791E9B" w14:paraId="0599BF54" w14:textId="349C6176">
      <w:pPr>
        <w:pStyle w:val="Listparagraf"/>
        <w:numPr>
          <w:ilvl w:val="0"/>
          <w:numId w:val="3"/>
        </w:numPr>
        <w:spacing w:line="360" w:lineRule="auto"/>
        <w:jc w:val="both"/>
        <w:rPr>
          <w:lang w:eastAsia="en-US"/>
        </w:rPr>
      </w:pPr>
      <w:r w:rsidRPr="0EE76D2C" w:rsidR="57A64578">
        <w:rPr>
          <w:lang w:eastAsia="en-US"/>
        </w:rPr>
        <w:t xml:space="preserve">Budgeting </w:t>
      </w:r>
      <w:r w:rsidRPr="0EE76D2C" w:rsidR="2E7C4BDE">
        <w:rPr>
          <w:lang w:eastAsia="en-US"/>
        </w:rPr>
        <w:t>and Financial Planning ...........................................................</w:t>
      </w:r>
      <w:r w:rsidRPr="0EE76D2C" w:rsidR="3D3D0C55">
        <w:rPr>
          <w:lang w:eastAsia="en-US"/>
        </w:rPr>
        <w:t>...6</w:t>
      </w:r>
    </w:p>
    <w:p w:rsidR="00791E9B" w:rsidP="0EE76D2C" w:rsidRDefault="00791E9B" w14:paraId="12B9C6DC" w14:textId="58A4DE45">
      <w:pPr>
        <w:pStyle w:val="Listparagraf"/>
        <w:spacing w:line="360" w:lineRule="auto"/>
        <w:ind w:left="720"/>
        <w:jc w:val="both"/>
        <w:rPr>
          <w:lang w:eastAsia="en-US"/>
        </w:rPr>
      </w:pPr>
      <w:r w:rsidRPr="0EE76D2C" w:rsidR="2E7C4BDE">
        <w:rPr>
          <w:lang w:eastAsia="en-US"/>
        </w:rPr>
        <w:t>The role of budgeting in operations ......................................................</w:t>
      </w:r>
      <w:r w:rsidRPr="0EE76D2C" w:rsidR="79E3FBDC">
        <w:rPr>
          <w:lang w:eastAsia="en-US"/>
        </w:rPr>
        <w:t>.</w:t>
      </w:r>
      <w:r w:rsidRPr="0EE76D2C" w:rsidR="2E7C4BDE">
        <w:rPr>
          <w:lang w:eastAsia="en-US"/>
        </w:rPr>
        <w:t>..</w:t>
      </w:r>
      <w:r w:rsidRPr="0EE76D2C" w:rsidR="50803D92">
        <w:rPr>
          <w:lang w:eastAsia="en-US"/>
        </w:rPr>
        <w:t>..6</w:t>
      </w:r>
    </w:p>
    <w:p w:rsidR="00791E9B" w:rsidP="0EE76D2C" w:rsidRDefault="00791E9B" w14:paraId="7FBD3EA9" w14:textId="313CFEAF">
      <w:pPr>
        <w:pStyle w:val="Listparagraf"/>
        <w:spacing w:line="360" w:lineRule="auto"/>
        <w:ind w:left="720"/>
        <w:jc w:val="both"/>
        <w:rPr>
          <w:lang w:eastAsia="en-US"/>
        </w:rPr>
      </w:pPr>
      <w:r w:rsidRPr="0EE76D2C" w:rsidR="6DDE1AF9">
        <w:rPr>
          <w:lang w:eastAsia="en-US"/>
        </w:rPr>
        <w:t xml:space="preserve">Year on year change in operating </w:t>
      </w:r>
      <w:r w:rsidRPr="0EE76D2C" w:rsidR="4C551F9D">
        <w:rPr>
          <w:lang w:eastAsia="en-US"/>
        </w:rPr>
        <w:t>expenses .......................................</w:t>
      </w:r>
      <w:r w:rsidRPr="0EE76D2C" w:rsidR="60A362E9">
        <w:rPr>
          <w:lang w:eastAsia="en-US"/>
        </w:rPr>
        <w:t>.</w:t>
      </w:r>
      <w:r w:rsidRPr="0EE76D2C" w:rsidR="4C551F9D">
        <w:rPr>
          <w:lang w:eastAsia="en-US"/>
        </w:rPr>
        <w:t>..</w:t>
      </w:r>
      <w:r w:rsidRPr="0EE76D2C" w:rsidR="75B1323F">
        <w:rPr>
          <w:lang w:eastAsia="en-US"/>
        </w:rPr>
        <w:t>...7</w:t>
      </w:r>
    </w:p>
    <w:p w:rsidR="00791E9B" w:rsidP="0EE76D2C" w:rsidRDefault="00791E9B" w14:paraId="5D0C2077" w14:textId="017E2741">
      <w:pPr>
        <w:pStyle w:val="Listparagraf"/>
        <w:numPr>
          <w:ilvl w:val="0"/>
          <w:numId w:val="3"/>
        </w:numPr>
        <w:spacing w:line="360" w:lineRule="auto"/>
        <w:jc w:val="both"/>
        <w:rPr>
          <w:lang w:eastAsia="en-US"/>
        </w:rPr>
      </w:pPr>
      <w:r w:rsidRPr="0EE76D2C" w:rsidR="4C551F9D">
        <w:rPr>
          <w:lang w:eastAsia="en-US"/>
        </w:rPr>
        <w:t xml:space="preserve">Performance Measurement and Decision </w:t>
      </w:r>
      <w:r w:rsidRPr="0EE76D2C" w:rsidR="4BAB1243">
        <w:rPr>
          <w:lang w:eastAsia="en-US"/>
        </w:rPr>
        <w:t>Making ................................</w:t>
      </w:r>
      <w:r w:rsidRPr="0EE76D2C" w:rsidR="758CBA16">
        <w:rPr>
          <w:lang w:eastAsia="en-US"/>
        </w:rPr>
        <w:t>....7</w:t>
      </w:r>
    </w:p>
    <w:p w:rsidR="00791E9B" w:rsidP="0EE76D2C" w:rsidRDefault="00791E9B" w14:paraId="2AB6DCDF" w14:textId="6FECDB66">
      <w:pPr>
        <w:pStyle w:val="Listparagraf"/>
        <w:spacing w:line="360" w:lineRule="auto"/>
        <w:ind w:left="720"/>
        <w:jc w:val="both"/>
        <w:rPr>
          <w:lang w:eastAsia="en-US"/>
        </w:rPr>
      </w:pPr>
      <w:r w:rsidRPr="0EE76D2C" w:rsidR="4BAB1243">
        <w:rPr>
          <w:lang w:eastAsia="en-US"/>
        </w:rPr>
        <w:t>Five key performance indicators ...........................................................</w:t>
      </w:r>
      <w:r w:rsidRPr="0EE76D2C" w:rsidR="6537DF49">
        <w:rPr>
          <w:lang w:eastAsia="en-US"/>
        </w:rPr>
        <w:t>.....7</w:t>
      </w:r>
    </w:p>
    <w:p w:rsidR="00791E9B" w:rsidP="0EE76D2C" w:rsidRDefault="00791E9B" w14:paraId="28EF4220" w14:textId="3E7421E9">
      <w:pPr>
        <w:pStyle w:val="Listparagraf"/>
        <w:spacing w:line="360" w:lineRule="auto"/>
        <w:ind w:left="720"/>
        <w:jc w:val="both"/>
        <w:rPr>
          <w:lang w:eastAsia="en-US"/>
        </w:rPr>
      </w:pPr>
      <w:r w:rsidRPr="0EE76D2C" w:rsidR="071E3EB9">
        <w:rPr>
          <w:lang w:eastAsia="en-US"/>
        </w:rPr>
        <w:t>Strategic decisions informed by data ....................................................</w:t>
      </w:r>
      <w:r w:rsidRPr="0EE76D2C" w:rsidR="7B2DFBA7">
        <w:rPr>
          <w:lang w:eastAsia="en-US"/>
        </w:rPr>
        <w:t>....8</w:t>
      </w:r>
    </w:p>
    <w:p w:rsidR="00791E9B" w:rsidP="0EE76D2C" w:rsidRDefault="00791E9B" w14:paraId="48595117" w14:textId="54988922">
      <w:pPr>
        <w:pStyle w:val="Listparagraf"/>
        <w:numPr>
          <w:ilvl w:val="0"/>
          <w:numId w:val="3"/>
        </w:numPr>
        <w:spacing w:line="360" w:lineRule="auto"/>
        <w:jc w:val="both"/>
        <w:rPr>
          <w:lang w:eastAsia="en-US"/>
        </w:rPr>
      </w:pPr>
      <w:r w:rsidRPr="0EE76D2C" w:rsidR="0A2ABACA">
        <w:rPr>
          <w:lang w:eastAsia="en-US"/>
        </w:rPr>
        <w:t>Sustainability and Ethical Consideration</w:t>
      </w:r>
      <w:r w:rsidRPr="0EE76D2C" w:rsidR="6E4163B0">
        <w:rPr>
          <w:lang w:eastAsia="en-US"/>
        </w:rPr>
        <w:t xml:space="preserve"> .............................................</w:t>
      </w:r>
      <w:r w:rsidRPr="0EE76D2C" w:rsidR="33EE6ACB">
        <w:rPr>
          <w:lang w:eastAsia="en-US"/>
        </w:rPr>
        <w:t>.....9</w:t>
      </w:r>
    </w:p>
    <w:p w:rsidR="00791E9B" w:rsidP="0EE76D2C" w:rsidRDefault="00791E9B" w14:paraId="796901D4" w14:textId="514FDAF2">
      <w:pPr>
        <w:pStyle w:val="Listparagraf"/>
        <w:spacing w:line="360" w:lineRule="auto"/>
        <w:ind w:left="720"/>
        <w:jc w:val="both"/>
        <w:rPr>
          <w:lang w:eastAsia="en-US"/>
        </w:rPr>
      </w:pPr>
      <w:r w:rsidRPr="0EE76D2C" w:rsidR="6E4163B0">
        <w:rPr>
          <w:lang w:eastAsia="en-US"/>
        </w:rPr>
        <w:t>Sustainability in financial decision making ...........................................</w:t>
      </w:r>
      <w:r w:rsidRPr="0EE76D2C" w:rsidR="2E63D562">
        <w:rPr>
          <w:lang w:eastAsia="en-US"/>
        </w:rPr>
        <w:t>...9</w:t>
      </w:r>
    </w:p>
    <w:p w:rsidR="00791E9B" w:rsidP="0EE76D2C" w:rsidRDefault="00791E9B" w14:paraId="32142A41" w14:textId="197E6577">
      <w:pPr>
        <w:pStyle w:val="Listparagraf"/>
        <w:spacing w:line="360" w:lineRule="auto"/>
        <w:ind w:left="720"/>
        <w:jc w:val="both"/>
        <w:rPr>
          <w:lang w:eastAsia="en-US"/>
        </w:rPr>
      </w:pPr>
      <w:r w:rsidRPr="0EE76D2C" w:rsidR="59FBB2A9">
        <w:rPr>
          <w:lang w:eastAsia="en-US"/>
        </w:rPr>
        <w:t>Ethics in cost management and pricing ................................................</w:t>
      </w:r>
      <w:r w:rsidRPr="0EE76D2C" w:rsidR="42966F1C">
        <w:rPr>
          <w:lang w:eastAsia="en-US"/>
        </w:rPr>
        <w:t>..10</w:t>
      </w:r>
    </w:p>
    <w:p w:rsidR="00791E9B" w:rsidP="0EE76D2C" w:rsidRDefault="00791E9B" w14:paraId="202C28CE" w14:textId="3E3884A1">
      <w:pPr>
        <w:pStyle w:val="Listparagraf"/>
        <w:numPr>
          <w:ilvl w:val="0"/>
          <w:numId w:val="3"/>
        </w:numPr>
        <w:spacing w:line="360" w:lineRule="auto"/>
        <w:jc w:val="both"/>
        <w:rPr>
          <w:lang w:eastAsia="en-US"/>
        </w:rPr>
      </w:pPr>
      <w:r w:rsidRPr="0EE76D2C" w:rsidR="59FBB2A9">
        <w:rPr>
          <w:lang w:eastAsia="en-US"/>
        </w:rPr>
        <w:t>Conclusion and Recommendations ......................................................</w:t>
      </w:r>
      <w:r w:rsidRPr="0EE76D2C" w:rsidR="2B7859F4">
        <w:rPr>
          <w:lang w:eastAsia="en-US"/>
        </w:rPr>
        <w:t>...10</w:t>
      </w:r>
    </w:p>
    <w:p w:rsidR="00791E9B" w:rsidP="0EE76D2C" w:rsidRDefault="00791E9B" w14:paraId="4F537FD9" w14:textId="393315A5">
      <w:pPr>
        <w:pStyle w:val="Listparagraf"/>
        <w:spacing w:line="360" w:lineRule="auto"/>
        <w:ind w:left="720"/>
        <w:jc w:val="both"/>
        <w:rPr>
          <w:lang w:eastAsia="en-US"/>
        </w:rPr>
      </w:pPr>
      <w:r w:rsidRPr="0EE76D2C" w:rsidR="450E514B">
        <w:rPr>
          <w:lang w:eastAsia="en-US"/>
        </w:rPr>
        <w:t>Summary of key findings .......................................................................</w:t>
      </w:r>
      <w:r w:rsidRPr="0EE76D2C" w:rsidR="7DCD707D">
        <w:rPr>
          <w:lang w:eastAsia="en-US"/>
        </w:rPr>
        <w:t>....1</w:t>
      </w:r>
      <w:r w:rsidRPr="0EE76D2C" w:rsidR="72026838">
        <w:rPr>
          <w:lang w:eastAsia="en-US"/>
        </w:rPr>
        <w:t>0</w:t>
      </w:r>
    </w:p>
    <w:p w:rsidR="00791E9B" w:rsidP="0EE76D2C" w:rsidRDefault="00791E9B" w14:paraId="2D8ECA74" w14:textId="64415D79">
      <w:pPr>
        <w:pStyle w:val="Listparagraf"/>
        <w:spacing w:line="360" w:lineRule="auto"/>
        <w:ind w:left="720"/>
        <w:jc w:val="both"/>
        <w:rPr>
          <w:lang w:eastAsia="en-US"/>
        </w:rPr>
      </w:pPr>
      <w:r w:rsidRPr="0EE76D2C" w:rsidR="450E514B">
        <w:rPr>
          <w:lang w:eastAsia="en-US"/>
        </w:rPr>
        <w:t>Recommendations .................................................................................</w:t>
      </w:r>
      <w:r w:rsidRPr="0EE76D2C" w:rsidR="2C616DEF">
        <w:rPr>
          <w:lang w:eastAsia="en-US"/>
        </w:rPr>
        <w:t>....11</w:t>
      </w:r>
    </w:p>
    <w:p w:rsidR="00791E9B" w:rsidP="0EE76D2C" w:rsidRDefault="00791E9B" w14:paraId="662DF6A8" w14:textId="19B029D9">
      <w:pPr>
        <w:pStyle w:val="Listparagraf"/>
        <w:spacing w:line="360" w:lineRule="auto"/>
        <w:ind w:left="720"/>
        <w:jc w:val="both"/>
        <w:rPr>
          <w:lang w:eastAsia="en-US"/>
        </w:rPr>
      </w:pPr>
      <w:r w:rsidRPr="0EE76D2C" w:rsidR="450E514B">
        <w:rPr>
          <w:lang w:eastAsia="en-US"/>
        </w:rPr>
        <w:t>References .............................................................................................</w:t>
      </w:r>
      <w:r w:rsidRPr="0EE76D2C" w:rsidR="61487F80">
        <w:rPr>
          <w:lang w:eastAsia="en-US"/>
        </w:rPr>
        <w:t>.....12</w:t>
      </w:r>
    </w:p>
    <w:p w:rsidR="00791E9B" w:rsidP="0EE76D2C" w:rsidRDefault="00791E9B" w14:paraId="6094D071" w14:textId="485D43C5">
      <w:pPr>
        <w:pStyle w:val="Listparagraf"/>
        <w:spacing w:line="360" w:lineRule="auto"/>
        <w:ind w:left="720"/>
        <w:jc w:val="both"/>
        <w:rPr>
          <w:lang w:eastAsia="en-US"/>
        </w:rPr>
      </w:pPr>
    </w:p>
    <w:p w:rsidR="00791E9B" w:rsidP="0EE76D2C" w:rsidRDefault="00791E9B" w14:paraId="410420C7" w14:textId="07FFBB2E">
      <w:pPr>
        <w:pStyle w:val="Listparagraf"/>
        <w:spacing w:line="360" w:lineRule="auto"/>
        <w:ind w:left="720"/>
        <w:jc w:val="both"/>
        <w:rPr>
          <w:lang w:eastAsia="en-US"/>
        </w:rPr>
      </w:pPr>
    </w:p>
    <w:p w:rsidR="00791E9B" w:rsidP="0EE76D2C" w:rsidRDefault="00791E9B" w14:paraId="5439D519" w14:textId="600C7F52">
      <w:pPr>
        <w:pStyle w:val="Listparagraf"/>
        <w:spacing w:line="360" w:lineRule="auto"/>
        <w:ind w:left="720"/>
        <w:jc w:val="both"/>
        <w:rPr>
          <w:lang w:eastAsia="en-US"/>
        </w:rPr>
      </w:pPr>
    </w:p>
    <w:p w:rsidR="00791E9B" w:rsidP="0EE76D2C" w:rsidRDefault="00791E9B" w14:paraId="39DC3047" w14:textId="52D780AA">
      <w:pPr>
        <w:pStyle w:val="Listparagraf"/>
        <w:spacing w:line="360" w:lineRule="auto"/>
        <w:ind w:left="720"/>
        <w:jc w:val="both"/>
        <w:rPr>
          <w:lang w:eastAsia="en-US"/>
        </w:rPr>
      </w:pPr>
    </w:p>
    <w:p w:rsidR="00791E9B" w:rsidP="0EE76D2C" w:rsidRDefault="00791E9B" w14:paraId="6489B0AF" w14:textId="44AC33FF">
      <w:pPr>
        <w:pStyle w:val="Listparagraf"/>
        <w:spacing w:line="360" w:lineRule="auto"/>
        <w:ind w:left="720"/>
        <w:jc w:val="both"/>
        <w:rPr>
          <w:lang w:eastAsia="en-US"/>
        </w:rPr>
      </w:pPr>
    </w:p>
    <w:p w:rsidR="00791E9B" w:rsidP="0EE76D2C" w:rsidRDefault="00791E9B" w14:paraId="39E4A9BD" w14:textId="04243849">
      <w:pPr>
        <w:pStyle w:val="Listparagraf"/>
        <w:spacing w:line="360" w:lineRule="auto"/>
        <w:ind w:left="720"/>
        <w:jc w:val="both"/>
        <w:rPr>
          <w:lang w:eastAsia="en-US"/>
        </w:rPr>
      </w:pPr>
    </w:p>
    <w:p w:rsidR="00791E9B" w:rsidP="0EE76D2C" w:rsidRDefault="00791E9B" w14:paraId="4680D4E3" w14:textId="12101476">
      <w:pPr>
        <w:pStyle w:val="Listparagraf"/>
        <w:spacing w:line="360" w:lineRule="auto"/>
        <w:ind w:left="720"/>
        <w:jc w:val="both"/>
        <w:rPr>
          <w:lang w:eastAsia="en-US"/>
        </w:rPr>
      </w:pPr>
    </w:p>
    <w:p w:rsidR="00791E9B" w:rsidP="0EE76D2C" w:rsidRDefault="00791E9B" w14:paraId="0A382A4A" w14:textId="1CC66694">
      <w:pPr>
        <w:pStyle w:val="Listparagraf"/>
        <w:spacing w:line="360" w:lineRule="auto"/>
        <w:ind w:left="720"/>
        <w:jc w:val="both"/>
        <w:rPr>
          <w:lang w:eastAsia="en-US"/>
        </w:rPr>
      </w:pPr>
    </w:p>
    <w:p w:rsidR="00791E9B" w:rsidP="0EE76D2C" w:rsidRDefault="00791E9B" w14:paraId="687DC987" w14:textId="49DB5FFF">
      <w:pPr>
        <w:pStyle w:val="Listparagraf"/>
        <w:spacing w:line="360" w:lineRule="auto"/>
        <w:ind w:left="720"/>
        <w:jc w:val="both"/>
        <w:rPr>
          <w:lang w:eastAsia="en-US"/>
        </w:rPr>
      </w:pPr>
    </w:p>
    <w:p w:rsidR="00791E9B" w:rsidP="0EE76D2C" w:rsidRDefault="00791E9B" w14:paraId="78D09B51" w14:textId="10792224">
      <w:pPr>
        <w:pStyle w:val="Listparagraf"/>
        <w:spacing w:line="360" w:lineRule="auto"/>
        <w:ind w:left="720"/>
        <w:jc w:val="both"/>
        <w:rPr>
          <w:lang w:eastAsia="en-US"/>
        </w:rPr>
      </w:pPr>
    </w:p>
    <w:p w:rsidR="00791E9B" w:rsidP="0EE76D2C" w:rsidRDefault="00791E9B" w14:paraId="2331DC66" w14:textId="4484E92A">
      <w:pPr>
        <w:pStyle w:val="Listparagraf"/>
        <w:spacing w:line="360" w:lineRule="auto"/>
        <w:ind w:left="720"/>
        <w:jc w:val="both"/>
        <w:rPr>
          <w:lang w:eastAsia="en-US"/>
        </w:rPr>
      </w:pPr>
    </w:p>
    <w:p w:rsidR="00791E9B" w:rsidP="0EE76D2C" w:rsidRDefault="00791E9B" w14:paraId="6973937E" w14:textId="288461FD">
      <w:pPr>
        <w:pStyle w:val="Listparagraf"/>
        <w:spacing w:line="360" w:lineRule="auto"/>
        <w:ind w:left="720"/>
        <w:jc w:val="both"/>
        <w:rPr>
          <w:lang w:eastAsia="en-US"/>
        </w:rPr>
      </w:pPr>
    </w:p>
    <w:p w:rsidR="00791E9B" w:rsidP="0EE76D2C" w:rsidRDefault="00791E9B" w14:paraId="07A69C27" w14:textId="0A4E5357">
      <w:pPr>
        <w:pStyle w:val="Listparagraf"/>
        <w:spacing w:line="360" w:lineRule="auto"/>
        <w:ind w:left="720"/>
        <w:jc w:val="both"/>
        <w:rPr>
          <w:lang w:eastAsia="en-US"/>
        </w:rPr>
      </w:pPr>
    </w:p>
    <w:p w:rsidR="00791E9B" w:rsidP="0EE76D2C" w:rsidRDefault="00791E9B" w14:paraId="4FEA6B74" w14:textId="30716618">
      <w:pPr>
        <w:pStyle w:val="Listparagraf"/>
        <w:spacing w:line="360" w:lineRule="auto"/>
        <w:ind w:left="720"/>
        <w:jc w:val="both"/>
        <w:rPr>
          <w:lang w:eastAsia="en-US"/>
        </w:rPr>
      </w:pPr>
    </w:p>
    <w:p w:rsidR="00791E9B" w:rsidP="0EE76D2C" w:rsidRDefault="00791E9B" w14:paraId="03D6663F" w14:textId="2AAD059D">
      <w:pPr>
        <w:pStyle w:val="Listparagraf"/>
        <w:spacing w:line="360" w:lineRule="auto"/>
        <w:ind w:left="720"/>
        <w:jc w:val="both"/>
        <w:rPr>
          <w:lang w:eastAsia="en-US"/>
        </w:rPr>
      </w:pPr>
    </w:p>
    <w:p w:rsidR="00791E9B" w:rsidP="0EE76D2C" w:rsidRDefault="00791E9B" w14:paraId="51CC4F49" w14:textId="431ADDEC">
      <w:pPr>
        <w:pStyle w:val="Listparagraf"/>
        <w:ind w:left="720"/>
        <w:rPr>
          <w:lang w:eastAsia="en-US"/>
        </w:rPr>
      </w:pPr>
    </w:p>
    <w:p w:rsidR="00791E9B" w:rsidP="0EE76D2C" w:rsidRDefault="00791E9B" w14:paraId="556D9D70" w14:textId="4509CB3F">
      <w:pPr>
        <w:pStyle w:val="Listparagraf"/>
        <w:ind w:left="720"/>
        <w:rPr>
          <w:lang w:eastAsia="en-US"/>
        </w:rPr>
      </w:pPr>
    </w:p>
    <w:p w:rsidR="00791E9B" w:rsidP="0EE76D2C" w:rsidRDefault="00791E9B" w14:paraId="23076636" w14:textId="368D2F48">
      <w:pPr>
        <w:pStyle w:val="Listparagraf"/>
        <w:ind w:left="720"/>
        <w:rPr>
          <w:lang w:eastAsia="en-US"/>
        </w:rPr>
      </w:pPr>
    </w:p>
    <w:p w:rsidR="00791E9B" w:rsidP="0EE76D2C" w:rsidRDefault="00791E9B" w14:paraId="11528529" w14:textId="2BC8A062">
      <w:pPr>
        <w:pStyle w:val="Listparagraf"/>
        <w:ind w:left="720"/>
        <w:rPr>
          <w:lang w:eastAsia="en-US"/>
        </w:rPr>
      </w:pPr>
    </w:p>
    <w:p w:rsidR="00791E9B" w:rsidP="0EE76D2C" w:rsidRDefault="00791E9B" w14:paraId="3E71669F" w14:textId="01143EBD">
      <w:pPr>
        <w:pStyle w:val="Listparagraf"/>
        <w:ind w:left="720"/>
        <w:rPr>
          <w:lang w:eastAsia="en-US"/>
        </w:rPr>
      </w:pPr>
    </w:p>
    <w:p w:rsidR="00791E9B" w:rsidP="0EE76D2C" w:rsidRDefault="00791E9B" w14:paraId="0AB2F540" w14:textId="4BC4AE5D">
      <w:pPr>
        <w:pStyle w:val="Listparagraf"/>
        <w:ind w:left="720"/>
        <w:rPr>
          <w:lang w:eastAsia="en-US"/>
        </w:rPr>
      </w:pPr>
    </w:p>
    <w:p w:rsidR="00791E9B" w:rsidP="0EE76D2C" w:rsidRDefault="00791E9B" w14:paraId="0637EA3D" w14:textId="321C4DCE">
      <w:pPr>
        <w:pStyle w:val="Listparagraf"/>
        <w:ind w:left="720"/>
        <w:rPr>
          <w:lang w:eastAsia="en-US"/>
        </w:rPr>
      </w:pPr>
    </w:p>
    <w:p w:rsidR="00791E9B" w:rsidP="0EE76D2C" w:rsidRDefault="00791E9B" w14:paraId="377DA243" w14:textId="686D1619">
      <w:pPr>
        <w:pStyle w:val="Listparagraf"/>
        <w:ind w:left="720"/>
        <w:rPr>
          <w:lang w:eastAsia="en-US"/>
        </w:rPr>
      </w:pPr>
    </w:p>
    <w:p w:rsidR="00791E9B" w:rsidP="0EE76D2C" w:rsidRDefault="00791E9B" w14:paraId="5E0480C0" w14:textId="062E53D6">
      <w:pPr>
        <w:pStyle w:val="Listparagraf"/>
        <w:ind w:left="720"/>
        <w:rPr>
          <w:lang w:eastAsia="en-US"/>
        </w:rPr>
      </w:pPr>
    </w:p>
    <w:p w:rsidR="00791E9B" w:rsidP="0EE76D2C" w:rsidRDefault="00791E9B" w14:paraId="15431A9A" w14:textId="1DA39D78">
      <w:pPr>
        <w:pStyle w:val="Listparagraf"/>
        <w:ind w:left="720"/>
        <w:rPr>
          <w:lang w:eastAsia="en-US"/>
        </w:rPr>
      </w:pPr>
    </w:p>
    <w:p w:rsidR="00791E9B" w:rsidP="0EE76D2C" w:rsidRDefault="00791E9B" w14:paraId="4C3BAAB1" w14:textId="1EDF1918">
      <w:pPr>
        <w:pStyle w:val="Listparagraf"/>
        <w:ind w:left="720"/>
        <w:rPr>
          <w:lang w:eastAsia="en-US"/>
        </w:rPr>
      </w:pPr>
    </w:p>
    <w:p w:rsidR="00791E9B" w:rsidP="0EE76D2C" w:rsidRDefault="00791E9B" w14:paraId="1A1C1E5A" w14:textId="6E3B0795">
      <w:pPr>
        <w:pStyle w:val="Listparagraf"/>
        <w:ind w:left="720"/>
        <w:rPr>
          <w:lang w:eastAsia="en-US"/>
        </w:rPr>
      </w:pPr>
    </w:p>
    <w:p w:rsidR="00791E9B" w:rsidP="0EE76D2C" w:rsidRDefault="00791E9B" w14:paraId="1CDBDEC7" w14:textId="76E40084">
      <w:pPr>
        <w:pStyle w:val="Listparagraf"/>
        <w:ind w:left="720"/>
        <w:rPr>
          <w:lang w:eastAsia="en-US"/>
        </w:rPr>
      </w:pPr>
    </w:p>
    <w:p w:rsidR="00791E9B" w:rsidP="0EE76D2C" w:rsidRDefault="00791E9B" w14:paraId="08F9B50A" w14:textId="4110443F">
      <w:pPr>
        <w:pStyle w:val="Listparagraf"/>
        <w:ind w:left="720"/>
        <w:rPr>
          <w:lang w:eastAsia="en-US"/>
        </w:rPr>
      </w:pPr>
    </w:p>
    <w:p w:rsidR="00791E9B" w:rsidP="0EE76D2C" w:rsidRDefault="00791E9B" w14:paraId="0E48DDA5" w14:textId="759EAFC0">
      <w:pPr>
        <w:pStyle w:val="Listparagraf"/>
        <w:ind w:left="720"/>
        <w:rPr>
          <w:lang w:eastAsia="en-US"/>
        </w:rPr>
      </w:pPr>
    </w:p>
    <w:p w:rsidR="00791E9B" w:rsidP="0EE76D2C" w:rsidRDefault="00791E9B" w14:paraId="6D34D184" w14:textId="3610494E">
      <w:pPr>
        <w:pStyle w:val="Listparagraf"/>
        <w:ind w:left="720"/>
        <w:rPr>
          <w:lang w:eastAsia="en-US"/>
        </w:rPr>
      </w:pPr>
    </w:p>
    <w:p w:rsidR="00791E9B" w:rsidP="0EE76D2C" w:rsidRDefault="00791E9B" w14:paraId="1302EE4B" w14:textId="119EAF98">
      <w:pPr>
        <w:pStyle w:val="Listparagraf"/>
        <w:ind w:left="720"/>
        <w:rPr>
          <w:lang w:eastAsia="en-US"/>
        </w:rPr>
      </w:pPr>
    </w:p>
    <w:p w:rsidR="00791E9B" w:rsidP="0EE76D2C" w:rsidRDefault="00791E9B" w14:textId="77777777" w14:paraId="14780B65">
      <w:pPr>
        <w:spacing w:after="60"/>
        <w:jc w:val="center"/>
        <w:rPr>
          <w:rFonts w:ascii="Arial" w:hAnsi="Arial" w:eastAsia="Arial" w:cs="Arial"/>
          <w:b w:val="1"/>
          <w:bCs w:val="1"/>
        </w:rPr>
      </w:pPr>
      <w:r w:rsidRPr="0EE76D2C" w:rsidR="588EBBEF">
        <w:rPr>
          <w:rFonts w:ascii="Arial" w:hAnsi="Arial" w:eastAsia="Arial" w:cs="Arial"/>
          <w:b w:val="1"/>
          <w:bCs w:val="1"/>
        </w:rPr>
        <w:t>Case study: Tesla, Inc.</w:t>
      </w:r>
    </w:p>
    <w:p w:rsidR="00791E9B" w:rsidP="0EE76D2C" w:rsidRDefault="00791E9B" w14:paraId="2C2B7A84" w14:textId="4D6C57E1">
      <w:pPr>
        <w:spacing w:line="360" w:lineRule="auto"/>
        <w:jc w:val="both"/>
        <w:rPr>
          <w:rFonts w:ascii="Arial" w:hAnsi="Arial" w:eastAsia="Arial" w:cs="Arial"/>
          <w:b w:val="1"/>
          <w:bCs w:val="1"/>
          <w:sz w:val="24"/>
          <w:szCs w:val="24"/>
          <w:lang w:eastAsia="en-US"/>
        </w:rPr>
      </w:pPr>
    </w:p>
    <w:p w:rsidR="00791E9B" w:rsidP="0EE76D2C" w:rsidRDefault="00791E9B" w14:paraId="6CF3190C" w14:textId="77777777">
      <w:pPr>
        <w:spacing w:line="360" w:lineRule="auto"/>
        <w:jc w:val="both"/>
        <w:rPr>
          <w:rFonts w:ascii="Arial" w:hAnsi="Arial" w:eastAsia="Arial" w:cs="Arial"/>
          <w:b w:val="1"/>
          <w:bCs w:val="1"/>
          <w:sz w:val="24"/>
          <w:szCs w:val="24"/>
          <w:lang w:eastAsia="en-US"/>
        </w:rPr>
      </w:pPr>
    </w:p>
    <w:p w:rsidRPr="00343819" w:rsidR="00791E9B" w:rsidP="0EE76D2C" w:rsidRDefault="00791E9B" w14:paraId="773A6462" w14:textId="77777777">
      <w:pPr>
        <w:pStyle w:val="Normal"/>
        <w:spacing w:line="360" w:lineRule="auto"/>
        <w:ind w:firstLine="720"/>
        <w:jc w:val="both"/>
        <w:rPr>
          <w:rFonts w:ascii="Arial" w:hAnsi="Arial" w:eastAsia="Arial" w:cs="Arial"/>
          <w:b w:val="1"/>
          <w:bCs w:val="1"/>
          <w:sz w:val="24"/>
          <w:szCs w:val="24"/>
        </w:rPr>
      </w:pPr>
      <w:bookmarkStart w:name="_Toc232292788" w:id="0"/>
      <w:r w:rsidRPr="0EE76D2C" w:rsidR="00791E9B">
        <w:rPr>
          <w:rFonts w:ascii="Arial" w:hAnsi="Arial" w:eastAsia="Arial" w:cs="Arial"/>
          <w:b w:val="1"/>
          <w:bCs w:val="1"/>
          <w:sz w:val="24"/>
          <w:szCs w:val="24"/>
        </w:rPr>
        <w:t>1. Introduction</w:t>
      </w:r>
      <w:bookmarkEnd w:id="0"/>
    </w:p>
    <w:p w:rsidRPr="00791E9B" w:rsidR="00791E9B" w:rsidP="0EE76D2C" w:rsidRDefault="00791E9B" w14:paraId="70C1E85A" w14:textId="2138F97A">
      <w:pPr>
        <w:pStyle w:val="Normal"/>
        <w:spacing w:line="360" w:lineRule="auto"/>
        <w:ind w:firstLine="720"/>
        <w:jc w:val="both"/>
        <w:rPr>
          <w:rFonts w:ascii="Arial" w:hAnsi="Arial" w:eastAsia="Arial" w:cs="Arial"/>
          <w:b w:val="0"/>
          <w:bCs w:val="0"/>
          <w:sz w:val="24"/>
          <w:szCs w:val="24"/>
          <w:lang w:eastAsia="en-US"/>
        </w:rPr>
      </w:pPr>
      <w:bookmarkStart w:name="_Toc232292789" w:id="1"/>
      <w:r w:rsidRPr="0EE76D2C" w:rsidR="00791E9B">
        <w:rPr>
          <w:rFonts w:ascii="Arial" w:hAnsi="Arial" w:eastAsia="Arial" w:cs="Arial"/>
          <w:b w:val="0"/>
          <w:bCs w:val="0"/>
          <w:sz w:val="24"/>
          <w:szCs w:val="24"/>
        </w:rPr>
        <w:t>Company background and the relevance of management accounting</w:t>
      </w:r>
      <w:r w:rsidRPr="0EE76D2C" w:rsidR="17876291">
        <w:rPr>
          <w:rFonts w:ascii="Arial" w:hAnsi="Arial" w:eastAsia="Arial" w:cs="Arial"/>
          <w:b w:val="0"/>
          <w:bCs w:val="0"/>
          <w:sz w:val="24"/>
          <w:szCs w:val="24"/>
        </w:rPr>
        <w:t xml:space="preserve"> </w:t>
      </w:r>
      <w:bookmarkEnd w:id="1"/>
      <w:r w:rsidRPr="0EE76D2C" w:rsidR="00791E9B">
        <w:rPr>
          <w:rFonts w:ascii="Arial" w:hAnsi="Arial" w:eastAsia="Arial" w:cs="Arial"/>
          <w:b w:val="0"/>
          <w:bCs w:val="0"/>
          <w:sz w:val="24"/>
          <w:szCs w:val="24"/>
        </w:rPr>
        <w:t xml:space="preserve">Tesla, Inc. is a publicly listed company within the electric vehicles and clean energy industry, reporting the following revenue streams in the 12 months to December 2023: automotive, energy generation and storage and services, </w:t>
      </w:r>
      <w:r w:rsidRPr="0EE76D2C" w:rsidR="26D652B2">
        <w:rPr>
          <w:rFonts w:ascii="Arial" w:hAnsi="Arial" w:eastAsia="Arial" w:cs="Arial"/>
          <w:b w:val="0"/>
          <w:bCs w:val="0"/>
          <w:sz w:val="24"/>
          <w:szCs w:val="24"/>
        </w:rPr>
        <w:t>totalling</w:t>
      </w:r>
      <w:r w:rsidRPr="0EE76D2C" w:rsidR="00791E9B">
        <w:rPr>
          <w:rFonts w:ascii="Arial" w:hAnsi="Arial" w:eastAsia="Arial" w:cs="Arial"/>
          <w:b w:val="0"/>
          <w:bCs w:val="0"/>
          <w:sz w:val="24"/>
          <w:szCs w:val="24"/>
        </w:rPr>
        <w:t xml:space="preserve"> 96.8 billion dollars, with approximately 1.8 million vehicles delivered in the 12 months to December 2023 (Tesla, Inc., 2024a). The company is vertically integrated and has manufacturing across three gigafactories in Germany, the USA and China, manufacturing designs, manufacturing </w:t>
      </w:r>
      <w:r w:rsidRPr="0EE76D2C" w:rsidR="00791E9B">
        <w:rPr>
          <w:rFonts w:ascii="Arial" w:hAnsi="Arial" w:eastAsia="Arial" w:cs="Arial"/>
          <w:b w:val="0"/>
          <w:bCs w:val="0"/>
          <w:sz w:val="24"/>
          <w:szCs w:val="24"/>
        </w:rPr>
        <w:t>batteries</w:t>
      </w:r>
      <w:r w:rsidRPr="0EE76D2C" w:rsidR="00791E9B">
        <w:rPr>
          <w:rFonts w:ascii="Arial" w:hAnsi="Arial" w:eastAsia="Arial" w:cs="Arial"/>
          <w:b w:val="0"/>
          <w:bCs w:val="0"/>
          <w:sz w:val="24"/>
          <w:szCs w:val="24"/>
        </w:rPr>
        <w:t xml:space="preserve"> and producing vehicles to sell and distribute to customers. Management accounting provides the internal information relating to financial and operating performance that are used by management in their decision making about capital allocation, pricing of products and controlling cost, and recent studies relate contemporary management accounting to improved levels of organisational effectiveness (Dahal, 2024). In capital intensive manufacturing (CIM), where a company strives to compete in terms of margins, systematic cost analysis, budgeting and performance measurement influence decision making processes, and these techniques map raw transaction data to decision ready information for managers all along the value chain (Sha, 2024). This report discusses and </w:t>
      </w:r>
      <w:r w:rsidRPr="0EE76D2C" w:rsidR="00791E9B">
        <w:rPr>
          <w:rFonts w:ascii="Arial" w:hAnsi="Arial" w:eastAsia="Arial" w:cs="Arial"/>
          <w:b w:val="0"/>
          <w:bCs w:val="0"/>
          <w:sz w:val="24"/>
          <w:szCs w:val="24"/>
        </w:rPr>
        <w:t>analyzes</w:t>
      </w:r>
      <w:r w:rsidRPr="0EE76D2C" w:rsidR="00791E9B">
        <w:rPr>
          <w:rFonts w:ascii="Arial" w:hAnsi="Arial" w:eastAsia="Arial" w:cs="Arial"/>
          <w:b w:val="0"/>
          <w:bCs w:val="0"/>
          <w:sz w:val="24"/>
          <w:szCs w:val="24"/>
        </w:rPr>
        <w:t xml:space="preserve"> the way Tesla</w:t>
      </w:r>
      <w:r w:rsidRPr="0EE76D2C" w:rsidR="00791E9B">
        <w:rPr>
          <w:rFonts w:ascii="Arial" w:hAnsi="Arial" w:eastAsia="Arial" w:cs="Arial"/>
          <w:b w:val="0"/>
          <w:bCs w:val="0"/>
          <w:sz w:val="24"/>
          <w:szCs w:val="24"/>
        </w:rPr>
        <w:t xml:space="preserve"> uses these </w:t>
      </w:r>
      <w:r w:rsidRPr="0EE76D2C" w:rsidR="00791E9B">
        <w:rPr>
          <w:rFonts w:ascii="Arial" w:hAnsi="Arial" w:eastAsia="Arial" w:cs="Arial"/>
          <w:b w:val="0"/>
          <w:bCs w:val="0"/>
          <w:sz w:val="24"/>
          <w:szCs w:val="24"/>
        </w:rPr>
        <w:t>to</w:t>
      </w:r>
      <w:r w:rsidRPr="0EE76D2C" w:rsidR="00791E9B">
        <w:rPr>
          <w:rFonts w:ascii="Arial" w:hAnsi="Arial" w:eastAsia="Arial" w:cs="Arial"/>
          <w:b w:val="0"/>
          <w:bCs w:val="0"/>
          <w:sz w:val="24"/>
          <w:szCs w:val="24"/>
        </w:rPr>
        <w:t>ols, with audited filings and new scholarship used to examine its strengths and weaknesses with critical analysis.</w:t>
      </w:r>
    </w:p>
    <w:p w:rsidR="777B55E7" w:rsidP="0EE76D2C" w:rsidRDefault="777B55E7" w14:paraId="1B39AB5B" w14:textId="6E5275CF">
      <w:pPr>
        <w:pStyle w:val="Normal"/>
        <w:spacing w:line="360" w:lineRule="auto"/>
        <w:jc w:val="both"/>
        <w:rPr>
          <w:rFonts w:ascii="Arial" w:hAnsi="Arial" w:eastAsia="Arial" w:cs="Arial"/>
          <w:sz w:val="24"/>
          <w:szCs w:val="24"/>
        </w:rPr>
      </w:pPr>
      <w:r w:rsidR="777B55E7">
        <w:drawing>
          <wp:inline wp14:editId="268CFEF4" wp14:anchorId="0AE17AC9">
            <wp:extent cx="5724525" cy="3219450"/>
            <wp:effectExtent l="0" t="0" r="0" b="0"/>
            <wp:docPr id="99201679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92016799" name="Picture 992016799"/>
                    <pic:cNvPicPr/>
                  </pic:nvPicPr>
                  <pic:blipFill>
                    <a:blip xmlns:r="http://schemas.openxmlformats.org/officeDocument/2006/relationships" r:embed="rId385161890">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p>
    <w:p w:rsidR="777B55E7" w:rsidP="0EE76D2C" w:rsidRDefault="777B55E7" w14:paraId="6E245181" w14:textId="02E62FB7">
      <w:pPr>
        <w:pStyle w:val="Normal"/>
        <w:spacing w:line="360" w:lineRule="auto"/>
        <w:jc w:val="both"/>
        <w:rPr>
          <w:rFonts w:ascii="Arial" w:hAnsi="Arial" w:eastAsia="Arial" w:cs="Arial"/>
          <w:sz w:val="24"/>
          <w:szCs w:val="24"/>
        </w:rPr>
      </w:pPr>
      <w:r w:rsidR="777B55E7">
        <w:drawing>
          <wp:inline wp14:editId="01D16C30" wp14:anchorId="6ABEBAB7">
            <wp:extent cx="3886200" cy="2152650"/>
            <wp:effectExtent l="0" t="0" r="0" b="0"/>
            <wp:docPr id="123422405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34224055" name="Picture 1234224055"/>
                    <pic:cNvPicPr/>
                  </pic:nvPicPr>
                  <pic:blipFill>
                    <a:blip xmlns:r="http://schemas.openxmlformats.org/officeDocument/2006/relationships" r:embed="rId1963904435">
                      <a:extLst>
                        <a:ext uri="{28A0092B-C50C-407E-A947-70E740481C1C}">
                          <a14:useLocalDpi xmlns:a14="http://schemas.microsoft.com/office/drawing/2010/main"/>
                        </a:ext>
                      </a:extLst>
                    </a:blip>
                    <a:stretch>
                      <a:fillRect/>
                    </a:stretch>
                  </pic:blipFill>
                  <pic:spPr>
                    <a:xfrm>
                      <a:off x="0" y="0"/>
                      <a:ext cx="3886200" cy="2152650"/>
                    </a:xfrm>
                    <a:prstGeom prst="rect">
                      <a:avLst/>
                    </a:prstGeom>
                  </pic:spPr>
                </pic:pic>
              </a:graphicData>
            </a:graphic>
          </wp:inline>
        </w:drawing>
      </w:r>
    </w:p>
    <w:p w:rsidR="0EE76D2C" w:rsidP="0EE76D2C" w:rsidRDefault="0EE76D2C" w14:paraId="17EA7C8B" w14:textId="56554BB3">
      <w:pPr>
        <w:pStyle w:val="Normal"/>
        <w:spacing w:line="360" w:lineRule="auto"/>
        <w:jc w:val="both"/>
        <w:rPr>
          <w:rFonts w:ascii="Arial" w:hAnsi="Arial" w:eastAsia="Arial" w:cs="Arial"/>
          <w:sz w:val="24"/>
          <w:szCs w:val="24"/>
        </w:rPr>
      </w:pPr>
    </w:p>
    <w:p w:rsidRPr="00343819" w:rsidR="00791E9B" w:rsidP="0EE76D2C" w:rsidRDefault="00791E9B" w14:paraId="3BE1A584" w14:textId="77777777">
      <w:pPr>
        <w:pStyle w:val="Normal"/>
        <w:spacing w:line="360" w:lineRule="auto"/>
        <w:ind w:firstLine="720"/>
        <w:jc w:val="both"/>
        <w:rPr>
          <w:rFonts w:ascii="Arial" w:hAnsi="Arial" w:eastAsia="Arial" w:cs="Arial"/>
          <w:b w:val="1"/>
          <w:bCs w:val="1"/>
          <w:sz w:val="24"/>
          <w:szCs w:val="24"/>
        </w:rPr>
      </w:pPr>
      <w:bookmarkStart w:name="_Toc232292790" w:id="2"/>
      <w:r w:rsidRPr="0EE76D2C" w:rsidR="00791E9B">
        <w:rPr>
          <w:rFonts w:ascii="Arial" w:hAnsi="Arial" w:eastAsia="Arial" w:cs="Arial"/>
          <w:b w:val="1"/>
          <w:bCs w:val="1"/>
          <w:sz w:val="24"/>
          <w:szCs w:val="24"/>
        </w:rPr>
        <w:t>2. Cost Analysis and Business Model</w:t>
      </w:r>
      <w:bookmarkEnd w:id="2"/>
    </w:p>
    <w:p w:rsidRPr="00343819" w:rsidR="00791E9B" w:rsidP="0EE76D2C" w:rsidRDefault="00791E9B" w14:paraId="5A979D22" w14:textId="3A1328E9">
      <w:pPr>
        <w:pStyle w:val="Normal"/>
        <w:spacing w:line="360" w:lineRule="auto"/>
        <w:ind w:firstLine="720"/>
        <w:jc w:val="both"/>
        <w:rPr>
          <w:rFonts w:ascii="Arial" w:hAnsi="Arial" w:eastAsia="Arial" w:cs="Arial"/>
          <w:b w:val="1"/>
          <w:bCs w:val="1"/>
          <w:sz w:val="24"/>
          <w:szCs w:val="24"/>
        </w:rPr>
      </w:pPr>
      <w:bookmarkStart w:name="_Toc232292791" w:id="3"/>
      <w:r w:rsidRPr="0EE76D2C" w:rsidR="00791E9B">
        <w:rPr>
          <w:rFonts w:ascii="Arial" w:hAnsi="Arial" w:eastAsia="Arial" w:cs="Arial"/>
          <w:b w:val="1"/>
          <w:bCs w:val="1"/>
          <w:sz w:val="24"/>
          <w:szCs w:val="24"/>
        </w:rPr>
        <w:t>Revenue model</w:t>
      </w:r>
      <w:r w:rsidRPr="0EE76D2C" w:rsidR="019964F4">
        <w:rPr>
          <w:rFonts w:ascii="Arial" w:hAnsi="Arial" w:eastAsia="Arial" w:cs="Arial"/>
          <w:b w:val="1"/>
          <w:bCs w:val="1"/>
          <w:sz w:val="24"/>
          <w:szCs w:val="24"/>
        </w:rPr>
        <w:t>.</w:t>
      </w:r>
      <w:bookmarkEnd w:id="3"/>
    </w:p>
    <w:p w:rsidRPr="00791E9B" w:rsidR="00791E9B" w:rsidP="0EE76D2C" w:rsidRDefault="00791E9B" w14:paraId="7603CBAD" w14:textId="77777777">
      <w:pPr>
        <w:pStyle w:val="Normal"/>
        <w:spacing w:line="360" w:lineRule="auto"/>
        <w:ind w:firstLine="720"/>
        <w:jc w:val="both"/>
        <w:rPr>
          <w:rFonts w:ascii="Arial" w:hAnsi="Arial" w:eastAsia="Arial" w:cs="Arial"/>
          <w:b w:val="0"/>
          <w:bCs w:val="0"/>
          <w:sz w:val="24"/>
          <w:szCs w:val="24"/>
          <w:lang w:eastAsia="en-US"/>
        </w:rPr>
      </w:pPr>
      <w:r w:rsidRPr="0EE76D2C" w:rsidR="00791E9B">
        <w:rPr>
          <w:rFonts w:ascii="Arial" w:hAnsi="Arial" w:eastAsia="Arial" w:cs="Arial"/>
          <w:b w:val="0"/>
          <w:bCs w:val="0"/>
          <w:sz w:val="24"/>
          <w:szCs w:val="24"/>
        </w:rPr>
        <w:t>Tesla has four interrelated revenue streams of which automotive sales are the largest: 82.4 billion dollars compared to energy generation and storage revenue of 6.0 billion dollars and services and other revenue of 8.3 billion dollars in 2023 (Tesla, Inc., 2024a). In addition to unit sales, the company is also recording high-margin regulatory credit revenue and it's recognising Full Self-Driving software revenue during the release cycles without commensurate production cost – which boosts blended margin without commensurate production cost (Tesla, Inc., 2024b). When it comes to management accounting, every stream can be treated as a separate profit centre, which fits well with the value chain analysis, with various tools being used for value generation at different value chain links (Sha, 2024). The segment-level reporting allows leaders to assess the margin's source and allocate funds to the energy business, which saw its revenue increase by 52 percent year on year in Q3 2024 (Tesla, Inc., 2024b). A critical reading includes concentration risk as it is evident that automotive still contributes the lion share of margins as other potential sources of recurring revenues of higher quality are at greater risk when the price of the automobiles weakens despite better growth in other margins (Dahal, 2024).</w:t>
      </w:r>
    </w:p>
    <w:p w:rsidR="0EE76D2C" w:rsidP="0EE76D2C" w:rsidRDefault="0EE76D2C" w14:paraId="0389980D" w14:textId="6BB4C675">
      <w:pPr>
        <w:pStyle w:val="Normal"/>
        <w:spacing w:line="360" w:lineRule="auto"/>
        <w:ind w:firstLine="720"/>
        <w:jc w:val="both"/>
        <w:rPr>
          <w:rFonts w:ascii="Arial" w:hAnsi="Arial" w:eastAsia="Arial" w:cs="Arial"/>
          <w:b w:val="1"/>
          <w:bCs w:val="1"/>
          <w:sz w:val="24"/>
          <w:szCs w:val="24"/>
        </w:rPr>
      </w:pPr>
    </w:p>
    <w:p w:rsidRPr="00343819" w:rsidR="00791E9B" w:rsidP="0EE76D2C" w:rsidRDefault="00791E9B" w14:paraId="3264B811" w14:textId="77777777">
      <w:pPr>
        <w:pStyle w:val="Normal"/>
        <w:spacing w:line="360" w:lineRule="auto"/>
        <w:ind w:firstLine="720"/>
        <w:jc w:val="both"/>
        <w:rPr>
          <w:rFonts w:ascii="Arial" w:hAnsi="Arial" w:eastAsia="Arial" w:cs="Arial"/>
          <w:b w:val="1"/>
          <w:bCs w:val="1"/>
          <w:sz w:val="24"/>
          <w:szCs w:val="24"/>
        </w:rPr>
      </w:pPr>
      <w:bookmarkStart w:name="_Toc232292792" w:id="4"/>
      <w:r w:rsidRPr="0EE76D2C" w:rsidR="00791E9B">
        <w:rPr>
          <w:rFonts w:ascii="Arial" w:hAnsi="Arial" w:eastAsia="Arial" w:cs="Arial"/>
          <w:b w:val="1"/>
          <w:bCs w:val="1"/>
          <w:sz w:val="24"/>
          <w:szCs w:val="24"/>
        </w:rPr>
        <w:t>Cost structure: fixed versus variable</w:t>
      </w:r>
      <w:bookmarkEnd w:id="4"/>
    </w:p>
    <w:p w:rsidRPr="00791E9B" w:rsidR="00791E9B" w:rsidP="0EE76D2C" w:rsidRDefault="00791E9B" w14:paraId="29430B98" w14:textId="7EF3CD79">
      <w:pPr>
        <w:pStyle w:val="Normal"/>
        <w:spacing w:line="360" w:lineRule="auto"/>
        <w:ind w:firstLine="720"/>
        <w:jc w:val="both"/>
        <w:rPr>
          <w:rFonts w:ascii="Arial" w:hAnsi="Arial" w:eastAsia="Arial" w:cs="Arial"/>
          <w:b w:val="0"/>
          <w:bCs w:val="0"/>
          <w:sz w:val="24"/>
          <w:szCs w:val="24"/>
          <w:lang w:eastAsia="en-US"/>
        </w:rPr>
      </w:pPr>
      <w:r w:rsidRPr="0EE76D2C" w:rsidR="00791E9B">
        <w:rPr>
          <w:rFonts w:ascii="Arial" w:hAnsi="Arial" w:eastAsia="Arial" w:cs="Arial"/>
          <w:b w:val="0"/>
          <w:bCs w:val="0"/>
          <w:sz w:val="24"/>
          <w:szCs w:val="24"/>
        </w:rPr>
        <w:t xml:space="preserve">Tesla has an elevated base of fixed costs, </w:t>
      </w:r>
      <w:r w:rsidRPr="0EE76D2C" w:rsidR="00791E9B">
        <w:rPr>
          <w:rFonts w:ascii="Arial" w:hAnsi="Arial" w:eastAsia="Arial" w:cs="Arial"/>
          <w:b w:val="0"/>
          <w:bCs w:val="0"/>
          <w:sz w:val="24"/>
          <w:szCs w:val="24"/>
        </w:rPr>
        <w:t>comprising</w:t>
      </w:r>
      <w:r w:rsidRPr="0EE76D2C" w:rsidR="00791E9B">
        <w:rPr>
          <w:rFonts w:ascii="Arial" w:hAnsi="Arial" w:eastAsia="Arial" w:cs="Arial"/>
          <w:b w:val="0"/>
          <w:bCs w:val="0"/>
          <w:sz w:val="24"/>
          <w:szCs w:val="24"/>
        </w:rPr>
        <w:t xml:space="preserve"> the cost of building the Gigafactory, funding R&amp;D projects and the cost of selling, general and administrative functions and these costs </w:t>
      </w:r>
      <w:r w:rsidRPr="0EE76D2C" w:rsidR="00791E9B">
        <w:rPr>
          <w:rFonts w:ascii="Arial" w:hAnsi="Arial" w:eastAsia="Arial" w:cs="Arial"/>
          <w:b w:val="0"/>
          <w:bCs w:val="0"/>
          <w:sz w:val="24"/>
          <w:szCs w:val="24"/>
        </w:rPr>
        <w:t>remain</w:t>
      </w:r>
      <w:r w:rsidRPr="0EE76D2C" w:rsidR="00791E9B">
        <w:rPr>
          <w:rFonts w:ascii="Arial" w:hAnsi="Arial" w:eastAsia="Arial" w:cs="Arial"/>
          <w:b w:val="0"/>
          <w:bCs w:val="0"/>
          <w:sz w:val="24"/>
          <w:szCs w:val="24"/>
        </w:rPr>
        <w:t xml:space="preserve"> </w:t>
      </w:r>
      <w:r w:rsidRPr="0EE76D2C" w:rsidR="00791E9B">
        <w:rPr>
          <w:rFonts w:ascii="Arial" w:hAnsi="Arial" w:eastAsia="Arial" w:cs="Arial"/>
          <w:b w:val="0"/>
          <w:bCs w:val="0"/>
          <w:sz w:val="24"/>
          <w:szCs w:val="24"/>
        </w:rPr>
        <w:t>largely the</w:t>
      </w:r>
      <w:r w:rsidRPr="0EE76D2C" w:rsidR="00791E9B">
        <w:rPr>
          <w:rFonts w:ascii="Arial" w:hAnsi="Arial" w:eastAsia="Arial" w:cs="Arial"/>
          <w:b w:val="0"/>
          <w:bCs w:val="0"/>
          <w:sz w:val="24"/>
          <w:szCs w:val="24"/>
        </w:rPr>
        <w:t xml:space="preserve"> same per quarter, irrespective of volume. In the first nine months of 2024, research and development was $3.26 billion and selling, general and administrative expenses were $3.84 billion, compared with $2.88 billion and $4.03 billion, respectively, in the same period of 2023 (Tesla, Inc., 2024c). Variable costs are volume sensitive and consist of battery cells, cost of raw materials (which includes the price of lithium and aluminium), logistics and direct assembly </w:t>
      </w:r>
      <w:r w:rsidRPr="0EE76D2C" w:rsidR="56A59A8B">
        <w:rPr>
          <w:rFonts w:ascii="Arial" w:hAnsi="Arial" w:eastAsia="Arial" w:cs="Arial"/>
          <w:b w:val="0"/>
          <w:bCs w:val="0"/>
          <w:sz w:val="24"/>
          <w:szCs w:val="24"/>
        </w:rPr>
        <w:t>labour</w:t>
      </w:r>
      <w:r w:rsidRPr="0EE76D2C" w:rsidR="00791E9B">
        <w:rPr>
          <w:rFonts w:ascii="Arial" w:hAnsi="Arial" w:eastAsia="Arial" w:cs="Arial"/>
          <w:b w:val="0"/>
          <w:bCs w:val="0"/>
          <w:sz w:val="24"/>
          <w:szCs w:val="24"/>
        </w:rPr>
        <w:t xml:space="preserve">, and declining raw-material prices brought down the per-vehicle cost through 2024 (Tesla, Inc., 2024b). Operating leverage is also provided by a high fixed base, which means that overhead is more broadly distributed every time a car is sold, and provides a boost to margin when the factories are full, but depresses margin when demand slows. Thus, contribution margin and break-even analysis will inform the pricing floors and leaders must approve any discount or not before the required volume of gross profit. Activity-based costing provides a more precise path to slice indirect cost and up-to-date reviews connect the technique to improved strategic decision-making and reduced environmental impact (Ortiz-Cea et al., 2025). The importance of treating cost behaviour seriously comes into play here, as Tesla margins will go into negative very rapidly if </w:t>
      </w:r>
      <w:r w:rsidRPr="0EE76D2C" w:rsidR="00791E9B">
        <w:rPr>
          <w:rFonts w:ascii="Arial" w:hAnsi="Arial" w:eastAsia="Arial" w:cs="Arial"/>
          <w:b w:val="0"/>
          <w:bCs w:val="0"/>
          <w:sz w:val="24"/>
          <w:szCs w:val="24"/>
        </w:rPr>
        <w:t>they're</w:t>
      </w:r>
      <w:r w:rsidRPr="0EE76D2C" w:rsidR="00791E9B">
        <w:rPr>
          <w:rFonts w:ascii="Arial" w:hAnsi="Arial" w:eastAsia="Arial" w:cs="Arial"/>
          <w:b w:val="0"/>
          <w:bCs w:val="0"/>
          <w:sz w:val="24"/>
          <w:szCs w:val="24"/>
        </w:rPr>
        <w:t xml:space="preserve"> not </w:t>
      </w:r>
      <w:r w:rsidRPr="0EE76D2C" w:rsidR="00791E9B">
        <w:rPr>
          <w:rFonts w:ascii="Arial" w:hAnsi="Arial" w:eastAsia="Arial" w:cs="Arial"/>
          <w:b w:val="0"/>
          <w:bCs w:val="0"/>
          <w:sz w:val="24"/>
          <w:szCs w:val="24"/>
        </w:rPr>
        <w:t>operating</w:t>
      </w:r>
      <w:r w:rsidRPr="0EE76D2C" w:rsidR="00791E9B">
        <w:rPr>
          <w:rFonts w:ascii="Arial" w:hAnsi="Arial" w:eastAsia="Arial" w:cs="Arial"/>
          <w:b w:val="0"/>
          <w:bCs w:val="0"/>
          <w:sz w:val="24"/>
          <w:szCs w:val="24"/>
        </w:rPr>
        <w:t xml:space="preserve"> at full capacity and if they continue to keep cutting prices as they do (Dahal, 2024).</w:t>
      </w:r>
    </w:p>
    <w:p w:rsidR="78D83FE9" w:rsidP="0EE76D2C" w:rsidRDefault="78D83FE9" w14:paraId="3E5E7F88" w14:textId="617BBACA">
      <w:pPr>
        <w:pStyle w:val="Normal"/>
        <w:spacing w:line="360" w:lineRule="auto"/>
        <w:jc w:val="both"/>
        <w:rPr>
          <w:rFonts w:ascii="Arial" w:hAnsi="Arial" w:eastAsia="Arial" w:cs="Arial"/>
          <w:sz w:val="24"/>
          <w:szCs w:val="24"/>
        </w:rPr>
      </w:pPr>
      <w:r w:rsidR="78D83FE9">
        <w:drawing>
          <wp:inline wp14:editId="3D4543ED" wp14:anchorId="3A1F6F92">
            <wp:extent cx="4514850" cy="3009900"/>
            <wp:effectExtent l="0" t="0" r="0" b="0"/>
            <wp:docPr id="110135358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01353583" name="Picture 1101353583"/>
                    <pic:cNvPicPr/>
                  </pic:nvPicPr>
                  <pic:blipFill>
                    <a:blip xmlns:r="http://schemas.openxmlformats.org/officeDocument/2006/relationships" r:embed="rId2103175049">
                      <a:extLst>
                        <a:ext uri="{28A0092B-C50C-407E-A947-70E740481C1C}">
                          <a14:useLocalDpi xmlns:a14="http://schemas.microsoft.com/office/drawing/2010/main"/>
                        </a:ext>
                      </a:extLst>
                    </a:blip>
                    <a:stretch>
                      <a:fillRect/>
                    </a:stretch>
                  </pic:blipFill>
                  <pic:spPr>
                    <a:xfrm>
                      <a:off x="0" y="0"/>
                      <a:ext cx="4514850" cy="3009900"/>
                    </a:xfrm>
                    <a:prstGeom prst="rect">
                      <a:avLst/>
                    </a:prstGeom>
                  </pic:spPr>
                </pic:pic>
              </a:graphicData>
            </a:graphic>
          </wp:inline>
        </w:drawing>
      </w:r>
    </w:p>
    <w:p w:rsidR="0EE76D2C" w:rsidP="0EE76D2C" w:rsidRDefault="0EE76D2C" w14:paraId="3D71B0F2" w14:textId="6229F0D1">
      <w:pPr>
        <w:pStyle w:val="Normal"/>
        <w:spacing w:line="360" w:lineRule="auto"/>
        <w:jc w:val="both"/>
        <w:rPr>
          <w:rFonts w:ascii="Arial" w:hAnsi="Arial" w:eastAsia="Arial" w:cs="Arial"/>
          <w:b w:val="0"/>
          <w:bCs w:val="0"/>
          <w:sz w:val="24"/>
          <w:szCs w:val="24"/>
        </w:rPr>
      </w:pPr>
    </w:p>
    <w:p w:rsidR="0EE76D2C" w:rsidP="0EE76D2C" w:rsidRDefault="0EE76D2C" w14:paraId="14B59933" w14:textId="4883D7A4">
      <w:pPr>
        <w:pStyle w:val="Normal"/>
        <w:spacing w:line="360" w:lineRule="auto"/>
        <w:jc w:val="both"/>
        <w:rPr>
          <w:rFonts w:ascii="Arial" w:hAnsi="Arial" w:eastAsia="Arial" w:cs="Arial"/>
          <w:b w:val="0"/>
          <w:bCs w:val="0"/>
          <w:sz w:val="24"/>
          <w:szCs w:val="24"/>
        </w:rPr>
      </w:pPr>
    </w:p>
    <w:p w:rsidR="0EE76D2C" w:rsidP="0EE76D2C" w:rsidRDefault="0EE76D2C" w14:paraId="68224C79" w14:textId="1742728E">
      <w:pPr>
        <w:pStyle w:val="Normal"/>
        <w:spacing w:line="360" w:lineRule="auto"/>
        <w:jc w:val="both"/>
        <w:rPr>
          <w:rFonts w:ascii="Arial" w:hAnsi="Arial" w:eastAsia="Arial" w:cs="Arial"/>
          <w:b w:val="0"/>
          <w:bCs w:val="0"/>
          <w:sz w:val="24"/>
          <w:szCs w:val="24"/>
        </w:rPr>
      </w:pPr>
    </w:p>
    <w:p w:rsidRPr="00343819" w:rsidR="00791E9B" w:rsidP="0EE76D2C" w:rsidRDefault="00791E9B" w14:paraId="409B4871" w14:textId="77777777">
      <w:pPr>
        <w:pStyle w:val="Normal"/>
        <w:spacing w:line="360" w:lineRule="auto"/>
        <w:ind w:firstLine="720"/>
        <w:jc w:val="both"/>
        <w:rPr>
          <w:rFonts w:ascii="Arial" w:hAnsi="Arial" w:eastAsia="Arial" w:cs="Arial"/>
          <w:b w:val="1"/>
          <w:bCs w:val="1"/>
          <w:sz w:val="24"/>
          <w:szCs w:val="24"/>
        </w:rPr>
      </w:pPr>
      <w:bookmarkStart w:name="_Toc232292793" w:id="5"/>
      <w:r w:rsidRPr="0EE76D2C" w:rsidR="00791E9B">
        <w:rPr>
          <w:rFonts w:ascii="Arial" w:hAnsi="Arial" w:eastAsia="Arial" w:cs="Arial"/>
          <w:b w:val="1"/>
          <w:bCs w:val="1"/>
          <w:sz w:val="24"/>
          <w:szCs w:val="24"/>
        </w:rPr>
        <w:t>3. Budgeting and Financial Planning</w:t>
      </w:r>
      <w:bookmarkEnd w:id="5"/>
    </w:p>
    <w:p w:rsidRPr="00343819" w:rsidR="00791E9B" w:rsidP="0EE76D2C" w:rsidRDefault="00791E9B" w14:paraId="2036E311" w14:textId="77777777">
      <w:pPr>
        <w:pStyle w:val="Normal"/>
        <w:spacing w:line="360" w:lineRule="auto"/>
        <w:ind w:firstLine="720"/>
        <w:jc w:val="both"/>
        <w:rPr>
          <w:rFonts w:ascii="Arial" w:hAnsi="Arial" w:eastAsia="Arial" w:cs="Arial"/>
          <w:b w:val="1"/>
          <w:bCs w:val="1"/>
          <w:sz w:val="24"/>
          <w:szCs w:val="24"/>
        </w:rPr>
      </w:pPr>
      <w:bookmarkStart w:name="_Toc232292794" w:id="6"/>
      <w:r w:rsidRPr="0EE76D2C" w:rsidR="00791E9B">
        <w:rPr>
          <w:rFonts w:ascii="Arial" w:hAnsi="Arial" w:eastAsia="Arial" w:cs="Arial"/>
          <w:b w:val="1"/>
          <w:bCs w:val="1"/>
          <w:sz w:val="24"/>
          <w:szCs w:val="24"/>
        </w:rPr>
        <w:t>The role of budgeting in operations</w:t>
      </w:r>
      <w:bookmarkEnd w:id="6"/>
    </w:p>
    <w:p w:rsidRPr="00791E9B" w:rsidR="00791E9B" w:rsidP="0EE76D2C" w:rsidRDefault="00791E9B" w14:paraId="2276F6C8" w14:textId="4593B6D9">
      <w:pPr>
        <w:pStyle w:val="Normal"/>
        <w:spacing w:line="360" w:lineRule="auto"/>
        <w:ind w:firstLine="720"/>
        <w:jc w:val="both"/>
        <w:rPr>
          <w:rFonts w:ascii="Arial" w:hAnsi="Arial" w:eastAsia="Arial" w:cs="Arial"/>
          <w:b w:val="0"/>
          <w:bCs w:val="0"/>
          <w:sz w:val="24"/>
          <w:szCs w:val="24"/>
          <w:lang w:eastAsia="en-US"/>
        </w:rPr>
      </w:pPr>
      <w:r w:rsidRPr="0EE76D2C" w:rsidR="00791E9B">
        <w:rPr>
          <w:rFonts w:ascii="Arial" w:hAnsi="Arial" w:eastAsia="Arial" w:cs="Arial"/>
          <w:b w:val="0"/>
          <w:bCs w:val="0"/>
          <w:sz w:val="24"/>
          <w:szCs w:val="24"/>
        </w:rPr>
        <w:t xml:space="preserve">Budgets are key because they provide Tesla with a financial blueprint that connects the dots between capital investment, production goals, and staffing levels to projected income, and they serve as a planning tool and also a measuring stick by which managers can determine whether planned and actual costs and revenues are on track or not (Praskah et al., 2024). For a manufacturer expanding to new plants, capital budgeting will </w:t>
      </w:r>
      <w:r w:rsidRPr="0EE76D2C" w:rsidR="00791E9B">
        <w:rPr>
          <w:rFonts w:ascii="Arial" w:hAnsi="Arial" w:eastAsia="Arial" w:cs="Arial"/>
          <w:b w:val="0"/>
          <w:bCs w:val="0"/>
          <w:sz w:val="24"/>
          <w:szCs w:val="24"/>
        </w:rPr>
        <w:t>determine</w:t>
      </w:r>
      <w:r w:rsidRPr="0EE76D2C" w:rsidR="00791E9B">
        <w:rPr>
          <w:rFonts w:ascii="Arial" w:hAnsi="Arial" w:eastAsia="Arial" w:cs="Arial"/>
          <w:b w:val="0"/>
          <w:bCs w:val="0"/>
          <w:sz w:val="24"/>
          <w:szCs w:val="24"/>
        </w:rPr>
        <w:t xml:space="preserve"> whether a project is </w:t>
      </w:r>
      <w:r w:rsidRPr="0EE76D2C" w:rsidR="00791E9B">
        <w:rPr>
          <w:rFonts w:ascii="Arial" w:hAnsi="Arial" w:eastAsia="Arial" w:cs="Arial"/>
          <w:b w:val="0"/>
          <w:bCs w:val="0"/>
          <w:sz w:val="24"/>
          <w:szCs w:val="24"/>
        </w:rPr>
        <w:t>feasible</w:t>
      </w:r>
      <w:r w:rsidRPr="0EE76D2C" w:rsidR="00791E9B">
        <w:rPr>
          <w:rFonts w:ascii="Arial" w:hAnsi="Arial" w:eastAsia="Arial" w:cs="Arial"/>
          <w:b w:val="0"/>
          <w:bCs w:val="0"/>
          <w:sz w:val="24"/>
          <w:szCs w:val="24"/>
        </w:rPr>
        <w:t xml:space="preserve"> like the </w:t>
      </w:r>
      <w:r w:rsidRPr="0EE76D2C" w:rsidR="00791E9B">
        <w:rPr>
          <w:rFonts w:ascii="Arial" w:hAnsi="Arial" w:eastAsia="Arial" w:cs="Arial"/>
          <w:b w:val="0"/>
          <w:bCs w:val="0"/>
          <w:sz w:val="24"/>
          <w:szCs w:val="24"/>
        </w:rPr>
        <w:t>4680 cell</w:t>
      </w:r>
      <w:r w:rsidRPr="0EE76D2C" w:rsidR="5B0482EE">
        <w:rPr>
          <w:rFonts w:ascii="Arial" w:hAnsi="Arial" w:eastAsia="Arial" w:cs="Arial"/>
          <w:b w:val="0"/>
          <w:bCs w:val="0"/>
          <w:sz w:val="24"/>
          <w:szCs w:val="24"/>
        </w:rPr>
        <w:t>-</w:t>
      </w:r>
      <w:r w:rsidRPr="0EE76D2C" w:rsidR="00791E9B">
        <w:rPr>
          <w:rFonts w:ascii="Arial" w:hAnsi="Arial" w:eastAsia="Arial" w:cs="Arial"/>
          <w:b w:val="0"/>
          <w:bCs w:val="0"/>
          <w:sz w:val="24"/>
          <w:szCs w:val="24"/>
        </w:rPr>
        <w:t>line or a new Gigafactory meets the target return. In 2024, Tesla has capital expenditures of over 2.7 billion dollars per quarter, therefore cash expenditures in expansion or resorting to a defensive footing are directly managed by the budget process (Tesla, Inc., 2024c). The company adopts Annual planning along with Rolling forecasts which is in line with evidence that recommended flexible budgeting over rigid incremental budgeting in fast moving markets (Dahal, 2024). Good forecasting enhances proper allocation of resources and risk management, while companies that use disciplined forecasting methods have a competitive advantage by making informed decisions for the future.</w:t>
      </w:r>
    </w:p>
    <w:p w:rsidR="0EE76D2C" w:rsidP="0EE76D2C" w:rsidRDefault="0EE76D2C" w14:paraId="094A45E8" w14:textId="2B91A2D4">
      <w:pPr>
        <w:pStyle w:val="Normal"/>
        <w:spacing w:line="360" w:lineRule="auto"/>
        <w:ind w:firstLine="720"/>
        <w:jc w:val="both"/>
        <w:rPr>
          <w:rFonts w:ascii="Arial" w:hAnsi="Arial" w:eastAsia="Arial" w:cs="Arial"/>
          <w:b w:val="0"/>
          <w:bCs w:val="0"/>
          <w:sz w:val="24"/>
          <w:szCs w:val="24"/>
        </w:rPr>
      </w:pPr>
    </w:p>
    <w:p w:rsidR="0EE76D2C" w:rsidP="0EE76D2C" w:rsidRDefault="0EE76D2C" w14:paraId="71E30D59" w14:textId="1391FD64">
      <w:pPr>
        <w:pStyle w:val="Normal"/>
        <w:spacing w:line="360" w:lineRule="auto"/>
        <w:ind w:firstLine="720"/>
        <w:jc w:val="both"/>
        <w:rPr>
          <w:rFonts w:ascii="Arial" w:hAnsi="Arial" w:eastAsia="Arial" w:cs="Arial"/>
          <w:b w:val="0"/>
          <w:bCs w:val="0"/>
          <w:sz w:val="24"/>
          <w:szCs w:val="24"/>
        </w:rPr>
      </w:pPr>
    </w:p>
    <w:p w:rsidRPr="00343819" w:rsidR="00791E9B" w:rsidP="0EE76D2C" w:rsidRDefault="00791E9B" w14:paraId="30A8719C" w14:textId="77777777">
      <w:pPr>
        <w:pStyle w:val="Normal"/>
        <w:spacing w:line="360" w:lineRule="auto"/>
        <w:ind w:firstLine="720"/>
        <w:jc w:val="both"/>
        <w:rPr>
          <w:rFonts w:ascii="Arial" w:hAnsi="Arial" w:eastAsia="Arial" w:cs="Arial"/>
          <w:b w:val="1"/>
          <w:bCs w:val="1"/>
          <w:sz w:val="24"/>
          <w:szCs w:val="24"/>
        </w:rPr>
      </w:pPr>
      <w:bookmarkStart w:name="_Toc232292795" w:id="7"/>
      <w:r w:rsidRPr="0EE76D2C" w:rsidR="00791E9B">
        <w:rPr>
          <w:rFonts w:ascii="Arial" w:hAnsi="Arial" w:eastAsia="Arial" w:cs="Arial"/>
          <w:b w:val="1"/>
          <w:bCs w:val="1"/>
          <w:sz w:val="24"/>
          <w:szCs w:val="24"/>
        </w:rPr>
        <w:t>Year-on-year change in operating expenses</w:t>
      </w:r>
      <w:bookmarkEnd w:id="7"/>
    </w:p>
    <w:p w:rsidRPr="00791E9B" w:rsidR="00791E9B" w:rsidP="0EE76D2C" w:rsidRDefault="00791E9B" w14:paraId="405E1B23" w14:textId="77D34A89">
      <w:pPr>
        <w:pStyle w:val="Normal"/>
        <w:spacing w:line="360" w:lineRule="auto"/>
        <w:ind w:firstLine="720"/>
        <w:jc w:val="both"/>
        <w:rPr>
          <w:rFonts w:ascii="Arial" w:hAnsi="Arial" w:eastAsia="Arial" w:cs="Arial"/>
          <w:b w:val="0"/>
          <w:bCs w:val="0"/>
          <w:sz w:val="24"/>
          <w:szCs w:val="24"/>
          <w:lang w:eastAsia="en-US"/>
        </w:rPr>
      </w:pPr>
      <w:r w:rsidRPr="0EE76D2C" w:rsidR="00791E9B">
        <w:rPr>
          <w:rFonts w:ascii="Arial" w:hAnsi="Arial" w:eastAsia="Arial" w:cs="Arial"/>
          <w:b w:val="0"/>
          <w:bCs w:val="0"/>
          <w:sz w:val="24"/>
          <w:szCs w:val="24"/>
        </w:rPr>
        <w:t xml:space="preserve">The operating expenses increased significantly over the reporting period, growing 22 percent in full-year 2023 to 8.77 billion dollars, in part due to our expansion of new programmes (Tesla, Inc., 2024a). Trends continued upward over the course of 2024, hitting 7.78 billion dollars in operating expenses for </w:t>
      </w:r>
      <w:r w:rsidRPr="0EE76D2C" w:rsidR="0C520A30">
        <w:rPr>
          <w:rFonts w:ascii="Arial" w:hAnsi="Arial" w:eastAsia="Arial" w:cs="Arial"/>
          <w:b w:val="0"/>
          <w:bCs w:val="0"/>
          <w:sz w:val="24"/>
          <w:szCs w:val="24"/>
        </w:rPr>
        <w:t>9</w:t>
      </w:r>
      <w:r w:rsidRPr="0EE76D2C" w:rsidR="00791E9B">
        <w:rPr>
          <w:rFonts w:ascii="Arial" w:hAnsi="Arial" w:eastAsia="Arial" w:cs="Arial"/>
          <w:b w:val="0"/>
          <w:bCs w:val="0"/>
          <w:sz w:val="24"/>
          <w:szCs w:val="24"/>
        </w:rPr>
        <w:t xml:space="preserve"> months, compared to 6.40 billion dollars for the same </w:t>
      </w:r>
      <w:r w:rsidRPr="0EE76D2C" w:rsidR="01673102">
        <w:rPr>
          <w:rFonts w:ascii="Arial" w:hAnsi="Arial" w:eastAsia="Arial" w:cs="Arial"/>
          <w:b w:val="0"/>
          <w:bCs w:val="0"/>
          <w:sz w:val="24"/>
          <w:szCs w:val="24"/>
        </w:rPr>
        <w:t>period</w:t>
      </w:r>
      <w:r w:rsidRPr="0EE76D2C" w:rsidR="00791E9B">
        <w:rPr>
          <w:rFonts w:ascii="Arial" w:hAnsi="Arial" w:eastAsia="Arial" w:cs="Arial"/>
          <w:b w:val="0"/>
          <w:bCs w:val="0"/>
          <w:sz w:val="24"/>
          <w:szCs w:val="24"/>
        </w:rPr>
        <w:t xml:space="preserve"> a year earlier – an increase of approximately 22 percent (Tesla, Inc., 2024c). Much of the increase was due to two management decisions: continued investment in artificial intelligence and the </w:t>
      </w:r>
      <w:r w:rsidRPr="0EE76D2C" w:rsidR="00791E9B">
        <w:rPr>
          <w:rFonts w:ascii="Arial" w:hAnsi="Arial" w:eastAsia="Arial" w:cs="Arial"/>
          <w:b w:val="0"/>
          <w:bCs w:val="0"/>
          <w:sz w:val="24"/>
          <w:szCs w:val="24"/>
        </w:rPr>
        <w:t>4680 cell</w:t>
      </w:r>
      <w:r w:rsidRPr="0EE76D2C" w:rsidR="00791E9B">
        <w:rPr>
          <w:rFonts w:ascii="Arial" w:hAnsi="Arial" w:eastAsia="Arial" w:cs="Arial"/>
          <w:b w:val="0"/>
          <w:bCs w:val="0"/>
          <w:sz w:val="24"/>
          <w:szCs w:val="24"/>
        </w:rPr>
        <w:t xml:space="preserve"> program and the restructuring that occurred in mid-2024 that resulted in about 0.6 billion dollars in charges due to a 10% workforce reduction (Tesla, Inc., 2024c). </w:t>
      </w:r>
      <w:r>
        <w:tab/>
      </w:r>
      <w:r w:rsidRPr="0EE76D2C" w:rsidR="00791E9B">
        <w:rPr>
          <w:rFonts w:ascii="Arial" w:hAnsi="Arial" w:eastAsia="Arial" w:cs="Arial"/>
          <w:b w:val="0"/>
          <w:bCs w:val="0"/>
          <w:sz w:val="24"/>
          <w:szCs w:val="24"/>
        </w:rPr>
        <w:t xml:space="preserve">External macroeconomic factors </w:t>
      </w:r>
      <w:r w:rsidRPr="0EE76D2C" w:rsidR="00791E9B">
        <w:rPr>
          <w:rFonts w:ascii="Arial" w:hAnsi="Arial" w:eastAsia="Arial" w:cs="Arial"/>
          <w:b w:val="0"/>
          <w:bCs w:val="0"/>
          <w:sz w:val="24"/>
          <w:szCs w:val="24"/>
        </w:rPr>
        <w:t>exacerbated</w:t>
      </w:r>
      <w:r w:rsidRPr="0EE76D2C" w:rsidR="00791E9B">
        <w:rPr>
          <w:rFonts w:ascii="Arial" w:hAnsi="Arial" w:eastAsia="Arial" w:cs="Arial"/>
          <w:b w:val="0"/>
          <w:bCs w:val="0"/>
          <w:sz w:val="24"/>
          <w:szCs w:val="24"/>
        </w:rPr>
        <w:t xml:space="preserve"> the risks, as high interest rates did not help demand for the company's vehicles and drove management to cut prices, thus further reducing the margin (Tesla, Inc., 2024b). </w:t>
      </w:r>
      <w:r w:rsidRPr="0EE76D2C" w:rsidR="644B66BC">
        <w:rPr>
          <w:rFonts w:ascii="Arial" w:hAnsi="Arial" w:eastAsia="Arial" w:cs="Arial"/>
          <w:b w:val="0"/>
          <w:bCs w:val="0"/>
          <w:sz w:val="24"/>
          <w:szCs w:val="24"/>
        </w:rPr>
        <w:t>I</w:t>
      </w:r>
      <w:r w:rsidRPr="0EE76D2C" w:rsidR="00791E9B">
        <w:rPr>
          <w:rFonts w:ascii="Arial" w:hAnsi="Arial" w:eastAsia="Arial" w:cs="Arial"/>
          <w:b w:val="0"/>
          <w:bCs w:val="0"/>
          <w:sz w:val="24"/>
          <w:szCs w:val="24"/>
        </w:rPr>
        <w:t xml:space="preserve">t becomes </w:t>
      </w:r>
      <w:r w:rsidRPr="0EE76D2C" w:rsidR="00791E9B">
        <w:rPr>
          <w:rFonts w:ascii="Arial" w:hAnsi="Arial" w:eastAsia="Arial" w:cs="Arial"/>
          <w:b w:val="0"/>
          <w:bCs w:val="0"/>
          <w:sz w:val="24"/>
          <w:szCs w:val="24"/>
        </w:rPr>
        <w:t>apparent</w:t>
      </w:r>
      <w:r w:rsidRPr="0EE76D2C" w:rsidR="00791E9B">
        <w:rPr>
          <w:rFonts w:ascii="Arial" w:hAnsi="Arial" w:eastAsia="Arial" w:cs="Arial"/>
          <w:b w:val="0"/>
          <w:bCs w:val="0"/>
          <w:sz w:val="24"/>
          <w:szCs w:val="24"/>
        </w:rPr>
        <w:t xml:space="preserve"> that margin defence is being done at the expense of growth investment at Tesla; that discipline is found in the forecasting.</w:t>
      </w:r>
    </w:p>
    <w:p w:rsidR="0EE76D2C" w:rsidP="0EE76D2C" w:rsidRDefault="0EE76D2C" w14:paraId="155A845C" w14:textId="4A383F7A">
      <w:pPr>
        <w:pStyle w:val="Normal"/>
        <w:spacing w:line="360" w:lineRule="auto"/>
        <w:ind w:firstLine="720"/>
        <w:jc w:val="both"/>
        <w:rPr>
          <w:rFonts w:ascii="Arial" w:hAnsi="Arial" w:eastAsia="Arial" w:cs="Arial"/>
          <w:b w:val="0"/>
          <w:bCs w:val="0"/>
          <w:sz w:val="24"/>
          <w:szCs w:val="24"/>
        </w:rPr>
      </w:pPr>
    </w:p>
    <w:p w:rsidRPr="00343819" w:rsidR="00791E9B" w:rsidP="0EE76D2C" w:rsidRDefault="00791E9B" w14:paraId="7B102F54" w14:textId="77777777">
      <w:pPr>
        <w:pStyle w:val="Normal"/>
        <w:spacing w:line="360" w:lineRule="auto"/>
        <w:ind w:firstLine="720"/>
        <w:jc w:val="both"/>
        <w:rPr>
          <w:rFonts w:ascii="Arial" w:hAnsi="Arial" w:eastAsia="Arial" w:cs="Arial"/>
          <w:b w:val="1"/>
          <w:bCs w:val="1"/>
          <w:sz w:val="24"/>
          <w:szCs w:val="24"/>
        </w:rPr>
      </w:pPr>
      <w:bookmarkStart w:name="_Toc232292796" w:id="8"/>
      <w:r w:rsidRPr="0EE76D2C" w:rsidR="00791E9B">
        <w:rPr>
          <w:rFonts w:ascii="Arial" w:hAnsi="Arial" w:eastAsia="Arial" w:cs="Arial"/>
          <w:b w:val="1"/>
          <w:bCs w:val="1"/>
          <w:sz w:val="24"/>
          <w:szCs w:val="24"/>
        </w:rPr>
        <w:t>4. Performance Measurement and Decision-Making</w:t>
      </w:r>
      <w:bookmarkEnd w:id="8"/>
    </w:p>
    <w:p w:rsidRPr="00343819" w:rsidR="00791E9B" w:rsidP="0EE76D2C" w:rsidRDefault="00791E9B" w14:paraId="36F4A2FA" w14:textId="77777777">
      <w:pPr>
        <w:pStyle w:val="Normal"/>
        <w:spacing w:line="360" w:lineRule="auto"/>
        <w:ind w:firstLine="720"/>
        <w:jc w:val="both"/>
        <w:rPr>
          <w:rFonts w:ascii="Arial" w:hAnsi="Arial" w:eastAsia="Arial" w:cs="Arial"/>
          <w:b w:val="1"/>
          <w:bCs w:val="1"/>
          <w:sz w:val="24"/>
          <w:szCs w:val="24"/>
        </w:rPr>
      </w:pPr>
      <w:bookmarkStart w:name="_Toc232292797" w:id="9"/>
      <w:r w:rsidRPr="0EE76D2C" w:rsidR="00791E9B">
        <w:rPr>
          <w:rFonts w:ascii="Arial" w:hAnsi="Arial" w:eastAsia="Arial" w:cs="Arial"/>
          <w:b w:val="1"/>
          <w:bCs w:val="1"/>
          <w:sz w:val="24"/>
          <w:szCs w:val="24"/>
        </w:rPr>
        <w:t>Five key performance indicators</w:t>
      </w:r>
      <w:bookmarkEnd w:id="9"/>
    </w:p>
    <w:p w:rsidRPr="00791E9B" w:rsidR="00791E9B" w:rsidP="0EE76D2C" w:rsidRDefault="00791E9B" w14:paraId="00F44417" w14:textId="3F4DDC13">
      <w:pPr>
        <w:pStyle w:val="Normal"/>
        <w:spacing w:line="360" w:lineRule="auto"/>
        <w:ind w:firstLine="720"/>
        <w:jc w:val="both"/>
        <w:rPr>
          <w:rFonts w:ascii="Arial" w:hAnsi="Arial" w:eastAsia="Arial" w:cs="Arial"/>
          <w:b w:val="0"/>
          <w:bCs w:val="0"/>
          <w:sz w:val="24"/>
          <w:szCs w:val="24"/>
          <w:lang w:eastAsia="en-US"/>
        </w:rPr>
      </w:pPr>
      <w:r w:rsidRPr="0EE76D2C" w:rsidR="00791E9B">
        <w:rPr>
          <w:rFonts w:ascii="Arial" w:hAnsi="Arial" w:eastAsia="Arial" w:cs="Arial"/>
          <w:b w:val="0"/>
          <w:bCs w:val="0"/>
          <w:sz w:val="24"/>
          <w:szCs w:val="24"/>
        </w:rPr>
        <w:t xml:space="preserve">Tesla </w:t>
      </w:r>
      <w:r w:rsidRPr="0EE76D2C" w:rsidR="00791E9B">
        <w:rPr>
          <w:rFonts w:ascii="Arial" w:hAnsi="Arial" w:eastAsia="Arial" w:cs="Arial"/>
          <w:b w:val="0"/>
          <w:bCs w:val="0"/>
          <w:sz w:val="24"/>
          <w:szCs w:val="24"/>
        </w:rPr>
        <w:t>monitors</w:t>
      </w:r>
      <w:r w:rsidRPr="0EE76D2C" w:rsidR="00791E9B">
        <w:rPr>
          <w:rFonts w:ascii="Arial" w:hAnsi="Arial" w:eastAsia="Arial" w:cs="Arial"/>
          <w:b w:val="0"/>
          <w:bCs w:val="0"/>
          <w:sz w:val="24"/>
          <w:szCs w:val="24"/>
        </w:rPr>
        <w:t xml:space="preserve"> a mix of financial and non-financial metrics, of which the five listed below are most important for management to </w:t>
      </w:r>
      <w:r w:rsidRPr="0EE76D2C" w:rsidR="00791E9B">
        <w:rPr>
          <w:rFonts w:ascii="Arial" w:hAnsi="Arial" w:eastAsia="Arial" w:cs="Arial"/>
          <w:b w:val="0"/>
          <w:bCs w:val="0"/>
          <w:sz w:val="24"/>
          <w:szCs w:val="24"/>
        </w:rPr>
        <w:t>monitor</w:t>
      </w:r>
      <w:r w:rsidRPr="0EE76D2C" w:rsidR="00791E9B">
        <w:rPr>
          <w:rFonts w:ascii="Arial" w:hAnsi="Arial" w:eastAsia="Arial" w:cs="Arial"/>
          <w:b w:val="0"/>
          <w:bCs w:val="0"/>
          <w:sz w:val="24"/>
          <w:szCs w:val="24"/>
        </w:rPr>
        <w:t>. Operating margin, which was 10.8</w:t>
      </w:r>
      <w:r w:rsidRPr="0EE76D2C" w:rsidR="61817B1D">
        <w:rPr>
          <w:rFonts w:ascii="Arial" w:hAnsi="Arial" w:eastAsia="Arial" w:cs="Arial"/>
          <w:b w:val="0"/>
          <w:bCs w:val="0"/>
          <w:sz w:val="24"/>
          <w:szCs w:val="24"/>
        </w:rPr>
        <w:t>%</w:t>
      </w:r>
      <w:r w:rsidRPr="0EE76D2C" w:rsidR="30F51BD1">
        <w:rPr>
          <w:rFonts w:ascii="Arial" w:hAnsi="Arial" w:eastAsia="Arial" w:cs="Arial"/>
          <w:b w:val="0"/>
          <w:bCs w:val="0"/>
          <w:sz w:val="24"/>
          <w:szCs w:val="24"/>
        </w:rPr>
        <w:t xml:space="preserve"> </w:t>
      </w:r>
      <w:r w:rsidRPr="0EE76D2C" w:rsidR="00791E9B">
        <w:rPr>
          <w:rFonts w:ascii="Arial" w:hAnsi="Arial" w:eastAsia="Arial" w:cs="Arial"/>
          <w:b w:val="0"/>
          <w:bCs w:val="0"/>
          <w:sz w:val="24"/>
          <w:szCs w:val="24"/>
        </w:rPr>
        <w:t xml:space="preserve">in 2024, shows the pricing and cost-effectiveness trend, while free cash flow, which stood at 2.7 billion dollars in 2024, </w:t>
      </w:r>
      <w:r w:rsidRPr="0EE76D2C" w:rsidR="00791E9B">
        <w:rPr>
          <w:rFonts w:ascii="Arial" w:hAnsi="Arial" w:eastAsia="Arial" w:cs="Arial"/>
          <w:b w:val="0"/>
          <w:bCs w:val="0"/>
          <w:sz w:val="24"/>
          <w:szCs w:val="24"/>
        </w:rPr>
        <w:t>indicates</w:t>
      </w:r>
      <w:r w:rsidRPr="0EE76D2C" w:rsidR="00791E9B">
        <w:rPr>
          <w:rFonts w:ascii="Arial" w:hAnsi="Arial" w:eastAsia="Arial" w:cs="Arial"/>
          <w:b w:val="0"/>
          <w:bCs w:val="0"/>
          <w:sz w:val="24"/>
          <w:szCs w:val="24"/>
        </w:rPr>
        <w:t xml:space="preserve"> the capital-intensive business's cash generation after capital investment (Tesla, Inc., 2024b). Non-financial metrics </w:t>
      </w:r>
      <w:r w:rsidRPr="0EE76D2C" w:rsidR="426BFDAC">
        <w:rPr>
          <w:rFonts w:ascii="Arial" w:hAnsi="Arial" w:eastAsia="Arial" w:cs="Arial"/>
          <w:b w:val="0"/>
          <w:bCs w:val="0"/>
          <w:sz w:val="24"/>
          <w:szCs w:val="24"/>
        </w:rPr>
        <w:t>include but</w:t>
      </w:r>
      <w:r w:rsidRPr="0EE76D2C" w:rsidR="00791E9B">
        <w:rPr>
          <w:rFonts w:ascii="Arial" w:hAnsi="Arial" w:eastAsia="Arial" w:cs="Arial"/>
          <w:b w:val="0"/>
          <w:bCs w:val="0"/>
          <w:sz w:val="24"/>
          <w:szCs w:val="24"/>
        </w:rPr>
        <w:t xml:space="preserve"> are not limited to: Vehicle deliveries provide insight into demand and factory utilisation, gigawatt-hours of energy storage deployed represent the fastest growing part of the business, and mission-aligned environmental impact is measured by the lifecycle carbon avoided (Tesla, Inc., 2024b). Such measures can be integrated into a recognised framework by combining financial, customer, internal-process and learning measures (as in the balanced scorecard), and recent reviews show how it has increasingly been used for strategic performance management and sustainability (Kumar et al., 2024). Scorecards, combined with objective-and-key-result approaches, create </w:t>
      </w:r>
      <w:r w:rsidRPr="0EE76D2C" w:rsidR="00791E9B">
        <w:rPr>
          <w:rFonts w:ascii="Arial" w:hAnsi="Arial" w:eastAsia="Arial" w:cs="Arial"/>
          <w:b w:val="0"/>
          <w:bCs w:val="0"/>
          <w:sz w:val="24"/>
          <w:szCs w:val="24"/>
        </w:rPr>
        <w:t>additional</w:t>
      </w:r>
      <w:r w:rsidRPr="0EE76D2C" w:rsidR="00791E9B">
        <w:rPr>
          <w:rFonts w:ascii="Arial" w:hAnsi="Arial" w:eastAsia="Arial" w:cs="Arial"/>
          <w:b w:val="0"/>
          <w:bCs w:val="0"/>
          <w:sz w:val="24"/>
          <w:szCs w:val="24"/>
        </w:rPr>
        <w:t xml:space="preserve"> connections between </w:t>
      </w:r>
      <w:r w:rsidRPr="0EE76D2C" w:rsidR="00791E9B">
        <w:rPr>
          <w:rFonts w:ascii="Arial" w:hAnsi="Arial" w:eastAsia="Arial" w:cs="Arial"/>
          <w:b w:val="0"/>
          <w:bCs w:val="0"/>
          <w:sz w:val="24"/>
          <w:szCs w:val="24"/>
        </w:rPr>
        <w:t>objectives</w:t>
      </w:r>
      <w:r w:rsidRPr="0EE76D2C" w:rsidR="00791E9B">
        <w:rPr>
          <w:rFonts w:ascii="Arial" w:hAnsi="Arial" w:eastAsia="Arial" w:cs="Arial"/>
          <w:b w:val="0"/>
          <w:bCs w:val="0"/>
          <w:sz w:val="24"/>
          <w:szCs w:val="24"/>
        </w:rPr>
        <w:t xml:space="preserve"> and operations (Garcia-Lopez et al., 2024). However, there is </w:t>
      </w:r>
      <w:r w:rsidRPr="0EE76D2C" w:rsidR="00791E9B">
        <w:rPr>
          <w:rFonts w:ascii="Arial" w:hAnsi="Arial" w:eastAsia="Arial" w:cs="Arial"/>
          <w:b w:val="0"/>
          <w:bCs w:val="0"/>
          <w:sz w:val="24"/>
          <w:szCs w:val="24"/>
        </w:rPr>
        <w:t>a caveat</w:t>
      </w:r>
      <w:r w:rsidRPr="0EE76D2C" w:rsidR="00791E9B">
        <w:rPr>
          <w:rFonts w:ascii="Arial" w:hAnsi="Arial" w:eastAsia="Arial" w:cs="Arial"/>
          <w:b w:val="0"/>
          <w:bCs w:val="0"/>
          <w:sz w:val="24"/>
          <w:szCs w:val="24"/>
        </w:rPr>
        <w:t>, as leaders can fall into the "over-weighting delivery volume at the expense of margin" trap by adhering to just one indicator, so they must use indicators in conjunction with each other (Dahal, 2024).</w:t>
      </w:r>
    </w:p>
    <w:p w:rsidR="0EE76D2C" w:rsidP="0EE76D2C" w:rsidRDefault="0EE76D2C" w14:paraId="290F52F7" w14:textId="72B974B6">
      <w:pPr>
        <w:pStyle w:val="Normal"/>
        <w:spacing w:line="360" w:lineRule="auto"/>
        <w:ind w:firstLine="720"/>
        <w:jc w:val="both"/>
        <w:rPr>
          <w:rFonts w:ascii="Arial" w:hAnsi="Arial" w:eastAsia="Arial" w:cs="Arial"/>
          <w:b w:val="0"/>
          <w:bCs w:val="0"/>
          <w:sz w:val="24"/>
          <w:szCs w:val="24"/>
        </w:rPr>
      </w:pPr>
    </w:p>
    <w:p w:rsidRPr="00343819" w:rsidR="00791E9B" w:rsidP="0EE76D2C" w:rsidRDefault="00791E9B" w14:paraId="544D1514" w14:textId="77777777">
      <w:pPr>
        <w:pStyle w:val="Normal"/>
        <w:spacing w:line="360" w:lineRule="auto"/>
        <w:ind w:firstLine="720"/>
        <w:jc w:val="both"/>
        <w:rPr>
          <w:rFonts w:ascii="Arial" w:hAnsi="Arial" w:eastAsia="Arial" w:cs="Arial"/>
          <w:b w:val="1"/>
          <w:bCs w:val="1"/>
          <w:sz w:val="24"/>
          <w:szCs w:val="24"/>
        </w:rPr>
      </w:pPr>
      <w:bookmarkStart w:name="_Toc232292798" w:id="10"/>
      <w:r w:rsidRPr="0EE76D2C" w:rsidR="00791E9B">
        <w:rPr>
          <w:rFonts w:ascii="Arial" w:hAnsi="Arial" w:eastAsia="Arial" w:cs="Arial"/>
          <w:b w:val="1"/>
          <w:bCs w:val="1"/>
          <w:sz w:val="24"/>
          <w:szCs w:val="24"/>
        </w:rPr>
        <w:t>Strategic decisions informed by data</w:t>
      </w:r>
      <w:bookmarkEnd w:id="10"/>
    </w:p>
    <w:p w:rsidRPr="00791E9B" w:rsidR="00791E9B" w:rsidP="0EE76D2C" w:rsidRDefault="00791E9B" w14:paraId="276033BC" w14:textId="157CA478">
      <w:pPr>
        <w:pStyle w:val="Normal"/>
        <w:spacing w:line="360" w:lineRule="auto"/>
        <w:ind w:firstLine="720"/>
        <w:jc w:val="both"/>
        <w:rPr>
          <w:rFonts w:ascii="Arial" w:hAnsi="Arial" w:eastAsia="Arial" w:cs="Arial"/>
          <w:b w:val="0"/>
          <w:bCs w:val="0"/>
          <w:sz w:val="24"/>
          <w:szCs w:val="24"/>
          <w:lang w:eastAsia="en-US"/>
        </w:rPr>
      </w:pPr>
      <w:r w:rsidRPr="0EE76D2C" w:rsidR="00791E9B">
        <w:rPr>
          <w:rFonts w:ascii="Arial" w:hAnsi="Arial" w:eastAsia="Arial" w:cs="Arial"/>
          <w:b w:val="0"/>
          <w:bCs w:val="0"/>
          <w:sz w:val="24"/>
          <w:szCs w:val="24"/>
        </w:rPr>
        <w:t xml:space="preserve">Among the several key gambles Tesla's executives have made based on mathematical analysis of their finances and operations, the steepest price reductions from 2022 to 2024 underscore the trade-off the most. </w:t>
      </w:r>
      <w:r w:rsidRPr="0EE76D2C" w:rsidR="10B4653D">
        <w:rPr>
          <w:rFonts w:ascii="Arial" w:hAnsi="Arial" w:eastAsia="Arial" w:cs="Arial"/>
          <w:b w:val="0"/>
          <w:bCs w:val="0"/>
          <w:sz w:val="24"/>
          <w:szCs w:val="24"/>
        </w:rPr>
        <w:t>To</w:t>
      </w:r>
      <w:r w:rsidRPr="0EE76D2C" w:rsidR="00791E9B">
        <w:rPr>
          <w:rFonts w:ascii="Arial" w:hAnsi="Arial" w:eastAsia="Arial" w:cs="Arial"/>
          <w:b w:val="0"/>
          <w:bCs w:val="0"/>
          <w:sz w:val="24"/>
          <w:szCs w:val="24"/>
        </w:rPr>
        <w:t xml:space="preserve"> hold on to market share versus competition from BYD and </w:t>
      </w:r>
      <w:r w:rsidRPr="0EE76D2C" w:rsidR="00791E9B">
        <w:rPr>
          <w:rFonts w:ascii="Arial" w:hAnsi="Arial" w:eastAsia="Arial" w:cs="Arial"/>
          <w:b w:val="0"/>
          <w:bCs w:val="0"/>
          <w:sz w:val="24"/>
          <w:szCs w:val="24"/>
        </w:rPr>
        <w:t>to counte</w:t>
      </w:r>
      <w:r w:rsidRPr="0EE76D2C" w:rsidR="00791E9B">
        <w:rPr>
          <w:rFonts w:ascii="Arial" w:hAnsi="Arial" w:eastAsia="Arial" w:cs="Arial"/>
          <w:b w:val="0"/>
          <w:bCs w:val="0"/>
          <w:sz w:val="24"/>
          <w:szCs w:val="24"/>
        </w:rPr>
        <w:t xml:space="preserve">ract a slowing down in demand amid high interest rates, management decided to reduce prices in exchange for </w:t>
      </w:r>
      <w:r w:rsidRPr="0EE76D2C" w:rsidR="00791E9B">
        <w:rPr>
          <w:rFonts w:ascii="Arial" w:hAnsi="Arial" w:eastAsia="Arial" w:cs="Arial"/>
          <w:b w:val="0"/>
          <w:bCs w:val="0"/>
          <w:sz w:val="24"/>
          <w:szCs w:val="24"/>
        </w:rPr>
        <w:t>maintaining</w:t>
      </w:r>
      <w:r w:rsidRPr="0EE76D2C" w:rsidR="00791E9B">
        <w:rPr>
          <w:rFonts w:ascii="Arial" w:hAnsi="Arial" w:eastAsia="Arial" w:cs="Arial"/>
          <w:b w:val="0"/>
          <w:bCs w:val="0"/>
          <w:sz w:val="24"/>
          <w:szCs w:val="24"/>
        </w:rPr>
        <w:t xml:space="preserve"> volume and continued factory utilisation (Tesla, Inc., 2024b). Competition with Chinese firms as well as tax protection for the cost structure are also said to be the reasons for the same pricing strategy (Bai, 2024). All of this restructuring and extensive cost cutting in 2024 is part of what Tesla has deemed necessary in a data-driven response to margin compression, in which it has reduced the number of employees and overhead to preserve operating income (Tesla, Inc., 2024c). The allocation of capital to the energy storage business, which experienced faster revenue growth, reflects the leadership's focus of capital to more profitable segments </w:t>
      </w:r>
      <w:r w:rsidRPr="0EE76D2C" w:rsidR="00791E9B">
        <w:rPr>
          <w:rFonts w:ascii="Arial" w:hAnsi="Arial" w:eastAsia="Arial" w:cs="Arial"/>
          <w:b w:val="0"/>
          <w:bCs w:val="0"/>
          <w:sz w:val="24"/>
          <w:szCs w:val="24"/>
        </w:rPr>
        <w:t>identified</w:t>
      </w:r>
      <w:r w:rsidRPr="0EE76D2C" w:rsidR="00791E9B">
        <w:rPr>
          <w:rFonts w:ascii="Arial" w:hAnsi="Arial" w:eastAsia="Arial" w:cs="Arial"/>
          <w:b w:val="0"/>
          <w:bCs w:val="0"/>
          <w:sz w:val="24"/>
          <w:szCs w:val="24"/>
        </w:rPr>
        <w:t xml:space="preserve"> based on segment reporting (Tesla, Inc., 2024b). The volume-over-margin bet is </w:t>
      </w:r>
      <w:r w:rsidRPr="0EE76D2C" w:rsidR="00791E9B">
        <w:rPr>
          <w:rFonts w:ascii="Arial" w:hAnsi="Arial" w:eastAsia="Arial" w:cs="Arial"/>
          <w:b w:val="0"/>
          <w:bCs w:val="0"/>
          <w:sz w:val="24"/>
          <w:szCs w:val="24"/>
        </w:rPr>
        <w:t>literally risky</w:t>
      </w:r>
      <w:r w:rsidRPr="0EE76D2C" w:rsidR="00791E9B">
        <w:rPr>
          <w:rFonts w:ascii="Arial" w:hAnsi="Arial" w:eastAsia="Arial" w:cs="Arial"/>
          <w:b w:val="0"/>
          <w:bCs w:val="0"/>
          <w:sz w:val="24"/>
          <w:szCs w:val="24"/>
        </w:rPr>
        <w:t>, as it can lead to loss of brand pricing power with consistent discounting and it can strain the very margins it seeks to protect (Dahal, 2024).</w:t>
      </w:r>
    </w:p>
    <w:p w:rsidR="7BDC49F4" w:rsidP="0EE76D2C" w:rsidRDefault="7BDC49F4" w14:paraId="7AA6A2BF" w14:textId="1851134B">
      <w:pPr>
        <w:pStyle w:val="Normal"/>
        <w:spacing w:line="360" w:lineRule="auto"/>
        <w:jc w:val="both"/>
        <w:rPr>
          <w:rFonts w:ascii="Arial" w:hAnsi="Arial" w:eastAsia="Arial" w:cs="Arial"/>
          <w:sz w:val="24"/>
          <w:szCs w:val="24"/>
        </w:rPr>
      </w:pPr>
      <w:r w:rsidR="7BDC49F4">
        <w:drawing>
          <wp:inline wp14:editId="3004DA60" wp14:anchorId="48AD0C48">
            <wp:extent cx="5724525" cy="4048125"/>
            <wp:effectExtent l="0" t="0" r="0" b="0"/>
            <wp:docPr id="109506922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95069227" name="Picture 1095069227"/>
                    <pic:cNvPicPr/>
                  </pic:nvPicPr>
                  <pic:blipFill>
                    <a:blip xmlns:r="http://schemas.openxmlformats.org/officeDocument/2006/relationships" r:embed="rId1474895615">
                      <a:extLst>
                        <a:ext uri="{28A0092B-C50C-407E-A947-70E740481C1C}">
                          <a14:useLocalDpi xmlns:a14="http://schemas.microsoft.com/office/drawing/2010/main"/>
                        </a:ext>
                      </a:extLst>
                    </a:blip>
                    <a:stretch>
                      <a:fillRect/>
                    </a:stretch>
                  </pic:blipFill>
                  <pic:spPr>
                    <a:xfrm>
                      <a:off x="0" y="0"/>
                      <a:ext cx="5724525" cy="4048125"/>
                    </a:xfrm>
                    <a:prstGeom prst="rect">
                      <a:avLst/>
                    </a:prstGeom>
                  </pic:spPr>
                </pic:pic>
              </a:graphicData>
            </a:graphic>
          </wp:inline>
        </w:drawing>
      </w:r>
    </w:p>
    <w:p w:rsidR="0EE76D2C" w:rsidP="0EE76D2C" w:rsidRDefault="0EE76D2C" w14:paraId="19FFE2B8" w14:textId="66AAB1C0">
      <w:pPr>
        <w:pStyle w:val="Normal"/>
        <w:spacing w:line="360" w:lineRule="auto"/>
        <w:jc w:val="both"/>
        <w:rPr>
          <w:rFonts w:ascii="Arial" w:hAnsi="Arial" w:eastAsia="Arial" w:cs="Arial"/>
          <w:b w:val="0"/>
          <w:bCs w:val="0"/>
          <w:sz w:val="24"/>
          <w:szCs w:val="24"/>
        </w:rPr>
      </w:pPr>
    </w:p>
    <w:p w:rsidRPr="00343819" w:rsidR="00791E9B" w:rsidP="0EE76D2C" w:rsidRDefault="00791E9B" w14:paraId="4B066D7A" w14:textId="77777777">
      <w:pPr>
        <w:pStyle w:val="Normal"/>
        <w:spacing w:line="360" w:lineRule="auto"/>
        <w:ind w:firstLine="720"/>
        <w:jc w:val="both"/>
        <w:rPr>
          <w:rFonts w:ascii="Arial" w:hAnsi="Arial" w:eastAsia="Arial" w:cs="Arial"/>
          <w:b w:val="0"/>
          <w:bCs w:val="0"/>
          <w:sz w:val="24"/>
          <w:szCs w:val="24"/>
        </w:rPr>
      </w:pPr>
      <w:bookmarkStart w:name="_Toc232292799" w:id="11"/>
      <w:r w:rsidRPr="0EE76D2C" w:rsidR="00791E9B">
        <w:rPr>
          <w:rFonts w:ascii="Arial" w:hAnsi="Arial" w:eastAsia="Arial" w:cs="Arial"/>
          <w:b w:val="0"/>
          <w:bCs w:val="0"/>
          <w:sz w:val="24"/>
          <w:szCs w:val="24"/>
        </w:rPr>
        <w:t>5. Sustainability and Ethical Considerations</w:t>
      </w:r>
      <w:bookmarkEnd w:id="11"/>
    </w:p>
    <w:p w:rsidRPr="00343819" w:rsidR="00791E9B" w:rsidP="0EE76D2C" w:rsidRDefault="00791E9B" w14:paraId="50A2B131" w14:textId="77777777">
      <w:pPr>
        <w:pStyle w:val="Normal"/>
        <w:spacing w:line="360" w:lineRule="auto"/>
        <w:ind w:firstLine="720"/>
        <w:jc w:val="both"/>
        <w:rPr>
          <w:rFonts w:ascii="Arial" w:hAnsi="Arial" w:eastAsia="Arial" w:cs="Arial"/>
          <w:b w:val="0"/>
          <w:bCs w:val="0"/>
          <w:sz w:val="24"/>
          <w:szCs w:val="24"/>
        </w:rPr>
      </w:pPr>
      <w:bookmarkStart w:name="_Toc232292800" w:id="12"/>
      <w:r w:rsidRPr="0EE76D2C" w:rsidR="00791E9B">
        <w:rPr>
          <w:rFonts w:ascii="Arial" w:hAnsi="Arial" w:eastAsia="Arial" w:cs="Arial"/>
          <w:b w:val="0"/>
          <w:bCs w:val="0"/>
          <w:sz w:val="24"/>
          <w:szCs w:val="24"/>
        </w:rPr>
        <w:t>Sustainability in financial decision-making</w:t>
      </w:r>
      <w:bookmarkEnd w:id="12"/>
    </w:p>
    <w:p w:rsidRPr="00791E9B" w:rsidR="00791E9B" w:rsidP="0EE76D2C" w:rsidRDefault="00791E9B" w14:paraId="62D93211" w14:textId="6275C6C7">
      <w:pPr>
        <w:pStyle w:val="Normal"/>
        <w:spacing w:line="360" w:lineRule="auto"/>
        <w:ind w:firstLine="720"/>
        <w:jc w:val="both"/>
        <w:rPr>
          <w:rFonts w:ascii="Arial" w:hAnsi="Arial" w:eastAsia="Arial" w:cs="Arial"/>
          <w:b w:val="0"/>
          <w:bCs w:val="0"/>
          <w:sz w:val="24"/>
          <w:szCs w:val="24"/>
        </w:rPr>
      </w:pPr>
      <w:r w:rsidRPr="0EE76D2C" w:rsidR="00791E9B">
        <w:rPr>
          <w:rFonts w:ascii="Arial" w:hAnsi="Arial" w:eastAsia="Arial" w:cs="Arial"/>
          <w:b w:val="0"/>
          <w:bCs w:val="0"/>
          <w:sz w:val="24"/>
          <w:szCs w:val="24"/>
        </w:rPr>
        <w:t>Tesla adds sustainability to the financial calculations – it has direct impact on revenues and costs. Emission policy results in a material profit line that management needs to project and uphold, and in 2024, this profit amounted to 2.76 billion dollars, which is approximately 30</w:t>
      </w:r>
      <w:r w:rsidRPr="0EE76D2C" w:rsidR="79CFEA38">
        <w:rPr>
          <w:rFonts w:ascii="Arial" w:hAnsi="Arial" w:eastAsia="Arial" w:cs="Arial"/>
          <w:b w:val="0"/>
          <w:bCs w:val="0"/>
          <w:sz w:val="24"/>
          <w:szCs w:val="24"/>
        </w:rPr>
        <w:t>%</w:t>
      </w:r>
      <w:r w:rsidRPr="0EE76D2C" w:rsidR="00791E9B">
        <w:rPr>
          <w:rFonts w:ascii="Arial" w:hAnsi="Arial" w:eastAsia="Arial" w:cs="Arial"/>
          <w:b w:val="0"/>
          <w:bCs w:val="0"/>
          <w:sz w:val="24"/>
          <w:szCs w:val="24"/>
        </w:rPr>
        <w:t xml:space="preserve"> of the fourth quarter's net income (The Sustainable Innovation, 2026). The dependence has obvious risk as other car makers take a leaf out of Tesla's book and rapidly bring a wider variety of cars to market, which decreases the volume of Tesla credits demanded and endangers an income source that with only very slight margins still can turn a handsome profit as the margins of the vehicles increase – albeit at a very slow rate (The Sustainable Innovation, 2026). On the other hand, operational sustainability also contributes </w:t>
      </w:r>
      <w:r w:rsidRPr="0EE76D2C" w:rsidR="00791E9B">
        <w:rPr>
          <w:rFonts w:ascii="Arial" w:hAnsi="Arial" w:eastAsia="Arial" w:cs="Arial"/>
          <w:b w:val="0"/>
          <w:bCs w:val="0"/>
          <w:sz w:val="24"/>
          <w:szCs w:val="24"/>
        </w:rPr>
        <w:t>in</w:t>
      </w:r>
      <w:r w:rsidRPr="0EE76D2C" w:rsidR="00791E9B">
        <w:rPr>
          <w:rFonts w:ascii="Arial" w:hAnsi="Arial" w:eastAsia="Arial" w:cs="Arial"/>
          <w:b w:val="0"/>
          <w:bCs w:val="0"/>
          <w:sz w:val="24"/>
          <w:szCs w:val="24"/>
        </w:rPr>
        <w:t xml:space="preserve"> the reduction of costs: The Shanghai Gigafactory was able to divert 100% of its waste, while the recycling of batteries allows to recover usable material, avoiding the use of expensive raw materials (Sustainability Magazine, 2025). Environmental management accounting provides these assessments, with systematic evidence </w:t>
      </w:r>
      <w:r w:rsidRPr="0EE76D2C" w:rsidR="00791E9B">
        <w:rPr>
          <w:rFonts w:ascii="Arial" w:hAnsi="Arial" w:eastAsia="Arial" w:cs="Arial"/>
          <w:b w:val="0"/>
          <w:bCs w:val="0"/>
          <w:sz w:val="24"/>
          <w:szCs w:val="24"/>
        </w:rPr>
        <w:t>indicating</w:t>
      </w:r>
      <w:r w:rsidRPr="0EE76D2C" w:rsidR="00791E9B">
        <w:rPr>
          <w:rFonts w:ascii="Arial" w:hAnsi="Arial" w:eastAsia="Arial" w:cs="Arial"/>
          <w:b w:val="0"/>
          <w:bCs w:val="0"/>
          <w:sz w:val="24"/>
          <w:szCs w:val="24"/>
        </w:rPr>
        <w:t xml:space="preserve"> that it has moved beyond compliance to a more strategic perspective (Swalih et al., 2024). Investors consider not just environmental disclosure, but governance gaps as well, which the scholarship on Tesla ESG practice </w:t>
      </w:r>
      <w:r w:rsidRPr="0EE76D2C" w:rsidR="00791E9B">
        <w:rPr>
          <w:rFonts w:ascii="Arial" w:hAnsi="Arial" w:eastAsia="Arial" w:cs="Arial"/>
          <w:b w:val="0"/>
          <w:bCs w:val="0"/>
          <w:sz w:val="24"/>
          <w:szCs w:val="24"/>
        </w:rPr>
        <w:t>emphasizes.</w:t>
      </w:r>
      <w:r w:rsidRPr="0EE76D2C" w:rsidR="4A375E02">
        <w:rPr>
          <w:rFonts w:ascii="Arial" w:hAnsi="Arial" w:eastAsia="Arial" w:cs="Arial"/>
          <w:b w:val="0"/>
          <w:bCs w:val="0"/>
          <w:sz w:val="24"/>
          <w:szCs w:val="24"/>
        </w:rPr>
        <w:t xml:space="preserve"> </w:t>
      </w:r>
      <w:r w:rsidRPr="0EE76D2C" w:rsidR="00791E9B">
        <w:rPr>
          <w:rFonts w:ascii="Arial" w:hAnsi="Arial" w:eastAsia="Arial" w:cs="Arial"/>
          <w:b w:val="0"/>
          <w:bCs w:val="0"/>
          <w:sz w:val="24"/>
          <w:szCs w:val="24"/>
        </w:rPr>
        <w:t>Under</w:t>
      </w:r>
      <w:r w:rsidRPr="0EE76D2C" w:rsidR="00791E9B">
        <w:rPr>
          <w:rFonts w:ascii="Arial" w:hAnsi="Arial" w:eastAsia="Arial" w:cs="Arial"/>
          <w:b w:val="0"/>
          <w:bCs w:val="0"/>
          <w:sz w:val="24"/>
          <w:szCs w:val="24"/>
        </w:rPr>
        <w:t xml:space="preserve"> the scholars on Tesla ESG practice, strong environmental disclosure and governance gaps are both considered when pricing Tesla equity.</w:t>
      </w:r>
    </w:p>
    <w:p w:rsidR="0EE76D2C" w:rsidP="0EE76D2C" w:rsidRDefault="0EE76D2C" w14:paraId="31879721" w14:textId="5E88B2C9">
      <w:pPr>
        <w:pStyle w:val="Normal"/>
        <w:spacing w:line="360" w:lineRule="auto"/>
        <w:jc w:val="both"/>
        <w:rPr>
          <w:rFonts w:ascii="Arial" w:hAnsi="Arial" w:eastAsia="Arial" w:cs="Arial"/>
          <w:b w:val="0"/>
          <w:bCs w:val="0"/>
          <w:sz w:val="24"/>
          <w:szCs w:val="24"/>
        </w:rPr>
      </w:pPr>
    </w:p>
    <w:p w:rsidRPr="00343819" w:rsidR="00791E9B" w:rsidP="0EE76D2C" w:rsidRDefault="00791E9B" w14:paraId="13DAE56F" w14:textId="77777777">
      <w:pPr>
        <w:pStyle w:val="Normal"/>
        <w:spacing w:line="360" w:lineRule="auto"/>
        <w:ind w:firstLine="720"/>
        <w:jc w:val="both"/>
        <w:rPr>
          <w:rFonts w:ascii="Arial" w:hAnsi="Arial" w:eastAsia="Arial" w:cs="Arial"/>
          <w:b w:val="1"/>
          <w:bCs w:val="1"/>
          <w:sz w:val="24"/>
          <w:szCs w:val="24"/>
        </w:rPr>
      </w:pPr>
      <w:bookmarkStart w:name="_Toc232292801" w:id="13"/>
      <w:r w:rsidRPr="0EE76D2C" w:rsidR="00791E9B">
        <w:rPr>
          <w:rFonts w:ascii="Arial" w:hAnsi="Arial" w:eastAsia="Arial" w:cs="Arial"/>
          <w:b w:val="1"/>
          <w:bCs w:val="1"/>
          <w:sz w:val="24"/>
          <w:szCs w:val="24"/>
        </w:rPr>
        <w:t>Ethics in cost management and pricing</w:t>
      </w:r>
      <w:bookmarkEnd w:id="13"/>
    </w:p>
    <w:p w:rsidRPr="00791E9B" w:rsidR="00791E9B" w:rsidP="0EE76D2C" w:rsidRDefault="00791E9B" w14:paraId="7DE5537E" w14:textId="7C683C2E">
      <w:pPr>
        <w:pStyle w:val="Normal"/>
        <w:spacing w:line="360" w:lineRule="auto"/>
        <w:ind w:firstLine="720"/>
        <w:jc w:val="both"/>
        <w:rPr>
          <w:rFonts w:ascii="Arial" w:hAnsi="Arial" w:eastAsia="Arial" w:cs="Arial"/>
          <w:b w:val="0"/>
          <w:bCs w:val="0"/>
          <w:sz w:val="24"/>
          <w:szCs w:val="24"/>
          <w:lang w:eastAsia="en-US"/>
        </w:rPr>
      </w:pPr>
      <w:r w:rsidRPr="0EE76D2C" w:rsidR="00791E9B">
        <w:rPr>
          <w:rFonts w:ascii="Arial" w:hAnsi="Arial" w:eastAsia="Arial" w:cs="Arial"/>
          <w:b w:val="0"/>
          <w:bCs w:val="0"/>
          <w:sz w:val="24"/>
          <w:szCs w:val="24"/>
        </w:rPr>
        <w:t xml:space="preserve">When managing the costs of a project, as well as pricing it, moral issues come up. Aggressive cost-cutting maximises margin, but mass job cuts, and supply-chain squeeze, raise questions about labour standards and sourcing, and Tesla ESG record shows that while there is improvement in environmental aspects, the human rights aspects of the supply chain show gaps (Yang, 2025). Pricing ethics are based on fairness and transparency, and Tesla's uniform, openly communicated car price changes stand in sharp contrast to the traditional dealer haggling mindset, but when the price falls sharply, it can be a problem for recent model buyers and can do a number on trust (Sustainability Magazine, 2025). Ethical premiums research </w:t>
      </w:r>
      <w:r w:rsidRPr="0EE76D2C" w:rsidR="00791E9B">
        <w:rPr>
          <w:rFonts w:ascii="Arial" w:hAnsi="Arial" w:eastAsia="Arial" w:cs="Arial"/>
          <w:b w:val="0"/>
          <w:bCs w:val="0"/>
          <w:sz w:val="24"/>
          <w:szCs w:val="24"/>
        </w:rPr>
        <w:t>indicates</w:t>
      </w:r>
      <w:r w:rsidRPr="0EE76D2C" w:rsidR="00791E9B">
        <w:rPr>
          <w:rFonts w:ascii="Arial" w:hAnsi="Arial" w:eastAsia="Arial" w:cs="Arial"/>
          <w:b w:val="0"/>
          <w:bCs w:val="0"/>
          <w:sz w:val="24"/>
          <w:szCs w:val="24"/>
        </w:rPr>
        <w:t xml:space="preserve"> that consumers are guided by feelings of fairness in the price/value communication of companies, and such awareness is relevant for developing a mission-based brand (Wan and Bharti, 2025). A better defensible path is connecting cost discipline with environmental cost accounting as ascribing the environmental cost is likely to boost ethics and long-term profitability (Ortiz-Cea et al., 2025).</w:t>
      </w:r>
    </w:p>
    <w:p w:rsidR="0EE76D2C" w:rsidP="0EE76D2C" w:rsidRDefault="0EE76D2C" w14:paraId="1FF35315" w14:textId="0D4E19FF">
      <w:pPr>
        <w:pStyle w:val="Normal"/>
        <w:spacing w:line="360" w:lineRule="auto"/>
        <w:jc w:val="both"/>
        <w:rPr>
          <w:rFonts w:ascii="Arial" w:hAnsi="Arial" w:eastAsia="Arial" w:cs="Arial"/>
          <w:b w:val="0"/>
          <w:bCs w:val="0"/>
          <w:sz w:val="24"/>
          <w:szCs w:val="24"/>
        </w:rPr>
      </w:pPr>
    </w:p>
    <w:p w:rsidRPr="00343819" w:rsidR="00791E9B" w:rsidP="0EE76D2C" w:rsidRDefault="00791E9B" w14:paraId="231C74B4" w14:textId="77777777">
      <w:pPr>
        <w:pStyle w:val="Normal"/>
        <w:spacing w:line="360" w:lineRule="auto"/>
        <w:ind w:firstLine="720"/>
        <w:jc w:val="both"/>
        <w:rPr>
          <w:rFonts w:ascii="Arial" w:hAnsi="Arial" w:eastAsia="Arial" w:cs="Arial"/>
          <w:b w:val="1"/>
          <w:bCs w:val="1"/>
          <w:sz w:val="24"/>
          <w:szCs w:val="24"/>
        </w:rPr>
      </w:pPr>
      <w:bookmarkStart w:name="_Toc232292802" w:id="14"/>
      <w:r w:rsidRPr="0EE76D2C" w:rsidR="00791E9B">
        <w:rPr>
          <w:rFonts w:ascii="Arial" w:hAnsi="Arial" w:eastAsia="Arial" w:cs="Arial"/>
          <w:b w:val="1"/>
          <w:bCs w:val="1"/>
          <w:sz w:val="24"/>
          <w:szCs w:val="24"/>
        </w:rPr>
        <w:t>6. Conclusion and Recommendations</w:t>
      </w:r>
      <w:bookmarkEnd w:id="14"/>
    </w:p>
    <w:p w:rsidRPr="00343819" w:rsidR="00791E9B" w:rsidP="0EE76D2C" w:rsidRDefault="00791E9B" w14:paraId="15B5E613" w14:textId="77777777">
      <w:pPr>
        <w:pStyle w:val="Normal"/>
        <w:spacing w:line="360" w:lineRule="auto"/>
        <w:ind w:firstLine="720"/>
        <w:jc w:val="both"/>
        <w:rPr>
          <w:rFonts w:ascii="Arial" w:hAnsi="Arial" w:eastAsia="Arial" w:cs="Arial"/>
          <w:b w:val="1"/>
          <w:bCs w:val="1"/>
          <w:sz w:val="24"/>
          <w:szCs w:val="24"/>
        </w:rPr>
      </w:pPr>
      <w:bookmarkStart w:name="_Toc232292803" w:id="15"/>
      <w:r w:rsidRPr="0EE76D2C" w:rsidR="00791E9B">
        <w:rPr>
          <w:rFonts w:ascii="Arial" w:hAnsi="Arial" w:eastAsia="Arial" w:cs="Arial"/>
          <w:b w:val="1"/>
          <w:bCs w:val="1"/>
          <w:sz w:val="24"/>
          <w:szCs w:val="24"/>
        </w:rPr>
        <w:t>Summary of key findings</w:t>
      </w:r>
      <w:bookmarkEnd w:id="15"/>
    </w:p>
    <w:p w:rsidRPr="00791E9B" w:rsidR="00791E9B" w:rsidP="0EE76D2C" w:rsidRDefault="00791E9B" w14:paraId="134F20BD" w14:textId="77777777">
      <w:pPr>
        <w:pStyle w:val="Normal"/>
        <w:spacing w:line="360" w:lineRule="auto"/>
        <w:ind w:firstLine="720"/>
        <w:jc w:val="both"/>
        <w:rPr>
          <w:rFonts w:ascii="Arial" w:hAnsi="Arial" w:eastAsia="Arial" w:cs="Arial"/>
          <w:b w:val="0"/>
          <w:bCs w:val="0"/>
          <w:sz w:val="24"/>
          <w:szCs w:val="24"/>
          <w:lang w:eastAsia="en-US"/>
        </w:rPr>
      </w:pPr>
      <w:r w:rsidRPr="0EE76D2C" w:rsidR="00791E9B">
        <w:rPr>
          <w:rFonts w:ascii="Arial" w:hAnsi="Arial" w:eastAsia="Arial" w:cs="Arial"/>
          <w:b w:val="0"/>
          <w:bCs w:val="0"/>
          <w:sz w:val="24"/>
          <w:szCs w:val="24"/>
        </w:rPr>
        <w:t>Through its experience, Tesla has demonstrated that management accounting is a tool that guides a capital-intensive manufacturing company to set prices, engage in cost analysis, budgeting, performance measurement and sustainability reporting and that company margins depend on the operating leverage, disciplined forecasting and evidence-based strategic decisions. The dichotomy of price/margin seen throughout 2024 emphasizes the importance of trustworthy internal data as external factors rapidly change (Praskah et al., 2024).</w:t>
      </w:r>
    </w:p>
    <w:p w:rsidR="0EE76D2C" w:rsidP="0EE76D2C" w:rsidRDefault="0EE76D2C" w14:paraId="16A1879B" w14:textId="3C60C4FA">
      <w:pPr>
        <w:pStyle w:val="Normal"/>
        <w:spacing w:line="360" w:lineRule="auto"/>
        <w:jc w:val="both"/>
        <w:rPr>
          <w:rFonts w:ascii="Arial" w:hAnsi="Arial" w:eastAsia="Arial" w:cs="Arial"/>
          <w:b w:val="0"/>
          <w:bCs w:val="0"/>
          <w:sz w:val="24"/>
          <w:szCs w:val="24"/>
        </w:rPr>
      </w:pPr>
    </w:p>
    <w:p w:rsidR="0EE76D2C" w:rsidP="0EE76D2C" w:rsidRDefault="0EE76D2C" w14:paraId="620FC215" w14:textId="08DDDA0E">
      <w:pPr>
        <w:pStyle w:val="Normal"/>
        <w:spacing w:line="360" w:lineRule="auto"/>
        <w:jc w:val="both"/>
        <w:rPr>
          <w:rFonts w:ascii="Arial" w:hAnsi="Arial" w:eastAsia="Arial" w:cs="Arial"/>
          <w:b w:val="0"/>
          <w:bCs w:val="0"/>
          <w:sz w:val="24"/>
          <w:szCs w:val="24"/>
        </w:rPr>
      </w:pPr>
    </w:p>
    <w:p w:rsidR="0EE76D2C" w:rsidP="0EE76D2C" w:rsidRDefault="0EE76D2C" w14:paraId="28DD20ED" w14:textId="097D58E9">
      <w:pPr>
        <w:pStyle w:val="Normal"/>
        <w:spacing w:line="360" w:lineRule="auto"/>
        <w:jc w:val="both"/>
        <w:rPr>
          <w:rFonts w:ascii="Arial" w:hAnsi="Arial" w:eastAsia="Arial" w:cs="Arial"/>
          <w:b w:val="0"/>
          <w:bCs w:val="0"/>
          <w:sz w:val="24"/>
          <w:szCs w:val="24"/>
        </w:rPr>
      </w:pPr>
    </w:p>
    <w:p w:rsidRPr="00343819" w:rsidR="00791E9B" w:rsidP="0EE76D2C" w:rsidRDefault="00791E9B" w14:paraId="42EB0EB1" w14:textId="77777777">
      <w:pPr>
        <w:pStyle w:val="Normal"/>
        <w:spacing w:line="360" w:lineRule="auto"/>
        <w:ind w:firstLine="720"/>
        <w:jc w:val="both"/>
        <w:rPr>
          <w:rFonts w:ascii="Arial" w:hAnsi="Arial" w:eastAsia="Arial" w:cs="Arial"/>
          <w:b w:val="1"/>
          <w:bCs w:val="1"/>
          <w:sz w:val="24"/>
          <w:szCs w:val="24"/>
        </w:rPr>
      </w:pPr>
      <w:bookmarkStart w:name="_Toc232292804" w:id="16"/>
      <w:r w:rsidRPr="0EE76D2C" w:rsidR="00791E9B">
        <w:rPr>
          <w:rFonts w:ascii="Arial" w:hAnsi="Arial" w:eastAsia="Arial" w:cs="Arial"/>
          <w:b w:val="1"/>
          <w:bCs w:val="1"/>
          <w:sz w:val="24"/>
          <w:szCs w:val="24"/>
        </w:rPr>
        <w:t>Recommendations</w:t>
      </w:r>
      <w:bookmarkEnd w:id="16"/>
    </w:p>
    <w:p w:rsidRPr="00343819" w:rsidR="00791E9B" w:rsidP="0EE76D2C" w:rsidRDefault="00791E9B" w14:paraId="4E9F8041" w14:textId="77777777">
      <w:pPr>
        <w:pStyle w:val="Normal"/>
        <w:spacing w:line="360" w:lineRule="auto"/>
        <w:ind w:firstLine="720"/>
        <w:jc w:val="both"/>
        <w:rPr>
          <w:rFonts w:ascii="Arial" w:hAnsi="Arial" w:eastAsia="Arial" w:cs="Arial"/>
          <w:b w:val="0"/>
          <w:bCs w:val="0"/>
          <w:sz w:val="24"/>
          <w:szCs w:val="24"/>
        </w:rPr>
      </w:pPr>
      <w:r w:rsidRPr="0EE76D2C" w:rsidR="00791E9B">
        <w:rPr>
          <w:rFonts w:ascii="Arial" w:hAnsi="Arial" w:eastAsia="Arial" w:cs="Arial"/>
          <w:b w:val="0"/>
          <w:bCs w:val="0"/>
          <w:sz w:val="24"/>
          <w:szCs w:val="24"/>
        </w:rPr>
        <w:t>Expand activity-based costing to sharpen indirect-cost allocation and protect margin during demand swings (Ortiz-Cea et al., 2025).</w:t>
      </w:r>
    </w:p>
    <w:p w:rsidRPr="00343819" w:rsidR="00791E9B" w:rsidP="0EE76D2C" w:rsidRDefault="00791E9B" w14:paraId="4080F5AD" w14:textId="330E852D">
      <w:pPr>
        <w:pStyle w:val="Normal"/>
        <w:spacing w:line="360" w:lineRule="auto"/>
        <w:jc w:val="both"/>
        <w:rPr>
          <w:rFonts w:ascii="Arial" w:hAnsi="Arial" w:eastAsia="Arial" w:cs="Arial"/>
          <w:b w:val="0"/>
          <w:bCs w:val="0"/>
          <w:sz w:val="24"/>
          <w:szCs w:val="24"/>
        </w:rPr>
      </w:pPr>
      <w:r w:rsidRPr="0EE76D2C" w:rsidR="00791E9B">
        <w:rPr>
          <w:rFonts w:ascii="Arial" w:hAnsi="Arial" w:eastAsia="Arial" w:cs="Arial"/>
          <w:b w:val="0"/>
          <w:bCs w:val="0"/>
          <w:sz w:val="24"/>
          <w:szCs w:val="24"/>
        </w:rPr>
        <w:t>Formalise a sustainability balanced scorecard so environmental and financial indicators sit in one review framework, improving capital allocation (Kumar et al., 2024</w:t>
      </w:r>
      <w:r w:rsidRPr="0EE76D2C" w:rsidR="00791E9B">
        <w:rPr>
          <w:rFonts w:ascii="Arial" w:hAnsi="Arial" w:eastAsia="Arial" w:cs="Arial"/>
          <w:b w:val="0"/>
          <w:bCs w:val="0"/>
          <w:sz w:val="24"/>
          <w:szCs w:val="24"/>
        </w:rPr>
        <w:t>).</w:t>
      </w:r>
      <w:r w:rsidRPr="0EE76D2C" w:rsidR="391983D3">
        <w:rPr>
          <w:rFonts w:ascii="Arial" w:hAnsi="Arial" w:eastAsia="Arial" w:cs="Arial"/>
          <w:b w:val="0"/>
          <w:bCs w:val="0"/>
          <w:sz w:val="24"/>
          <w:szCs w:val="24"/>
        </w:rPr>
        <w:t xml:space="preserve"> </w:t>
      </w:r>
      <w:r w:rsidRPr="0EE76D2C" w:rsidR="00791E9B">
        <w:rPr>
          <w:rFonts w:ascii="Arial" w:hAnsi="Arial" w:eastAsia="Arial" w:cs="Arial"/>
          <w:b w:val="0"/>
          <w:bCs w:val="0"/>
          <w:sz w:val="24"/>
          <w:szCs w:val="24"/>
        </w:rPr>
        <w:t>Reduce</w:t>
      </w:r>
      <w:r w:rsidRPr="0EE76D2C" w:rsidR="00791E9B">
        <w:rPr>
          <w:rFonts w:ascii="Arial" w:hAnsi="Arial" w:eastAsia="Arial" w:cs="Arial"/>
          <w:b w:val="0"/>
          <w:bCs w:val="0"/>
          <w:sz w:val="24"/>
          <w:szCs w:val="24"/>
        </w:rPr>
        <w:t xml:space="preserve"> reliance on blunt price cuts by pairing transparent pricing with value-based communication, preserving brand equity while defending demand (Wan and Bharti, 2025).</w:t>
      </w:r>
      <w:r w:rsidRPr="0EE76D2C" w:rsidR="59AD1855">
        <w:rPr>
          <w:rFonts w:ascii="Arial" w:hAnsi="Arial" w:eastAsia="Arial" w:cs="Arial"/>
          <w:b w:val="0"/>
          <w:bCs w:val="0"/>
          <w:sz w:val="24"/>
          <w:szCs w:val="24"/>
        </w:rPr>
        <w:t xml:space="preserve"> </w:t>
      </w:r>
      <w:r w:rsidRPr="0EE76D2C" w:rsidR="00791E9B">
        <w:rPr>
          <w:rFonts w:ascii="Arial" w:hAnsi="Arial" w:eastAsia="Arial" w:cs="Arial"/>
          <w:b w:val="0"/>
          <w:bCs w:val="0"/>
          <w:sz w:val="24"/>
          <w:szCs w:val="24"/>
        </w:rPr>
        <w:t>Together these steps strengthen Tesla financial decision-making on established management accounting principles.</w:t>
      </w:r>
    </w:p>
    <w:p w:rsidRPr="00791E9B" w:rsidR="00791E9B" w:rsidP="0EE76D2C" w:rsidRDefault="00791E9B" w14:paraId="5EBCBCF3" w14:textId="77777777">
      <w:pPr>
        <w:pStyle w:val="Normal"/>
        <w:spacing w:line="360" w:lineRule="auto"/>
        <w:jc w:val="both"/>
        <w:rPr>
          <w:rFonts w:ascii="Arial" w:hAnsi="Arial" w:eastAsia="Arial" w:cs="Arial"/>
          <w:b w:val="0"/>
          <w:bCs w:val="0"/>
          <w:sz w:val="24"/>
          <w:szCs w:val="24"/>
        </w:rPr>
      </w:pPr>
    </w:p>
    <w:p w:rsidRPr="00791E9B" w:rsidR="00791E9B" w:rsidP="0EE76D2C" w:rsidRDefault="00791E9B" w14:paraId="49B15912" w14:textId="77777777">
      <w:pPr>
        <w:pStyle w:val="Normal"/>
        <w:spacing w:line="360" w:lineRule="auto"/>
        <w:jc w:val="both"/>
        <w:rPr>
          <w:rFonts w:ascii="Arial" w:hAnsi="Arial" w:eastAsia="Arial" w:cs="Arial"/>
          <w:b w:val="0"/>
          <w:bCs w:val="0"/>
          <w:sz w:val="24"/>
          <w:szCs w:val="24"/>
        </w:rPr>
      </w:pPr>
    </w:p>
    <w:p w:rsidRPr="00791E9B" w:rsidR="00791E9B" w:rsidP="0EE76D2C" w:rsidRDefault="00791E9B" w14:paraId="6F18A7F2" w14:textId="77777777">
      <w:pPr>
        <w:pStyle w:val="Normal"/>
        <w:spacing w:line="360" w:lineRule="auto"/>
        <w:jc w:val="both"/>
        <w:rPr>
          <w:rFonts w:ascii="Arial" w:hAnsi="Arial" w:eastAsia="Arial" w:cs="Arial"/>
          <w:b w:val="0"/>
          <w:bCs w:val="0"/>
          <w:sz w:val="24"/>
          <w:szCs w:val="24"/>
        </w:rPr>
      </w:pPr>
    </w:p>
    <w:p w:rsidRPr="00791E9B" w:rsidR="00791E9B" w:rsidP="0EE76D2C" w:rsidRDefault="00791E9B" w14:paraId="4EBB916D" w14:textId="77777777">
      <w:pPr>
        <w:pStyle w:val="Normal"/>
        <w:spacing w:line="360" w:lineRule="auto"/>
        <w:jc w:val="both"/>
        <w:rPr>
          <w:rFonts w:ascii="Arial" w:hAnsi="Arial" w:eastAsia="Arial" w:cs="Arial"/>
          <w:b w:val="0"/>
          <w:bCs w:val="0"/>
          <w:sz w:val="24"/>
          <w:szCs w:val="24"/>
        </w:rPr>
      </w:pPr>
    </w:p>
    <w:p w:rsidRPr="00791E9B" w:rsidR="00791E9B" w:rsidP="0EE76D2C" w:rsidRDefault="00791E9B" w14:paraId="4525D94C" w14:textId="77777777">
      <w:pPr>
        <w:pStyle w:val="Normal"/>
        <w:spacing w:line="360" w:lineRule="auto"/>
        <w:jc w:val="both"/>
        <w:rPr>
          <w:rFonts w:ascii="Arial" w:hAnsi="Arial" w:eastAsia="Arial" w:cs="Arial"/>
          <w:b w:val="0"/>
          <w:bCs w:val="0"/>
          <w:sz w:val="24"/>
          <w:szCs w:val="24"/>
        </w:rPr>
      </w:pPr>
    </w:p>
    <w:p w:rsidRPr="00791E9B" w:rsidR="00791E9B" w:rsidP="0EE76D2C" w:rsidRDefault="00791E9B" w14:paraId="2FB2AE45" w14:textId="77777777">
      <w:pPr>
        <w:pStyle w:val="Normal"/>
        <w:spacing w:line="360" w:lineRule="auto"/>
        <w:jc w:val="both"/>
        <w:rPr>
          <w:rFonts w:ascii="Arial" w:hAnsi="Arial" w:eastAsia="Arial" w:cs="Arial"/>
          <w:b w:val="0"/>
          <w:bCs w:val="0"/>
          <w:sz w:val="24"/>
          <w:szCs w:val="24"/>
        </w:rPr>
      </w:pPr>
    </w:p>
    <w:p w:rsidRPr="00791E9B" w:rsidR="00791E9B" w:rsidP="0EE76D2C" w:rsidRDefault="00791E9B" w14:paraId="0FD0AE3F" w14:textId="77777777">
      <w:pPr>
        <w:pStyle w:val="Normal"/>
        <w:spacing w:line="360" w:lineRule="auto"/>
        <w:jc w:val="both"/>
        <w:rPr>
          <w:rFonts w:ascii="Arial" w:hAnsi="Arial" w:eastAsia="Arial" w:cs="Arial"/>
          <w:b w:val="0"/>
          <w:bCs w:val="0"/>
          <w:sz w:val="24"/>
          <w:szCs w:val="24"/>
        </w:rPr>
      </w:pPr>
    </w:p>
    <w:p w:rsidRPr="00791E9B" w:rsidR="00791E9B" w:rsidP="0EE76D2C" w:rsidRDefault="00791E9B" w14:paraId="0978EBB3" w14:textId="77777777">
      <w:pPr>
        <w:pStyle w:val="Normal"/>
        <w:spacing w:line="360" w:lineRule="auto"/>
        <w:jc w:val="both"/>
        <w:rPr>
          <w:rFonts w:ascii="Arial" w:hAnsi="Arial" w:eastAsia="Arial" w:cs="Arial"/>
          <w:b w:val="0"/>
          <w:bCs w:val="0"/>
          <w:sz w:val="24"/>
          <w:szCs w:val="24"/>
        </w:rPr>
      </w:pPr>
    </w:p>
    <w:p w:rsidRPr="00791E9B" w:rsidR="00791E9B" w:rsidP="0EE76D2C" w:rsidRDefault="00791E9B" w14:paraId="63EE7395" w14:textId="77777777">
      <w:pPr>
        <w:pStyle w:val="Normal"/>
        <w:spacing w:line="360" w:lineRule="auto"/>
        <w:jc w:val="both"/>
        <w:rPr>
          <w:rFonts w:ascii="Arial" w:hAnsi="Arial" w:eastAsia="Arial" w:cs="Arial"/>
          <w:b w:val="0"/>
          <w:bCs w:val="0"/>
          <w:sz w:val="24"/>
          <w:szCs w:val="24"/>
        </w:rPr>
      </w:pPr>
    </w:p>
    <w:p w:rsidRPr="00791E9B" w:rsidR="00791E9B" w:rsidP="0EE76D2C" w:rsidRDefault="00791E9B" w14:paraId="7E7E977C" w14:textId="77777777">
      <w:pPr>
        <w:pStyle w:val="Normal"/>
        <w:spacing w:line="360" w:lineRule="auto"/>
        <w:jc w:val="both"/>
        <w:rPr>
          <w:rFonts w:ascii="Arial" w:hAnsi="Arial" w:eastAsia="Arial" w:cs="Arial"/>
          <w:b w:val="0"/>
          <w:bCs w:val="0"/>
          <w:sz w:val="24"/>
          <w:szCs w:val="24"/>
        </w:rPr>
      </w:pPr>
    </w:p>
    <w:p w:rsidRPr="00791E9B" w:rsidR="00791E9B" w:rsidP="0EE76D2C" w:rsidRDefault="00791E9B" w14:paraId="1633D180" w14:textId="77777777">
      <w:pPr>
        <w:pStyle w:val="Normal"/>
        <w:spacing w:line="360" w:lineRule="auto"/>
        <w:jc w:val="both"/>
        <w:rPr>
          <w:rFonts w:ascii="Arial" w:hAnsi="Arial" w:eastAsia="Arial" w:cs="Arial"/>
          <w:b w:val="0"/>
          <w:bCs w:val="0"/>
          <w:sz w:val="24"/>
          <w:szCs w:val="24"/>
        </w:rPr>
      </w:pPr>
    </w:p>
    <w:p w:rsidRPr="00791E9B" w:rsidR="00791E9B" w:rsidP="0EE76D2C" w:rsidRDefault="00791E9B" w14:paraId="4FD00280" w14:textId="77777777">
      <w:pPr>
        <w:pStyle w:val="Normal"/>
        <w:spacing w:line="360" w:lineRule="auto"/>
        <w:jc w:val="both"/>
        <w:rPr>
          <w:rFonts w:ascii="Arial" w:hAnsi="Arial" w:eastAsia="Arial" w:cs="Arial"/>
          <w:b w:val="0"/>
          <w:bCs w:val="0"/>
          <w:sz w:val="24"/>
          <w:szCs w:val="24"/>
        </w:rPr>
      </w:pPr>
    </w:p>
    <w:p w:rsidRPr="00791E9B" w:rsidR="00791E9B" w:rsidP="0EE76D2C" w:rsidRDefault="00791E9B" w14:paraId="728CE032" w14:textId="77777777">
      <w:pPr>
        <w:pStyle w:val="Normal"/>
        <w:spacing w:line="360" w:lineRule="auto"/>
        <w:jc w:val="both"/>
        <w:rPr>
          <w:rFonts w:ascii="Arial" w:hAnsi="Arial" w:eastAsia="Arial" w:cs="Arial"/>
          <w:b w:val="0"/>
          <w:bCs w:val="0"/>
          <w:sz w:val="24"/>
          <w:szCs w:val="24"/>
        </w:rPr>
      </w:pPr>
    </w:p>
    <w:p w:rsidRPr="00791E9B" w:rsidR="00791E9B" w:rsidP="0EE76D2C" w:rsidRDefault="00791E9B" w14:paraId="0B3FF04D" w14:textId="77777777">
      <w:pPr>
        <w:pStyle w:val="Normal"/>
        <w:spacing w:line="360" w:lineRule="auto"/>
        <w:jc w:val="both"/>
        <w:rPr>
          <w:rFonts w:ascii="Arial" w:hAnsi="Arial" w:eastAsia="Arial" w:cs="Arial"/>
          <w:b w:val="0"/>
          <w:bCs w:val="0"/>
          <w:sz w:val="24"/>
          <w:szCs w:val="24"/>
        </w:rPr>
      </w:pPr>
    </w:p>
    <w:p w:rsidRPr="00791E9B" w:rsidR="00791E9B" w:rsidP="0EE76D2C" w:rsidRDefault="00791E9B" w14:paraId="23E51765" w14:textId="77777777">
      <w:pPr>
        <w:pStyle w:val="Normal"/>
        <w:spacing w:line="360" w:lineRule="auto"/>
        <w:jc w:val="both"/>
        <w:rPr>
          <w:rFonts w:ascii="Arial" w:hAnsi="Arial" w:eastAsia="Arial" w:cs="Arial"/>
          <w:b w:val="0"/>
          <w:bCs w:val="0"/>
          <w:sz w:val="24"/>
          <w:szCs w:val="24"/>
        </w:rPr>
      </w:pPr>
    </w:p>
    <w:p w:rsidRPr="00791E9B" w:rsidR="00791E9B" w:rsidP="0EE76D2C" w:rsidRDefault="00791E9B" w14:paraId="10272C49" w14:textId="77777777">
      <w:pPr>
        <w:pStyle w:val="Normal"/>
        <w:spacing w:line="360" w:lineRule="auto"/>
        <w:jc w:val="both"/>
        <w:rPr>
          <w:rFonts w:ascii="Arial" w:hAnsi="Arial" w:eastAsia="Arial" w:cs="Arial"/>
          <w:b w:val="0"/>
          <w:bCs w:val="0"/>
          <w:sz w:val="24"/>
          <w:szCs w:val="24"/>
        </w:rPr>
      </w:pPr>
    </w:p>
    <w:p w:rsidRPr="00791E9B" w:rsidR="00791E9B" w:rsidP="0EE76D2C" w:rsidRDefault="00791E9B" w14:paraId="67017FB9" w14:textId="77777777">
      <w:pPr>
        <w:pStyle w:val="Normal"/>
        <w:spacing w:line="360" w:lineRule="auto"/>
        <w:jc w:val="both"/>
        <w:rPr>
          <w:rFonts w:ascii="Arial" w:hAnsi="Arial" w:eastAsia="Arial" w:cs="Arial"/>
          <w:b w:val="0"/>
          <w:bCs w:val="0"/>
          <w:sz w:val="24"/>
          <w:szCs w:val="24"/>
        </w:rPr>
      </w:pPr>
    </w:p>
    <w:p w:rsidRPr="00791E9B" w:rsidR="00791E9B" w:rsidP="0EE76D2C" w:rsidRDefault="00791E9B" w14:paraId="3F1427EA" w14:textId="77777777">
      <w:pPr>
        <w:pStyle w:val="Normal"/>
        <w:spacing w:line="360" w:lineRule="auto"/>
        <w:jc w:val="both"/>
        <w:rPr>
          <w:rFonts w:ascii="Arial" w:hAnsi="Arial" w:eastAsia="Arial" w:cs="Arial"/>
          <w:b w:val="0"/>
          <w:bCs w:val="0"/>
          <w:sz w:val="24"/>
          <w:szCs w:val="24"/>
        </w:rPr>
      </w:pPr>
    </w:p>
    <w:p w:rsidRPr="00791E9B" w:rsidR="00791E9B" w:rsidP="0EE76D2C" w:rsidRDefault="00791E9B" w14:paraId="17316B8D" w14:textId="77777777">
      <w:pPr>
        <w:pStyle w:val="Normal"/>
        <w:spacing w:line="360" w:lineRule="auto"/>
        <w:jc w:val="both"/>
        <w:rPr>
          <w:rFonts w:ascii="Arial" w:hAnsi="Arial" w:eastAsia="Arial" w:cs="Arial"/>
          <w:b w:val="0"/>
          <w:bCs w:val="0"/>
          <w:sz w:val="24"/>
          <w:szCs w:val="24"/>
        </w:rPr>
      </w:pPr>
    </w:p>
    <w:p w:rsidRPr="00791E9B" w:rsidR="00791E9B" w:rsidP="0EE76D2C" w:rsidRDefault="00791E9B" w14:paraId="0661B86B" w14:textId="77777777">
      <w:pPr>
        <w:pStyle w:val="Normal"/>
        <w:spacing w:line="360" w:lineRule="auto"/>
        <w:jc w:val="both"/>
        <w:rPr>
          <w:rFonts w:ascii="Arial" w:hAnsi="Arial" w:eastAsia="Arial" w:cs="Arial"/>
          <w:b w:val="0"/>
          <w:bCs w:val="0"/>
          <w:sz w:val="24"/>
          <w:szCs w:val="24"/>
        </w:rPr>
      </w:pPr>
    </w:p>
    <w:p w:rsidRPr="00791E9B" w:rsidR="00791E9B" w:rsidP="0EE76D2C" w:rsidRDefault="00791E9B" w14:paraId="25DC04D6" w14:textId="77777777">
      <w:pPr>
        <w:pStyle w:val="Normal"/>
        <w:spacing w:line="360" w:lineRule="auto"/>
        <w:jc w:val="both"/>
        <w:rPr>
          <w:rFonts w:ascii="Arial" w:hAnsi="Arial" w:eastAsia="Arial" w:cs="Arial"/>
          <w:b w:val="0"/>
          <w:bCs w:val="0"/>
          <w:sz w:val="24"/>
          <w:szCs w:val="24"/>
        </w:rPr>
      </w:pPr>
    </w:p>
    <w:p w:rsidR="00791E9B" w:rsidP="0EE76D2C" w:rsidRDefault="00791E9B" w14:paraId="1D628E13" w14:textId="26AE40F1">
      <w:pPr>
        <w:pStyle w:val="Normal"/>
        <w:spacing w:line="360" w:lineRule="auto"/>
        <w:jc w:val="both"/>
        <w:rPr>
          <w:rFonts w:ascii="Arial" w:hAnsi="Arial" w:eastAsia="Arial" w:cs="Arial"/>
          <w:b w:val="0"/>
          <w:bCs w:val="0"/>
          <w:sz w:val="24"/>
          <w:szCs w:val="24"/>
        </w:rPr>
      </w:pPr>
    </w:p>
    <w:p w:rsidR="0EE76D2C" w:rsidP="0EE76D2C" w:rsidRDefault="0EE76D2C" w14:paraId="2AE9311A" w14:textId="1E41E72B">
      <w:pPr>
        <w:pStyle w:val="Normal"/>
        <w:spacing w:line="360" w:lineRule="auto"/>
        <w:jc w:val="both"/>
        <w:rPr>
          <w:rFonts w:ascii="Arial" w:hAnsi="Arial" w:eastAsia="Arial" w:cs="Arial"/>
          <w:b w:val="0"/>
          <w:bCs w:val="0"/>
          <w:sz w:val="24"/>
          <w:szCs w:val="24"/>
        </w:rPr>
      </w:pPr>
    </w:p>
    <w:p w:rsidR="0EE76D2C" w:rsidP="0EE76D2C" w:rsidRDefault="0EE76D2C" w14:paraId="39F2D582" w14:textId="3B02250B">
      <w:pPr>
        <w:pStyle w:val="Normal"/>
        <w:spacing w:line="360" w:lineRule="auto"/>
        <w:jc w:val="both"/>
        <w:rPr>
          <w:rFonts w:ascii="Arial" w:hAnsi="Arial" w:eastAsia="Arial" w:cs="Arial"/>
          <w:b w:val="0"/>
          <w:bCs w:val="0"/>
          <w:sz w:val="24"/>
          <w:szCs w:val="24"/>
        </w:rPr>
      </w:pPr>
    </w:p>
    <w:p w:rsidRPr="00343819" w:rsidR="00791E9B" w:rsidP="0EE76D2C" w:rsidRDefault="00791E9B" w14:paraId="562D6223" w14:textId="48A4926F">
      <w:pPr>
        <w:pStyle w:val="Titlu1"/>
        <w:spacing w:before="320" w:line="360" w:lineRule="auto"/>
        <w:jc w:val="both"/>
        <w:rPr>
          <w:rFonts w:ascii="Arial" w:hAnsi="Arial" w:eastAsia="Arial" w:cs="Arial"/>
          <w:b w:val="0"/>
          <w:bCs w:val="0"/>
          <w:sz w:val="24"/>
          <w:szCs w:val="24"/>
        </w:rPr>
      </w:pPr>
      <w:bookmarkStart w:name="_Toc232292805" w:id="17"/>
      <w:r w:rsidRPr="0EE76D2C" w:rsidR="00791E9B">
        <w:rPr>
          <w:rFonts w:ascii="Arial" w:hAnsi="Arial" w:eastAsia="Arial" w:cs="Arial"/>
          <w:b w:val="0"/>
          <w:bCs w:val="0"/>
          <w:sz w:val="24"/>
          <w:szCs w:val="24"/>
        </w:rPr>
        <w:t>References</w:t>
      </w:r>
      <w:r w:rsidRPr="0EE76D2C" w:rsidR="7168D902">
        <w:rPr>
          <w:rFonts w:ascii="Arial" w:hAnsi="Arial" w:eastAsia="Arial" w:cs="Arial"/>
          <w:b w:val="0"/>
          <w:bCs w:val="0"/>
          <w:sz w:val="24"/>
          <w:szCs w:val="24"/>
        </w:rPr>
        <w:t>:</w:t>
      </w:r>
      <w:bookmarkEnd w:id="17"/>
    </w:p>
    <w:p w:rsidRPr="00791E9B" w:rsidR="00791E9B" w:rsidP="0EE76D2C" w:rsidRDefault="00791E9B" w14:paraId="261ACE5B" w14:textId="131C1C28">
      <w:pPr>
        <w:pStyle w:val="Normal"/>
        <w:suppressLineNumbers w:val="0"/>
        <w:bidi w:val="0"/>
        <w:spacing w:before="0" w:beforeAutospacing="off" w:after="140" w:afterAutospacing="off" w:line="360" w:lineRule="auto"/>
        <w:ind w:left="0" w:right="0"/>
        <w:jc w:val="both"/>
        <w:rPr>
          <w:rFonts w:ascii="Arial" w:hAnsi="Arial" w:eastAsia="Arial" w:cs="Arial"/>
          <w:b w:val="0"/>
          <w:bCs w:val="0"/>
          <w:sz w:val="24"/>
          <w:szCs w:val="24"/>
        </w:rPr>
      </w:pPr>
      <w:r w:rsidRPr="0EE76D2C" w:rsidR="00791E9B">
        <w:rPr>
          <w:rFonts w:ascii="Arial" w:hAnsi="Arial" w:eastAsia="Arial" w:cs="Arial"/>
          <w:b w:val="0"/>
          <w:bCs w:val="0"/>
          <w:sz w:val="24"/>
          <w:szCs w:val="24"/>
        </w:rPr>
        <w:t xml:space="preserve">Bai, X. (2024) ‘Tesla Financial Performance Forecast and Analysis’, Advances in Economics, Management and Political Sciences (Proceedings of ICFTBA 2024). Available at: </w:t>
      </w:r>
      <w:hyperlink r:id="R72dfd7ce44ce4dea">
        <w:r w:rsidRPr="0EE76D2C" w:rsidR="00791E9B">
          <w:rPr>
            <w:rFonts w:ascii="Arial" w:hAnsi="Arial" w:eastAsia="Arial" w:cs="Arial"/>
            <w:b w:val="0"/>
            <w:bCs w:val="0"/>
            <w:color w:val="1155CC"/>
            <w:sz w:val="24"/>
            <w:szCs w:val="24"/>
            <w:u w:val="single"/>
          </w:rPr>
          <w:t>https://www.researchgate.net/publication/387713868_Tesla_Financial_Performance_Forecast_and_Analysis</w:t>
        </w:r>
      </w:hyperlink>
      <w:r w:rsidRPr="0EE76D2C" w:rsidR="00791E9B">
        <w:rPr>
          <w:rFonts w:ascii="Arial" w:hAnsi="Arial" w:eastAsia="Arial" w:cs="Arial"/>
          <w:b w:val="0"/>
          <w:bCs w:val="0"/>
          <w:sz w:val="24"/>
          <w:szCs w:val="24"/>
        </w:rPr>
        <w:t xml:space="preserve"> (Accessed: </w:t>
      </w:r>
      <w:r w:rsidRPr="0EE76D2C" w:rsidR="79042360">
        <w:rPr>
          <w:rFonts w:ascii="Arial" w:hAnsi="Arial" w:eastAsia="Arial" w:cs="Arial"/>
          <w:b w:val="0"/>
          <w:bCs w:val="0"/>
          <w:sz w:val="24"/>
          <w:szCs w:val="24"/>
        </w:rPr>
        <w:t>25 June</w:t>
      </w:r>
      <w:r w:rsidRPr="0EE76D2C" w:rsidR="00791E9B">
        <w:rPr>
          <w:rFonts w:ascii="Arial" w:hAnsi="Arial" w:eastAsia="Arial" w:cs="Arial"/>
          <w:b w:val="0"/>
          <w:bCs w:val="0"/>
          <w:sz w:val="24"/>
          <w:szCs w:val="24"/>
        </w:rPr>
        <w:t xml:space="preserve"> 2026).</w:t>
      </w:r>
    </w:p>
    <w:p w:rsidRPr="00791E9B" w:rsidR="00791E9B" w:rsidP="0EE76D2C" w:rsidRDefault="00791E9B" w14:paraId="6D6B3347" w14:textId="429FC00F">
      <w:pPr>
        <w:pStyle w:val="Normal"/>
        <w:suppressLineNumbers w:val="0"/>
        <w:bidi w:val="0"/>
        <w:spacing w:before="0" w:beforeAutospacing="off" w:after="140" w:afterAutospacing="off" w:line="360" w:lineRule="auto"/>
        <w:ind w:left="0" w:right="0"/>
        <w:jc w:val="both"/>
        <w:rPr>
          <w:rFonts w:ascii="Arial" w:hAnsi="Arial" w:eastAsia="Arial" w:cs="Arial"/>
          <w:b w:val="0"/>
          <w:bCs w:val="0"/>
          <w:sz w:val="24"/>
          <w:szCs w:val="24"/>
        </w:rPr>
      </w:pPr>
      <w:r w:rsidRPr="0EE76D2C" w:rsidR="00791E9B">
        <w:rPr>
          <w:rFonts w:ascii="Arial" w:hAnsi="Arial" w:eastAsia="Arial" w:cs="Arial"/>
          <w:b w:val="0"/>
          <w:bCs w:val="0"/>
          <w:sz w:val="24"/>
          <w:szCs w:val="24"/>
        </w:rPr>
        <w:t xml:space="preserve">Dahal, R.K. (2024) ‘Management accounting’s role in decision-making and efficacy’, Cogent Business &amp; Management, 11(1), 2433165. Available at: </w:t>
      </w:r>
      <w:hyperlink r:id="R5bb412e13be14a6e">
        <w:r w:rsidRPr="0EE76D2C" w:rsidR="00791E9B">
          <w:rPr>
            <w:rFonts w:ascii="Arial" w:hAnsi="Arial" w:eastAsia="Arial" w:cs="Arial"/>
            <w:b w:val="0"/>
            <w:bCs w:val="0"/>
            <w:color w:val="1155CC"/>
            <w:sz w:val="24"/>
            <w:szCs w:val="24"/>
            <w:u w:val="single"/>
          </w:rPr>
          <w:t>https://www.tandfonline.com/doi/full/10.1080/23311975.2024.2433165</w:t>
        </w:r>
      </w:hyperlink>
      <w:r w:rsidRPr="0EE76D2C" w:rsidR="00791E9B">
        <w:rPr>
          <w:rFonts w:ascii="Arial" w:hAnsi="Arial" w:eastAsia="Arial" w:cs="Arial"/>
          <w:b w:val="0"/>
          <w:bCs w:val="0"/>
          <w:sz w:val="24"/>
          <w:szCs w:val="24"/>
        </w:rPr>
        <w:t xml:space="preserve"> (Accessed: </w:t>
      </w:r>
      <w:r w:rsidRPr="0EE76D2C" w:rsidR="27BE4EE1">
        <w:rPr>
          <w:rFonts w:ascii="Arial" w:hAnsi="Arial" w:eastAsia="Arial" w:cs="Arial"/>
          <w:b w:val="0"/>
          <w:bCs w:val="0"/>
          <w:sz w:val="24"/>
          <w:szCs w:val="24"/>
        </w:rPr>
        <w:t>23 June</w:t>
      </w:r>
      <w:r w:rsidRPr="0EE76D2C" w:rsidR="00791E9B">
        <w:rPr>
          <w:rFonts w:ascii="Arial" w:hAnsi="Arial" w:eastAsia="Arial" w:cs="Arial"/>
          <w:b w:val="0"/>
          <w:bCs w:val="0"/>
          <w:sz w:val="24"/>
          <w:szCs w:val="24"/>
        </w:rPr>
        <w:t xml:space="preserve"> 2026).</w:t>
      </w:r>
    </w:p>
    <w:p w:rsidRPr="00791E9B" w:rsidR="00791E9B" w:rsidP="0EE76D2C" w:rsidRDefault="00791E9B" w14:paraId="449B09CD" w14:textId="3BCF7D2F">
      <w:pPr>
        <w:pStyle w:val="Normal"/>
        <w:suppressLineNumbers w:val="0"/>
        <w:bidi w:val="0"/>
        <w:spacing w:before="0" w:beforeAutospacing="off" w:after="140" w:afterAutospacing="off" w:line="360" w:lineRule="auto"/>
        <w:ind w:left="0" w:right="0"/>
        <w:jc w:val="both"/>
        <w:rPr>
          <w:rFonts w:ascii="Arial" w:hAnsi="Arial" w:eastAsia="Arial" w:cs="Arial"/>
          <w:b w:val="0"/>
          <w:bCs w:val="0"/>
          <w:sz w:val="24"/>
          <w:szCs w:val="24"/>
        </w:rPr>
      </w:pPr>
      <w:r w:rsidRPr="0EE76D2C" w:rsidR="00791E9B">
        <w:rPr>
          <w:rFonts w:ascii="Arial" w:hAnsi="Arial" w:eastAsia="Arial" w:cs="Arial"/>
          <w:b w:val="0"/>
          <w:bCs w:val="0"/>
          <w:sz w:val="24"/>
          <w:szCs w:val="24"/>
        </w:rPr>
        <w:t xml:space="preserve">Garcia-Lopez, Y.J. et al. (2024) ‘Synergy between Balanced Scorecard and OKRs to improve organisational performance’, International Journal of Engineering Trends and Technology, 72(12), pp. 99–106. Available at: </w:t>
      </w:r>
      <w:hyperlink r:id="R820d9a747a184d5b">
        <w:r w:rsidRPr="0EE76D2C" w:rsidR="00791E9B">
          <w:rPr>
            <w:rFonts w:ascii="Arial" w:hAnsi="Arial" w:eastAsia="Arial" w:cs="Arial"/>
            <w:b w:val="0"/>
            <w:bCs w:val="0"/>
            <w:color w:val="1155CC"/>
            <w:sz w:val="24"/>
            <w:szCs w:val="24"/>
            <w:u w:val="single"/>
          </w:rPr>
          <w:t>https://ijettjournal.org/Volume-72/Issue-12/IJETT-V72I12P109.pdf</w:t>
        </w:r>
      </w:hyperlink>
      <w:r w:rsidRPr="0EE76D2C" w:rsidR="00791E9B">
        <w:rPr>
          <w:rFonts w:ascii="Arial" w:hAnsi="Arial" w:eastAsia="Arial" w:cs="Arial"/>
          <w:b w:val="0"/>
          <w:bCs w:val="0"/>
          <w:sz w:val="24"/>
          <w:szCs w:val="24"/>
        </w:rPr>
        <w:t xml:space="preserve"> (Accessed: </w:t>
      </w:r>
      <w:r w:rsidRPr="0EE76D2C" w:rsidR="59EFE9C0">
        <w:rPr>
          <w:rFonts w:ascii="Arial" w:hAnsi="Arial" w:eastAsia="Arial" w:cs="Arial"/>
          <w:b w:val="0"/>
          <w:bCs w:val="0"/>
          <w:sz w:val="24"/>
          <w:szCs w:val="24"/>
        </w:rPr>
        <w:t>23 June</w:t>
      </w:r>
      <w:r w:rsidRPr="0EE76D2C" w:rsidR="00791E9B">
        <w:rPr>
          <w:rFonts w:ascii="Arial" w:hAnsi="Arial" w:eastAsia="Arial" w:cs="Arial"/>
          <w:b w:val="0"/>
          <w:bCs w:val="0"/>
          <w:sz w:val="24"/>
          <w:szCs w:val="24"/>
        </w:rPr>
        <w:t xml:space="preserve"> 2026).</w:t>
      </w:r>
    </w:p>
    <w:p w:rsidRPr="00791E9B" w:rsidR="00791E9B" w:rsidP="0EE76D2C" w:rsidRDefault="00791E9B" w14:paraId="0AD3E39A" w14:textId="5B700906">
      <w:pPr>
        <w:pStyle w:val="Normal"/>
        <w:suppressLineNumbers w:val="0"/>
        <w:bidi w:val="0"/>
        <w:spacing w:before="0" w:beforeAutospacing="off" w:after="140" w:afterAutospacing="off" w:line="360" w:lineRule="auto"/>
        <w:ind w:left="0" w:right="0"/>
        <w:jc w:val="both"/>
        <w:rPr>
          <w:rFonts w:ascii="Arial" w:hAnsi="Arial" w:eastAsia="Arial" w:cs="Arial"/>
          <w:b w:val="0"/>
          <w:bCs w:val="0"/>
          <w:sz w:val="24"/>
          <w:szCs w:val="24"/>
        </w:rPr>
      </w:pPr>
      <w:r w:rsidRPr="0EE76D2C" w:rsidR="00791E9B">
        <w:rPr>
          <w:rFonts w:ascii="Arial" w:hAnsi="Arial" w:eastAsia="Arial" w:cs="Arial"/>
          <w:b w:val="0"/>
          <w:bCs w:val="0"/>
          <w:sz w:val="24"/>
          <w:szCs w:val="24"/>
        </w:rPr>
        <w:t xml:space="preserve">Kumar, S., Lim, W.M., Sureka, R., Jabbour, C.J.C. and </w:t>
      </w:r>
      <w:r w:rsidRPr="0EE76D2C" w:rsidR="00791E9B">
        <w:rPr>
          <w:rFonts w:ascii="Arial" w:hAnsi="Arial" w:eastAsia="Arial" w:cs="Arial"/>
          <w:b w:val="0"/>
          <w:bCs w:val="0"/>
          <w:sz w:val="24"/>
          <w:szCs w:val="24"/>
        </w:rPr>
        <w:t>Bamel</w:t>
      </w:r>
      <w:r w:rsidRPr="0EE76D2C" w:rsidR="00791E9B">
        <w:rPr>
          <w:rFonts w:ascii="Arial" w:hAnsi="Arial" w:eastAsia="Arial" w:cs="Arial"/>
          <w:b w:val="0"/>
          <w:bCs w:val="0"/>
          <w:sz w:val="24"/>
          <w:szCs w:val="24"/>
        </w:rPr>
        <w:t xml:space="preserve">, U. (2024) ‘Balanced scorecard: trends, developments, and future directions’, Review of Managerial Science, 18(8), pp. 2397–2439. Available at: </w:t>
      </w:r>
      <w:hyperlink r:id="R15e2ebdaf4564c7c">
        <w:r w:rsidRPr="0EE76D2C" w:rsidR="00791E9B">
          <w:rPr>
            <w:rFonts w:ascii="Arial" w:hAnsi="Arial" w:eastAsia="Arial" w:cs="Arial"/>
            <w:b w:val="0"/>
            <w:bCs w:val="0"/>
            <w:color w:val="1155CC"/>
            <w:sz w:val="24"/>
            <w:szCs w:val="24"/>
            <w:u w:val="single"/>
          </w:rPr>
          <w:t>https://link.springer.com/article/10.1007/s11846-023-00700-6</w:t>
        </w:r>
      </w:hyperlink>
      <w:r w:rsidRPr="0EE76D2C" w:rsidR="00791E9B">
        <w:rPr>
          <w:rFonts w:ascii="Arial" w:hAnsi="Arial" w:eastAsia="Arial" w:cs="Arial"/>
          <w:b w:val="0"/>
          <w:bCs w:val="0"/>
          <w:sz w:val="24"/>
          <w:szCs w:val="24"/>
        </w:rPr>
        <w:t xml:space="preserve"> (Accessed: </w:t>
      </w:r>
      <w:r w:rsidRPr="0EE76D2C" w:rsidR="57169576">
        <w:rPr>
          <w:rFonts w:ascii="Arial" w:hAnsi="Arial" w:eastAsia="Arial" w:cs="Arial"/>
          <w:b w:val="0"/>
          <w:bCs w:val="0"/>
          <w:sz w:val="24"/>
          <w:szCs w:val="24"/>
        </w:rPr>
        <w:t>13 June</w:t>
      </w:r>
      <w:r w:rsidRPr="0EE76D2C" w:rsidR="00791E9B">
        <w:rPr>
          <w:rFonts w:ascii="Arial" w:hAnsi="Arial" w:eastAsia="Arial" w:cs="Arial"/>
          <w:b w:val="0"/>
          <w:bCs w:val="0"/>
          <w:sz w:val="24"/>
          <w:szCs w:val="24"/>
        </w:rPr>
        <w:t xml:space="preserve"> 2026).</w:t>
      </w:r>
    </w:p>
    <w:p w:rsidRPr="00791E9B" w:rsidR="00791E9B" w:rsidP="0EE76D2C" w:rsidRDefault="00791E9B" w14:paraId="7DCF5485" w14:textId="6180E55C">
      <w:pPr>
        <w:spacing w:after="140" w:line="360" w:lineRule="auto"/>
        <w:jc w:val="both"/>
        <w:rPr>
          <w:rFonts w:ascii="Arial" w:hAnsi="Arial" w:eastAsia="Arial" w:cs="Arial"/>
          <w:b w:val="0"/>
          <w:bCs w:val="0"/>
          <w:sz w:val="24"/>
          <w:szCs w:val="24"/>
        </w:rPr>
      </w:pPr>
      <w:r w:rsidRPr="0EE76D2C" w:rsidR="00791E9B">
        <w:rPr>
          <w:rFonts w:ascii="Arial" w:hAnsi="Arial" w:eastAsia="Arial" w:cs="Arial"/>
          <w:b w:val="0"/>
          <w:bCs w:val="0"/>
          <w:sz w:val="24"/>
          <w:szCs w:val="24"/>
        </w:rPr>
        <w:t xml:space="preserve">Ortiz-Cea, V., Dote-Pardo, J., </w:t>
      </w:r>
      <w:r w:rsidRPr="0EE76D2C" w:rsidR="00791E9B">
        <w:rPr>
          <w:rFonts w:ascii="Arial" w:hAnsi="Arial" w:eastAsia="Arial" w:cs="Arial"/>
          <w:b w:val="0"/>
          <w:bCs w:val="0"/>
          <w:sz w:val="24"/>
          <w:szCs w:val="24"/>
        </w:rPr>
        <w:t>Geldres</w:t>
      </w:r>
      <w:r w:rsidRPr="0EE76D2C" w:rsidR="00791E9B">
        <w:rPr>
          <w:rFonts w:ascii="Arial" w:hAnsi="Arial" w:eastAsia="Arial" w:cs="Arial"/>
          <w:b w:val="0"/>
          <w:bCs w:val="0"/>
          <w:sz w:val="24"/>
          <w:szCs w:val="24"/>
        </w:rPr>
        <w:t xml:space="preserve">-Weiss, </w:t>
      </w:r>
      <w:r w:rsidRPr="0EE76D2C" w:rsidR="00791E9B">
        <w:rPr>
          <w:rFonts w:ascii="Arial" w:hAnsi="Arial" w:eastAsia="Arial" w:cs="Arial"/>
          <w:b w:val="0"/>
          <w:bCs w:val="0"/>
          <w:sz w:val="24"/>
          <w:szCs w:val="24"/>
        </w:rPr>
        <w:t>V.V.</w:t>
      </w:r>
      <w:r w:rsidRPr="0EE76D2C" w:rsidR="00791E9B">
        <w:rPr>
          <w:rFonts w:ascii="Arial" w:hAnsi="Arial" w:eastAsia="Arial" w:cs="Arial"/>
          <w:b w:val="0"/>
          <w:bCs w:val="0"/>
          <w:sz w:val="24"/>
          <w:szCs w:val="24"/>
        </w:rPr>
        <w:t xml:space="preserve"> and Peña-Acuña, V. (2025) ‘The Role of Activity-Based Costing in Reducing Environmental Impact: A Systematic Literature Review’, Sustainability, 17(3), 1275. Available at: </w:t>
      </w:r>
      <w:hyperlink r:id="R14f1a1bd63a14845">
        <w:r w:rsidRPr="0EE76D2C" w:rsidR="00791E9B">
          <w:rPr>
            <w:rFonts w:ascii="Arial" w:hAnsi="Arial" w:eastAsia="Arial" w:cs="Arial"/>
            <w:b w:val="0"/>
            <w:bCs w:val="0"/>
            <w:color w:val="1155CC"/>
            <w:sz w:val="24"/>
            <w:szCs w:val="24"/>
            <w:u w:val="single"/>
          </w:rPr>
          <w:t>https://www.mdpi.com/2071-1050/17/3/1275</w:t>
        </w:r>
      </w:hyperlink>
      <w:r w:rsidRPr="0EE76D2C" w:rsidR="00791E9B">
        <w:rPr>
          <w:rFonts w:ascii="Arial" w:hAnsi="Arial" w:eastAsia="Arial" w:cs="Arial"/>
          <w:b w:val="0"/>
          <w:bCs w:val="0"/>
          <w:sz w:val="24"/>
          <w:szCs w:val="24"/>
        </w:rPr>
        <w:t xml:space="preserve"> (Accessed: 1</w:t>
      </w:r>
      <w:r w:rsidRPr="0EE76D2C" w:rsidR="3A8CB05B">
        <w:rPr>
          <w:rFonts w:ascii="Arial" w:hAnsi="Arial" w:eastAsia="Arial" w:cs="Arial"/>
          <w:b w:val="0"/>
          <w:bCs w:val="0"/>
          <w:sz w:val="24"/>
          <w:szCs w:val="24"/>
        </w:rPr>
        <w:t>3</w:t>
      </w:r>
      <w:r w:rsidRPr="0EE76D2C" w:rsidR="00791E9B">
        <w:rPr>
          <w:rFonts w:ascii="Arial" w:hAnsi="Arial" w:eastAsia="Arial" w:cs="Arial"/>
          <w:b w:val="0"/>
          <w:bCs w:val="0"/>
          <w:sz w:val="24"/>
          <w:szCs w:val="24"/>
        </w:rPr>
        <w:t xml:space="preserve"> </w:t>
      </w:r>
      <w:r w:rsidRPr="0EE76D2C" w:rsidR="5B914713">
        <w:rPr>
          <w:rFonts w:ascii="Arial" w:hAnsi="Arial" w:eastAsia="Arial" w:cs="Arial"/>
          <w:b w:val="0"/>
          <w:bCs w:val="0"/>
          <w:sz w:val="24"/>
          <w:szCs w:val="24"/>
        </w:rPr>
        <w:t>June</w:t>
      </w:r>
      <w:r w:rsidRPr="0EE76D2C" w:rsidR="00791E9B">
        <w:rPr>
          <w:rFonts w:ascii="Arial" w:hAnsi="Arial" w:eastAsia="Arial" w:cs="Arial"/>
          <w:b w:val="0"/>
          <w:bCs w:val="0"/>
          <w:sz w:val="24"/>
          <w:szCs w:val="24"/>
        </w:rPr>
        <w:t xml:space="preserve"> 2026).</w:t>
      </w:r>
    </w:p>
    <w:p w:rsidRPr="00791E9B" w:rsidR="00791E9B" w:rsidP="0EE76D2C" w:rsidRDefault="00791E9B" w14:paraId="15EA80C2" w14:textId="4ED379B1">
      <w:pPr>
        <w:spacing w:after="140" w:line="360" w:lineRule="auto"/>
        <w:jc w:val="both"/>
        <w:rPr>
          <w:rFonts w:ascii="Arial" w:hAnsi="Arial" w:eastAsia="Arial" w:cs="Arial"/>
          <w:b w:val="1"/>
          <w:bCs w:val="1"/>
          <w:sz w:val="24"/>
          <w:szCs w:val="24"/>
        </w:rPr>
      </w:pPr>
      <w:r w:rsidRPr="0EE76D2C" w:rsidR="00791E9B">
        <w:rPr>
          <w:rFonts w:ascii="Arial" w:hAnsi="Arial" w:eastAsia="Arial" w:cs="Arial"/>
          <w:b w:val="1"/>
          <w:bCs w:val="1"/>
          <w:sz w:val="24"/>
          <w:szCs w:val="24"/>
        </w:rPr>
        <w:t>Praskah</w:t>
      </w:r>
      <w:r w:rsidRPr="0EE76D2C" w:rsidR="00791E9B">
        <w:rPr>
          <w:rFonts w:ascii="Arial" w:hAnsi="Arial" w:eastAsia="Arial" w:cs="Arial"/>
          <w:b w:val="1"/>
          <w:bCs w:val="1"/>
          <w:sz w:val="24"/>
          <w:szCs w:val="24"/>
        </w:rPr>
        <w:t xml:space="preserve">, K.O., Abdullah, K.A., Daoud, R., Moulana, </w:t>
      </w:r>
      <w:r w:rsidRPr="0EE76D2C" w:rsidR="00791E9B">
        <w:rPr>
          <w:rFonts w:ascii="Arial" w:hAnsi="Arial" w:eastAsia="Arial" w:cs="Arial"/>
          <w:b w:val="1"/>
          <w:bCs w:val="1"/>
          <w:sz w:val="24"/>
          <w:szCs w:val="24"/>
        </w:rPr>
        <w:t>Y.</w:t>
      </w:r>
      <w:r w:rsidRPr="0EE76D2C" w:rsidR="00791E9B">
        <w:rPr>
          <w:rFonts w:ascii="Arial" w:hAnsi="Arial" w:eastAsia="Arial" w:cs="Arial"/>
          <w:b w:val="1"/>
          <w:bCs w:val="1"/>
          <w:sz w:val="24"/>
          <w:szCs w:val="24"/>
        </w:rPr>
        <w:t xml:space="preserve"> and </w:t>
      </w:r>
      <w:r w:rsidRPr="0EE76D2C" w:rsidR="00791E9B">
        <w:rPr>
          <w:rFonts w:ascii="Arial" w:hAnsi="Arial" w:eastAsia="Arial" w:cs="Arial"/>
          <w:b w:val="1"/>
          <w:bCs w:val="1"/>
          <w:sz w:val="24"/>
          <w:szCs w:val="24"/>
        </w:rPr>
        <w:t>Matriano</w:t>
      </w:r>
      <w:r w:rsidRPr="0EE76D2C" w:rsidR="00791E9B">
        <w:rPr>
          <w:rFonts w:ascii="Arial" w:hAnsi="Arial" w:eastAsia="Arial" w:cs="Arial"/>
          <w:b w:val="1"/>
          <w:bCs w:val="1"/>
          <w:sz w:val="24"/>
          <w:szCs w:val="24"/>
        </w:rPr>
        <w:t xml:space="preserve">, M.T. (2024) ‘The Budgeting and Forecasting Analysis and the Impact on Company Financial Performance and Strategic Decision-Making’, Global Scientific Journals, 12(6), pp. 2133–2157. Available at: </w:t>
      </w:r>
      <w:hyperlink r:id="Rfce19068705848d0">
        <w:r w:rsidRPr="0EE76D2C" w:rsidR="00791E9B">
          <w:rPr>
            <w:rFonts w:ascii="Arial" w:hAnsi="Arial" w:eastAsia="Arial" w:cs="Arial"/>
            <w:b w:val="1"/>
            <w:bCs w:val="1"/>
            <w:color w:val="1155CC"/>
            <w:sz w:val="24"/>
            <w:szCs w:val="24"/>
            <w:u w:val="single"/>
          </w:rPr>
          <w:t>https://www.globalscientificjournal.com/researchpaper/THE_BUDGETING_AND_FORECASTING_ANALYSIS_AND_THE_IMPACT_ON_COMPANY_FINANCIAL_PERFORMANCE_AND_STRATEGIC_DECISION_MAKING_A_CASE_OF_NATIONAL_FINANCE_OMAN.pdf</w:t>
        </w:r>
      </w:hyperlink>
      <w:r w:rsidRPr="0EE76D2C" w:rsidR="00791E9B">
        <w:rPr>
          <w:rFonts w:ascii="Arial" w:hAnsi="Arial" w:eastAsia="Arial" w:cs="Arial"/>
          <w:b w:val="1"/>
          <w:bCs w:val="1"/>
          <w:sz w:val="24"/>
          <w:szCs w:val="24"/>
        </w:rPr>
        <w:t xml:space="preserve"> (Accessed: </w:t>
      </w:r>
      <w:r w:rsidRPr="0EE76D2C" w:rsidR="60ED7978">
        <w:rPr>
          <w:rFonts w:ascii="Arial" w:hAnsi="Arial" w:eastAsia="Arial" w:cs="Arial"/>
          <w:b w:val="1"/>
          <w:bCs w:val="1"/>
          <w:sz w:val="24"/>
          <w:szCs w:val="24"/>
        </w:rPr>
        <w:t>1</w:t>
      </w:r>
      <w:r w:rsidRPr="0EE76D2C" w:rsidR="4AD685A6">
        <w:rPr>
          <w:rFonts w:ascii="Arial" w:hAnsi="Arial" w:eastAsia="Arial" w:cs="Arial"/>
          <w:b w:val="1"/>
          <w:bCs w:val="1"/>
          <w:sz w:val="24"/>
          <w:szCs w:val="24"/>
        </w:rPr>
        <w:t>4</w:t>
      </w:r>
      <w:r w:rsidRPr="0EE76D2C" w:rsidR="60ED7978">
        <w:rPr>
          <w:rFonts w:ascii="Arial" w:hAnsi="Arial" w:eastAsia="Arial" w:cs="Arial"/>
          <w:b w:val="1"/>
          <w:bCs w:val="1"/>
          <w:sz w:val="24"/>
          <w:szCs w:val="24"/>
        </w:rPr>
        <w:t xml:space="preserve"> June</w:t>
      </w:r>
      <w:r w:rsidRPr="0EE76D2C" w:rsidR="00791E9B">
        <w:rPr>
          <w:rFonts w:ascii="Arial" w:hAnsi="Arial" w:eastAsia="Arial" w:cs="Arial"/>
          <w:b w:val="1"/>
          <w:bCs w:val="1"/>
          <w:sz w:val="24"/>
          <w:szCs w:val="24"/>
        </w:rPr>
        <w:t xml:space="preserve"> 2026).</w:t>
      </w:r>
    </w:p>
    <w:p w:rsidRPr="00791E9B" w:rsidR="00791E9B" w:rsidP="0EE76D2C" w:rsidRDefault="00791E9B" w14:paraId="605A517D" w14:textId="13C0CDE2">
      <w:pPr>
        <w:spacing w:after="140" w:line="360" w:lineRule="auto"/>
        <w:jc w:val="both"/>
        <w:rPr>
          <w:rFonts w:ascii="Arial" w:hAnsi="Arial" w:eastAsia="Arial" w:cs="Arial"/>
          <w:b w:val="1"/>
          <w:bCs w:val="1"/>
          <w:sz w:val="24"/>
          <w:szCs w:val="24"/>
        </w:rPr>
      </w:pPr>
      <w:r w:rsidRPr="0EE76D2C" w:rsidR="00791E9B">
        <w:rPr>
          <w:rFonts w:ascii="Arial" w:hAnsi="Arial" w:eastAsia="Arial" w:cs="Arial"/>
          <w:b w:val="1"/>
          <w:bCs w:val="1"/>
          <w:sz w:val="24"/>
          <w:szCs w:val="24"/>
        </w:rPr>
        <w:t xml:space="preserve">Sha, X. (2024) ‘Application of Management Accounting Tools and Enterprise Value Creation Based on the Value Chain’, SAGE Open, 14(4). Available at: </w:t>
      </w:r>
      <w:hyperlink r:id="R80d8e9a964a441c1">
        <w:r w:rsidRPr="0EE76D2C" w:rsidR="00791E9B">
          <w:rPr>
            <w:rFonts w:ascii="Arial" w:hAnsi="Arial" w:eastAsia="Arial" w:cs="Arial"/>
            <w:b w:val="1"/>
            <w:bCs w:val="1"/>
            <w:color w:val="1155CC"/>
            <w:sz w:val="24"/>
            <w:szCs w:val="24"/>
            <w:u w:val="single"/>
          </w:rPr>
          <w:t>https://journals.sagepub.com/doi/full/10.1177/21582440241303219</w:t>
        </w:r>
      </w:hyperlink>
      <w:r w:rsidRPr="0EE76D2C" w:rsidR="00791E9B">
        <w:rPr>
          <w:rFonts w:ascii="Arial" w:hAnsi="Arial" w:eastAsia="Arial" w:cs="Arial"/>
          <w:b w:val="1"/>
          <w:bCs w:val="1"/>
          <w:sz w:val="24"/>
          <w:szCs w:val="24"/>
        </w:rPr>
        <w:t xml:space="preserve"> (Accessed: </w:t>
      </w:r>
      <w:r w:rsidRPr="0EE76D2C" w:rsidR="65993AF4">
        <w:rPr>
          <w:rFonts w:ascii="Arial" w:hAnsi="Arial" w:eastAsia="Arial" w:cs="Arial"/>
          <w:b w:val="1"/>
          <w:bCs w:val="1"/>
          <w:sz w:val="24"/>
          <w:szCs w:val="24"/>
        </w:rPr>
        <w:t>20</w:t>
      </w:r>
      <w:r w:rsidRPr="0EE76D2C" w:rsidR="00791E9B">
        <w:rPr>
          <w:rFonts w:ascii="Arial" w:hAnsi="Arial" w:eastAsia="Arial" w:cs="Arial"/>
          <w:b w:val="1"/>
          <w:bCs w:val="1"/>
          <w:sz w:val="24"/>
          <w:szCs w:val="24"/>
        </w:rPr>
        <w:t xml:space="preserve"> </w:t>
      </w:r>
      <w:r w:rsidRPr="0EE76D2C" w:rsidR="630F97B9">
        <w:rPr>
          <w:rFonts w:ascii="Arial" w:hAnsi="Arial" w:eastAsia="Arial" w:cs="Arial"/>
          <w:b w:val="1"/>
          <w:bCs w:val="1"/>
          <w:sz w:val="24"/>
          <w:szCs w:val="24"/>
        </w:rPr>
        <w:t>June</w:t>
      </w:r>
      <w:r w:rsidRPr="0EE76D2C" w:rsidR="00791E9B">
        <w:rPr>
          <w:rFonts w:ascii="Arial" w:hAnsi="Arial" w:eastAsia="Arial" w:cs="Arial"/>
          <w:b w:val="1"/>
          <w:bCs w:val="1"/>
          <w:sz w:val="24"/>
          <w:szCs w:val="24"/>
        </w:rPr>
        <w:t xml:space="preserve"> 2026).</w:t>
      </w:r>
    </w:p>
    <w:p w:rsidRPr="00791E9B" w:rsidR="00791E9B" w:rsidP="0EE76D2C" w:rsidRDefault="00791E9B" w14:paraId="03F51F66" w14:textId="51DDBD1A">
      <w:pPr>
        <w:spacing w:after="140" w:line="360" w:lineRule="auto"/>
        <w:jc w:val="both"/>
        <w:rPr>
          <w:rFonts w:ascii="Arial" w:hAnsi="Arial" w:eastAsia="Arial" w:cs="Arial"/>
          <w:b w:val="1"/>
          <w:bCs w:val="1"/>
          <w:sz w:val="24"/>
          <w:szCs w:val="24"/>
        </w:rPr>
      </w:pPr>
      <w:r w:rsidRPr="0EE76D2C" w:rsidR="00791E9B">
        <w:rPr>
          <w:rFonts w:ascii="Arial" w:hAnsi="Arial" w:eastAsia="Arial" w:cs="Arial"/>
          <w:b w:val="1"/>
          <w:bCs w:val="1"/>
          <w:sz w:val="24"/>
          <w:szCs w:val="24"/>
        </w:rPr>
        <w:t xml:space="preserve">Sustainability Magazine (2025) How Tesla is an EV, Renewable Energy &amp; Sustainability Leader. Available at: </w:t>
      </w:r>
      <w:hyperlink r:id="R6d91b616026245cf">
        <w:r w:rsidRPr="0EE76D2C" w:rsidR="00791E9B">
          <w:rPr>
            <w:rFonts w:ascii="Arial" w:hAnsi="Arial" w:eastAsia="Arial" w:cs="Arial"/>
            <w:b w:val="1"/>
            <w:bCs w:val="1"/>
            <w:color w:val="1155CC"/>
            <w:sz w:val="24"/>
            <w:szCs w:val="24"/>
            <w:u w:val="single"/>
          </w:rPr>
          <w:t>https://sustainabilitymag.com/news/how-tesla-is-an-ev-renewable-energy-sustainability-leader</w:t>
        </w:r>
      </w:hyperlink>
      <w:r w:rsidRPr="0EE76D2C" w:rsidR="00791E9B">
        <w:rPr>
          <w:rFonts w:ascii="Arial" w:hAnsi="Arial" w:eastAsia="Arial" w:cs="Arial"/>
          <w:b w:val="1"/>
          <w:bCs w:val="1"/>
          <w:sz w:val="24"/>
          <w:szCs w:val="24"/>
        </w:rPr>
        <w:t xml:space="preserve"> (Accessed: 22 </w:t>
      </w:r>
      <w:r w:rsidRPr="0EE76D2C" w:rsidR="41A63E73">
        <w:rPr>
          <w:rFonts w:ascii="Arial" w:hAnsi="Arial" w:eastAsia="Arial" w:cs="Arial"/>
          <w:b w:val="1"/>
          <w:bCs w:val="1"/>
          <w:sz w:val="24"/>
          <w:szCs w:val="24"/>
        </w:rPr>
        <w:t>June</w:t>
      </w:r>
      <w:r w:rsidRPr="0EE76D2C" w:rsidR="00791E9B">
        <w:rPr>
          <w:rFonts w:ascii="Arial" w:hAnsi="Arial" w:eastAsia="Arial" w:cs="Arial"/>
          <w:b w:val="1"/>
          <w:bCs w:val="1"/>
          <w:sz w:val="24"/>
          <w:szCs w:val="24"/>
        </w:rPr>
        <w:t>2026).</w:t>
      </w:r>
    </w:p>
    <w:p w:rsidRPr="00791E9B" w:rsidR="00791E9B" w:rsidP="0EE76D2C" w:rsidRDefault="00791E9B" w14:paraId="6DC2509D" w14:textId="5547734A">
      <w:pPr>
        <w:spacing w:after="140" w:line="360" w:lineRule="auto"/>
        <w:jc w:val="both"/>
        <w:rPr>
          <w:rFonts w:ascii="Arial" w:hAnsi="Arial" w:eastAsia="Arial" w:cs="Arial"/>
          <w:b w:val="1"/>
          <w:bCs w:val="1"/>
          <w:sz w:val="24"/>
          <w:szCs w:val="24"/>
        </w:rPr>
      </w:pPr>
      <w:r w:rsidRPr="0EE76D2C" w:rsidR="00791E9B">
        <w:rPr>
          <w:rFonts w:ascii="Arial" w:hAnsi="Arial" w:eastAsia="Arial" w:cs="Arial"/>
          <w:b w:val="1"/>
          <w:bCs w:val="1"/>
          <w:sz w:val="24"/>
          <w:szCs w:val="24"/>
        </w:rPr>
        <w:t xml:space="preserve">Swalih, M.M. et al. (2024) ‘Environmental management accounting for strategic decision-making: A systematic literature review’, Business Strategy and the Environment, 33(7), pp. 6335–6367. Available at: </w:t>
      </w:r>
      <w:hyperlink r:id="R58f74f8346b649de">
        <w:r w:rsidRPr="0EE76D2C" w:rsidR="00791E9B">
          <w:rPr>
            <w:rFonts w:ascii="Arial" w:hAnsi="Arial" w:eastAsia="Arial" w:cs="Arial"/>
            <w:b w:val="1"/>
            <w:bCs w:val="1"/>
            <w:color w:val="1155CC"/>
            <w:sz w:val="24"/>
            <w:szCs w:val="24"/>
            <w:u w:val="single"/>
          </w:rPr>
          <w:t>https://onlinelibrary.wiley.com/doi/full/10.1002/bse.3828</w:t>
        </w:r>
      </w:hyperlink>
      <w:r w:rsidRPr="0EE76D2C" w:rsidR="00791E9B">
        <w:rPr>
          <w:rFonts w:ascii="Arial" w:hAnsi="Arial" w:eastAsia="Arial" w:cs="Arial"/>
          <w:b w:val="1"/>
          <w:bCs w:val="1"/>
          <w:sz w:val="24"/>
          <w:szCs w:val="24"/>
        </w:rPr>
        <w:t xml:space="preserve"> (Accessed: 23 </w:t>
      </w:r>
      <w:r w:rsidRPr="0EE76D2C" w:rsidR="2E8BD1C6">
        <w:rPr>
          <w:rFonts w:ascii="Arial" w:hAnsi="Arial" w:eastAsia="Arial" w:cs="Arial"/>
          <w:b w:val="1"/>
          <w:bCs w:val="1"/>
          <w:sz w:val="24"/>
          <w:szCs w:val="24"/>
        </w:rPr>
        <w:t xml:space="preserve">June </w:t>
      </w:r>
      <w:r w:rsidRPr="0EE76D2C" w:rsidR="00791E9B">
        <w:rPr>
          <w:rFonts w:ascii="Arial" w:hAnsi="Arial" w:eastAsia="Arial" w:cs="Arial"/>
          <w:b w:val="1"/>
          <w:bCs w:val="1"/>
          <w:sz w:val="24"/>
          <w:szCs w:val="24"/>
        </w:rPr>
        <w:t>2026).</w:t>
      </w:r>
    </w:p>
    <w:p w:rsidRPr="00791E9B" w:rsidR="00791E9B" w:rsidP="0EE76D2C" w:rsidRDefault="00791E9B" w14:paraId="529B7897" w14:textId="01C8096B">
      <w:pPr>
        <w:spacing w:after="140" w:line="360" w:lineRule="auto"/>
        <w:jc w:val="both"/>
        <w:rPr>
          <w:rFonts w:ascii="Arial" w:hAnsi="Arial" w:eastAsia="Arial" w:cs="Arial"/>
          <w:b w:val="1"/>
          <w:bCs w:val="1"/>
          <w:sz w:val="24"/>
          <w:szCs w:val="24"/>
        </w:rPr>
      </w:pPr>
      <w:r w:rsidRPr="0EE76D2C" w:rsidR="00791E9B">
        <w:rPr>
          <w:rFonts w:ascii="Arial" w:hAnsi="Arial" w:eastAsia="Arial" w:cs="Arial"/>
          <w:b w:val="1"/>
          <w:bCs w:val="1"/>
          <w:sz w:val="24"/>
          <w:szCs w:val="24"/>
        </w:rPr>
        <w:t xml:space="preserve">Tesla, Inc. (2024a) Fourth Quarter and Full Year 2023 Update (Form 8-K, </w:t>
      </w:r>
      <w:r w:rsidRPr="0EE76D2C" w:rsidR="00791E9B">
        <w:rPr>
          <w:rFonts w:ascii="Arial" w:hAnsi="Arial" w:eastAsia="Arial" w:cs="Arial"/>
          <w:b w:val="1"/>
          <w:bCs w:val="1"/>
          <w:sz w:val="24"/>
          <w:szCs w:val="24"/>
        </w:rPr>
        <w:t>Exhibit</w:t>
      </w:r>
      <w:r w:rsidRPr="0EE76D2C" w:rsidR="00791E9B">
        <w:rPr>
          <w:rFonts w:ascii="Arial" w:hAnsi="Arial" w:eastAsia="Arial" w:cs="Arial"/>
          <w:b w:val="1"/>
          <w:bCs w:val="1"/>
          <w:sz w:val="24"/>
          <w:szCs w:val="24"/>
        </w:rPr>
        <w:t xml:space="preserve"> 99.1). Available at: </w:t>
      </w:r>
      <w:hyperlink r:id="R195ee7e062954e6f">
        <w:r w:rsidRPr="0EE76D2C" w:rsidR="00791E9B">
          <w:rPr>
            <w:rFonts w:ascii="Arial" w:hAnsi="Arial" w:eastAsia="Arial" w:cs="Arial"/>
            <w:b w:val="1"/>
            <w:bCs w:val="1"/>
            <w:color w:val="1155CC"/>
            <w:sz w:val="24"/>
            <w:szCs w:val="24"/>
            <w:u w:val="single"/>
          </w:rPr>
          <w:t>https://www.sec.gov/Archives/edgar/data/0001318605/000095017024007073/tslaex99_1.htm</w:t>
        </w:r>
      </w:hyperlink>
      <w:r w:rsidRPr="0EE76D2C" w:rsidR="00791E9B">
        <w:rPr>
          <w:rFonts w:ascii="Arial" w:hAnsi="Arial" w:eastAsia="Arial" w:cs="Arial"/>
          <w:b w:val="1"/>
          <w:bCs w:val="1"/>
          <w:sz w:val="24"/>
          <w:szCs w:val="24"/>
        </w:rPr>
        <w:t xml:space="preserve"> (Accessed: </w:t>
      </w:r>
      <w:r w:rsidRPr="0EE76D2C" w:rsidR="439E966B">
        <w:rPr>
          <w:rFonts w:ascii="Arial" w:hAnsi="Arial" w:eastAsia="Arial" w:cs="Arial"/>
          <w:b w:val="1"/>
          <w:bCs w:val="1"/>
          <w:sz w:val="24"/>
          <w:szCs w:val="24"/>
        </w:rPr>
        <w:t>2</w:t>
      </w:r>
      <w:r w:rsidRPr="0EE76D2C" w:rsidR="1A51AB83">
        <w:rPr>
          <w:rFonts w:ascii="Arial" w:hAnsi="Arial" w:eastAsia="Arial" w:cs="Arial"/>
          <w:b w:val="1"/>
          <w:bCs w:val="1"/>
          <w:sz w:val="24"/>
          <w:szCs w:val="24"/>
        </w:rPr>
        <w:t>3</w:t>
      </w:r>
      <w:r w:rsidRPr="0EE76D2C" w:rsidR="439E966B">
        <w:rPr>
          <w:rFonts w:ascii="Arial" w:hAnsi="Arial" w:eastAsia="Arial" w:cs="Arial"/>
          <w:b w:val="1"/>
          <w:bCs w:val="1"/>
          <w:sz w:val="24"/>
          <w:szCs w:val="24"/>
        </w:rPr>
        <w:t xml:space="preserve"> </w:t>
      </w:r>
      <w:r w:rsidRPr="0EE76D2C" w:rsidR="00791E9B">
        <w:rPr>
          <w:rFonts w:ascii="Arial" w:hAnsi="Arial" w:eastAsia="Arial" w:cs="Arial"/>
          <w:b w:val="1"/>
          <w:bCs w:val="1"/>
          <w:sz w:val="24"/>
          <w:szCs w:val="24"/>
        </w:rPr>
        <w:t>May 2026).</w:t>
      </w:r>
    </w:p>
    <w:p w:rsidRPr="00791E9B" w:rsidR="00791E9B" w:rsidP="0EE76D2C" w:rsidRDefault="00791E9B" w14:paraId="316E25E1" w14:textId="7C8F0C1F">
      <w:pPr>
        <w:spacing w:after="140" w:line="360" w:lineRule="auto"/>
        <w:jc w:val="both"/>
        <w:rPr>
          <w:rFonts w:ascii="Arial" w:hAnsi="Arial" w:eastAsia="Arial" w:cs="Arial"/>
          <w:b w:val="1"/>
          <w:bCs w:val="1"/>
          <w:sz w:val="24"/>
          <w:szCs w:val="24"/>
        </w:rPr>
      </w:pPr>
      <w:r w:rsidRPr="0EE76D2C" w:rsidR="00791E9B">
        <w:rPr>
          <w:rFonts w:ascii="Arial" w:hAnsi="Arial" w:eastAsia="Arial" w:cs="Arial"/>
          <w:b w:val="1"/>
          <w:bCs w:val="1"/>
          <w:sz w:val="24"/>
          <w:szCs w:val="24"/>
        </w:rPr>
        <w:t xml:space="preserve">Tesla, Inc. (2024b) Third Quarter 2024 Update (Form 8-K). Available at: </w:t>
      </w:r>
      <w:hyperlink r:id="R228678a8202b4993">
        <w:r w:rsidRPr="0EE76D2C" w:rsidR="00791E9B">
          <w:rPr>
            <w:rFonts w:ascii="Arial" w:hAnsi="Arial" w:eastAsia="Arial" w:cs="Arial"/>
            <w:b w:val="1"/>
            <w:bCs w:val="1"/>
            <w:color w:val="1155CC"/>
            <w:sz w:val="24"/>
            <w:szCs w:val="24"/>
            <w:u w:val="single"/>
          </w:rPr>
          <w:t>https://www.sec.gov/Archives/edgar/data/0001318605/000162828024043432/exhibit.htm</w:t>
        </w:r>
      </w:hyperlink>
      <w:r w:rsidRPr="0EE76D2C" w:rsidR="00791E9B">
        <w:rPr>
          <w:rFonts w:ascii="Arial" w:hAnsi="Arial" w:eastAsia="Arial" w:cs="Arial"/>
          <w:b w:val="1"/>
          <w:bCs w:val="1"/>
          <w:sz w:val="24"/>
          <w:szCs w:val="24"/>
        </w:rPr>
        <w:t xml:space="preserve"> (Accessed: </w:t>
      </w:r>
      <w:r w:rsidRPr="0EE76D2C" w:rsidR="0482A26A">
        <w:rPr>
          <w:rFonts w:ascii="Arial" w:hAnsi="Arial" w:eastAsia="Arial" w:cs="Arial"/>
          <w:b w:val="1"/>
          <w:bCs w:val="1"/>
          <w:sz w:val="24"/>
          <w:szCs w:val="24"/>
        </w:rPr>
        <w:t>1</w:t>
      </w:r>
      <w:r w:rsidRPr="0EE76D2C" w:rsidR="31A2B389">
        <w:rPr>
          <w:rFonts w:ascii="Arial" w:hAnsi="Arial" w:eastAsia="Arial" w:cs="Arial"/>
          <w:b w:val="1"/>
          <w:bCs w:val="1"/>
          <w:sz w:val="24"/>
          <w:szCs w:val="24"/>
        </w:rPr>
        <w:t>4</w:t>
      </w:r>
      <w:r w:rsidRPr="0EE76D2C" w:rsidR="00791E9B">
        <w:rPr>
          <w:rFonts w:ascii="Arial" w:hAnsi="Arial" w:eastAsia="Arial" w:cs="Arial"/>
          <w:b w:val="1"/>
          <w:bCs w:val="1"/>
          <w:sz w:val="24"/>
          <w:szCs w:val="24"/>
        </w:rPr>
        <w:t xml:space="preserve"> May 2026).</w:t>
      </w:r>
    </w:p>
    <w:p w:rsidRPr="00791E9B" w:rsidR="00791E9B" w:rsidP="0EE76D2C" w:rsidRDefault="00791E9B" w14:paraId="69AFE73A" w14:textId="31301731">
      <w:pPr>
        <w:spacing w:after="140" w:line="360" w:lineRule="auto"/>
        <w:jc w:val="both"/>
        <w:rPr>
          <w:rFonts w:ascii="Arial" w:hAnsi="Arial" w:eastAsia="Arial" w:cs="Arial"/>
          <w:b w:val="1"/>
          <w:bCs w:val="1"/>
          <w:sz w:val="24"/>
          <w:szCs w:val="24"/>
        </w:rPr>
      </w:pPr>
      <w:r w:rsidRPr="0EE76D2C" w:rsidR="00791E9B">
        <w:rPr>
          <w:rFonts w:ascii="Arial" w:hAnsi="Arial" w:eastAsia="Arial" w:cs="Arial"/>
          <w:b w:val="1"/>
          <w:bCs w:val="1"/>
          <w:sz w:val="24"/>
          <w:szCs w:val="24"/>
        </w:rPr>
        <w:t xml:space="preserve">Tesla, Inc. (2024c) Quarterly Report for the period ended 30 September 2024 (Form 10-Q). Available at: </w:t>
      </w:r>
      <w:hyperlink r:id="R6a4a3c4065af4050">
        <w:r w:rsidRPr="0EE76D2C" w:rsidR="00791E9B">
          <w:rPr>
            <w:rFonts w:ascii="Arial" w:hAnsi="Arial" w:eastAsia="Arial" w:cs="Arial"/>
            <w:b w:val="1"/>
            <w:bCs w:val="1"/>
            <w:color w:val="1155CC"/>
            <w:sz w:val="24"/>
            <w:szCs w:val="24"/>
            <w:u w:val="single"/>
          </w:rPr>
          <w:t>https://www.sec.gov/Archives/edgar/data/0001318605/000162828024043486/tsla-20240930.htm</w:t>
        </w:r>
      </w:hyperlink>
      <w:r w:rsidRPr="0EE76D2C" w:rsidR="00791E9B">
        <w:rPr>
          <w:rFonts w:ascii="Arial" w:hAnsi="Arial" w:eastAsia="Arial" w:cs="Arial"/>
          <w:b w:val="1"/>
          <w:bCs w:val="1"/>
          <w:sz w:val="24"/>
          <w:szCs w:val="24"/>
        </w:rPr>
        <w:t xml:space="preserve"> (Accessed: 1</w:t>
      </w:r>
      <w:r w:rsidRPr="0EE76D2C" w:rsidR="0BC13DA1">
        <w:rPr>
          <w:rFonts w:ascii="Arial" w:hAnsi="Arial" w:eastAsia="Arial" w:cs="Arial"/>
          <w:b w:val="1"/>
          <w:bCs w:val="1"/>
          <w:sz w:val="24"/>
          <w:szCs w:val="24"/>
        </w:rPr>
        <w:t>4</w:t>
      </w:r>
      <w:r w:rsidRPr="0EE76D2C" w:rsidR="00791E9B">
        <w:rPr>
          <w:rFonts w:ascii="Arial" w:hAnsi="Arial" w:eastAsia="Arial" w:cs="Arial"/>
          <w:b w:val="1"/>
          <w:bCs w:val="1"/>
          <w:sz w:val="24"/>
          <w:szCs w:val="24"/>
        </w:rPr>
        <w:t xml:space="preserve"> </w:t>
      </w:r>
      <w:r w:rsidRPr="0EE76D2C" w:rsidR="67F5DC41">
        <w:rPr>
          <w:rFonts w:ascii="Arial" w:hAnsi="Arial" w:eastAsia="Arial" w:cs="Arial"/>
          <w:b w:val="1"/>
          <w:bCs w:val="1"/>
          <w:sz w:val="24"/>
          <w:szCs w:val="24"/>
        </w:rPr>
        <w:t>June 2026</w:t>
      </w:r>
      <w:r w:rsidRPr="0EE76D2C" w:rsidR="00791E9B">
        <w:rPr>
          <w:rFonts w:ascii="Arial" w:hAnsi="Arial" w:eastAsia="Arial" w:cs="Arial"/>
          <w:b w:val="1"/>
          <w:bCs w:val="1"/>
          <w:sz w:val="24"/>
          <w:szCs w:val="24"/>
        </w:rPr>
        <w:t>).</w:t>
      </w:r>
    </w:p>
    <w:p w:rsidRPr="00791E9B" w:rsidR="00791E9B" w:rsidP="0EE76D2C" w:rsidRDefault="00791E9B" w14:paraId="1C4688A5" w14:textId="7068E2BF">
      <w:pPr>
        <w:spacing w:after="140" w:line="360" w:lineRule="auto"/>
        <w:jc w:val="both"/>
        <w:rPr>
          <w:rFonts w:ascii="Arial" w:hAnsi="Arial" w:eastAsia="Arial" w:cs="Arial"/>
          <w:b w:val="1"/>
          <w:bCs w:val="1"/>
          <w:sz w:val="24"/>
          <w:szCs w:val="24"/>
        </w:rPr>
      </w:pPr>
      <w:r w:rsidRPr="0EE76D2C" w:rsidR="00791E9B">
        <w:rPr>
          <w:rFonts w:ascii="Arial" w:hAnsi="Arial" w:eastAsia="Arial" w:cs="Arial"/>
          <w:b w:val="1"/>
          <w:bCs w:val="1"/>
          <w:sz w:val="24"/>
          <w:szCs w:val="24"/>
        </w:rPr>
        <w:t xml:space="preserve">The Sustainable Innovation (2026) Tesla Sustainability 2025: Circular Energy and Net Zero Goals. Available at: </w:t>
      </w:r>
      <w:hyperlink r:id="R1aa5f1bfb3f04c6a">
        <w:r w:rsidRPr="0EE76D2C" w:rsidR="00791E9B">
          <w:rPr>
            <w:rFonts w:ascii="Arial" w:hAnsi="Arial" w:eastAsia="Arial" w:cs="Arial"/>
            <w:b w:val="1"/>
            <w:bCs w:val="1"/>
            <w:color w:val="1155CC"/>
            <w:sz w:val="24"/>
            <w:szCs w:val="24"/>
            <w:u w:val="single"/>
          </w:rPr>
          <w:t>https://thesustainableinnovation.com/tesla-sustainability/</w:t>
        </w:r>
      </w:hyperlink>
      <w:r w:rsidRPr="0EE76D2C" w:rsidR="00791E9B">
        <w:rPr>
          <w:rFonts w:ascii="Arial" w:hAnsi="Arial" w:eastAsia="Arial" w:cs="Arial"/>
          <w:b w:val="1"/>
          <w:bCs w:val="1"/>
          <w:sz w:val="24"/>
          <w:szCs w:val="24"/>
        </w:rPr>
        <w:t xml:space="preserve"> (Accessed: </w:t>
      </w:r>
      <w:r w:rsidRPr="0EE76D2C" w:rsidR="27B48EE5">
        <w:rPr>
          <w:rFonts w:ascii="Arial" w:hAnsi="Arial" w:eastAsia="Arial" w:cs="Arial"/>
          <w:b w:val="1"/>
          <w:bCs w:val="1"/>
          <w:sz w:val="24"/>
          <w:szCs w:val="24"/>
        </w:rPr>
        <w:t xml:space="preserve">13 </w:t>
      </w:r>
      <w:r w:rsidRPr="0EE76D2C" w:rsidR="36184E56">
        <w:rPr>
          <w:rFonts w:ascii="Arial" w:hAnsi="Arial" w:eastAsia="Arial" w:cs="Arial"/>
          <w:b w:val="1"/>
          <w:bCs w:val="1"/>
          <w:sz w:val="24"/>
          <w:szCs w:val="24"/>
        </w:rPr>
        <w:t xml:space="preserve">June </w:t>
      </w:r>
      <w:r w:rsidRPr="0EE76D2C" w:rsidR="00791E9B">
        <w:rPr>
          <w:rFonts w:ascii="Arial" w:hAnsi="Arial" w:eastAsia="Arial" w:cs="Arial"/>
          <w:b w:val="1"/>
          <w:bCs w:val="1"/>
          <w:sz w:val="24"/>
          <w:szCs w:val="24"/>
        </w:rPr>
        <w:t>2026).</w:t>
      </w:r>
    </w:p>
    <w:p w:rsidRPr="00791E9B" w:rsidR="00791E9B" w:rsidP="0EE76D2C" w:rsidRDefault="00791E9B" w14:paraId="58F4DCFC" w14:textId="4447F4DD">
      <w:pPr>
        <w:spacing w:after="140" w:line="360" w:lineRule="auto"/>
        <w:jc w:val="both"/>
        <w:rPr>
          <w:rFonts w:ascii="Arial" w:hAnsi="Arial" w:eastAsia="Arial" w:cs="Arial"/>
          <w:b w:val="1"/>
          <w:bCs w:val="1"/>
          <w:sz w:val="24"/>
          <w:szCs w:val="24"/>
        </w:rPr>
      </w:pPr>
      <w:r w:rsidRPr="0EE76D2C" w:rsidR="00791E9B">
        <w:rPr>
          <w:rFonts w:ascii="Arial" w:hAnsi="Arial" w:eastAsia="Arial" w:cs="Arial"/>
          <w:b w:val="1"/>
          <w:bCs w:val="1"/>
          <w:sz w:val="24"/>
          <w:szCs w:val="24"/>
        </w:rPr>
        <w:t xml:space="preserve">Wan, J. and Bharti, M. (2025) ‘From Price to Quantity: Redefining How Consumers Pay the Ethical Premium’, Journal of Business Ethics. Available at: </w:t>
      </w:r>
      <w:hyperlink r:id="R578831f98f4b467d">
        <w:r w:rsidRPr="0EE76D2C" w:rsidR="00791E9B">
          <w:rPr>
            <w:rFonts w:ascii="Arial" w:hAnsi="Arial" w:eastAsia="Arial" w:cs="Arial"/>
            <w:b w:val="1"/>
            <w:bCs w:val="1"/>
            <w:color w:val="1155CC"/>
            <w:sz w:val="24"/>
            <w:szCs w:val="24"/>
            <w:u w:val="single"/>
          </w:rPr>
          <w:t>https://link.springer.com/article/10.1007/s10551-025-06178-4</w:t>
        </w:r>
      </w:hyperlink>
      <w:r w:rsidRPr="0EE76D2C" w:rsidR="00791E9B">
        <w:rPr>
          <w:rFonts w:ascii="Arial" w:hAnsi="Arial" w:eastAsia="Arial" w:cs="Arial"/>
          <w:b w:val="1"/>
          <w:bCs w:val="1"/>
          <w:sz w:val="24"/>
          <w:szCs w:val="24"/>
        </w:rPr>
        <w:t xml:space="preserve"> (Accessed: </w:t>
      </w:r>
      <w:r w:rsidRPr="0EE76D2C" w:rsidR="4BBA70C3">
        <w:rPr>
          <w:rFonts w:ascii="Arial" w:hAnsi="Arial" w:eastAsia="Arial" w:cs="Arial"/>
          <w:b w:val="1"/>
          <w:bCs w:val="1"/>
          <w:sz w:val="24"/>
          <w:szCs w:val="24"/>
        </w:rPr>
        <w:t>20</w:t>
      </w:r>
      <w:r w:rsidRPr="0EE76D2C" w:rsidR="00791E9B">
        <w:rPr>
          <w:rFonts w:ascii="Arial" w:hAnsi="Arial" w:eastAsia="Arial" w:cs="Arial"/>
          <w:b w:val="1"/>
          <w:bCs w:val="1"/>
          <w:sz w:val="24"/>
          <w:szCs w:val="24"/>
        </w:rPr>
        <w:t xml:space="preserve"> </w:t>
      </w:r>
      <w:r w:rsidRPr="0EE76D2C" w:rsidR="3B30C416">
        <w:rPr>
          <w:rFonts w:ascii="Arial" w:hAnsi="Arial" w:eastAsia="Arial" w:cs="Arial"/>
          <w:b w:val="1"/>
          <w:bCs w:val="1"/>
          <w:sz w:val="24"/>
          <w:szCs w:val="24"/>
        </w:rPr>
        <w:t>June</w:t>
      </w:r>
      <w:r w:rsidRPr="0EE76D2C" w:rsidR="00791E9B">
        <w:rPr>
          <w:rFonts w:ascii="Arial" w:hAnsi="Arial" w:eastAsia="Arial" w:cs="Arial"/>
          <w:b w:val="1"/>
          <w:bCs w:val="1"/>
          <w:sz w:val="24"/>
          <w:szCs w:val="24"/>
        </w:rPr>
        <w:t xml:space="preserve"> 2026).</w:t>
      </w:r>
    </w:p>
    <w:p w:rsidRPr="00791E9B" w:rsidR="00791E9B" w:rsidP="0EE76D2C" w:rsidRDefault="00791E9B" w14:paraId="44CE8E7B" w14:textId="27B00500">
      <w:pPr>
        <w:pStyle w:val="Normal"/>
        <w:suppressLineNumbers w:val="0"/>
        <w:bidi w:val="0"/>
        <w:spacing w:before="0" w:beforeAutospacing="off" w:after="140" w:afterAutospacing="off" w:line="360" w:lineRule="auto"/>
        <w:ind w:left="0" w:right="0"/>
        <w:jc w:val="both"/>
        <w:rPr>
          <w:rFonts w:ascii="Arial" w:hAnsi="Arial" w:eastAsia="Arial" w:cs="Arial"/>
          <w:b w:val="1"/>
          <w:bCs w:val="1"/>
          <w:sz w:val="24"/>
          <w:szCs w:val="24"/>
        </w:rPr>
      </w:pPr>
      <w:r w:rsidRPr="0EE76D2C" w:rsidR="00791E9B">
        <w:rPr>
          <w:rFonts w:ascii="Arial" w:hAnsi="Arial" w:eastAsia="Arial" w:cs="Arial"/>
          <w:b w:val="1"/>
          <w:bCs w:val="1"/>
          <w:sz w:val="24"/>
          <w:szCs w:val="24"/>
        </w:rPr>
        <w:t xml:space="preserve">Yang, H. (2025) ‘Analysis of Tesla’s Sustainable Development Strategy from the Perspective of ESG’, SHS Web of Conferences, 225, 03029. Available at: </w:t>
      </w:r>
      <w:hyperlink r:id="R652ad31560dd4c74">
        <w:r w:rsidRPr="0EE76D2C" w:rsidR="00791E9B">
          <w:rPr>
            <w:rFonts w:ascii="Arial" w:hAnsi="Arial" w:eastAsia="Arial" w:cs="Arial"/>
            <w:b w:val="1"/>
            <w:bCs w:val="1"/>
            <w:color w:val="1155CC"/>
            <w:sz w:val="24"/>
            <w:szCs w:val="24"/>
            <w:u w:val="single"/>
          </w:rPr>
          <w:t>https://www.shs-conferences.org/articles/shsconf/pdf/2025/16/shsconf_icfmde2025_03029.pdf</w:t>
        </w:r>
      </w:hyperlink>
      <w:r w:rsidRPr="0EE76D2C" w:rsidR="00791E9B">
        <w:rPr>
          <w:rFonts w:ascii="Arial" w:hAnsi="Arial" w:eastAsia="Arial" w:cs="Arial"/>
          <w:b w:val="1"/>
          <w:bCs w:val="1"/>
          <w:sz w:val="24"/>
          <w:szCs w:val="24"/>
        </w:rPr>
        <w:t xml:space="preserve"> (Accessed: </w:t>
      </w:r>
      <w:r w:rsidRPr="0EE76D2C" w:rsidR="5071DD60">
        <w:rPr>
          <w:rFonts w:ascii="Arial" w:hAnsi="Arial" w:eastAsia="Arial" w:cs="Arial"/>
          <w:b w:val="1"/>
          <w:bCs w:val="1"/>
          <w:sz w:val="24"/>
          <w:szCs w:val="24"/>
        </w:rPr>
        <w:t>27 Lune</w:t>
      </w:r>
      <w:r w:rsidRPr="0EE76D2C" w:rsidR="00791E9B">
        <w:rPr>
          <w:rFonts w:ascii="Arial" w:hAnsi="Arial" w:eastAsia="Arial" w:cs="Arial"/>
          <w:b w:val="1"/>
          <w:bCs w:val="1"/>
          <w:sz w:val="24"/>
          <w:szCs w:val="24"/>
        </w:rPr>
        <w:t xml:space="preserve"> 2026).</w:t>
      </w:r>
    </w:p>
    <w:p w:rsidRPr="00791E9B" w:rsidR="00791E9B" w:rsidP="0EE76D2C" w:rsidRDefault="00791E9B" w14:paraId="093BCCD3" w14:textId="77777777">
      <w:pPr>
        <w:spacing w:line="360" w:lineRule="auto"/>
        <w:jc w:val="both"/>
        <w:rPr>
          <w:rFonts w:ascii="Arial" w:hAnsi="Arial" w:eastAsia="Arial" w:cs="Arial"/>
          <w:sz w:val="24"/>
          <w:szCs w:val="24"/>
          <w:lang w:eastAsia="en-US"/>
        </w:rPr>
      </w:pPr>
    </w:p>
    <w:sectPr w:rsidRPr="00791E9B" w:rsidR="00791E9B">
      <w:footerReference w:type="default" r:id="rId23"/>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FA01F6" w:rsidP="00791E9B" w:rsidRDefault="00FA01F6" w14:paraId="2AA36D9F" w14:textId="77777777">
      <w:r>
        <w:separator/>
      </w:r>
    </w:p>
  </w:endnote>
  <w:endnote w:type="continuationSeparator" w:id="0">
    <w:p w:rsidR="00FA01F6" w:rsidP="00791E9B" w:rsidRDefault="00FA01F6" w14:paraId="59BE23DB"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6134192"/>
      <w:docPartObj>
        <w:docPartGallery w:val="Page Numbers (Bottom of Page)"/>
        <w:docPartUnique/>
      </w:docPartObj>
    </w:sdtPr>
    <w:sdtEndPr>
      <w:rPr>
        <w:color w:val="7F7F7F" w:themeColor="background1" w:themeShade="7F"/>
        <w:spacing w:val="60"/>
      </w:rPr>
    </w:sdtEndPr>
    <w:sdtContent>
      <w:p w:rsidR="00791E9B" w:rsidRDefault="00791E9B" w14:paraId="1A4F314C" w14:textId="381E68ED">
        <w:pPr>
          <w:pStyle w:val="Subsol"/>
          <w:pBdr>
            <w:top w:val="single" w:color="D9D9D9" w:themeColor="background1" w:themeShade="D9" w:sz="4" w:space="1"/>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rsidR="00791E9B" w:rsidRDefault="00791E9B" w14:paraId="56DA3850" w14:textId="77777777">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FA01F6" w:rsidP="00791E9B" w:rsidRDefault="00FA01F6" w14:paraId="710670C5" w14:textId="77777777">
      <w:r>
        <w:separator/>
      </w:r>
    </w:p>
  </w:footnote>
  <w:footnote w:type="continuationSeparator" w:id="0">
    <w:p w:rsidR="00FA01F6" w:rsidP="00791E9B" w:rsidRDefault="00FA01F6" w14:paraId="5497D797"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2">
    <w:nsid w:val="302aab3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27FF1E7B"/>
    <w:multiLevelType w:val="hybridMultilevel"/>
    <w:tmpl w:val="1950897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7B356D33"/>
    <w:multiLevelType w:val="hybridMultilevel"/>
    <w:tmpl w:val="06F8C194"/>
    <w:lvl w:ilvl="0" w:tplc="D72419FA">
      <w:start w:val="1"/>
      <w:numFmt w:val="decimal"/>
      <w:lvlText w:val="%1."/>
      <w:lvlJc w:val="left"/>
      <w:pPr>
        <w:ind w:left="720" w:hanging="360"/>
      </w:pPr>
    </w:lvl>
    <w:lvl w:ilvl="1" w:tplc="DAF80052">
      <w:numFmt w:val="decimal"/>
      <w:lvlText w:val=""/>
      <w:lvlJc w:val="left"/>
    </w:lvl>
    <w:lvl w:ilvl="2" w:tplc="9A52AC72">
      <w:numFmt w:val="decimal"/>
      <w:lvlText w:val=""/>
      <w:lvlJc w:val="left"/>
    </w:lvl>
    <w:lvl w:ilvl="3" w:tplc="0152E912">
      <w:numFmt w:val="decimal"/>
      <w:lvlText w:val=""/>
      <w:lvlJc w:val="left"/>
    </w:lvl>
    <w:lvl w:ilvl="4" w:tplc="D67A8ADE">
      <w:numFmt w:val="decimal"/>
      <w:lvlText w:val=""/>
      <w:lvlJc w:val="left"/>
    </w:lvl>
    <w:lvl w:ilvl="5" w:tplc="0B28664E">
      <w:numFmt w:val="decimal"/>
      <w:lvlText w:val=""/>
      <w:lvlJc w:val="left"/>
    </w:lvl>
    <w:lvl w:ilvl="6" w:tplc="17822A80">
      <w:numFmt w:val="decimal"/>
      <w:lvlText w:val=""/>
      <w:lvlJc w:val="left"/>
    </w:lvl>
    <w:lvl w:ilvl="7" w:tplc="C8700186">
      <w:numFmt w:val="decimal"/>
      <w:lvlText w:val=""/>
      <w:lvlJc w:val="left"/>
    </w:lvl>
    <w:lvl w:ilvl="8" w:tplc="D0E67F1C">
      <w:numFmt w:val="decimal"/>
      <w:lvlText w:val=""/>
      <w:lvlJc w:val="left"/>
    </w:lvl>
  </w:abstractNum>
  <w:num w:numId="3">
    <w:abstractNumId w:val="2"/>
  </w:num>
  <w:num w:numId="1" w16cid:durableId="121771239">
    <w:abstractNumId w:val="0"/>
  </w:num>
  <w:num w:numId="2" w16cid:durableId="514420196">
    <w:abstractNumId w:val="1"/>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66"/>
  <w:stylePaneFormatFilter w:val="1324" w:allStyles="0" w:customStyles="0" w:latentStyles="1" w:stylesInUse="0" w:headingStyles="1" w:numberingStyles="0" w:tableStyles="0" w:directFormattingOnRuns="1" w:directFormattingOnParagraphs="1" w:directFormattingOnNumbering="0" w:directFormattingOnTables="0" w:clearFormatting="1" w:top3HeadingStyles="0" w:visibleStyles="0" w:alternateStyleNames="0"/>
  <w:stylePaneSortMethod w:val="0002"/>
  <w:revisionView w:inkAnnotations="0"/>
  <w:trackRevisions w:val="false"/>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1E9B"/>
    <w:rsid w:val="0000327D"/>
    <w:rsid w:val="00006CC2"/>
    <w:rsid w:val="00021BFA"/>
    <w:rsid w:val="0002417F"/>
    <w:rsid w:val="00030239"/>
    <w:rsid w:val="00056C81"/>
    <w:rsid w:val="00062B20"/>
    <w:rsid w:val="000A66E9"/>
    <w:rsid w:val="000B1537"/>
    <w:rsid w:val="000B3454"/>
    <w:rsid w:val="000C16A1"/>
    <w:rsid w:val="000D4875"/>
    <w:rsid w:val="000E5160"/>
    <w:rsid w:val="001060F4"/>
    <w:rsid w:val="001144E9"/>
    <w:rsid w:val="001A0255"/>
    <w:rsid w:val="001B4925"/>
    <w:rsid w:val="001B5446"/>
    <w:rsid w:val="001C2164"/>
    <w:rsid w:val="001C3484"/>
    <w:rsid w:val="002321A8"/>
    <w:rsid w:val="00237007"/>
    <w:rsid w:val="002425AA"/>
    <w:rsid w:val="00264955"/>
    <w:rsid w:val="00273A19"/>
    <w:rsid w:val="00287E23"/>
    <w:rsid w:val="00290864"/>
    <w:rsid w:val="00292049"/>
    <w:rsid w:val="002953C5"/>
    <w:rsid w:val="002B5B65"/>
    <w:rsid w:val="002C10D1"/>
    <w:rsid w:val="002D2A72"/>
    <w:rsid w:val="00301500"/>
    <w:rsid w:val="003309AC"/>
    <w:rsid w:val="00381764"/>
    <w:rsid w:val="00385A3A"/>
    <w:rsid w:val="003E4C21"/>
    <w:rsid w:val="003E74F3"/>
    <w:rsid w:val="003E7C27"/>
    <w:rsid w:val="004016C4"/>
    <w:rsid w:val="00407D6F"/>
    <w:rsid w:val="00424958"/>
    <w:rsid w:val="004265A7"/>
    <w:rsid w:val="004362D0"/>
    <w:rsid w:val="00444465"/>
    <w:rsid w:val="00447CD3"/>
    <w:rsid w:val="0045527C"/>
    <w:rsid w:val="00480D4F"/>
    <w:rsid w:val="004E7AE4"/>
    <w:rsid w:val="004F0C43"/>
    <w:rsid w:val="00503721"/>
    <w:rsid w:val="00532B06"/>
    <w:rsid w:val="005411FC"/>
    <w:rsid w:val="0055793E"/>
    <w:rsid w:val="00561446"/>
    <w:rsid w:val="00573A85"/>
    <w:rsid w:val="0058074D"/>
    <w:rsid w:val="00592FAC"/>
    <w:rsid w:val="005F4CF7"/>
    <w:rsid w:val="005F78E8"/>
    <w:rsid w:val="00620131"/>
    <w:rsid w:val="00620A0C"/>
    <w:rsid w:val="0063021C"/>
    <w:rsid w:val="00632FA1"/>
    <w:rsid w:val="006455BA"/>
    <w:rsid w:val="00656447"/>
    <w:rsid w:val="00662084"/>
    <w:rsid w:val="0066255A"/>
    <w:rsid w:val="00664263"/>
    <w:rsid w:val="006B0E15"/>
    <w:rsid w:val="006B5294"/>
    <w:rsid w:val="006C0EFB"/>
    <w:rsid w:val="006F2B33"/>
    <w:rsid w:val="006F38F4"/>
    <w:rsid w:val="00732E89"/>
    <w:rsid w:val="00737BFA"/>
    <w:rsid w:val="007439D7"/>
    <w:rsid w:val="00743E3F"/>
    <w:rsid w:val="00754B42"/>
    <w:rsid w:val="00755A9A"/>
    <w:rsid w:val="007701B8"/>
    <w:rsid w:val="007740AA"/>
    <w:rsid w:val="00791E9B"/>
    <w:rsid w:val="007A1A99"/>
    <w:rsid w:val="007A73A4"/>
    <w:rsid w:val="007C24E7"/>
    <w:rsid w:val="00802D85"/>
    <w:rsid w:val="00815EF8"/>
    <w:rsid w:val="008715D3"/>
    <w:rsid w:val="00894899"/>
    <w:rsid w:val="008B6B52"/>
    <w:rsid w:val="008B7DD5"/>
    <w:rsid w:val="008C725A"/>
    <w:rsid w:val="008D14AA"/>
    <w:rsid w:val="008D2118"/>
    <w:rsid w:val="008D22D1"/>
    <w:rsid w:val="008E085F"/>
    <w:rsid w:val="008E236D"/>
    <w:rsid w:val="008E6C21"/>
    <w:rsid w:val="008F2CE7"/>
    <w:rsid w:val="008F5FC6"/>
    <w:rsid w:val="00920A09"/>
    <w:rsid w:val="00923747"/>
    <w:rsid w:val="00927AB7"/>
    <w:rsid w:val="00936B10"/>
    <w:rsid w:val="00952820"/>
    <w:rsid w:val="00963BEA"/>
    <w:rsid w:val="00965564"/>
    <w:rsid w:val="00970FBD"/>
    <w:rsid w:val="009D010E"/>
    <w:rsid w:val="009F254E"/>
    <w:rsid w:val="00A13F4A"/>
    <w:rsid w:val="00A2473C"/>
    <w:rsid w:val="00A57700"/>
    <w:rsid w:val="00A80E3D"/>
    <w:rsid w:val="00A8443D"/>
    <w:rsid w:val="00AC6F2D"/>
    <w:rsid w:val="00AD18BC"/>
    <w:rsid w:val="00AF22DB"/>
    <w:rsid w:val="00AF5DC1"/>
    <w:rsid w:val="00B059B7"/>
    <w:rsid w:val="00B10BAD"/>
    <w:rsid w:val="00B20CBF"/>
    <w:rsid w:val="00B62FF2"/>
    <w:rsid w:val="00B633C6"/>
    <w:rsid w:val="00B76D73"/>
    <w:rsid w:val="00B914E8"/>
    <w:rsid w:val="00B92CF3"/>
    <w:rsid w:val="00BA3B9E"/>
    <w:rsid w:val="00BA64CA"/>
    <w:rsid w:val="00BB1BBE"/>
    <w:rsid w:val="00BD6A1B"/>
    <w:rsid w:val="00C026EE"/>
    <w:rsid w:val="00C11AE1"/>
    <w:rsid w:val="00CD1480"/>
    <w:rsid w:val="00CF1637"/>
    <w:rsid w:val="00D24AF0"/>
    <w:rsid w:val="00D2762F"/>
    <w:rsid w:val="00D4155C"/>
    <w:rsid w:val="00D66C4B"/>
    <w:rsid w:val="00D70D78"/>
    <w:rsid w:val="00D71774"/>
    <w:rsid w:val="00D71C5B"/>
    <w:rsid w:val="00D82B79"/>
    <w:rsid w:val="00D87E5C"/>
    <w:rsid w:val="00DA1F53"/>
    <w:rsid w:val="00E0022D"/>
    <w:rsid w:val="00E23EA1"/>
    <w:rsid w:val="00E37579"/>
    <w:rsid w:val="00E5207B"/>
    <w:rsid w:val="00E82A89"/>
    <w:rsid w:val="00E83E1C"/>
    <w:rsid w:val="00E91339"/>
    <w:rsid w:val="00EC79C8"/>
    <w:rsid w:val="00F2049C"/>
    <w:rsid w:val="00F3263F"/>
    <w:rsid w:val="00F56FF4"/>
    <w:rsid w:val="00F81267"/>
    <w:rsid w:val="00F86254"/>
    <w:rsid w:val="00FA01F6"/>
    <w:rsid w:val="00FF0888"/>
    <w:rsid w:val="01673102"/>
    <w:rsid w:val="019964F4"/>
    <w:rsid w:val="01D90046"/>
    <w:rsid w:val="03C2C777"/>
    <w:rsid w:val="045F53B4"/>
    <w:rsid w:val="0482A26A"/>
    <w:rsid w:val="048CB0A6"/>
    <w:rsid w:val="04B9A9FB"/>
    <w:rsid w:val="054BF158"/>
    <w:rsid w:val="05CC138C"/>
    <w:rsid w:val="0602C950"/>
    <w:rsid w:val="0669E6A9"/>
    <w:rsid w:val="06853905"/>
    <w:rsid w:val="068D5B8D"/>
    <w:rsid w:val="06C5BA74"/>
    <w:rsid w:val="070408DF"/>
    <w:rsid w:val="071E3EB9"/>
    <w:rsid w:val="072A1C05"/>
    <w:rsid w:val="07E46D87"/>
    <w:rsid w:val="08127772"/>
    <w:rsid w:val="091C0367"/>
    <w:rsid w:val="0A2ABACA"/>
    <w:rsid w:val="0A745C09"/>
    <w:rsid w:val="0A78A822"/>
    <w:rsid w:val="0AA7C47F"/>
    <w:rsid w:val="0B25950B"/>
    <w:rsid w:val="0BC13DA1"/>
    <w:rsid w:val="0BC96C3E"/>
    <w:rsid w:val="0C520A30"/>
    <w:rsid w:val="0DEC761F"/>
    <w:rsid w:val="0EE76D2C"/>
    <w:rsid w:val="0F3A87E9"/>
    <w:rsid w:val="0FF8BEBB"/>
    <w:rsid w:val="1037918C"/>
    <w:rsid w:val="10B4653D"/>
    <w:rsid w:val="10E5A627"/>
    <w:rsid w:val="12881FC6"/>
    <w:rsid w:val="12B1A714"/>
    <w:rsid w:val="12B2520B"/>
    <w:rsid w:val="13A18B4A"/>
    <w:rsid w:val="14804896"/>
    <w:rsid w:val="1590DD0A"/>
    <w:rsid w:val="1716D75F"/>
    <w:rsid w:val="174A78E8"/>
    <w:rsid w:val="17876291"/>
    <w:rsid w:val="17E079C4"/>
    <w:rsid w:val="1A51AB83"/>
    <w:rsid w:val="1B9E64F5"/>
    <w:rsid w:val="1C6BCE00"/>
    <w:rsid w:val="1C722A4C"/>
    <w:rsid w:val="1D199136"/>
    <w:rsid w:val="1EDCF2DD"/>
    <w:rsid w:val="1F249DF5"/>
    <w:rsid w:val="2025DB0E"/>
    <w:rsid w:val="20B3ECD5"/>
    <w:rsid w:val="20B4F20F"/>
    <w:rsid w:val="20C7ABEE"/>
    <w:rsid w:val="217FE144"/>
    <w:rsid w:val="226102FC"/>
    <w:rsid w:val="23000E05"/>
    <w:rsid w:val="23EDF8CD"/>
    <w:rsid w:val="24C496D6"/>
    <w:rsid w:val="26D652B2"/>
    <w:rsid w:val="275707C6"/>
    <w:rsid w:val="27B48EE5"/>
    <w:rsid w:val="27BE4EE1"/>
    <w:rsid w:val="2858A77C"/>
    <w:rsid w:val="293BADCD"/>
    <w:rsid w:val="294DC7A4"/>
    <w:rsid w:val="2AD9B1E6"/>
    <w:rsid w:val="2B7859F4"/>
    <w:rsid w:val="2BE05857"/>
    <w:rsid w:val="2C3E9656"/>
    <w:rsid w:val="2C616DEF"/>
    <w:rsid w:val="2C61B465"/>
    <w:rsid w:val="2D8F3ABE"/>
    <w:rsid w:val="2D91E8DF"/>
    <w:rsid w:val="2DAD789D"/>
    <w:rsid w:val="2E63D562"/>
    <w:rsid w:val="2E72B733"/>
    <w:rsid w:val="2E7C4BDE"/>
    <w:rsid w:val="2E8BD1C6"/>
    <w:rsid w:val="2FB8112E"/>
    <w:rsid w:val="30F51BD1"/>
    <w:rsid w:val="31321280"/>
    <w:rsid w:val="313FF160"/>
    <w:rsid w:val="317CC27B"/>
    <w:rsid w:val="31A2B389"/>
    <w:rsid w:val="3290C512"/>
    <w:rsid w:val="33EE6ACB"/>
    <w:rsid w:val="3464A5CE"/>
    <w:rsid w:val="3560BC2D"/>
    <w:rsid w:val="35CB170C"/>
    <w:rsid w:val="36184E56"/>
    <w:rsid w:val="36AC8625"/>
    <w:rsid w:val="3704BC6A"/>
    <w:rsid w:val="37181C03"/>
    <w:rsid w:val="380D802A"/>
    <w:rsid w:val="391983D3"/>
    <w:rsid w:val="39595914"/>
    <w:rsid w:val="3A53B2F6"/>
    <w:rsid w:val="3A8CB05B"/>
    <w:rsid w:val="3A9B7154"/>
    <w:rsid w:val="3B30C416"/>
    <w:rsid w:val="3D3D0C55"/>
    <w:rsid w:val="3FDFC742"/>
    <w:rsid w:val="3FF12F4C"/>
    <w:rsid w:val="402CA99C"/>
    <w:rsid w:val="406AE0A8"/>
    <w:rsid w:val="406F0BD5"/>
    <w:rsid w:val="41115F87"/>
    <w:rsid w:val="412E8FE4"/>
    <w:rsid w:val="41A63E73"/>
    <w:rsid w:val="41C5C05D"/>
    <w:rsid w:val="426BFDAC"/>
    <w:rsid w:val="428A27A3"/>
    <w:rsid w:val="42966F1C"/>
    <w:rsid w:val="439E966B"/>
    <w:rsid w:val="450E514B"/>
    <w:rsid w:val="45FA315D"/>
    <w:rsid w:val="46070651"/>
    <w:rsid w:val="46D8AD5F"/>
    <w:rsid w:val="479F419A"/>
    <w:rsid w:val="47A4662A"/>
    <w:rsid w:val="47D197B9"/>
    <w:rsid w:val="48662DC9"/>
    <w:rsid w:val="490F3888"/>
    <w:rsid w:val="49EBF1C2"/>
    <w:rsid w:val="4A375E02"/>
    <w:rsid w:val="4AD685A6"/>
    <w:rsid w:val="4B22E6BC"/>
    <w:rsid w:val="4B989546"/>
    <w:rsid w:val="4BAB1243"/>
    <w:rsid w:val="4BBA70C3"/>
    <w:rsid w:val="4C485FBD"/>
    <w:rsid w:val="4C551F9D"/>
    <w:rsid w:val="4CB285D6"/>
    <w:rsid w:val="4F306D9F"/>
    <w:rsid w:val="50327646"/>
    <w:rsid w:val="5071DD60"/>
    <w:rsid w:val="50803D92"/>
    <w:rsid w:val="522C8370"/>
    <w:rsid w:val="53344522"/>
    <w:rsid w:val="54B02618"/>
    <w:rsid w:val="54CB319D"/>
    <w:rsid w:val="55106FF4"/>
    <w:rsid w:val="553AECB3"/>
    <w:rsid w:val="55819D1C"/>
    <w:rsid w:val="5654D9F9"/>
    <w:rsid w:val="568C6314"/>
    <w:rsid w:val="56A59A8B"/>
    <w:rsid w:val="57169576"/>
    <w:rsid w:val="572A4F01"/>
    <w:rsid w:val="573DEBC1"/>
    <w:rsid w:val="57A64578"/>
    <w:rsid w:val="581207AD"/>
    <w:rsid w:val="581357EC"/>
    <w:rsid w:val="588EBBEF"/>
    <w:rsid w:val="58C780BA"/>
    <w:rsid w:val="58E07147"/>
    <w:rsid w:val="59AD1855"/>
    <w:rsid w:val="59BB4CCF"/>
    <w:rsid w:val="59E69DE6"/>
    <w:rsid w:val="59EFE9C0"/>
    <w:rsid w:val="59FBB2A9"/>
    <w:rsid w:val="5B0482EE"/>
    <w:rsid w:val="5B914713"/>
    <w:rsid w:val="5C1CD67E"/>
    <w:rsid w:val="5CEBB39D"/>
    <w:rsid w:val="5E8BF045"/>
    <w:rsid w:val="5E919988"/>
    <w:rsid w:val="5F4CD3BD"/>
    <w:rsid w:val="5F65616E"/>
    <w:rsid w:val="604361CB"/>
    <w:rsid w:val="60A362E9"/>
    <w:rsid w:val="60E4DF55"/>
    <w:rsid w:val="60ED7978"/>
    <w:rsid w:val="61487F80"/>
    <w:rsid w:val="61817B1D"/>
    <w:rsid w:val="61B1C82D"/>
    <w:rsid w:val="630F97B9"/>
    <w:rsid w:val="639E4727"/>
    <w:rsid w:val="644B66BC"/>
    <w:rsid w:val="6537DF49"/>
    <w:rsid w:val="65993AF4"/>
    <w:rsid w:val="6623BC2D"/>
    <w:rsid w:val="667E9B70"/>
    <w:rsid w:val="672524F7"/>
    <w:rsid w:val="67322B0E"/>
    <w:rsid w:val="67F5DC41"/>
    <w:rsid w:val="6815A0BB"/>
    <w:rsid w:val="68316FBB"/>
    <w:rsid w:val="68D0B02B"/>
    <w:rsid w:val="68E39EFA"/>
    <w:rsid w:val="696CE9F5"/>
    <w:rsid w:val="69DE4989"/>
    <w:rsid w:val="6A22D5C4"/>
    <w:rsid w:val="6AF9EFE5"/>
    <w:rsid w:val="6AFD9991"/>
    <w:rsid w:val="6B7ADFEE"/>
    <w:rsid w:val="6C3DE715"/>
    <w:rsid w:val="6C4ED2A7"/>
    <w:rsid w:val="6D7C58DB"/>
    <w:rsid w:val="6DDE1AF9"/>
    <w:rsid w:val="6E4163B0"/>
    <w:rsid w:val="6F55DABC"/>
    <w:rsid w:val="6FBC29FD"/>
    <w:rsid w:val="6FFBC032"/>
    <w:rsid w:val="700AAD5F"/>
    <w:rsid w:val="70A26FDA"/>
    <w:rsid w:val="70B86FA5"/>
    <w:rsid w:val="7168D902"/>
    <w:rsid w:val="71E60442"/>
    <w:rsid w:val="72026838"/>
    <w:rsid w:val="730E8F4F"/>
    <w:rsid w:val="734A88D5"/>
    <w:rsid w:val="7557BAEC"/>
    <w:rsid w:val="758CBA16"/>
    <w:rsid w:val="75B1323F"/>
    <w:rsid w:val="777B55E7"/>
    <w:rsid w:val="777F713E"/>
    <w:rsid w:val="77B7A5BF"/>
    <w:rsid w:val="77E478A5"/>
    <w:rsid w:val="78063B8C"/>
    <w:rsid w:val="7850EA0E"/>
    <w:rsid w:val="7878C15A"/>
    <w:rsid w:val="78AC73E5"/>
    <w:rsid w:val="78D83FE9"/>
    <w:rsid w:val="79042360"/>
    <w:rsid w:val="792BF2FB"/>
    <w:rsid w:val="79CFEA38"/>
    <w:rsid w:val="79E3FBDC"/>
    <w:rsid w:val="7A05D06C"/>
    <w:rsid w:val="7A82A520"/>
    <w:rsid w:val="7B2DFBA7"/>
    <w:rsid w:val="7BCAF732"/>
    <w:rsid w:val="7BCC2AD1"/>
    <w:rsid w:val="7BDC49F4"/>
    <w:rsid w:val="7C8B264A"/>
    <w:rsid w:val="7D75477F"/>
    <w:rsid w:val="7DCD707D"/>
    <w:rsid w:val="7E891E90"/>
    <w:rsid w:val="7EB5012D"/>
    <w:rsid w:val="7F1AA64E"/>
    <w:rsid w:val="7F6E9C4B"/>
    <w:rsid w:val="7FBC1E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7CEC69"/>
  <w15:chartTrackingRefBased/>
  <w15:docId w15:val="{5782D080-F533-4BD8-9986-D8E423A34C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heme="minorHAnsi" w:cstheme="minorBidi"/>
        <w:b/>
        <w:color w:val="0563C1" w:themeColor="hyperlink"/>
        <w:kern w:val="2"/>
        <w:sz w:val="24"/>
        <w:szCs w:val="24"/>
        <w:u w:val="single"/>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791E9B"/>
    <w:pPr>
      <w:spacing w:after="0" w:line="240" w:lineRule="auto"/>
    </w:pPr>
    <w:rPr>
      <w:rFonts w:ascii="Arial" w:hAnsi="Arial" w:eastAsia="Arial" w:cs="Arial"/>
      <w:b w:val="0"/>
      <w:color w:val="auto"/>
      <w:kern w:val="0"/>
      <w:u w:val="none"/>
      <w:lang w:eastAsia="en-GB"/>
    </w:rPr>
  </w:style>
  <w:style w:type="paragraph" w:styleId="Titlu1">
    <w:name w:val="heading 1"/>
    <w:basedOn w:val="Titlu2"/>
    <w:next w:val="Normal"/>
    <w:link w:val="Titlu1Caracter"/>
    <w:autoRedefine/>
    <w:qFormat/>
    <w:rsid w:val="00CD1480"/>
    <w:pPr>
      <w:keepNext w:val="0"/>
      <w:keepLines w:val="0"/>
      <w:spacing w:before="120" w:after="120"/>
      <w:outlineLvl w:val="0"/>
    </w:pPr>
    <w:rPr>
      <w:rFonts w:cstheme="minorHAnsi"/>
      <w:sz w:val="28"/>
    </w:rPr>
  </w:style>
  <w:style w:type="paragraph" w:styleId="Titlu2">
    <w:name w:val="heading 2"/>
    <w:basedOn w:val="Normal"/>
    <w:next w:val="Normal"/>
    <w:link w:val="Titlu2Caracter"/>
    <w:uiPriority w:val="9"/>
    <w:unhideWhenUsed/>
    <w:qFormat/>
    <w:rsid w:val="00CD1480"/>
    <w:pPr>
      <w:keepNext/>
      <w:keepLines/>
      <w:spacing w:before="80"/>
      <w:outlineLvl w:val="1"/>
    </w:pPr>
    <w:rPr>
      <w:rFonts w:eastAsiaTheme="majorEastAsia" w:cstheme="majorBidi"/>
      <w:b/>
      <w:szCs w:val="28"/>
      <w:lang w:val="en-US"/>
    </w:rPr>
  </w:style>
  <w:style w:type="paragraph" w:styleId="Titlu3">
    <w:name w:val="heading 3"/>
    <w:basedOn w:val="Normal"/>
    <w:next w:val="Normal"/>
    <w:link w:val="Titlu3Caracter"/>
    <w:autoRedefine/>
    <w:uiPriority w:val="9"/>
    <w:unhideWhenUsed/>
    <w:qFormat/>
    <w:rsid w:val="00F2049C"/>
    <w:pPr>
      <w:keepNext/>
      <w:keepLines/>
      <w:spacing w:before="40"/>
      <w:outlineLvl w:val="2"/>
    </w:pPr>
    <w:rPr>
      <w:rFonts w:eastAsiaTheme="majorEastAsia" w:cstheme="majorBidi"/>
      <w:b/>
      <w:noProof/>
      <w:lang w:val="en-US"/>
    </w:rPr>
  </w:style>
  <w:style w:type="paragraph" w:styleId="Titlu4">
    <w:name w:val="heading 4"/>
    <w:basedOn w:val="Normal"/>
    <w:next w:val="Normal"/>
    <w:link w:val="Titlu4Caracter"/>
    <w:uiPriority w:val="9"/>
    <w:semiHidden/>
    <w:unhideWhenUsed/>
    <w:qFormat/>
    <w:rsid w:val="00F2049C"/>
    <w:pPr>
      <w:keepNext/>
      <w:keepLines/>
      <w:spacing w:before="80" w:after="40" w:line="254" w:lineRule="auto"/>
      <w:outlineLvl w:val="3"/>
    </w:pPr>
    <w:rPr>
      <w:rFonts w:eastAsiaTheme="majorEastAsia" w:cstheme="majorBidi"/>
      <w:b/>
      <w:iCs/>
      <w:noProof/>
    </w:rPr>
  </w:style>
  <w:style w:type="paragraph" w:styleId="Titlu5">
    <w:name w:val="heading 5"/>
    <w:basedOn w:val="Normal"/>
    <w:next w:val="Normal"/>
    <w:link w:val="Titlu5Caracter"/>
    <w:uiPriority w:val="9"/>
    <w:semiHidden/>
    <w:unhideWhenUsed/>
    <w:qFormat/>
    <w:rsid w:val="00791E9B"/>
    <w:pPr>
      <w:keepNext/>
      <w:keepLines/>
      <w:spacing w:before="80" w:after="40"/>
      <w:outlineLvl w:val="4"/>
    </w:pPr>
    <w:rPr>
      <w:rFonts w:asciiTheme="minorHAnsi" w:hAnsiTheme="minorHAnsi" w:eastAsiaTheme="majorEastAsia" w:cstheme="majorBidi"/>
      <w:color w:val="2F5496" w:themeColor="accent1" w:themeShade="BF"/>
    </w:rPr>
  </w:style>
  <w:style w:type="paragraph" w:styleId="Titlu6">
    <w:name w:val="heading 6"/>
    <w:basedOn w:val="Normal"/>
    <w:next w:val="Normal"/>
    <w:link w:val="Titlu6Caracter"/>
    <w:uiPriority w:val="9"/>
    <w:semiHidden/>
    <w:unhideWhenUsed/>
    <w:qFormat/>
    <w:rsid w:val="00791E9B"/>
    <w:pPr>
      <w:keepNext/>
      <w:keepLines/>
      <w:spacing w:before="40"/>
      <w:outlineLvl w:val="5"/>
    </w:pPr>
    <w:rPr>
      <w:rFonts w:asciiTheme="minorHAnsi" w:hAnsiTheme="minorHAnsi"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791E9B"/>
    <w:pPr>
      <w:keepNext/>
      <w:keepLines/>
      <w:spacing w:before="40"/>
      <w:outlineLvl w:val="6"/>
    </w:pPr>
    <w:rPr>
      <w:rFonts w:asciiTheme="minorHAnsi" w:hAnsiTheme="minorHAnsi"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791E9B"/>
    <w:pPr>
      <w:keepNext/>
      <w:keepLines/>
      <w:outlineLvl w:val="7"/>
    </w:pPr>
    <w:rPr>
      <w:rFonts w:asciiTheme="minorHAnsi" w:hAnsiTheme="minorHAnsi"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791E9B"/>
    <w:pPr>
      <w:keepNext/>
      <w:keepLines/>
      <w:outlineLvl w:val="8"/>
    </w:pPr>
    <w:rPr>
      <w:rFonts w:asciiTheme="minorHAnsi" w:hAnsiTheme="minorHAnsi" w:eastAsiaTheme="majorEastAsia" w:cstheme="majorBidi"/>
      <w:color w:val="272727" w:themeColor="text1" w:themeTint="D8"/>
    </w:rPr>
  </w:style>
  <w:style w:type="character" w:styleId="Fontdeparagrafimplicit" w:default="1">
    <w:name w:val="Default Paragraph Font"/>
    <w:uiPriority w:val="1"/>
    <w:semiHidden/>
    <w:unhideWhenUsed/>
  </w:style>
  <w:style w:type="table" w:styleId="TabelNormal" w:default="1">
    <w:name w:val="Normal Table"/>
    <w:uiPriority w:val="99"/>
    <w:semiHidden/>
    <w:unhideWhenUsed/>
    <w:tblPr>
      <w:tblInd w:w="0" w:type="dxa"/>
      <w:tblCellMar>
        <w:top w:w="0" w:type="dxa"/>
        <w:left w:w="108" w:type="dxa"/>
        <w:bottom w:w="0" w:type="dxa"/>
        <w:right w:w="108" w:type="dxa"/>
      </w:tblCellMar>
    </w:tblPr>
  </w:style>
  <w:style w:type="numbering" w:styleId="FrListare" w:default="1">
    <w:name w:val="No List"/>
    <w:uiPriority w:val="99"/>
    <w:semiHidden/>
    <w:unhideWhenUsed/>
  </w:style>
  <w:style w:type="character" w:styleId="Titlu1Caracter" w:customStyle="1">
    <w:name w:val="Titlu 1 Caracter"/>
    <w:basedOn w:val="Fontdeparagrafimplicit"/>
    <w:link w:val="Titlu1"/>
    <w:rsid w:val="00CD1480"/>
    <w:rPr>
      <w:rFonts w:eastAsiaTheme="majorEastAsia" w:cstheme="minorHAnsi"/>
      <w:color w:val="auto"/>
      <w:kern w:val="0"/>
      <w:sz w:val="28"/>
      <w:szCs w:val="28"/>
      <w:u w:val="none"/>
      <w:lang w:val="en-US" w:eastAsia="en-GB"/>
    </w:rPr>
  </w:style>
  <w:style w:type="character" w:styleId="Titlu2Caracter" w:customStyle="1">
    <w:name w:val="Titlu 2 Caracter"/>
    <w:basedOn w:val="Fontdeparagrafimplicit"/>
    <w:link w:val="Titlu2"/>
    <w:uiPriority w:val="9"/>
    <w:rsid w:val="00CD1480"/>
    <w:rPr>
      <w:rFonts w:eastAsiaTheme="majorEastAsia" w:cstheme="majorBidi"/>
      <w:color w:val="auto"/>
      <w:kern w:val="0"/>
      <w:szCs w:val="28"/>
      <w:u w:val="none"/>
      <w:lang w:val="en-US" w:eastAsia="en-GB"/>
    </w:rPr>
  </w:style>
  <w:style w:type="character" w:styleId="Titlu3Caracter" w:customStyle="1">
    <w:name w:val="Titlu 3 Caracter"/>
    <w:basedOn w:val="Fontdeparagrafimplicit"/>
    <w:link w:val="Titlu3"/>
    <w:uiPriority w:val="9"/>
    <w:rsid w:val="00F2049C"/>
    <w:rPr>
      <w:rFonts w:eastAsiaTheme="majorEastAsia" w:cstheme="majorBidi"/>
      <w:noProof/>
      <w:color w:val="000000" w:themeColor="text1"/>
      <w:u w:val="none"/>
      <w:lang w:val="en-US"/>
    </w:rPr>
  </w:style>
  <w:style w:type="character" w:styleId="Titlu4Caracter" w:customStyle="1">
    <w:name w:val="Titlu 4 Caracter"/>
    <w:basedOn w:val="Fontdeparagrafimplicit"/>
    <w:link w:val="Titlu4"/>
    <w:uiPriority w:val="9"/>
    <w:semiHidden/>
    <w:rsid w:val="00F2049C"/>
    <w:rPr>
      <w:rFonts w:eastAsiaTheme="majorEastAsia" w:cstheme="majorBidi"/>
      <w:iCs/>
      <w:noProof/>
      <w:color w:val="000000" w:themeColor="text1"/>
      <w:u w:val="none"/>
    </w:rPr>
  </w:style>
  <w:style w:type="paragraph" w:styleId="Titlu">
    <w:name w:val="Title"/>
    <w:basedOn w:val="Normal"/>
    <w:next w:val="Normal"/>
    <w:link w:val="TitluCaracter"/>
    <w:uiPriority w:val="10"/>
    <w:qFormat/>
    <w:rsid w:val="008F5FC6"/>
    <w:pPr>
      <w:spacing w:after="80"/>
      <w:contextualSpacing/>
    </w:pPr>
    <w:rPr>
      <w:rFonts w:asciiTheme="majorHAnsi" w:hAnsiTheme="majorHAnsi" w:eastAsiaTheme="majorEastAsia" w:cstheme="majorBidi"/>
      <w:spacing w:val="-10"/>
      <w:kern w:val="28"/>
      <w:sz w:val="56"/>
      <w:szCs w:val="56"/>
    </w:rPr>
  </w:style>
  <w:style w:type="character" w:styleId="TitluCaracter" w:customStyle="1">
    <w:name w:val="Titlu Caracter"/>
    <w:basedOn w:val="Fontdeparagrafimplicit"/>
    <w:link w:val="Titlu"/>
    <w:uiPriority w:val="10"/>
    <w:rsid w:val="008F5FC6"/>
    <w:rPr>
      <w:rFonts w:asciiTheme="majorHAnsi" w:hAnsiTheme="majorHAnsi" w:eastAsiaTheme="majorEastAsia" w:cstheme="majorBidi"/>
      <w:color w:val="auto"/>
      <w:spacing w:val="-10"/>
      <w:kern w:val="28"/>
      <w:sz w:val="56"/>
      <w:szCs w:val="56"/>
    </w:rPr>
  </w:style>
  <w:style w:type="paragraph" w:styleId="Deea1" w:customStyle="1">
    <w:name w:val="Deea 1"/>
    <w:basedOn w:val="Titlu1"/>
    <w:link w:val="Deea1Char"/>
    <w:autoRedefine/>
    <w:qFormat/>
    <w:rsid w:val="00927AB7"/>
    <w:rPr>
      <w:bCs/>
      <w:noProof/>
    </w:rPr>
  </w:style>
  <w:style w:type="character" w:styleId="Deea1Char" w:customStyle="1">
    <w:name w:val="Deea 1 Char"/>
    <w:basedOn w:val="Fontdeparagrafimplicit"/>
    <w:link w:val="Deea1"/>
    <w:rsid w:val="00927AB7"/>
    <w:rPr>
      <w:rFonts w:eastAsiaTheme="majorEastAsia" w:cstheme="minorHAnsi"/>
      <w:bCs/>
      <w:noProof/>
      <w:color w:val="auto"/>
      <w:sz w:val="28"/>
      <w:szCs w:val="28"/>
      <w:u w:val="none"/>
    </w:rPr>
  </w:style>
  <w:style w:type="paragraph" w:styleId="Heading11" w:customStyle="1">
    <w:name w:val="Heading 11"/>
    <w:basedOn w:val="Titlu1"/>
    <w:next w:val="Titlu1"/>
    <w:link w:val="Heading11Char"/>
    <w:rsid w:val="00815EF8"/>
    <w:rPr>
      <w:b w:val="0"/>
      <w:bCs/>
    </w:rPr>
  </w:style>
  <w:style w:type="character" w:styleId="Heading11Char" w:customStyle="1">
    <w:name w:val="Heading 11 Char"/>
    <w:basedOn w:val="Fontdeparagrafimplicit"/>
    <w:link w:val="Heading11"/>
    <w:rsid w:val="00815EF8"/>
    <w:rPr>
      <w:rFonts w:eastAsia="Calibri" w:cstheme="minorHAnsi"/>
      <w:bCs/>
      <w:color w:val="000000" w:themeColor="text1"/>
      <w:kern w:val="0"/>
      <w:sz w:val="28"/>
      <w:szCs w:val="28"/>
      <w:u w:val="none"/>
      <w:lang w:val="en-US" w:eastAsia="en-GB"/>
    </w:rPr>
  </w:style>
  <w:style w:type="paragraph" w:styleId="ANDREEA" w:customStyle="1">
    <w:name w:val="ANDREEA"/>
    <w:basedOn w:val="Titlu1"/>
    <w:link w:val="ANDREEAChar"/>
    <w:qFormat/>
    <w:rsid w:val="00D71C5B"/>
    <w:rPr>
      <w:b w:val="0"/>
    </w:rPr>
  </w:style>
  <w:style w:type="character" w:styleId="ANDREEAChar" w:customStyle="1">
    <w:name w:val="ANDREEA Char"/>
    <w:basedOn w:val="Fontdeparagrafimplicit"/>
    <w:link w:val="ANDREEA"/>
    <w:rsid w:val="00D71C5B"/>
    <w:rPr>
      <w:rFonts w:eastAsia="Calibri" w:cstheme="minorHAnsi"/>
      <w:bCs/>
      <w:noProof/>
      <w:color w:val="000000" w:themeColor="text1"/>
      <w:kern w:val="0"/>
      <w:sz w:val="28"/>
      <w:szCs w:val="28"/>
      <w:u w:val="none"/>
      <w:lang w:val="en-US" w:eastAsia="en-GB"/>
    </w:rPr>
  </w:style>
  <w:style w:type="character" w:styleId="Titlu5Caracter" w:customStyle="1">
    <w:name w:val="Titlu 5 Caracter"/>
    <w:basedOn w:val="Fontdeparagrafimplicit"/>
    <w:link w:val="Titlu5"/>
    <w:uiPriority w:val="9"/>
    <w:semiHidden/>
    <w:rsid w:val="00791E9B"/>
    <w:rPr>
      <w:rFonts w:asciiTheme="minorHAnsi" w:hAnsiTheme="minorHAnsi" w:eastAsiaTheme="majorEastAsia" w:cstheme="majorBidi"/>
      <w:b w:val="0"/>
      <w:color w:val="2F5496" w:themeColor="accent1" w:themeShade="BF"/>
      <w:szCs w:val="22"/>
      <w:u w:val="none"/>
    </w:rPr>
  </w:style>
  <w:style w:type="character" w:styleId="Titlu6Caracter" w:customStyle="1">
    <w:name w:val="Titlu 6 Caracter"/>
    <w:basedOn w:val="Fontdeparagrafimplicit"/>
    <w:link w:val="Titlu6"/>
    <w:uiPriority w:val="9"/>
    <w:semiHidden/>
    <w:rsid w:val="00791E9B"/>
    <w:rPr>
      <w:rFonts w:asciiTheme="minorHAnsi" w:hAnsiTheme="minorHAnsi" w:eastAsiaTheme="majorEastAsia" w:cstheme="majorBidi"/>
      <w:b w:val="0"/>
      <w:i/>
      <w:iCs/>
      <w:color w:val="595959" w:themeColor="text1" w:themeTint="A6"/>
      <w:szCs w:val="22"/>
      <w:u w:val="none"/>
    </w:rPr>
  </w:style>
  <w:style w:type="character" w:styleId="Titlu7Caracter" w:customStyle="1">
    <w:name w:val="Titlu 7 Caracter"/>
    <w:basedOn w:val="Fontdeparagrafimplicit"/>
    <w:link w:val="Titlu7"/>
    <w:uiPriority w:val="9"/>
    <w:semiHidden/>
    <w:rsid w:val="00791E9B"/>
    <w:rPr>
      <w:rFonts w:asciiTheme="minorHAnsi" w:hAnsiTheme="minorHAnsi" w:eastAsiaTheme="majorEastAsia" w:cstheme="majorBidi"/>
      <w:b w:val="0"/>
      <w:color w:val="595959" w:themeColor="text1" w:themeTint="A6"/>
      <w:szCs w:val="22"/>
      <w:u w:val="none"/>
    </w:rPr>
  </w:style>
  <w:style w:type="character" w:styleId="Titlu8Caracter" w:customStyle="1">
    <w:name w:val="Titlu 8 Caracter"/>
    <w:basedOn w:val="Fontdeparagrafimplicit"/>
    <w:link w:val="Titlu8"/>
    <w:uiPriority w:val="9"/>
    <w:semiHidden/>
    <w:rsid w:val="00791E9B"/>
    <w:rPr>
      <w:rFonts w:asciiTheme="minorHAnsi" w:hAnsiTheme="minorHAnsi" w:eastAsiaTheme="majorEastAsia" w:cstheme="majorBidi"/>
      <w:b w:val="0"/>
      <w:i/>
      <w:iCs/>
      <w:color w:val="272727" w:themeColor="text1" w:themeTint="D8"/>
      <w:szCs w:val="22"/>
      <w:u w:val="none"/>
    </w:rPr>
  </w:style>
  <w:style w:type="character" w:styleId="Titlu9Caracter" w:customStyle="1">
    <w:name w:val="Titlu 9 Caracter"/>
    <w:basedOn w:val="Fontdeparagrafimplicit"/>
    <w:link w:val="Titlu9"/>
    <w:uiPriority w:val="9"/>
    <w:semiHidden/>
    <w:rsid w:val="00791E9B"/>
    <w:rPr>
      <w:rFonts w:asciiTheme="minorHAnsi" w:hAnsiTheme="minorHAnsi" w:eastAsiaTheme="majorEastAsia" w:cstheme="majorBidi"/>
      <w:b w:val="0"/>
      <w:color w:val="272727" w:themeColor="text1" w:themeTint="D8"/>
      <w:szCs w:val="22"/>
      <w:u w:val="none"/>
    </w:rPr>
  </w:style>
  <w:style w:type="paragraph" w:styleId="Subtitlu">
    <w:name w:val="Subtitle"/>
    <w:basedOn w:val="Normal"/>
    <w:next w:val="Normal"/>
    <w:link w:val="SubtitluCaracter"/>
    <w:uiPriority w:val="11"/>
    <w:qFormat/>
    <w:rsid w:val="00791E9B"/>
    <w:pPr>
      <w:numPr>
        <w:ilvl w:val="1"/>
      </w:numPr>
    </w:pPr>
    <w:rPr>
      <w:rFonts w:asciiTheme="minorHAnsi" w:hAnsiTheme="minorHAnsi" w:eastAsiaTheme="majorEastAsia" w:cstheme="majorBidi"/>
      <w:color w:val="595959" w:themeColor="text1" w:themeTint="A6"/>
      <w:spacing w:val="15"/>
      <w:sz w:val="28"/>
      <w:szCs w:val="28"/>
    </w:rPr>
  </w:style>
  <w:style w:type="character" w:styleId="SubtitluCaracter" w:customStyle="1">
    <w:name w:val="Subtitlu Caracter"/>
    <w:basedOn w:val="Fontdeparagrafimplicit"/>
    <w:link w:val="Subtitlu"/>
    <w:uiPriority w:val="11"/>
    <w:rsid w:val="00791E9B"/>
    <w:rPr>
      <w:rFonts w:asciiTheme="minorHAnsi" w:hAnsiTheme="minorHAnsi" w:eastAsiaTheme="majorEastAsia" w:cstheme="majorBidi"/>
      <w:b w:val="0"/>
      <w:color w:val="595959" w:themeColor="text1" w:themeTint="A6"/>
      <w:spacing w:val="15"/>
      <w:sz w:val="28"/>
      <w:szCs w:val="28"/>
      <w:u w:val="none"/>
    </w:rPr>
  </w:style>
  <w:style w:type="paragraph" w:styleId="Citat">
    <w:name w:val="Quote"/>
    <w:basedOn w:val="Normal"/>
    <w:next w:val="Normal"/>
    <w:link w:val="CitatCaracter"/>
    <w:uiPriority w:val="29"/>
    <w:qFormat/>
    <w:rsid w:val="00791E9B"/>
    <w:pPr>
      <w:spacing w:before="160"/>
      <w:jc w:val="center"/>
    </w:pPr>
    <w:rPr>
      <w:i/>
      <w:iCs/>
      <w:color w:val="404040" w:themeColor="text1" w:themeTint="BF"/>
    </w:rPr>
  </w:style>
  <w:style w:type="character" w:styleId="CitatCaracter" w:customStyle="1">
    <w:name w:val="Citat Caracter"/>
    <w:basedOn w:val="Fontdeparagrafimplicit"/>
    <w:link w:val="Citat"/>
    <w:uiPriority w:val="29"/>
    <w:rsid w:val="00791E9B"/>
    <w:rPr>
      <w:b w:val="0"/>
      <w:i/>
      <w:iCs/>
      <w:color w:val="404040" w:themeColor="text1" w:themeTint="BF"/>
      <w:szCs w:val="22"/>
      <w:u w:val="none"/>
    </w:rPr>
  </w:style>
  <w:style w:type="paragraph" w:styleId="Listparagraf">
    <w:name w:val="List Paragraph"/>
    <w:basedOn w:val="Normal"/>
    <w:qFormat/>
    <w:rsid w:val="00791E9B"/>
    <w:pPr>
      <w:ind w:left="720"/>
      <w:contextualSpacing/>
    </w:pPr>
  </w:style>
  <w:style w:type="character" w:styleId="Accentuareintens">
    <w:name w:val="Intense Emphasis"/>
    <w:basedOn w:val="Fontdeparagrafimplicit"/>
    <w:uiPriority w:val="21"/>
    <w:qFormat/>
    <w:rsid w:val="00791E9B"/>
    <w:rPr>
      <w:i/>
      <w:iCs/>
      <w:color w:val="2F5496" w:themeColor="accent1" w:themeShade="BF"/>
    </w:rPr>
  </w:style>
  <w:style w:type="paragraph" w:styleId="Citatintens">
    <w:name w:val="Intense Quote"/>
    <w:basedOn w:val="Normal"/>
    <w:next w:val="Normal"/>
    <w:link w:val="CitatintensCaracter"/>
    <w:uiPriority w:val="30"/>
    <w:qFormat/>
    <w:rsid w:val="00791E9B"/>
    <w:pPr>
      <w:pBdr>
        <w:top w:val="single" w:color="2F5496" w:themeColor="accent1" w:themeShade="BF" w:sz="4" w:space="10"/>
        <w:bottom w:val="single" w:color="2F5496" w:themeColor="accent1" w:themeShade="BF" w:sz="4" w:space="10"/>
      </w:pBdr>
      <w:spacing w:before="360" w:after="360"/>
      <w:ind w:left="864" w:right="864"/>
      <w:jc w:val="center"/>
    </w:pPr>
    <w:rPr>
      <w:i/>
      <w:iCs/>
      <w:color w:val="2F5496" w:themeColor="accent1" w:themeShade="BF"/>
    </w:rPr>
  </w:style>
  <w:style w:type="character" w:styleId="CitatintensCaracter" w:customStyle="1">
    <w:name w:val="Citat intens Caracter"/>
    <w:basedOn w:val="Fontdeparagrafimplicit"/>
    <w:link w:val="Citatintens"/>
    <w:uiPriority w:val="30"/>
    <w:rsid w:val="00791E9B"/>
    <w:rPr>
      <w:b w:val="0"/>
      <w:i/>
      <w:iCs/>
      <w:color w:val="2F5496" w:themeColor="accent1" w:themeShade="BF"/>
      <w:szCs w:val="22"/>
      <w:u w:val="none"/>
    </w:rPr>
  </w:style>
  <w:style w:type="character" w:styleId="Referireintens">
    <w:name w:val="Intense Reference"/>
    <w:basedOn w:val="Fontdeparagrafimplicit"/>
    <w:uiPriority w:val="32"/>
    <w:qFormat/>
    <w:rsid w:val="00791E9B"/>
    <w:rPr>
      <w:b w:val="0"/>
      <w:bCs/>
      <w:smallCaps/>
      <w:color w:val="2F5496" w:themeColor="accent1" w:themeShade="BF"/>
      <w:spacing w:val="5"/>
    </w:rPr>
  </w:style>
  <w:style w:type="paragraph" w:styleId="Antet">
    <w:name w:val="header"/>
    <w:basedOn w:val="Normal"/>
    <w:link w:val="AntetCaracter"/>
    <w:uiPriority w:val="99"/>
    <w:unhideWhenUsed/>
    <w:rsid w:val="00791E9B"/>
    <w:pPr>
      <w:tabs>
        <w:tab w:val="center" w:pos="4513"/>
        <w:tab w:val="right" w:pos="9026"/>
      </w:tabs>
    </w:pPr>
  </w:style>
  <w:style w:type="character" w:styleId="AntetCaracter" w:customStyle="1">
    <w:name w:val="Antet Caracter"/>
    <w:basedOn w:val="Fontdeparagrafimplicit"/>
    <w:link w:val="Antet"/>
    <w:uiPriority w:val="99"/>
    <w:rsid w:val="00791E9B"/>
    <w:rPr>
      <w:rFonts w:ascii="Arial" w:hAnsi="Arial" w:eastAsia="Arial" w:cs="Arial"/>
      <w:b w:val="0"/>
      <w:color w:val="auto"/>
      <w:kern w:val="0"/>
      <w:u w:val="none"/>
      <w:lang w:eastAsia="en-GB"/>
    </w:rPr>
  </w:style>
  <w:style w:type="paragraph" w:styleId="Subsol">
    <w:name w:val="footer"/>
    <w:basedOn w:val="Normal"/>
    <w:link w:val="SubsolCaracter"/>
    <w:uiPriority w:val="99"/>
    <w:unhideWhenUsed/>
    <w:rsid w:val="00791E9B"/>
    <w:pPr>
      <w:tabs>
        <w:tab w:val="center" w:pos="4513"/>
        <w:tab w:val="right" w:pos="9026"/>
      </w:tabs>
    </w:pPr>
  </w:style>
  <w:style w:type="character" w:styleId="SubsolCaracter" w:customStyle="1">
    <w:name w:val="Subsol Caracter"/>
    <w:basedOn w:val="Fontdeparagrafimplicit"/>
    <w:link w:val="Subsol"/>
    <w:uiPriority w:val="99"/>
    <w:rsid w:val="00791E9B"/>
    <w:rPr>
      <w:rFonts w:ascii="Arial" w:hAnsi="Arial" w:eastAsia="Arial" w:cs="Arial"/>
      <w:b w:val="0"/>
      <w:color w:val="auto"/>
      <w:kern w:val="0"/>
      <w:u w:val="none"/>
      <w:lang w:eastAsia="en-GB"/>
    </w:rPr>
  </w:style>
  <w:style w:type="paragraph" w:styleId="Titlucuprins">
    <w:name w:val="TOC Heading"/>
    <w:basedOn w:val="Titlu1"/>
    <w:next w:val="Normal"/>
    <w:uiPriority w:val="39"/>
    <w:unhideWhenUsed/>
    <w:qFormat/>
    <w:rsid w:val="00791E9B"/>
    <w:pPr>
      <w:keepNext/>
      <w:keepLines/>
      <w:spacing w:before="240" w:after="0" w:line="259" w:lineRule="auto"/>
      <w:outlineLvl w:val="9"/>
    </w:pPr>
    <w:rPr>
      <w:rFonts w:asciiTheme="majorHAnsi" w:hAnsiTheme="majorHAnsi" w:cstheme="majorBidi"/>
      <w:b w:val="0"/>
      <w:color w:val="2F5496" w:themeColor="accent1" w:themeShade="BF"/>
      <w:sz w:val="32"/>
      <w:szCs w:val="32"/>
      <w:lang w:eastAsia="en-US"/>
    </w:rPr>
  </w:style>
  <w:style w:type="paragraph" w:styleId="Cuprins1">
    <w:name w:val="toc 1"/>
    <w:basedOn w:val="Normal"/>
    <w:next w:val="Normal"/>
    <w:autoRedefine/>
    <w:uiPriority w:val="39"/>
    <w:unhideWhenUsed/>
    <w:rsid w:val="00791E9B"/>
    <w:pPr>
      <w:spacing w:after="100"/>
    </w:pPr>
  </w:style>
  <w:style w:type="paragraph" w:styleId="Cuprins2">
    <w:name w:val="toc 2"/>
    <w:basedOn w:val="Normal"/>
    <w:next w:val="Normal"/>
    <w:autoRedefine/>
    <w:uiPriority w:val="39"/>
    <w:unhideWhenUsed/>
    <w:rsid w:val="00791E9B"/>
    <w:pPr>
      <w:spacing w:after="100"/>
      <w:ind w:left="240"/>
    </w:pPr>
  </w:style>
  <w:style w:type="character" w:styleId="Hyperlink">
    <w:name w:val="Hyperlink"/>
    <w:basedOn w:val="Fontdeparagrafimplicit"/>
    <w:uiPriority w:val="99"/>
    <w:unhideWhenUsed/>
    <w:rsid w:val="00791E9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theme" Target="theme/theme1.xml" Id="rId25"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ntTable" Target="fontTable.xml" Id="rId24" /><Relationship Type="http://schemas.openxmlformats.org/officeDocument/2006/relationships/webSettings" Target="webSettings.xml" Id="rId5" /><Relationship Type="http://schemas.openxmlformats.org/officeDocument/2006/relationships/footer" Target="footer1.xml" Id="rId23" /><Relationship Type="http://schemas.openxmlformats.org/officeDocument/2006/relationships/settings" Target="settings.xml" Id="rId4" /><Relationship Type="http://schemas.openxmlformats.org/officeDocument/2006/relationships/image" Target="/media/image.png" Id="rId810834512" /><Relationship Type="http://schemas.openxmlformats.org/officeDocument/2006/relationships/image" Target="/media/image2.png" Id="rId385161890" /><Relationship Type="http://schemas.openxmlformats.org/officeDocument/2006/relationships/image" Target="/media/image3.png" Id="rId1963904435" /><Relationship Type="http://schemas.openxmlformats.org/officeDocument/2006/relationships/image" Target="/media/image4.png" Id="rId2103175049" /><Relationship Type="http://schemas.openxmlformats.org/officeDocument/2006/relationships/image" Target="/media/image5.png" Id="rId1474895615" /><Relationship Type="http://schemas.openxmlformats.org/officeDocument/2006/relationships/hyperlink" Target="https://www.researchgate.net/publication/387713868_Tesla_Financial_Performance_Forecast_and_Analysis" TargetMode="External" Id="R72dfd7ce44ce4dea" /><Relationship Type="http://schemas.openxmlformats.org/officeDocument/2006/relationships/hyperlink" Target="https://www.tandfonline.com/doi/full/10.1080/23311975.2024.2433165" TargetMode="External" Id="R5bb412e13be14a6e" /><Relationship Type="http://schemas.openxmlformats.org/officeDocument/2006/relationships/hyperlink" Target="https://ijettjournal.org/Volume-72/Issue-12/IJETT-V72I12P109.pdf" TargetMode="External" Id="R820d9a747a184d5b" /><Relationship Type="http://schemas.openxmlformats.org/officeDocument/2006/relationships/hyperlink" Target="https://link.springer.com/article/10.1007/s11846-023-00700-6" TargetMode="External" Id="R15e2ebdaf4564c7c" /><Relationship Type="http://schemas.openxmlformats.org/officeDocument/2006/relationships/hyperlink" Target="https://www.mdpi.com/2071-1050/17/3/1275" TargetMode="External" Id="R14f1a1bd63a14845" /><Relationship Type="http://schemas.openxmlformats.org/officeDocument/2006/relationships/hyperlink" Target="https://www.globalscientificjournal.com/researchpaper/THE_BUDGETING_AND_FORECASTING_ANALYSIS_AND_THE_IMPACT_ON_COMPANY_FINANCIAL_PERFORMANCE_AND_STRATEGIC_DECISION_MAKING_A_CASE_OF_NATIONAL_FINANCE_OMAN.pdf" TargetMode="External" Id="Rfce19068705848d0" /><Relationship Type="http://schemas.openxmlformats.org/officeDocument/2006/relationships/hyperlink" Target="https://journals.sagepub.com/doi/full/10.1177/21582440241303219" TargetMode="External" Id="R80d8e9a964a441c1" /><Relationship Type="http://schemas.openxmlformats.org/officeDocument/2006/relationships/hyperlink" Target="https://sustainabilitymag.com/news/how-tesla-is-an-ev-renewable-energy-sustainability-leader" TargetMode="External" Id="R6d91b616026245cf" /><Relationship Type="http://schemas.openxmlformats.org/officeDocument/2006/relationships/hyperlink" Target="https://onlinelibrary.wiley.com/doi/full/10.1002/bse.3828" TargetMode="External" Id="R58f74f8346b649de" /><Relationship Type="http://schemas.openxmlformats.org/officeDocument/2006/relationships/hyperlink" Target="https://www.sec.gov/Archives/edgar/data/0001318605/000095017024007073/tsla-ex99_1.htm" TargetMode="External" Id="R195ee7e062954e6f" /><Relationship Type="http://schemas.openxmlformats.org/officeDocument/2006/relationships/hyperlink" Target="https://www.sec.gov/Archives/edgar/data/0001318605/000162828024043432/exhibit.htm" TargetMode="External" Id="R228678a8202b4993" /><Relationship Type="http://schemas.openxmlformats.org/officeDocument/2006/relationships/hyperlink" Target="https://www.sec.gov/Archives/edgar/data/0001318605/000162828024043486/tsla-20240930.htm" TargetMode="External" Id="R6a4a3c4065af4050" /><Relationship Type="http://schemas.openxmlformats.org/officeDocument/2006/relationships/hyperlink" Target="https://thesustainableinnovation.com/tesla-sustainability/" TargetMode="External" Id="R1aa5f1bfb3f04c6a" /><Relationship Type="http://schemas.openxmlformats.org/officeDocument/2006/relationships/hyperlink" Target="https://link.springer.com/article/10.1007/s10551-025-06178-4" TargetMode="External" Id="R578831f98f4b467d" /><Relationship Type="http://schemas.openxmlformats.org/officeDocument/2006/relationships/hyperlink" Target="https://www.shs-conferences.org/articles/shsconf/pdf/2025/16/shsconf_icfmde2025_03029.pdf" TargetMode="External" Id="R652ad31560dd4c7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591833-A172-4B60-8980-ED1703708437}">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student</dc:creator>
  <keywords/>
  <dc:description/>
  <lastModifiedBy>Marinela Valentina Pana Donichian (2238837)</lastModifiedBy>
  <revision>3</revision>
  <dcterms:created xsi:type="dcterms:W3CDTF">2026-06-22T16:09:00.0000000Z</dcterms:created>
  <dcterms:modified xsi:type="dcterms:W3CDTF">2026-06-27T13:33:05.4457890Z</dcterms:modified>
</coreProperties>
</file>