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523315519"/>
        <w:docPartObj>
          <w:docPartGallery w:val="Cover Pages"/>
          <w:docPartUnique/>
        </w:docPartObj>
      </w:sdtPr>
      <w:sdtEndPr>
        <w:rPr>
          <w:rFonts w:cstheme="minorHAnsi"/>
        </w:rPr>
      </w:sdtEndPr>
      <w:sdtContent>
        <w:p w14:paraId="519427B8" w14:textId="3419889A" w:rsidR="000F4CA2" w:rsidRDefault="000F4CA2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0F4CA2" w14:paraId="7E413A29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ACFF6A8858DB4C5F90F8A210997062A2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BC48C25" w14:textId="2515A6D3" w:rsidR="000F4CA2" w:rsidRDefault="00810057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UWTSD</w:t>
                    </w:r>
                  </w:p>
                </w:tc>
              </w:sdtContent>
            </w:sdt>
          </w:tr>
          <w:tr w:rsidR="000F4CA2" w14:paraId="54D9AADE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1615779A8A184EC2840FC22CE88B0DAB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2761251E" w14:textId="00FB5BD6" w:rsidR="000F4CA2" w:rsidRDefault="000C3B75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Critically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analyse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 when an easement may have been created by prescription.</w:t>
                    </w:r>
                  </w:p>
                </w:sdtContent>
              </w:sdt>
            </w:tc>
          </w:tr>
          <w:tr w:rsidR="000F4CA2" w14:paraId="7A751050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7A6BD5365A6342DFAA6B237AE28B39E6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D7CDE9D" w14:textId="0DBEA8D6" w:rsidR="000F4CA2" w:rsidRDefault="00810057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Property Law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0F4CA2" w14:paraId="3ECFEBF0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1FE9F8D8706E4D21B29754FF4D667F2E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77FFC0C0" w14:textId="41E3AA0E" w:rsidR="000F4CA2" w:rsidRDefault="000F4CA2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Cerys Hickman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B475FCEF769468E9126C9D3A73F0015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2-04-01T00:00:00Z"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14:paraId="299270F9" w14:textId="142C0ABE" w:rsidR="000F4CA2" w:rsidRDefault="001B27F5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4-1-2022</w:t>
                    </w:r>
                  </w:p>
                </w:sdtContent>
              </w:sdt>
              <w:p w14:paraId="7204D799" w14:textId="77777777" w:rsidR="000F4CA2" w:rsidRDefault="000F4CA2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351A6B53" w14:textId="2BF36940" w:rsidR="000F4CA2" w:rsidRDefault="000F4CA2">
          <w:pPr>
            <w:rPr>
              <w:rFonts w:cstheme="minorHAnsi"/>
            </w:rPr>
          </w:pPr>
          <w:r>
            <w:rPr>
              <w:rFonts w:cstheme="minorHAnsi"/>
            </w:rPr>
            <w:br w:type="page"/>
          </w:r>
        </w:p>
      </w:sdtContent>
    </w:sdt>
    <w:p w14:paraId="0375567F" w14:textId="5AA2DD8E" w:rsidR="00C11B43" w:rsidRPr="00886331" w:rsidRDefault="00C11B43">
      <w:pPr>
        <w:rPr>
          <w:rFonts w:cstheme="minorHAnsi"/>
        </w:rPr>
      </w:pPr>
      <w:r w:rsidRPr="00886331">
        <w:rPr>
          <w:rFonts w:cstheme="minorHAnsi"/>
        </w:rPr>
        <w:lastRenderedPageBreak/>
        <w:t>Critically analyse when an easement may have been created by prescription</w:t>
      </w:r>
      <w:r w:rsidR="00933D91" w:rsidRPr="00886331">
        <w:rPr>
          <w:rFonts w:cstheme="minorHAnsi"/>
        </w:rPr>
        <w:t xml:space="preserve">. </w:t>
      </w:r>
    </w:p>
    <w:p w14:paraId="1F251AB3" w14:textId="11211643" w:rsidR="00933D91" w:rsidRPr="00886331" w:rsidRDefault="00391670">
      <w:pPr>
        <w:rPr>
          <w:rFonts w:cstheme="minorHAnsi"/>
        </w:rPr>
      </w:pPr>
      <w:r w:rsidRPr="00886331">
        <w:rPr>
          <w:rFonts w:cstheme="minorHAnsi"/>
        </w:rPr>
        <w:t xml:space="preserve">This essay will illustrate the essence of an easement and how </w:t>
      </w:r>
      <w:r w:rsidR="008C1863" w:rsidRPr="00886331">
        <w:rPr>
          <w:rFonts w:cstheme="minorHAnsi"/>
        </w:rPr>
        <w:t xml:space="preserve">one is created </w:t>
      </w:r>
      <w:r w:rsidR="00AA4649" w:rsidRPr="00886331">
        <w:rPr>
          <w:rFonts w:cstheme="minorHAnsi"/>
        </w:rPr>
        <w:t>through</w:t>
      </w:r>
      <w:r w:rsidR="008C1863" w:rsidRPr="00886331">
        <w:rPr>
          <w:rFonts w:cstheme="minorHAnsi"/>
        </w:rPr>
        <w:t xml:space="preserve"> prescription. </w:t>
      </w:r>
    </w:p>
    <w:p w14:paraId="45919735" w14:textId="02B50905" w:rsidR="009B3172" w:rsidRPr="00886331" w:rsidRDefault="0046549B" w:rsidP="003E6F70">
      <w:pPr>
        <w:rPr>
          <w:rFonts w:cstheme="minorHAnsi"/>
        </w:rPr>
      </w:pPr>
      <w:r w:rsidRPr="00886331">
        <w:rPr>
          <w:rFonts w:cstheme="minorHAnsi"/>
        </w:rPr>
        <w:t xml:space="preserve">An easement </w:t>
      </w:r>
      <w:r w:rsidR="005D29E2" w:rsidRPr="00886331">
        <w:rPr>
          <w:rFonts w:cstheme="minorHAnsi"/>
        </w:rPr>
        <w:t>involves two pieces of land</w:t>
      </w:r>
      <w:r w:rsidR="003E6F70" w:rsidRPr="00886331">
        <w:rPr>
          <w:rFonts w:cstheme="minorHAnsi"/>
        </w:rPr>
        <w:t>. It is a right that one parcel of land (dominant tenement) can</w:t>
      </w:r>
      <w:r w:rsidR="00AA4649" w:rsidRPr="00886331">
        <w:rPr>
          <w:rFonts w:cstheme="minorHAnsi"/>
        </w:rPr>
        <w:t xml:space="preserve"> </w:t>
      </w:r>
      <w:r w:rsidR="003E6F70" w:rsidRPr="00886331">
        <w:rPr>
          <w:rFonts w:cstheme="minorHAnsi"/>
        </w:rPr>
        <w:t>us</w:t>
      </w:r>
      <w:r w:rsidR="00AA4649" w:rsidRPr="00886331">
        <w:rPr>
          <w:rFonts w:cstheme="minorHAnsi"/>
        </w:rPr>
        <w:t>e</w:t>
      </w:r>
      <w:r w:rsidR="003E6F70" w:rsidRPr="00886331">
        <w:rPr>
          <w:rFonts w:cstheme="minorHAnsi"/>
        </w:rPr>
        <w:t xml:space="preserve"> another piece of land (servient tenement) for the benefit of their land</w:t>
      </w:r>
      <w:r w:rsidR="00CD6F2F" w:rsidRPr="00886331">
        <w:rPr>
          <w:rFonts w:cstheme="minorHAnsi"/>
        </w:rPr>
        <w:t xml:space="preserve">, </w:t>
      </w:r>
      <w:r w:rsidR="00CD6F2F" w:rsidRPr="00886331">
        <w:rPr>
          <w:rFonts w:cstheme="minorHAnsi"/>
          <w:shd w:val="clear" w:color="auto" w:fill="FFFFFF"/>
        </w:rPr>
        <w:t>Bradbrook, (1982).</w:t>
      </w:r>
      <w:r w:rsidR="00B75233" w:rsidRPr="00886331">
        <w:rPr>
          <w:rFonts w:cstheme="minorHAnsi"/>
          <w:shd w:val="clear" w:color="auto" w:fill="FFFFFF"/>
        </w:rPr>
        <w:t xml:space="preserve"> </w:t>
      </w:r>
      <w:r w:rsidR="003E6F70" w:rsidRPr="00886331">
        <w:rPr>
          <w:rFonts w:cstheme="minorHAnsi"/>
        </w:rPr>
        <w:t>Essentially, allowing the dominant tenement to perform specified actions over the servient tenements lan</w:t>
      </w:r>
      <w:r w:rsidR="001E5A16" w:rsidRPr="00886331">
        <w:rPr>
          <w:rFonts w:cstheme="minorHAnsi"/>
        </w:rPr>
        <w:t>d. U</w:t>
      </w:r>
      <w:r w:rsidR="005940C9" w:rsidRPr="00886331">
        <w:rPr>
          <w:rFonts w:cstheme="minorHAnsi"/>
        </w:rPr>
        <w:t xml:space="preserve">nder section 62 of the Law of Property Act 1925 an easement can be implied by law. </w:t>
      </w:r>
      <w:r w:rsidR="00B629F0" w:rsidRPr="00886331">
        <w:rPr>
          <w:rFonts w:cstheme="minorHAnsi"/>
        </w:rPr>
        <w:t>An easement can take many forms</w:t>
      </w:r>
      <w:r w:rsidR="00622F88" w:rsidRPr="00886331">
        <w:rPr>
          <w:rFonts w:cstheme="minorHAnsi"/>
        </w:rPr>
        <w:t xml:space="preserve"> and can be both negative and positive</w:t>
      </w:r>
      <w:r w:rsidR="00BC42A1" w:rsidRPr="00886331">
        <w:rPr>
          <w:rFonts w:cstheme="minorHAnsi"/>
        </w:rPr>
        <w:t xml:space="preserve">, </w:t>
      </w:r>
      <w:r w:rsidR="00BC42A1" w:rsidRPr="00886331">
        <w:rPr>
          <w:rFonts w:cstheme="minorHAnsi"/>
          <w:shd w:val="clear" w:color="auto" w:fill="FFFFFF"/>
        </w:rPr>
        <w:t xml:space="preserve">Megarry, (1945). </w:t>
      </w:r>
      <w:r w:rsidR="00622F88" w:rsidRPr="00886331">
        <w:rPr>
          <w:rFonts w:cstheme="minorHAnsi"/>
        </w:rPr>
        <w:t xml:space="preserve">A positive easement would be the dominant tenement using a path across the other piece of land. A negative easement limits the servient tenement by restricting what they can do with the land, for instance not allowing them to build an extension </w:t>
      </w:r>
      <w:r w:rsidR="008D23E7" w:rsidRPr="00886331">
        <w:rPr>
          <w:rFonts w:cstheme="minorHAnsi"/>
        </w:rPr>
        <w:t xml:space="preserve">on the property </w:t>
      </w:r>
      <w:r w:rsidR="00622F88" w:rsidRPr="00886331">
        <w:rPr>
          <w:rFonts w:cstheme="minorHAnsi"/>
        </w:rPr>
        <w:t>as it would interfere with the dominant tenements right to light</w:t>
      </w:r>
      <w:r w:rsidR="00C11DA2" w:rsidRPr="00886331">
        <w:rPr>
          <w:rFonts w:cstheme="minorHAnsi"/>
        </w:rPr>
        <w:t xml:space="preserve">, </w:t>
      </w:r>
      <w:r w:rsidR="00C11DA2" w:rsidRPr="00886331">
        <w:rPr>
          <w:rFonts w:cstheme="minorHAnsi"/>
          <w:shd w:val="clear" w:color="auto" w:fill="FFFFFF"/>
        </w:rPr>
        <w:t>Bailey, (1936).</w:t>
      </w:r>
    </w:p>
    <w:p w14:paraId="1D1CD16E" w14:textId="3DBBCEEC" w:rsidR="00C52042" w:rsidRPr="00886331" w:rsidRDefault="0003609F">
      <w:pPr>
        <w:rPr>
          <w:rFonts w:cstheme="minorHAnsi"/>
        </w:rPr>
      </w:pPr>
      <w:r w:rsidRPr="00886331">
        <w:rPr>
          <w:rFonts w:cstheme="minorHAnsi"/>
        </w:rPr>
        <w:t xml:space="preserve">The case of Re Ellenborough Park (1956) </w:t>
      </w:r>
      <w:r w:rsidR="003D15B8" w:rsidRPr="00886331">
        <w:rPr>
          <w:rFonts w:cstheme="minorHAnsi"/>
        </w:rPr>
        <w:t>established</w:t>
      </w:r>
      <w:r w:rsidR="00345C23" w:rsidRPr="00886331">
        <w:rPr>
          <w:rFonts w:cstheme="minorHAnsi"/>
        </w:rPr>
        <w:t xml:space="preserve"> four essential characteristics that must be present </w:t>
      </w:r>
      <w:r w:rsidR="003D15B8" w:rsidRPr="00886331">
        <w:rPr>
          <w:rFonts w:cstheme="minorHAnsi"/>
        </w:rPr>
        <w:t>for</w:t>
      </w:r>
      <w:r w:rsidR="00345C23" w:rsidRPr="00886331">
        <w:rPr>
          <w:rFonts w:cstheme="minorHAnsi"/>
        </w:rPr>
        <w:t xml:space="preserve"> a right to exists as an easement. </w:t>
      </w:r>
      <w:r w:rsidR="003D15B8" w:rsidRPr="00886331">
        <w:rPr>
          <w:rFonts w:cstheme="minorHAnsi"/>
        </w:rPr>
        <w:t xml:space="preserve">The first </w:t>
      </w:r>
      <w:r w:rsidR="00040CB2" w:rsidRPr="00886331">
        <w:rPr>
          <w:rFonts w:cstheme="minorHAnsi"/>
        </w:rPr>
        <w:t xml:space="preserve">being </w:t>
      </w:r>
      <w:r w:rsidR="004F291F" w:rsidRPr="00886331">
        <w:rPr>
          <w:rFonts w:cstheme="minorHAnsi"/>
        </w:rPr>
        <w:t>there must</w:t>
      </w:r>
      <w:r w:rsidR="00D640CA" w:rsidRPr="00886331">
        <w:rPr>
          <w:rFonts w:cstheme="minorHAnsi"/>
        </w:rPr>
        <w:t xml:space="preserve"> an identifiable</w:t>
      </w:r>
      <w:r w:rsidR="004F291F" w:rsidRPr="00886331">
        <w:rPr>
          <w:rFonts w:cstheme="minorHAnsi"/>
        </w:rPr>
        <w:t xml:space="preserve"> dominant and </w:t>
      </w:r>
      <w:r w:rsidR="00D640CA" w:rsidRPr="00886331">
        <w:rPr>
          <w:rFonts w:cstheme="minorHAnsi"/>
        </w:rPr>
        <w:t>servient</w:t>
      </w:r>
      <w:r w:rsidR="004F291F" w:rsidRPr="00886331">
        <w:rPr>
          <w:rFonts w:cstheme="minorHAnsi"/>
        </w:rPr>
        <w:t xml:space="preserve"> </w:t>
      </w:r>
      <w:r w:rsidR="00D640CA" w:rsidRPr="00886331">
        <w:rPr>
          <w:rFonts w:cstheme="minorHAnsi"/>
        </w:rPr>
        <w:t>tenement</w:t>
      </w:r>
      <w:r w:rsidR="00411FDE" w:rsidRPr="00886331">
        <w:rPr>
          <w:rFonts w:cstheme="minorHAnsi"/>
        </w:rPr>
        <w:t xml:space="preserve">, </w:t>
      </w:r>
      <w:r w:rsidR="00A158BA" w:rsidRPr="00886331">
        <w:rPr>
          <w:rFonts w:cstheme="minorHAnsi"/>
        </w:rPr>
        <w:t xml:space="preserve">without the dominant tenement </w:t>
      </w:r>
      <w:r w:rsidR="004C7980" w:rsidRPr="00886331">
        <w:rPr>
          <w:rFonts w:cstheme="minorHAnsi"/>
        </w:rPr>
        <w:t xml:space="preserve">merely a licence will be created. </w:t>
      </w:r>
      <w:r w:rsidR="0028479A" w:rsidRPr="00886331">
        <w:rPr>
          <w:rFonts w:cstheme="minorHAnsi"/>
        </w:rPr>
        <w:t xml:space="preserve">Secondly, the easement must accommodate </w:t>
      </w:r>
      <w:r w:rsidR="00455B5A" w:rsidRPr="00886331">
        <w:rPr>
          <w:rFonts w:cstheme="minorHAnsi"/>
        </w:rPr>
        <w:t>the dominant tenemen</w:t>
      </w:r>
      <w:r w:rsidR="00AD6ACC" w:rsidRPr="00886331">
        <w:rPr>
          <w:rFonts w:cstheme="minorHAnsi"/>
        </w:rPr>
        <w:t xml:space="preserve">t, </w:t>
      </w:r>
      <w:r w:rsidR="009F305F" w:rsidRPr="00886331">
        <w:rPr>
          <w:rFonts w:cstheme="minorHAnsi"/>
        </w:rPr>
        <w:t>some guidelines include does the right i</w:t>
      </w:r>
      <w:r w:rsidR="00AB4D06" w:rsidRPr="00886331">
        <w:rPr>
          <w:rFonts w:cstheme="minorHAnsi"/>
        </w:rPr>
        <w:t>mprove</w:t>
      </w:r>
      <w:r w:rsidR="009F305F" w:rsidRPr="00886331">
        <w:rPr>
          <w:rFonts w:cstheme="minorHAnsi"/>
        </w:rPr>
        <w:t xml:space="preserve"> marketability of the land</w:t>
      </w:r>
      <w:r w:rsidR="00A3425C" w:rsidRPr="00886331">
        <w:rPr>
          <w:rFonts w:cstheme="minorHAnsi"/>
        </w:rPr>
        <w:t xml:space="preserve"> and would the owner see the benefit</w:t>
      </w:r>
      <w:r w:rsidR="00940813" w:rsidRPr="00886331">
        <w:rPr>
          <w:rFonts w:cstheme="minorHAnsi"/>
        </w:rPr>
        <w:t xml:space="preserve">, </w:t>
      </w:r>
      <w:r w:rsidR="00940813" w:rsidRPr="00886331">
        <w:rPr>
          <w:rFonts w:cstheme="minorHAnsi"/>
          <w:shd w:val="clear" w:color="auto" w:fill="FFFFFF"/>
        </w:rPr>
        <w:t>Park, R.E., (2002).</w:t>
      </w:r>
      <w:r w:rsidR="00455B5A" w:rsidRPr="00886331">
        <w:rPr>
          <w:rFonts w:cstheme="minorHAnsi"/>
        </w:rPr>
        <w:t xml:space="preserve"> </w:t>
      </w:r>
      <w:r w:rsidR="00F63BCD" w:rsidRPr="00886331">
        <w:rPr>
          <w:rFonts w:cstheme="minorHAnsi"/>
        </w:rPr>
        <w:t>Then</w:t>
      </w:r>
      <w:r w:rsidR="00354CE1" w:rsidRPr="00886331">
        <w:rPr>
          <w:rFonts w:cstheme="minorHAnsi"/>
        </w:rPr>
        <w:t>,</w:t>
      </w:r>
      <w:r w:rsidR="00F63BCD" w:rsidRPr="00886331">
        <w:rPr>
          <w:rFonts w:cstheme="minorHAnsi"/>
        </w:rPr>
        <w:t xml:space="preserve"> the case law states that th</w:t>
      </w:r>
      <w:r w:rsidR="00ED14DA" w:rsidRPr="00886331">
        <w:rPr>
          <w:rFonts w:cstheme="minorHAnsi"/>
        </w:rPr>
        <w:t>e dominant and servant tenements</w:t>
      </w:r>
      <w:r w:rsidR="0027464F" w:rsidRPr="00886331">
        <w:rPr>
          <w:rFonts w:cstheme="minorHAnsi"/>
        </w:rPr>
        <w:t xml:space="preserve"> cannot </w:t>
      </w:r>
      <w:r w:rsidR="00ED14DA" w:rsidRPr="00886331">
        <w:rPr>
          <w:rFonts w:cstheme="minorHAnsi"/>
        </w:rPr>
        <w:t>be owned and occupied by the same person</w:t>
      </w:r>
      <w:r w:rsidR="002405A9" w:rsidRPr="00886331">
        <w:rPr>
          <w:rFonts w:cstheme="minorHAnsi"/>
        </w:rPr>
        <w:t xml:space="preserve">, in essence you can not have an easement over your own land. </w:t>
      </w:r>
      <w:r w:rsidR="00603BE8" w:rsidRPr="00886331">
        <w:rPr>
          <w:rFonts w:cstheme="minorHAnsi"/>
        </w:rPr>
        <w:t xml:space="preserve">Lastly, </w:t>
      </w:r>
      <w:r w:rsidR="007333EF" w:rsidRPr="00886331">
        <w:rPr>
          <w:rFonts w:cstheme="minorHAnsi"/>
        </w:rPr>
        <w:t xml:space="preserve">the easement must be capable of forming </w:t>
      </w:r>
      <w:r w:rsidR="002A7CF1" w:rsidRPr="00886331">
        <w:rPr>
          <w:rFonts w:cstheme="minorHAnsi"/>
        </w:rPr>
        <w:t>the subject matter of a grant</w:t>
      </w:r>
      <w:r w:rsidR="00FC45D6" w:rsidRPr="00886331">
        <w:rPr>
          <w:rFonts w:cstheme="minorHAnsi"/>
        </w:rPr>
        <w:t xml:space="preserve">, </w:t>
      </w:r>
      <w:r w:rsidR="00C13FD7" w:rsidRPr="00886331">
        <w:rPr>
          <w:rFonts w:cstheme="minorHAnsi"/>
        </w:rPr>
        <w:t>for instance it cannot be vague</w:t>
      </w:r>
      <w:r w:rsidR="00DF0382" w:rsidRPr="00886331">
        <w:rPr>
          <w:rFonts w:cstheme="minorHAnsi"/>
        </w:rPr>
        <w:t xml:space="preserve"> </w:t>
      </w:r>
      <w:r w:rsidR="000B211C" w:rsidRPr="00886331">
        <w:rPr>
          <w:rFonts w:cstheme="minorHAnsi"/>
        </w:rPr>
        <w:t>and must be capable of precise</w:t>
      </w:r>
      <w:r w:rsidR="00E63728" w:rsidRPr="00886331">
        <w:rPr>
          <w:rFonts w:cstheme="minorHAnsi"/>
        </w:rPr>
        <w:t xml:space="preserve"> </w:t>
      </w:r>
      <w:r w:rsidR="000B211C" w:rsidRPr="00886331">
        <w:rPr>
          <w:rFonts w:cstheme="minorHAnsi"/>
        </w:rPr>
        <w:t>definition</w:t>
      </w:r>
      <w:r w:rsidR="00D97549" w:rsidRPr="00886331">
        <w:rPr>
          <w:rFonts w:cstheme="minorHAnsi"/>
        </w:rPr>
        <w:t xml:space="preserve">, </w:t>
      </w:r>
      <w:r w:rsidR="00A65373" w:rsidRPr="00886331">
        <w:rPr>
          <w:rFonts w:cstheme="minorHAnsi"/>
          <w:shd w:val="clear" w:color="auto" w:fill="FFFFFF"/>
        </w:rPr>
        <w:t>Hamilton, (2014)</w:t>
      </w:r>
    </w:p>
    <w:p w14:paraId="42E74C3E" w14:textId="77777777" w:rsidR="00027DFD" w:rsidRDefault="00C52042">
      <w:pPr>
        <w:rPr>
          <w:rFonts w:cstheme="minorHAnsi"/>
        </w:rPr>
      </w:pPr>
      <w:r w:rsidRPr="00886331">
        <w:rPr>
          <w:rFonts w:cstheme="minorHAnsi"/>
        </w:rPr>
        <w:t>Additionally, four points were created from the previous criteria</w:t>
      </w:r>
      <w:r w:rsidR="005B481E" w:rsidRPr="00886331">
        <w:rPr>
          <w:rFonts w:cstheme="minorHAnsi"/>
        </w:rPr>
        <w:t>. Firstly, an easement must be capable of reasonably exact definition</w:t>
      </w:r>
      <w:r w:rsidR="005E7507" w:rsidRPr="00886331">
        <w:rPr>
          <w:rFonts w:cstheme="minorHAnsi"/>
        </w:rPr>
        <w:t xml:space="preserve">, similarly to the last point that it must be clearly defined. </w:t>
      </w:r>
      <w:r w:rsidR="00A34B64" w:rsidRPr="00886331">
        <w:rPr>
          <w:rFonts w:cstheme="minorHAnsi"/>
        </w:rPr>
        <w:t>In the case of Harris v De pinna (1886)</w:t>
      </w:r>
      <w:r w:rsidR="00DB771A" w:rsidRPr="00886331">
        <w:rPr>
          <w:rFonts w:cstheme="minorHAnsi"/>
        </w:rPr>
        <w:t xml:space="preserve"> the court held that t</w:t>
      </w:r>
      <w:r w:rsidR="00721EB1" w:rsidRPr="00886331">
        <w:rPr>
          <w:rFonts w:cstheme="minorHAnsi"/>
        </w:rPr>
        <w:t xml:space="preserve">he </w:t>
      </w:r>
      <w:r w:rsidR="002C18D9" w:rsidRPr="00886331">
        <w:rPr>
          <w:rFonts w:cstheme="minorHAnsi"/>
        </w:rPr>
        <w:t xml:space="preserve">right in relation to light flow </w:t>
      </w:r>
      <w:r w:rsidR="00721EB1" w:rsidRPr="00886331">
        <w:rPr>
          <w:rFonts w:cstheme="minorHAnsi"/>
        </w:rPr>
        <w:t xml:space="preserve">could not be an easement due to it being ‘too vague and too </w:t>
      </w:r>
      <w:r w:rsidR="000C3B75" w:rsidRPr="00886331">
        <w:rPr>
          <w:rFonts w:cstheme="minorHAnsi"/>
        </w:rPr>
        <w:t>indefinite’. The</w:t>
      </w:r>
      <w:r w:rsidR="003F2B5C" w:rsidRPr="00886331">
        <w:rPr>
          <w:rFonts w:cstheme="minorHAnsi"/>
        </w:rPr>
        <w:t xml:space="preserve"> second point that emerged was that an easement must not involve a</w:t>
      </w:r>
      <w:r w:rsidR="00650D99" w:rsidRPr="00886331">
        <w:rPr>
          <w:rFonts w:cstheme="minorHAnsi"/>
        </w:rPr>
        <w:t>n</w:t>
      </w:r>
      <w:r w:rsidR="003F2B5C" w:rsidRPr="00886331">
        <w:rPr>
          <w:rFonts w:cstheme="minorHAnsi"/>
        </w:rPr>
        <w:t xml:space="preserve"> expenditure by the servient </w:t>
      </w:r>
      <w:r w:rsidR="00AF3295" w:rsidRPr="00886331">
        <w:rPr>
          <w:rFonts w:cstheme="minorHAnsi"/>
        </w:rPr>
        <w:t>tenement</w:t>
      </w:r>
      <w:r w:rsidR="007D6DE8" w:rsidRPr="00886331">
        <w:rPr>
          <w:rFonts w:cstheme="minorHAnsi"/>
        </w:rPr>
        <w:t xml:space="preserve">, </w:t>
      </w:r>
      <w:r w:rsidR="007D6DE8" w:rsidRPr="00886331">
        <w:rPr>
          <w:rFonts w:cstheme="minorHAnsi"/>
          <w:shd w:val="clear" w:color="auto" w:fill="FFFFFF"/>
        </w:rPr>
        <w:t xml:space="preserve">Tanfield, (2016). </w:t>
      </w:r>
      <w:r w:rsidR="00886331" w:rsidRPr="00886331">
        <w:rPr>
          <w:rFonts w:cstheme="minorHAnsi"/>
        </w:rPr>
        <w:t>It’s</w:t>
      </w:r>
      <w:r w:rsidR="00AC7182" w:rsidRPr="00886331">
        <w:rPr>
          <w:rFonts w:cstheme="minorHAnsi"/>
        </w:rPr>
        <w:t xml:space="preserve"> quite contradictory </w:t>
      </w:r>
      <w:r w:rsidR="00C57BAB" w:rsidRPr="00886331">
        <w:rPr>
          <w:rFonts w:cstheme="minorHAnsi"/>
        </w:rPr>
        <w:t xml:space="preserve">to </w:t>
      </w:r>
      <w:r w:rsidR="00650D99" w:rsidRPr="00886331">
        <w:rPr>
          <w:rFonts w:cstheme="minorHAnsi"/>
        </w:rPr>
        <w:t xml:space="preserve">the true definition of an easement to </w:t>
      </w:r>
      <w:r w:rsidR="00C57BAB" w:rsidRPr="00886331">
        <w:rPr>
          <w:rFonts w:cstheme="minorHAnsi"/>
        </w:rPr>
        <w:t xml:space="preserve">impose a positive </w:t>
      </w:r>
      <w:r w:rsidR="00650D99" w:rsidRPr="00886331">
        <w:rPr>
          <w:rFonts w:cstheme="minorHAnsi"/>
        </w:rPr>
        <w:t>obligation on the servient tenement</w:t>
      </w:r>
      <w:r w:rsidR="00D82012" w:rsidRPr="00886331">
        <w:rPr>
          <w:rFonts w:cstheme="minorHAnsi"/>
        </w:rPr>
        <w:t>, this is evident in the case of Rance v Elvin (19</w:t>
      </w:r>
      <w:r w:rsidR="00D52CD8" w:rsidRPr="00886331">
        <w:rPr>
          <w:rFonts w:cstheme="minorHAnsi"/>
        </w:rPr>
        <w:t>85)</w:t>
      </w:r>
      <w:r w:rsidR="007D6DE8" w:rsidRPr="00886331">
        <w:rPr>
          <w:rFonts w:cstheme="minorHAnsi"/>
        </w:rPr>
        <w:t xml:space="preserve">, </w:t>
      </w:r>
    </w:p>
    <w:p w14:paraId="60E96F4E" w14:textId="24BEB30A" w:rsidR="00C52042" w:rsidRPr="00886331" w:rsidRDefault="007D6DE8">
      <w:pPr>
        <w:rPr>
          <w:rFonts w:cstheme="minorHAnsi"/>
        </w:rPr>
      </w:pPr>
      <w:r w:rsidRPr="00886331">
        <w:rPr>
          <w:rFonts w:cstheme="minorHAnsi"/>
          <w:shd w:val="clear" w:color="auto" w:fill="FFFFFF"/>
        </w:rPr>
        <w:t xml:space="preserve">Hamilton, (2014). </w:t>
      </w:r>
      <w:r w:rsidR="00C670B5" w:rsidRPr="00886331">
        <w:rPr>
          <w:rFonts w:cstheme="minorHAnsi"/>
        </w:rPr>
        <w:t>A further point that formed was an easement must not be so extensive as to amount to a claim to joint possession of the servient tenement</w:t>
      </w:r>
      <w:r w:rsidR="001215E1" w:rsidRPr="00886331">
        <w:rPr>
          <w:rFonts w:cstheme="minorHAnsi"/>
        </w:rPr>
        <w:t xml:space="preserve">. </w:t>
      </w:r>
      <w:r w:rsidR="00B44792" w:rsidRPr="00886331">
        <w:rPr>
          <w:rFonts w:cstheme="minorHAnsi"/>
        </w:rPr>
        <w:t xml:space="preserve">Lastly, </w:t>
      </w:r>
      <w:r w:rsidR="00AC251C" w:rsidRPr="00886331">
        <w:rPr>
          <w:rFonts w:cstheme="minorHAnsi"/>
        </w:rPr>
        <w:t xml:space="preserve">the law is very careful in relation to </w:t>
      </w:r>
      <w:r w:rsidR="00E47A17" w:rsidRPr="00886331">
        <w:rPr>
          <w:rFonts w:cstheme="minorHAnsi"/>
        </w:rPr>
        <w:t>a claim for a new negative easement</w:t>
      </w:r>
      <w:r w:rsidR="00212EB3" w:rsidRPr="00886331">
        <w:rPr>
          <w:rFonts w:cstheme="minorHAnsi"/>
        </w:rPr>
        <w:t xml:space="preserve">. Negative easements are considered with caution, as mentioned previously they </w:t>
      </w:r>
      <w:r w:rsidR="00D809F7" w:rsidRPr="00886331">
        <w:rPr>
          <w:rFonts w:cstheme="minorHAnsi"/>
        </w:rPr>
        <w:t xml:space="preserve">prevent the servient owner from doing </w:t>
      </w:r>
      <w:r w:rsidR="009F41A4" w:rsidRPr="00886331">
        <w:rPr>
          <w:rFonts w:cstheme="minorHAnsi"/>
        </w:rPr>
        <w:t xml:space="preserve">or enjoying </w:t>
      </w:r>
      <w:r w:rsidR="00D809F7" w:rsidRPr="00886331">
        <w:rPr>
          <w:rFonts w:cstheme="minorHAnsi"/>
        </w:rPr>
        <w:t>something on their own land</w:t>
      </w:r>
      <w:r w:rsidR="007B54DE" w:rsidRPr="00886331">
        <w:rPr>
          <w:rFonts w:cstheme="minorHAnsi"/>
        </w:rPr>
        <w:t>, which may create a large burden on them</w:t>
      </w:r>
      <w:r w:rsidR="009F5896" w:rsidRPr="00886331">
        <w:rPr>
          <w:rFonts w:cstheme="minorHAnsi"/>
        </w:rPr>
        <w:t xml:space="preserve">, </w:t>
      </w:r>
      <w:r w:rsidR="009F5896" w:rsidRPr="00886331">
        <w:rPr>
          <w:rFonts w:cstheme="minorHAnsi"/>
          <w:shd w:val="clear" w:color="auto" w:fill="FFFFFF"/>
        </w:rPr>
        <w:t xml:space="preserve">Tanfield, (2016). </w:t>
      </w:r>
      <w:r w:rsidR="007B54DE" w:rsidRPr="00886331">
        <w:rPr>
          <w:rFonts w:cstheme="minorHAnsi"/>
        </w:rPr>
        <w:t xml:space="preserve">The rejection of </w:t>
      </w:r>
      <w:r w:rsidR="00BB205E" w:rsidRPr="00886331">
        <w:rPr>
          <w:rFonts w:cstheme="minorHAnsi"/>
        </w:rPr>
        <w:t>a</w:t>
      </w:r>
      <w:r w:rsidR="007B54DE" w:rsidRPr="00886331">
        <w:rPr>
          <w:rFonts w:cstheme="minorHAnsi"/>
        </w:rPr>
        <w:t xml:space="preserve"> negative easement is </w:t>
      </w:r>
      <w:r w:rsidR="00BB205E" w:rsidRPr="00886331">
        <w:rPr>
          <w:rFonts w:cstheme="minorHAnsi"/>
        </w:rPr>
        <w:t>apparent</w:t>
      </w:r>
      <w:r w:rsidR="007B54DE" w:rsidRPr="00886331">
        <w:rPr>
          <w:rFonts w:cstheme="minorHAnsi"/>
        </w:rPr>
        <w:t xml:space="preserve"> in the case of Hunter v Canary Wharf L</w:t>
      </w:r>
      <w:r w:rsidR="00BB205E" w:rsidRPr="00886331">
        <w:rPr>
          <w:rFonts w:cstheme="minorHAnsi"/>
        </w:rPr>
        <w:t>td</w:t>
      </w:r>
      <w:r w:rsidR="007B54DE" w:rsidRPr="00886331">
        <w:rPr>
          <w:rFonts w:cstheme="minorHAnsi"/>
        </w:rPr>
        <w:t xml:space="preserve"> (1997)</w:t>
      </w:r>
      <w:r w:rsidR="00882891" w:rsidRPr="00886331">
        <w:rPr>
          <w:rFonts w:cstheme="minorHAnsi"/>
        </w:rPr>
        <w:t xml:space="preserve">, where it was held that </w:t>
      </w:r>
      <w:r w:rsidR="002868DA" w:rsidRPr="00886331">
        <w:rPr>
          <w:rFonts w:cstheme="minorHAnsi"/>
        </w:rPr>
        <w:t xml:space="preserve">the servient tenants would have to deal with an immense burden on their land </w:t>
      </w:r>
      <w:r w:rsidR="00FF7A50" w:rsidRPr="00886331">
        <w:rPr>
          <w:rFonts w:cstheme="minorHAnsi"/>
        </w:rPr>
        <w:t>and their enjoyment would be limited</w:t>
      </w:r>
      <w:r w:rsidRPr="00886331">
        <w:rPr>
          <w:rFonts w:cstheme="minorHAnsi"/>
        </w:rPr>
        <w:t xml:space="preserve">, </w:t>
      </w:r>
      <w:r w:rsidRPr="00886331">
        <w:rPr>
          <w:rFonts w:cstheme="minorHAnsi"/>
          <w:shd w:val="clear" w:color="auto" w:fill="FFFFFF"/>
        </w:rPr>
        <w:t xml:space="preserve">Hamilton, (2014). </w:t>
      </w:r>
    </w:p>
    <w:p w14:paraId="42ABE814" w14:textId="2559E8F8" w:rsidR="004E1F88" w:rsidRPr="00886331" w:rsidRDefault="00B8210C">
      <w:pPr>
        <w:rPr>
          <w:rFonts w:cstheme="minorHAnsi"/>
        </w:rPr>
      </w:pPr>
      <w:r w:rsidRPr="00886331">
        <w:rPr>
          <w:rFonts w:cstheme="minorHAnsi"/>
        </w:rPr>
        <w:t xml:space="preserve">There are several ways </w:t>
      </w:r>
      <w:r w:rsidR="009B79BA" w:rsidRPr="00886331">
        <w:rPr>
          <w:rFonts w:cstheme="minorHAnsi"/>
        </w:rPr>
        <w:t xml:space="preserve">in which an </w:t>
      </w:r>
      <w:r w:rsidRPr="00886331">
        <w:rPr>
          <w:rFonts w:cstheme="minorHAnsi"/>
        </w:rPr>
        <w:t>easement can be created</w:t>
      </w:r>
      <w:r w:rsidR="00EA096A" w:rsidRPr="00886331">
        <w:rPr>
          <w:rFonts w:cstheme="minorHAnsi"/>
        </w:rPr>
        <w:t>; there is an express grant</w:t>
      </w:r>
      <w:r w:rsidR="00300D22" w:rsidRPr="00886331">
        <w:rPr>
          <w:rFonts w:cstheme="minorHAnsi"/>
        </w:rPr>
        <w:t xml:space="preserve"> and </w:t>
      </w:r>
      <w:r w:rsidR="00645E32" w:rsidRPr="00886331">
        <w:rPr>
          <w:rFonts w:cstheme="minorHAnsi"/>
        </w:rPr>
        <w:t>reservation</w:t>
      </w:r>
      <w:r w:rsidR="00300D22" w:rsidRPr="00886331">
        <w:rPr>
          <w:rFonts w:cstheme="minorHAnsi"/>
        </w:rPr>
        <w:t xml:space="preserve">. </w:t>
      </w:r>
      <w:r w:rsidR="003664D8" w:rsidRPr="00886331">
        <w:rPr>
          <w:rFonts w:cstheme="minorHAnsi"/>
        </w:rPr>
        <w:t xml:space="preserve">An express grant is where the </w:t>
      </w:r>
      <w:r w:rsidR="00367DE7" w:rsidRPr="00886331">
        <w:rPr>
          <w:rFonts w:cstheme="minorHAnsi"/>
        </w:rPr>
        <w:t>servient</w:t>
      </w:r>
      <w:r w:rsidR="00645E32" w:rsidRPr="00886331">
        <w:rPr>
          <w:rFonts w:cstheme="minorHAnsi"/>
        </w:rPr>
        <w:t xml:space="preserve"> owner ha</w:t>
      </w:r>
      <w:r w:rsidR="007D7B60" w:rsidRPr="00886331">
        <w:rPr>
          <w:rFonts w:cstheme="minorHAnsi"/>
        </w:rPr>
        <w:t xml:space="preserve">s </w:t>
      </w:r>
      <w:r w:rsidR="00300D22" w:rsidRPr="00886331">
        <w:rPr>
          <w:rFonts w:cstheme="minorHAnsi"/>
        </w:rPr>
        <w:t>executed</w:t>
      </w:r>
      <w:r w:rsidR="007D7B60" w:rsidRPr="00886331">
        <w:rPr>
          <w:rFonts w:cstheme="minorHAnsi"/>
        </w:rPr>
        <w:t xml:space="preserve"> a deed allowing the dominate owner an easement.</w:t>
      </w:r>
      <w:r w:rsidR="008555CE" w:rsidRPr="00886331">
        <w:rPr>
          <w:rFonts w:cstheme="minorHAnsi"/>
        </w:rPr>
        <w:t xml:space="preserve"> </w:t>
      </w:r>
      <w:r w:rsidR="0061782C" w:rsidRPr="00886331">
        <w:rPr>
          <w:rFonts w:cstheme="minorHAnsi"/>
        </w:rPr>
        <w:t>Likewise, a reservation is where the seller reserves the right over the land they are selling</w:t>
      </w:r>
      <w:r w:rsidR="00C05060" w:rsidRPr="00886331">
        <w:rPr>
          <w:rFonts w:cstheme="minorHAnsi"/>
        </w:rPr>
        <w:t xml:space="preserve">, </w:t>
      </w:r>
      <w:r w:rsidR="00C05060" w:rsidRPr="00886331">
        <w:rPr>
          <w:rFonts w:cstheme="minorHAnsi"/>
          <w:shd w:val="clear" w:color="auto" w:fill="FFFFFF"/>
        </w:rPr>
        <w:t xml:space="preserve">Taylor, (2012). </w:t>
      </w:r>
      <w:r w:rsidR="008555CE" w:rsidRPr="00886331">
        <w:rPr>
          <w:rFonts w:cstheme="minorHAnsi"/>
        </w:rPr>
        <w:t>Then there</w:t>
      </w:r>
      <w:r w:rsidR="00D85508" w:rsidRPr="00886331">
        <w:rPr>
          <w:rFonts w:cstheme="minorHAnsi"/>
        </w:rPr>
        <w:t xml:space="preserve"> are implied grants</w:t>
      </w:r>
      <w:r w:rsidR="00BC0AE5" w:rsidRPr="00886331">
        <w:rPr>
          <w:rFonts w:cstheme="minorHAnsi"/>
        </w:rPr>
        <w:t xml:space="preserve">, there are four main ways that a grant can be implied. Firstly, there is </w:t>
      </w:r>
      <w:r w:rsidR="00B21699" w:rsidRPr="00886331">
        <w:rPr>
          <w:rFonts w:cstheme="minorHAnsi"/>
        </w:rPr>
        <w:t>necessity</w:t>
      </w:r>
      <w:r w:rsidR="00FA3DA3" w:rsidRPr="00886331">
        <w:rPr>
          <w:rFonts w:cstheme="minorHAnsi"/>
        </w:rPr>
        <w:t xml:space="preserve"> meaning an easement will be implied if it is complete necessary</w:t>
      </w:r>
      <w:r w:rsidR="008E3CEF" w:rsidRPr="00886331">
        <w:rPr>
          <w:rFonts w:cstheme="minorHAnsi"/>
        </w:rPr>
        <w:t xml:space="preserve"> and are extremely </w:t>
      </w:r>
      <w:r w:rsidR="002F5BA0" w:rsidRPr="00886331">
        <w:rPr>
          <w:rFonts w:cstheme="minorHAnsi"/>
        </w:rPr>
        <w:t>limited, a popular example is</w:t>
      </w:r>
      <w:r w:rsidR="001E755C" w:rsidRPr="00886331">
        <w:rPr>
          <w:rFonts w:cstheme="minorHAnsi"/>
        </w:rPr>
        <w:t xml:space="preserve"> </w:t>
      </w:r>
      <w:r w:rsidR="004E1F88" w:rsidRPr="00886331">
        <w:rPr>
          <w:rFonts w:cstheme="minorHAnsi"/>
        </w:rPr>
        <w:t>a land locked piece of land</w:t>
      </w:r>
      <w:r w:rsidR="0019791A" w:rsidRPr="00886331">
        <w:rPr>
          <w:rFonts w:cstheme="minorHAnsi"/>
        </w:rPr>
        <w:t xml:space="preserve">, </w:t>
      </w:r>
      <w:r w:rsidR="001A5A51" w:rsidRPr="00886331">
        <w:rPr>
          <w:rFonts w:cstheme="minorHAnsi"/>
        </w:rPr>
        <w:t xml:space="preserve">the easement is only attainable </w:t>
      </w:r>
      <w:r w:rsidR="0019791A" w:rsidRPr="00886331">
        <w:rPr>
          <w:rFonts w:cstheme="minorHAnsi"/>
        </w:rPr>
        <w:t>where th</w:t>
      </w:r>
      <w:r w:rsidR="005E442E" w:rsidRPr="00886331">
        <w:rPr>
          <w:rFonts w:cstheme="minorHAnsi"/>
        </w:rPr>
        <w:t>ere</w:t>
      </w:r>
      <w:r w:rsidR="0019791A" w:rsidRPr="00886331">
        <w:rPr>
          <w:rFonts w:cstheme="minorHAnsi"/>
        </w:rPr>
        <w:t xml:space="preserve"> is </w:t>
      </w:r>
      <w:r w:rsidR="00D85A7F" w:rsidRPr="00886331">
        <w:rPr>
          <w:rFonts w:cstheme="minorHAnsi"/>
        </w:rPr>
        <w:t>no alternative way of acces</w:t>
      </w:r>
      <w:r w:rsidR="00C05060" w:rsidRPr="00886331">
        <w:rPr>
          <w:rFonts w:cstheme="minorHAnsi"/>
        </w:rPr>
        <w:t>s,</w:t>
      </w:r>
      <w:r w:rsidR="00C05060" w:rsidRPr="00886331">
        <w:rPr>
          <w:rFonts w:cstheme="minorHAnsi"/>
          <w:shd w:val="clear" w:color="auto" w:fill="FFFFFF"/>
        </w:rPr>
        <w:t xml:space="preserve"> Taylor, (2012). </w:t>
      </w:r>
      <w:r w:rsidR="00D85A7F" w:rsidRPr="00886331">
        <w:rPr>
          <w:rFonts w:cstheme="minorHAnsi"/>
        </w:rPr>
        <w:t xml:space="preserve"> </w:t>
      </w:r>
      <w:r w:rsidR="001A5A51" w:rsidRPr="00886331">
        <w:rPr>
          <w:rFonts w:cstheme="minorHAnsi"/>
        </w:rPr>
        <w:t xml:space="preserve">This was demonstrated in the Union Lighterage v London Graving Dock Company (1902) </w:t>
      </w:r>
      <w:r w:rsidR="00F0426B" w:rsidRPr="00886331">
        <w:rPr>
          <w:rFonts w:cstheme="minorHAnsi"/>
        </w:rPr>
        <w:t>case, where Stirling LJ stated that:</w:t>
      </w:r>
    </w:p>
    <w:p w14:paraId="16C5C367" w14:textId="5DA4EAED" w:rsidR="00F0426B" w:rsidRPr="00886331" w:rsidRDefault="00F0426B">
      <w:pPr>
        <w:rPr>
          <w:rFonts w:cstheme="minorHAnsi"/>
          <w:i/>
          <w:iCs/>
        </w:rPr>
      </w:pPr>
      <w:r w:rsidRPr="00886331">
        <w:rPr>
          <w:rFonts w:cstheme="minorHAnsi"/>
          <w:i/>
          <w:iCs/>
        </w:rPr>
        <w:lastRenderedPageBreak/>
        <w:t xml:space="preserve">“In my opinion an easement of necessity means and easement without which the property retained cannot be used at all, and </w:t>
      </w:r>
      <w:r w:rsidR="00EC0E1C" w:rsidRPr="00886331">
        <w:rPr>
          <w:rFonts w:cstheme="minorHAnsi"/>
          <w:i/>
          <w:iCs/>
        </w:rPr>
        <w:t>not one merely necessary to the reasonable enjoyment of that property”</w:t>
      </w:r>
    </w:p>
    <w:p w14:paraId="376729CF" w14:textId="59EE6A2A" w:rsidR="00901964" w:rsidRPr="00886331" w:rsidRDefault="00CE248A">
      <w:pPr>
        <w:rPr>
          <w:rFonts w:cstheme="minorHAnsi"/>
        </w:rPr>
      </w:pPr>
      <w:r w:rsidRPr="00886331">
        <w:rPr>
          <w:rFonts w:cstheme="minorHAnsi"/>
          <w:shd w:val="clear" w:color="auto" w:fill="FFFFFF"/>
        </w:rPr>
        <w:t xml:space="preserve">Hamilton, (2014). </w:t>
      </w:r>
      <w:r w:rsidR="00760B04" w:rsidRPr="00886331">
        <w:rPr>
          <w:rFonts w:cstheme="minorHAnsi"/>
        </w:rPr>
        <w:t>After that there is a</w:t>
      </w:r>
      <w:r w:rsidR="007D560C" w:rsidRPr="00886331">
        <w:rPr>
          <w:rFonts w:cstheme="minorHAnsi"/>
        </w:rPr>
        <w:t>n implied grant with common intention</w:t>
      </w:r>
      <w:r w:rsidR="00621EF7" w:rsidRPr="00886331">
        <w:rPr>
          <w:rFonts w:cstheme="minorHAnsi"/>
        </w:rPr>
        <w:t xml:space="preserve">, where the parties </w:t>
      </w:r>
      <w:r w:rsidR="00EB7A45" w:rsidRPr="00886331">
        <w:rPr>
          <w:rFonts w:cstheme="minorHAnsi"/>
        </w:rPr>
        <w:t xml:space="preserve">have undoubtedly intended this. </w:t>
      </w:r>
    </w:p>
    <w:p w14:paraId="728C3DA2" w14:textId="1FB41A09" w:rsidR="00E66415" w:rsidRPr="00886331" w:rsidRDefault="00A74704" w:rsidP="00CC478F">
      <w:pPr>
        <w:rPr>
          <w:rFonts w:cstheme="minorHAnsi"/>
        </w:rPr>
      </w:pPr>
      <w:r w:rsidRPr="00886331">
        <w:rPr>
          <w:rFonts w:cstheme="minorHAnsi"/>
        </w:rPr>
        <w:t xml:space="preserve">Another way to create an easement is a Presumed Grant </w:t>
      </w:r>
      <w:r w:rsidR="00032C70" w:rsidRPr="00886331">
        <w:rPr>
          <w:rFonts w:cstheme="minorHAnsi"/>
        </w:rPr>
        <w:t>by prescription</w:t>
      </w:r>
      <w:r w:rsidR="00CC478F" w:rsidRPr="00886331">
        <w:rPr>
          <w:rFonts w:cstheme="minorHAnsi"/>
        </w:rPr>
        <w:t>. A Prescriptive easement is a legal right enjoyed over another’s property which is obtained through long use</w:t>
      </w:r>
      <w:r w:rsidR="00506ACB" w:rsidRPr="00886331">
        <w:rPr>
          <w:rFonts w:cstheme="minorHAnsi"/>
        </w:rPr>
        <w:t xml:space="preserve">, </w:t>
      </w:r>
      <w:r w:rsidR="00506ACB" w:rsidRPr="00886331">
        <w:rPr>
          <w:rFonts w:cstheme="minorHAnsi"/>
          <w:shd w:val="clear" w:color="auto" w:fill="FFFFFF"/>
        </w:rPr>
        <w:t xml:space="preserve">Morgan, (2015). </w:t>
      </w:r>
      <w:r w:rsidR="00E66415" w:rsidRPr="00886331">
        <w:rPr>
          <w:rFonts w:cstheme="minorHAnsi"/>
        </w:rPr>
        <w:t>Essentially</w:t>
      </w:r>
      <w:r w:rsidR="003A6876" w:rsidRPr="00886331">
        <w:rPr>
          <w:rFonts w:cstheme="minorHAnsi"/>
        </w:rPr>
        <w:t xml:space="preserve"> meaning that </w:t>
      </w:r>
      <w:r w:rsidR="00BF0DE2" w:rsidRPr="00886331">
        <w:rPr>
          <w:rFonts w:cstheme="minorHAnsi"/>
        </w:rPr>
        <w:t xml:space="preserve">the dominant owner can show that they have used a right for 20 years and the court </w:t>
      </w:r>
      <w:r w:rsidR="00112D15" w:rsidRPr="00886331">
        <w:rPr>
          <w:rFonts w:cstheme="minorHAnsi"/>
        </w:rPr>
        <w:t>will continue to uphold that right. A</w:t>
      </w:r>
      <w:r w:rsidR="005A7AE9" w:rsidRPr="00886331">
        <w:rPr>
          <w:rFonts w:cstheme="minorHAnsi"/>
        </w:rPr>
        <w:t>n</w:t>
      </w:r>
      <w:r w:rsidR="00CC478F" w:rsidRPr="00886331">
        <w:rPr>
          <w:rFonts w:cstheme="minorHAnsi"/>
        </w:rPr>
        <w:t xml:space="preserve"> easement that is acquired by prescription is legal because it is presumed that the right was granted by deed sometime in the past</w:t>
      </w:r>
      <w:r w:rsidR="007953CF" w:rsidRPr="00886331">
        <w:rPr>
          <w:rFonts w:cstheme="minorHAnsi"/>
        </w:rPr>
        <w:t xml:space="preserve">, </w:t>
      </w:r>
      <w:r w:rsidR="007953CF" w:rsidRPr="00886331">
        <w:rPr>
          <w:rFonts w:cstheme="minorHAnsi"/>
          <w:shd w:val="clear" w:color="auto" w:fill="FFFFFF"/>
        </w:rPr>
        <w:t xml:space="preserve">Dixon, (2011). </w:t>
      </w:r>
    </w:p>
    <w:p w14:paraId="0FEE15AC" w14:textId="1B215D46" w:rsidR="00CF2A95" w:rsidRPr="00886331" w:rsidRDefault="00A016C5" w:rsidP="00CC478F">
      <w:pPr>
        <w:rPr>
          <w:rFonts w:cstheme="minorHAnsi"/>
        </w:rPr>
      </w:pPr>
      <w:r w:rsidRPr="00886331">
        <w:rPr>
          <w:rFonts w:cstheme="minorHAnsi"/>
        </w:rPr>
        <w:t xml:space="preserve">There are three types of </w:t>
      </w:r>
      <w:r w:rsidR="00786058" w:rsidRPr="00886331">
        <w:rPr>
          <w:rFonts w:cstheme="minorHAnsi"/>
        </w:rPr>
        <w:t>prescriptions</w:t>
      </w:r>
      <w:r w:rsidR="005A7AE9" w:rsidRPr="00886331">
        <w:rPr>
          <w:rFonts w:cstheme="minorHAnsi"/>
        </w:rPr>
        <w:t>, first there is prescription at common law</w:t>
      </w:r>
      <w:r w:rsidR="001B706F" w:rsidRPr="00886331">
        <w:rPr>
          <w:rFonts w:cstheme="minorHAnsi"/>
        </w:rPr>
        <w:t xml:space="preserve">. </w:t>
      </w:r>
      <w:r w:rsidR="00835B6D" w:rsidRPr="00886331">
        <w:rPr>
          <w:rFonts w:cstheme="minorHAnsi"/>
        </w:rPr>
        <w:t>An</w:t>
      </w:r>
      <w:r w:rsidR="001B706F" w:rsidRPr="00886331">
        <w:rPr>
          <w:rFonts w:cstheme="minorHAnsi"/>
        </w:rPr>
        <w:t xml:space="preserve"> easement is </w:t>
      </w:r>
      <w:r w:rsidR="006F5941" w:rsidRPr="00886331">
        <w:rPr>
          <w:rFonts w:cstheme="minorHAnsi"/>
        </w:rPr>
        <w:t>granted if it has bee</w:t>
      </w:r>
      <w:r w:rsidR="00ED20F4" w:rsidRPr="00886331">
        <w:rPr>
          <w:rFonts w:cstheme="minorHAnsi"/>
        </w:rPr>
        <w:t xml:space="preserve">n </w:t>
      </w:r>
      <w:r w:rsidR="00835B6D" w:rsidRPr="00886331">
        <w:rPr>
          <w:rFonts w:cstheme="minorHAnsi"/>
        </w:rPr>
        <w:t>enjoyed continuously</w:t>
      </w:r>
      <w:r w:rsidR="00ED20F4" w:rsidRPr="00886331">
        <w:rPr>
          <w:rFonts w:cstheme="minorHAnsi"/>
        </w:rPr>
        <w:t xml:space="preserve"> as of right</w:t>
      </w:r>
      <w:r w:rsidR="00835B6D" w:rsidRPr="00886331">
        <w:rPr>
          <w:rFonts w:cstheme="minorHAnsi"/>
        </w:rPr>
        <w:t xml:space="preserve"> for at least 20 years,</w:t>
      </w:r>
      <w:r w:rsidR="00DC5A09" w:rsidRPr="00886331">
        <w:rPr>
          <w:rFonts w:cstheme="minorHAnsi"/>
        </w:rPr>
        <w:t xml:space="preserve"> since 1189, </w:t>
      </w:r>
      <w:r w:rsidR="00C41F81" w:rsidRPr="00886331">
        <w:rPr>
          <w:rFonts w:cstheme="minorHAnsi"/>
        </w:rPr>
        <w:t>time immemorial</w:t>
      </w:r>
      <w:r w:rsidR="000E3754" w:rsidRPr="00886331">
        <w:rPr>
          <w:rFonts w:cstheme="minorHAnsi"/>
        </w:rPr>
        <w:t xml:space="preserve">, as it is then presumed to have its origin in a deed of grant made after the year 1189. </w:t>
      </w:r>
      <w:r w:rsidR="00CF2A95" w:rsidRPr="00886331">
        <w:rPr>
          <w:rFonts w:cstheme="minorHAnsi"/>
        </w:rPr>
        <w:t>It is not necessary to prove use stretching all the way back to 1189, providing that the past 20 years are verified</w:t>
      </w:r>
      <w:r w:rsidR="007953CF" w:rsidRPr="00886331">
        <w:rPr>
          <w:rFonts w:cstheme="minorHAnsi"/>
        </w:rPr>
        <w:t xml:space="preserve">, </w:t>
      </w:r>
      <w:r w:rsidR="007953CF" w:rsidRPr="00886331">
        <w:rPr>
          <w:rFonts w:cstheme="minorHAnsi"/>
          <w:shd w:val="clear" w:color="auto" w:fill="FFFFFF"/>
        </w:rPr>
        <w:t>Dixon, (2011</w:t>
      </w:r>
      <w:r w:rsidR="007953CF" w:rsidRPr="00886331">
        <w:rPr>
          <w:rFonts w:cstheme="minorHAnsi"/>
        </w:rPr>
        <w:t xml:space="preserve">). </w:t>
      </w:r>
      <w:r w:rsidR="00B245B4" w:rsidRPr="00886331">
        <w:rPr>
          <w:rFonts w:cstheme="minorHAnsi"/>
        </w:rPr>
        <w:t xml:space="preserve">However, this right can be denied if the following are proven; the right wasn’t or couldn’t be exercised </w:t>
      </w:r>
      <w:r w:rsidR="00A85D41" w:rsidRPr="00886331">
        <w:rPr>
          <w:rFonts w:cstheme="minorHAnsi"/>
        </w:rPr>
        <w:t xml:space="preserve">and the dominant </w:t>
      </w:r>
      <w:r w:rsidR="00CD2591" w:rsidRPr="00886331">
        <w:rPr>
          <w:rFonts w:cstheme="minorHAnsi"/>
        </w:rPr>
        <w:t>a</w:t>
      </w:r>
      <w:r w:rsidR="009E7F8A" w:rsidRPr="00886331">
        <w:rPr>
          <w:rFonts w:cstheme="minorHAnsi"/>
        </w:rPr>
        <w:t>nd</w:t>
      </w:r>
      <w:r w:rsidR="00A85D41" w:rsidRPr="00886331">
        <w:rPr>
          <w:rFonts w:cstheme="minorHAnsi"/>
        </w:rPr>
        <w:t xml:space="preserve"> servient tenement </w:t>
      </w:r>
      <w:r w:rsidR="00CD2591" w:rsidRPr="00886331">
        <w:rPr>
          <w:rFonts w:cstheme="minorHAnsi"/>
        </w:rPr>
        <w:t>was</w:t>
      </w:r>
      <w:r w:rsidR="00A85D41" w:rsidRPr="00886331">
        <w:rPr>
          <w:rFonts w:cstheme="minorHAnsi"/>
        </w:rPr>
        <w:t xml:space="preserve"> vested in the same owne</w:t>
      </w:r>
      <w:r w:rsidR="009616E8" w:rsidRPr="00886331">
        <w:rPr>
          <w:rFonts w:cstheme="minorHAnsi"/>
        </w:rPr>
        <w:t xml:space="preserve">r, </w:t>
      </w:r>
      <w:r w:rsidR="009616E8" w:rsidRPr="00886331">
        <w:rPr>
          <w:rFonts w:cstheme="minorHAnsi"/>
          <w:shd w:val="clear" w:color="auto" w:fill="FFFFFF"/>
        </w:rPr>
        <w:t xml:space="preserve">French, G., (2016). </w:t>
      </w:r>
      <w:r w:rsidR="00A85D41" w:rsidRPr="00886331">
        <w:rPr>
          <w:rFonts w:cstheme="minorHAnsi"/>
        </w:rPr>
        <w:t xml:space="preserve"> </w:t>
      </w:r>
      <w:r w:rsidR="00CF2A95" w:rsidRPr="00886331">
        <w:rPr>
          <w:rFonts w:cstheme="minorHAnsi"/>
        </w:rPr>
        <w:t xml:space="preserve">This method of </w:t>
      </w:r>
      <w:r w:rsidR="0022738D" w:rsidRPr="00886331">
        <w:rPr>
          <w:rFonts w:cstheme="minorHAnsi"/>
        </w:rPr>
        <w:t xml:space="preserve">prescription has been heavily </w:t>
      </w:r>
      <w:r w:rsidR="009D1E6E" w:rsidRPr="00886331">
        <w:rPr>
          <w:rFonts w:cstheme="minorHAnsi"/>
        </w:rPr>
        <w:t>criticised</w:t>
      </w:r>
      <w:r w:rsidR="0022738D" w:rsidRPr="00886331">
        <w:rPr>
          <w:rFonts w:cstheme="minorHAnsi"/>
        </w:rPr>
        <w:t xml:space="preserve"> due its limits and how absurd and bizarre it is in applicatio</w:t>
      </w:r>
      <w:r w:rsidR="000B4A69" w:rsidRPr="00886331">
        <w:rPr>
          <w:rFonts w:cstheme="minorHAnsi"/>
        </w:rPr>
        <w:t>n</w:t>
      </w:r>
      <w:r w:rsidR="009616E8" w:rsidRPr="00886331">
        <w:rPr>
          <w:rFonts w:cstheme="minorHAnsi"/>
        </w:rPr>
        <w:t xml:space="preserve">. </w:t>
      </w:r>
    </w:p>
    <w:p w14:paraId="67E87D93" w14:textId="6C1DB7CB" w:rsidR="00D10FE1" w:rsidRPr="00886331" w:rsidRDefault="00B318F6" w:rsidP="00CC478F">
      <w:pPr>
        <w:rPr>
          <w:rFonts w:cstheme="minorHAnsi"/>
        </w:rPr>
      </w:pPr>
      <w:r w:rsidRPr="00886331">
        <w:rPr>
          <w:rFonts w:cstheme="minorHAnsi"/>
        </w:rPr>
        <w:t>The second type of prescription is the doctrine of lost modern grant</w:t>
      </w:r>
      <w:r w:rsidR="008B15C2" w:rsidRPr="00886331">
        <w:rPr>
          <w:rFonts w:cstheme="minorHAnsi"/>
        </w:rPr>
        <w:t xml:space="preserve">. This is only resorted to when it is not possible to rely on the </w:t>
      </w:r>
      <w:r w:rsidR="00CD2591" w:rsidRPr="00886331">
        <w:rPr>
          <w:rFonts w:cstheme="minorHAnsi"/>
        </w:rPr>
        <w:t>prescription</w:t>
      </w:r>
      <w:r w:rsidR="008B15C2" w:rsidRPr="00886331">
        <w:rPr>
          <w:rFonts w:cstheme="minorHAnsi"/>
        </w:rPr>
        <w:t xml:space="preserve"> at common law. So, quite </w:t>
      </w:r>
      <w:r w:rsidR="00CD2591" w:rsidRPr="00886331">
        <w:rPr>
          <w:rFonts w:cstheme="minorHAnsi"/>
        </w:rPr>
        <w:t>similarly</w:t>
      </w:r>
      <w:r w:rsidR="008B15C2" w:rsidRPr="00886331">
        <w:rPr>
          <w:rFonts w:cstheme="minorHAnsi"/>
        </w:rPr>
        <w:t xml:space="preserve"> the </w:t>
      </w:r>
      <w:r w:rsidR="003257BB" w:rsidRPr="00886331">
        <w:rPr>
          <w:rFonts w:cstheme="minorHAnsi"/>
        </w:rPr>
        <w:t xml:space="preserve">grant of easement </w:t>
      </w:r>
      <w:r w:rsidR="00FD2CCF" w:rsidRPr="00886331">
        <w:rPr>
          <w:rFonts w:cstheme="minorHAnsi"/>
        </w:rPr>
        <w:t xml:space="preserve">is presumed if it has been enjoyed </w:t>
      </w:r>
      <w:r w:rsidR="00CD2591" w:rsidRPr="00886331">
        <w:rPr>
          <w:rFonts w:cstheme="minorHAnsi"/>
        </w:rPr>
        <w:t>continuously</w:t>
      </w:r>
      <w:r w:rsidR="00FD2CCF" w:rsidRPr="00886331">
        <w:rPr>
          <w:rFonts w:cstheme="minorHAnsi"/>
        </w:rPr>
        <w:t xml:space="preserve"> as of right f</w:t>
      </w:r>
      <w:r w:rsidR="00CD2591" w:rsidRPr="00886331">
        <w:rPr>
          <w:rFonts w:cstheme="minorHAnsi"/>
        </w:rPr>
        <w:t>or</w:t>
      </w:r>
      <w:r w:rsidR="00FD2CCF" w:rsidRPr="00886331">
        <w:rPr>
          <w:rFonts w:cstheme="minorHAnsi"/>
        </w:rPr>
        <w:t xml:space="preserve"> 20 years</w:t>
      </w:r>
      <w:r w:rsidR="00C723BB" w:rsidRPr="00886331">
        <w:rPr>
          <w:rFonts w:cstheme="minorHAnsi"/>
        </w:rPr>
        <w:t xml:space="preserve"> </w:t>
      </w:r>
      <w:r w:rsidR="001E2AFB" w:rsidRPr="00886331">
        <w:rPr>
          <w:rFonts w:cstheme="minorHAnsi"/>
        </w:rPr>
        <w:t xml:space="preserve">and </w:t>
      </w:r>
      <w:r w:rsidR="00C723BB" w:rsidRPr="00886331">
        <w:rPr>
          <w:rFonts w:cstheme="minorHAnsi"/>
        </w:rPr>
        <w:t>there was a presumption that there was a grant that existed since 1189 but was lost</w:t>
      </w:r>
      <w:r w:rsidR="009616E8" w:rsidRPr="00886331">
        <w:rPr>
          <w:rFonts w:cstheme="minorHAnsi"/>
        </w:rPr>
        <w:t xml:space="preserve">, </w:t>
      </w:r>
      <w:r w:rsidR="009616E8" w:rsidRPr="00886331">
        <w:rPr>
          <w:rFonts w:cstheme="minorHAnsi"/>
          <w:shd w:val="clear" w:color="auto" w:fill="FFFFFF"/>
        </w:rPr>
        <w:t xml:space="preserve">French, (2016). </w:t>
      </w:r>
      <w:r w:rsidR="001E2AFB" w:rsidRPr="00886331">
        <w:rPr>
          <w:rFonts w:cstheme="minorHAnsi"/>
        </w:rPr>
        <w:t>This would likely occur when the two tenements have been in common ownership since said date</w:t>
      </w:r>
      <w:r w:rsidR="00F36F7F" w:rsidRPr="00886331">
        <w:rPr>
          <w:rFonts w:cstheme="minorHAnsi"/>
        </w:rPr>
        <w:t xml:space="preserve">. </w:t>
      </w:r>
      <w:r w:rsidR="00087A08" w:rsidRPr="00886331">
        <w:rPr>
          <w:rFonts w:cstheme="minorHAnsi"/>
        </w:rPr>
        <w:t xml:space="preserve">The </w:t>
      </w:r>
      <w:r w:rsidR="00C26859" w:rsidRPr="00886331">
        <w:rPr>
          <w:rFonts w:cstheme="minorHAnsi"/>
        </w:rPr>
        <w:t>benefit</w:t>
      </w:r>
      <w:r w:rsidR="00087A08" w:rsidRPr="00886331">
        <w:rPr>
          <w:rFonts w:cstheme="minorHAnsi"/>
        </w:rPr>
        <w:t xml:space="preserve"> of this </w:t>
      </w:r>
      <w:r w:rsidR="00417E49" w:rsidRPr="00886331">
        <w:rPr>
          <w:rFonts w:cstheme="minorHAnsi"/>
        </w:rPr>
        <w:t>doctrine is it understands that most users cannot provide user as of right all the way back to 1189</w:t>
      </w:r>
      <w:r w:rsidR="001E4A7A" w:rsidRPr="00886331">
        <w:rPr>
          <w:rFonts w:cstheme="minorHAnsi"/>
        </w:rPr>
        <w:t xml:space="preserve">, so </w:t>
      </w:r>
      <w:r w:rsidR="009041A5" w:rsidRPr="00886331">
        <w:rPr>
          <w:rFonts w:cstheme="minorHAnsi"/>
        </w:rPr>
        <w:t>presum</w:t>
      </w:r>
      <w:r w:rsidR="00FC66DD" w:rsidRPr="00886331">
        <w:rPr>
          <w:rFonts w:cstheme="minorHAnsi"/>
        </w:rPr>
        <w:t xml:space="preserve">es </w:t>
      </w:r>
      <w:r w:rsidR="009041A5" w:rsidRPr="00886331">
        <w:rPr>
          <w:rFonts w:cstheme="minorHAnsi"/>
        </w:rPr>
        <w:t>that the deed has been in fact lost</w:t>
      </w:r>
      <w:r w:rsidR="00F72F0E" w:rsidRPr="00886331">
        <w:rPr>
          <w:rFonts w:cstheme="minorHAnsi"/>
        </w:rPr>
        <w:t xml:space="preserve"> </w:t>
      </w:r>
      <w:r w:rsidR="00F7067A" w:rsidRPr="00886331">
        <w:rPr>
          <w:rFonts w:cstheme="minorHAnsi"/>
        </w:rPr>
        <w:t>if</w:t>
      </w:r>
      <w:r w:rsidR="00F72F0E" w:rsidRPr="00886331">
        <w:rPr>
          <w:rFonts w:cstheme="minorHAnsi"/>
        </w:rPr>
        <w:t xml:space="preserve"> </w:t>
      </w:r>
      <w:r w:rsidR="00FA36D6" w:rsidRPr="00886331">
        <w:rPr>
          <w:rFonts w:cstheme="minorHAnsi"/>
        </w:rPr>
        <w:t xml:space="preserve">evidence of a modern </w:t>
      </w:r>
      <w:r w:rsidR="00F7067A" w:rsidRPr="00886331">
        <w:rPr>
          <w:rFonts w:cstheme="minorHAnsi"/>
        </w:rPr>
        <w:t xml:space="preserve">grant. </w:t>
      </w:r>
      <w:r w:rsidR="00D10FE1" w:rsidRPr="00886331">
        <w:rPr>
          <w:rFonts w:cstheme="minorHAnsi"/>
        </w:rPr>
        <w:t>T</w:t>
      </w:r>
      <w:r w:rsidR="00367DB0" w:rsidRPr="00886331">
        <w:rPr>
          <w:rFonts w:cstheme="minorHAnsi"/>
        </w:rPr>
        <w:t xml:space="preserve">he case </w:t>
      </w:r>
      <w:r w:rsidR="001565DF" w:rsidRPr="00886331">
        <w:rPr>
          <w:rFonts w:cstheme="minorHAnsi"/>
        </w:rPr>
        <w:t xml:space="preserve">of </w:t>
      </w:r>
      <w:r w:rsidR="00D10FE1" w:rsidRPr="00886331">
        <w:rPr>
          <w:rFonts w:cstheme="minorHAnsi"/>
        </w:rPr>
        <w:t xml:space="preserve">Tehidy Mineral v Normal </w:t>
      </w:r>
      <w:r w:rsidR="0068266E" w:rsidRPr="00886331">
        <w:rPr>
          <w:rFonts w:cstheme="minorHAnsi"/>
        </w:rPr>
        <w:t xml:space="preserve">(1971) </w:t>
      </w:r>
      <w:r w:rsidR="00D10FE1" w:rsidRPr="00886331">
        <w:rPr>
          <w:rFonts w:cstheme="minorHAnsi"/>
        </w:rPr>
        <w:t xml:space="preserve">proves that </w:t>
      </w:r>
      <w:r w:rsidR="0068266E" w:rsidRPr="00886331">
        <w:rPr>
          <w:rFonts w:cstheme="minorHAnsi"/>
        </w:rPr>
        <w:t>20 years or more of use would raise presumption</w:t>
      </w:r>
      <w:r w:rsidR="008856A5" w:rsidRPr="00886331">
        <w:rPr>
          <w:rFonts w:cstheme="minorHAnsi"/>
        </w:rPr>
        <w:t xml:space="preserve">, </w:t>
      </w:r>
      <w:r w:rsidR="008856A5" w:rsidRPr="00886331">
        <w:rPr>
          <w:rFonts w:cstheme="minorHAnsi"/>
          <w:shd w:val="clear" w:color="auto" w:fill="FFFFFF"/>
        </w:rPr>
        <w:t>Morgan, (2015).</w:t>
      </w:r>
    </w:p>
    <w:p w14:paraId="52ED1D37" w14:textId="74D63FBF" w:rsidR="009B1CBE" w:rsidRPr="00886331" w:rsidRDefault="001E2513" w:rsidP="00CC478F">
      <w:pPr>
        <w:rPr>
          <w:rFonts w:cstheme="minorHAnsi"/>
        </w:rPr>
      </w:pPr>
      <w:r w:rsidRPr="00886331">
        <w:rPr>
          <w:rFonts w:cstheme="minorHAnsi"/>
        </w:rPr>
        <w:t>Lastly, there is the prescription under the Prescription Act 1832</w:t>
      </w:r>
      <w:r w:rsidR="00B746DA" w:rsidRPr="00886331">
        <w:rPr>
          <w:rFonts w:cstheme="minorHAnsi"/>
        </w:rPr>
        <w:t>.</w:t>
      </w:r>
      <w:r w:rsidR="005D150B" w:rsidRPr="00886331">
        <w:rPr>
          <w:rFonts w:cstheme="minorHAnsi"/>
        </w:rPr>
        <w:t>Th</w:t>
      </w:r>
      <w:r w:rsidR="00AC6D4C" w:rsidRPr="00886331">
        <w:rPr>
          <w:rFonts w:cstheme="minorHAnsi"/>
        </w:rPr>
        <w:t>e</w:t>
      </w:r>
      <w:r w:rsidR="005D150B" w:rsidRPr="00886331">
        <w:rPr>
          <w:rFonts w:cstheme="minorHAnsi"/>
        </w:rPr>
        <w:t xml:space="preserve"> Act was initially created </w:t>
      </w:r>
      <w:r w:rsidR="0011620F" w:rsidRPr="00886331">
        <w:rPr>
          <w:rFonts w:cstheme="minorHAnsi"/>
        </w:rPr>
        <w:t xml:space="preserve">to remove the </w:t>
      </w:r>
      <w:r w:rsidR="00AC6D4C" w:rsidRPr="00886331">
        <w:rPr>
          <w:rFonts w:cstheme="minorHAnsi"/>
        </w:rPr>
        <w:t>difficulties</w:t>
      </w:r>
      <w:r w:rsidR="0011620F" w:rsidRPr="00886331">
        <w:rPr>
          <w:rFonts w:cstheme="minorHAnsi"/>
        </w:rPr>
        <w:t xml:space="preserve"> and absurdities of the previously mentioned methods</w:t>
      </w:r>
      <w:r w:rsidR="00AC6D4C" w:rsidRPr="00886331">
        <w:rPr>
          <w:rFonts w:cstheme="minorHAnsi"/>
        </w:rPr>
        <w:t xml:space="preserve"> of prescription. Unfortunately, the </w:t>
      </w:r>
      <w:r w:rsidR="005D2272" w:rsidRPr="00886331">
        <w:rPr>
          <w:rFonts w:cstheme="minorHAnsi"/>
        </w:rPr>
        <w:t xml:space="preserve">opposite </w:t>
      </w:r>
      <w:r w:rsidR="00262DDE" w:rsidRPr="00886331">
        <w:rPr>
          <w:rFonts w:cstheme="minorHAnsi"/>
        </w:rPr>
        <w:t>happened,</w:t>
      </w:r>
      <w:r w:rsidR="005D2272" w:rsidRPr="00886331">
        <w:rPr>
          <w:rFonts w:cstheme="minorHAnsi"/>
        </w:rPr>
        <w:t xml:space="preserve"> </w:t>
      </w:r>
      <w:r w:rsidR="000F6DE2" w:rsidRPr="00886331">
        <w:rPr>
          <w:rFonts w:cstheme="minorHAnsi"/>
        </w:rPr>
        <w:t xml:space="preserve">and the Prescription Act 1832 became possibly one of the worst drafted laws created, the provisions </w:t>
      </w:r>
      <w:r w:rsidR="00B2599B" w:rsidRPr="00886331">
        <w:rPr>
          <w:rFonts w:cstheme="minorHAnsi"/>
        </w:rPr>
        <w:t>were complicated and confused things even further</w:t>
      </w:r>
      <w:r w:rsidR="009616E8" w:rsidRPr="00886331">
        <w:rPr>
          <w:rFonts w:cstheme="minorHAnsi"/>
        </w:rPr>
        <w:t>.</w:t>
      </w:r>
      <w:r w:rsidR="005161AA" w:rsidRPr="00886331">
        <w:rPr>
          <w:rFonts w:cstheme="minorHAnsi"/>
        </w:rPr>
        <w:t xml:space="preserve"> To obtain and easement from the act the </w:t>
      </w:r>
      <w:r w:rsidR="00FD5B34" w:rsidRPr="00886331">
        <w:rPr>
          <w:rFonts w:cstheme="minorHAnsi"/>
        </w:rPr>
        <w:t xml:space="preserve">right must have been in use for the short period of twenty years or the long period </w:t>
      </w:r>
      <w:r w:rsidR="00B714F3" w:rsidRPr="00886331">
        <w:rPr>
          <w:rFonts w:cstheme="minorHAnsi"/>
        </w:rPr>
        <w:t>of 40 years. The short period of time is capable of being challenged; however, the long period becomes absolute and cannot be rebutted</w:t>
      </w:r>
      <w:r w:rsidR="008856A5" w:rsidRPr="00886331">
        <w:rPr>
          <w:rFonts w:cstheme="minorHAnsi"/>
        </w:rPr>
        <w:t xml:space="preserve">, </w:t>
      </w:r>
      <w:r w:rsidR="008856A5" w:rsidRPr="00886331">
        <w:rPr>
          <w:rFonts w:cstheme="minorHAnsi"/>
          <w:shd w:val="clear" w:color="auto" w:fill="FFFFFF"/>
        </w:rPr>
        <w:t xml:space="preserve">Morgan, (2015). </w:t>
      </w:r>
      <w:r w:rsidR="00682D63" w:rsidRPr="00886331">
        <w:rPr>
          <w:rFonts w:cstheme="minorHAnsi"/>
        </w:rPr>
        <w:t xml:space="preserve"> </w:t>
      </w:r>
      <w:r w:rsidR="000B34AA" w:rsidRPr="00886331">
        <w:rPr>
          <w:rFonts w:cstheme="minorHAnsi"/>
        </w:rPr>
        <w:t xml:space="preserve">Some added requirements under the Prescription Act 1832 </w:t>
      </w:r>
      <w:r w:rsidR="00E468B4" w:rsidRPr="00886331">
        <w:rPr>
          <w:rFonts w:cstheme="minorHAnsi"/>
        </w:rPr>
        <w:t xml:space="preserve">are as follows. </w:t>
      </w:r>
      <w:r w:rsidR="00691001" w:rsidRPr="00886331">
        <w:rPr>
          <w:rFonts w:cstheme="minorHAnsi"/>
        </w:rPr>
        <w:t xml:space="preserve">No right is acquired until established in action and </w:t>
      </w:r>
      <w:r w:rsidR="00C11F33" w:rsidRPr="00886331">
        <w:rPr>
          <w:rFonts w:cstheme="minorHAnsi"/>
        </w:rPr>
        <w:t>secondly, the use must be without interruption</w:t>
      </w:r>
      <w:r w:rsidR="00A31886" w:rsidRPr="00886331">
        <w:rPr>
          <w:rFonts w:cstheme="minorHAnsi"/>
        </w:rPr>
        <w:t xml:space="preserve">. </w:t>
      </w:r>
      <w:r w:rsidR="006E2675" w:rsidRPr="00886331">
        <w:rPr>
          <w:rFonts w:cstheme="minorHAnsi"/>
        </w:rPr>
        <w:t>interruptions are allowed if they are for a period of less than a year</w:t>
      </w:r>
      <w:r w:rsidR="00CA2D79" w:rsidRPr="00886331">
        <w:rPr>
          <w:rFonts w:cstheme="minorHAnsi"/>
        </w:rPr>
        <w:t xml:space="preserve">, any more the </w:t>
      </w:r>
      <w:r w:rsidR="006E216A" w:rsidRPr="00886331">
        <w:rPr>
          <w:rFonts w:cstheme="minorHAnsi"/>
        </w:rPr>
        <w:t>20-year</w:t>
      </w:r>
      <w:r w:rsidR="00CA2D79" w:rsidRPr="00886331">
        <w:rPr>
          <w:rFonts w:cstheme="minorHAnsi"/>
        </w:rPr>
        <w:t xml:space="preserve"> period would restart</w:t>
      </w:r>
      <w:r w:rsidR="00CC71E1" w:rsidRPr="00886331">
        <w:rPr>
          <w:rFonts w:cstheme="minorHAnsi"/>
        </w:rPr>
        <w:t xml:space="preserve">, </w:t>
      </w:r>
      <w:r w:rsidR="00CC71E1" w:rsidRPr="00886331">
        <w:rPr>
          <w:rFonts w:cstheme="minorHAnsi"/>
          <w:shd w:val="clear" w:color="auto" w:fill="FFFFFF"/>
        </w:rPr>
        <w:t>Dixon, (2011</w:t>
      </w:r>
      <w:r w:rsidR="00CC71E1" w:rsidRPr="00886331">
        <w:rPr>
          <w:rFonts w:cstheme="minorHAnsi"/>
        </w:rPr>
        <w:t xml:space="preserve">). </w:t>
      </w:r>
      <w:r w:rsidR="00A16FE6" w:rsidRPr="00886331">
        <w:rPr>
          <w:rFonts w:cstheme="minorHAnsi"/>
        </w:rPr>
        <w:t xml:space="preserve"> </w:t>
      </w:r>
      <w:r w:rsidR="00191BD8" w:rsidRPr="00886331">
        <w:rPr>
          <w:rFonts w:cstheme="minorHAnsi"/>
        </w:rPr>
        <w:t>At present all three methods co-exist</w:t>
      </w:r>
      <w:r w:rsidR="00D3516A" w:rsidRPr="00886331">
        <w:rPr>
          <w:rFonts w:cstheme="minorHAnsi"/>
        </w:rPr>
        <w:t xml:space="preserve"> and the Prescription Act 1832 covers situations in which the common law and the doctrine of lost modern grant </w:t>
      </w:r>
      <w:r w:rsidR="009B1CBE" w:rsidRPr="00886331">
        <w:rPr>
          <w:rFonts w:cstheme="minorHAnsi"/>
        </w:rPr>
        <w:t>don’t</w:t>
      </w:r>
      <w:r w:rsidR="00CC71E1" w:rsidRPr="00886331">
        <w:rPr>
          <w:rFonts w:cstheme="minorHAnsi"/>
        </w:rPr>
        <w:t xml:space="preserve">. </w:t>
      </w:r>
    </w:p>
    <w:p w14:paraId="34B616A4" w14:textId="17F04F40" w:rsidR="00592503" w:rsidRPr="00886331" w:rsidRDefault="00667C2A" w:rsidP="00CC478F">
      <w:pPr>
        <w:rPr>
          <w:rFonts w:cstheme="minorHAnsi"/>
        </w:rPr>
      </w:pPr>
      <w:r w:rsidRPr="00886331">
        <w:rPr>
          <w:rFonts w:cstheme="minorHAnsi"/>
        </w:rPr>
        <w:t xml:space="preserve">Additionally, which ever method is used to create the prescription easement it </w:t>
      </w:r>
      <w:r w:rsidR="00914650" w:rsidRPr="00886331">
        <w:rPr>
          <w:rFonts w:cstheme="minorHAnsi"/>
        </w:rPr>
        <w:t>is a</w:t>
      </w:r>
      <w:r w:rsidR="00531F28" w:rsidRPr="00886331">
        <w:rPr>
          <w:rFonts w:cstheme="minorHAnsi"/>
        </w:rPr>
        <w:t xml:space="preserve"> necessity to show that the right has been exercised by </w:t>
      </w:r>
      <w:r w:rsidR="00017BA0" w:rsidRPr="00886331">
        <w:rPr>
          <w:rFonts w:cstheme="minorHAnsi"/>
        </w:rPr>
        <w:t xml:space="preserve">a fee simple owner </w:t>
      </w:r>
      <w:r w:rsidR="00BC4A24" w:rsidRPr="00886331">
        <w:rPr>
          <w:rFonts w:cstheme="minorHAnsi"/>
        </w:rPr>
        <w:t>against a</w:t>
      </w:r>
      <w:r w:rsidR="00E14EE0" w:rsidRPr="00886331">
        <w:rPr>
          <w:rFonts w:cstheme="minorHAnsi"/>
        </w:rPr>
        <w:t>nother</w:t>
      </w:r>
      <w:r w:rsidR="00BC4A24" w:rsidRPr="00886331">
        <w:rPr>
          <w:rFonts w:cstheme="minorHAnsi"/>
        </w:rPr>
        <w:t xml:space="preserve"> fee simple owner</w:t>
      </w:r>
      <w:r w:rsidR="00F466A4" w:rsidRPr="00886331">
        <w:rPr>
          <w:rFonts w:cstheme="minorHAnsi"/>
        </w:rPr>
        <w:t xml:space="preserve">. </w:t>
      </w:r>
      <w:r w:rsidR="002A3562" w:rsidRPr="00886331">
        <w:rPr>
          <w:rFonts w:cstheme="minorHAnsi"/>
        </w:rPr>
        <w:t xml:space="preserve">This need to be either exercised </w:t>
      </w:r>
      <w:r w:rsidR="00AC7081" w:rsidRPr="00886331">
        <w:rPr>
          <w:rFonts w:cstheme="minorHAnsi"/>
        </w:rPr>
        <w:t>as of right, without force</w:t>
      </w:r>
      <w:r w:rsidR="002F28FE" w:rsidRPr="00886331">
        <w:rPr>
          <w:rFonts w:cstheme="minorHAnsi"/>
        </w:rPr>
        <w:t xml:space="preserve">, secrecy, or </w:t>
      </w:r>
      <w:r w:rsidR="00A44539" w:rsidRPr="00886331">
        <w:rPr>
          <w:rFonts w:cstheme="minorHAnsi"/>
        </w:rPr>
        <w:t>permission, the permission can be oral</w:t>
      </w:r>
      <w:r w:rsidR="00712683" w:rsidRPr="00886331">
        <w:rPr>
          <w:rFonts w:cstheme="minorHAnsi"/>
        </w:rPr>
        <w:t xml:space="preserve">, written or though payment. </w:t>
      </w:r>
      <w:r w:rsidR="00AB6A80" w:rsidRPr="00886331">
        <w:rPr>
          <w:rFonts w:cstheme="minorHAnsi"/>
        </w:rPr>
        <w:t>Secrecy</w:t>
      </w:r>
      <w:r w:rsidR="0070459D" w:rsidRPr="00886331">
        <w:rPr>
          <w:rFonts w:cstheme="minorHAnsi"/>
        </w:rPr>
        <w:t xml:space="preserve"> is illustrated in the case of Liverpool Corporation v Coghill (1918)</w:t>
      </w:r>
      <w:r w:rsidR="00AB6A80" w:rsidRPr="00886331">
        <w:rPr>
          <w:rFonts w:cstheme="minorHAnsi"/>
        </w:rPr>
        <w:t xml:space="preserve">, when the defendant acted </w:t>
      </w:r>
      <w:r w:rsidR="001605A6" w:rsidRPr="00886331">
        <w:rPr>
          <w:rFonts w:cstheme="minorHAnsi"/>
        </w:rPr>
        <w:t>devious</w:t>
      </w:r>
      <w:r w:rsidR="005D2FE9" w:rsidRPr="00886331">
        <w:rPr>
          <w:rFonts w:cstheme="minorHAnsi"/>
        </w:rPr>
        <w:t>ly</w:t>
      </w:r>
      <w:r w:rsidR="001605A6" w:rsidRPr="00886331">
        <w:rPr>
          <w:rFonts w:cstheme="minorHAnsi"/>
        </w:rPr>
        <w:t xml:space="preserve">. </w:t>
      </w:r>
      <w:r w:rsidR="00592503" w:rsidRPr="00886331">
        <w:rPr>
          <w:rFonts w:cstheme="minorHAnsi"/>
        </w:rPr>
        <w:t>‘</w:t>
      </w:r>
      <w:r w:rsidR="000A2664" w:rsidRPr="00886331">
        <w:rPr>
          <w:rFonts w:cstheme="minorHAnsi"/>
        </w:rPr>
        <w:t>A</w:t>
      </w:r>
      <w:r w:rsidR="00592503" w:rsidRPr="00886331">
        <w:rPr>
          <w:rFonts w:cstheme="minorHAnsi"/>
        </w:rPr>
        <w:t>s of right’ has be</w:t>
      </w:r>
      <w:r w:rsidR="00A632D7" w:rsidRPr="00886331">
        <w:rPr>
          <w:rFonts w:cstheme="minorHAnsi"/>
        </w:rPr>
        <w:t>en</w:t>
      </w:r>
      <w:r w:rsidR="00592503" w:rsidRPr="00886331">
        <w:rPr>
          <w:rFonts w:cstheme="minorHAnsi"/>
        </w:rPr>
        <w:t xml:space="preserve"> criticised as being a burden on the claimant. This is evident in the House of Lords decision in the Gardner v Hodgson’s Kingston </w:t>
      </w:r>
      <w:r w:rsidR="00592503" w:rsidRPr="00886331">
        <w:rPr>
          <w:rFonts w:cstheme="minorHAnsi"/>
        </w:rPr>
        <w:lastRenderedPageBreak/>
        <w:t xml:space="preserve">Brewery case 1903. </w:t>
      </w:r>
      <w:r w:rsidR="00E82188" w:rsidRPr="00886331">
        <w:rPr>
          <w:rFonts w:cstheme="minorHAnsi"/>
        </w:rPr>
        <w:t xml:space="preserve">Another </w:t>
      </w:r>
      <w:proofErr w:type="gramStart"/>
      <w:r w:rsidR="00A94E85" w:rsidRPr="00886331">
        <w:rPr>
          <w:rFonts w:cstheme="minorHAnsi"/>
        </w:rPr>
        <w:t>criteria</w:t>
      </w:r>
      <w:proofErr w:type="gramEnd"/>
      <w:r w:rsidR="00E82188" w:rsidRPr="00886331">
        <w:rPr>
          <w:rFonts w:cstheme="minorHAnsi"/>
        </w:rPr>
        <w:t xml:space="preserve"> that must be met when creating an easement is it</w:t>
      </w:r>
      <w:r w:rsidR="00FA13B4" w:rsidRPr="00886331">
        <w:rPr>
          <w:rFonts w:cstheme="minorHAnsi"/>
        </w:rPr>
        <w:t xml:space="preserve"> will need to be exercised continuously, </w:t>
      </w:r>
      <w:r w:rsidR="0005108D" w:rsidRPr="00886331">
        <w:rPr>
          <w:rFonts w:cstheme="minorHAnsi"/>
        </w:rPr>
        <w:t xml:space="preserve">this is shown in the </w:t>
      </w:r>
      <w:r w:rsidR="008D727B" w:rsidRPr="00886331">
        <w:rPr>
          <w:rFonts w:cstheme="minorHAnsi"/>
        </w:rPr>
        <w:t xml:space="preserve">Diment v N H Foot (1974) case. </w:t>
      </w:r>
      <w:r w:rsidR="00DF61BE" w:rsidRPr="00886331">
        <w:rPr>
          <w:rFonts w:cstheme="minorHAnsi"/>
        </w:rPr>
        <w:t xml:space="preserve">It was held that the long </w:t>
      </w:r>
      <w:r w:rsidR="00211DC2" w:rsidRPr="00886331">
        <w:rPr>
          <w:rFonts w:cstheme="minorHAnsi"/>
        </w:rPr>
        <w:t xml:space="preserve">period of time and </w:t>
      </w:r>
      <w:r w:rsidR="004D5DA4" w:rsidRPr="00886331">
        <w:rPr>
          <w:rFonts w:cstheme="minorHAnsi"/>
        </w:rPr>
        <w:t>continuous</w:t>
      </w:r>
      <w:r w:rsidR="00DF61BE" w:rsidRPr="00886331">
        <w:rPr>
          <w:rFonts w:cstheme="minorHAnsi"/>
        </w:rPr>
        <w:t xml:space="preserve"> use of </w:t>
      </w:r>
      <w:r w:rsidR="004D5DA4" w:rsidRPr="00886331">
        <w:rPr>
          <w:rFonts w:cstheme="minorHAnsi"/>
        </w:rPr>
        <w:t>the</w:t>
      </w:r>
      <w:r w:rsidR="00DF61BE" w:rsidRPr="00886331">
        <w:rPr>
          <w:rFonts w:cstheme="minorHAnsi"/>
        </w:rPr>
        <w:t xml:space="preserve"> alleged right of way </w:t>
      </w:r>
      <w:r w:rsidR="004D5DA4" w:rsidRPr="00886331">
        <w:rPr>
          <w:rFonts w:cstheme="minorHAnsi"/>
        </w:rPr>
        <w:t>amounted to a prescription easemen</w:t>
      </w:r>
      <w:r w:rsidR="007D6DE8" w:rsidRPr="00886331">
        <w:rPr>
          <w:rFonts w:cstheme="minorHAnsi"/>
        </w:rPr>
        <w:t xml:space="preserve">t, </w:t>
      </w:r>
      <w:r w:rsidR="007D6DE8" w:rsidRPr="00886331">
        <w:rPr>
          <w:rFonts w:cstheme="minorHAnsi"/>
          <w:shd w:val="clear" w:color="auto" w:fill="FFFFFF"/>
        </w:rPr>
        <w:t xml:space="preserve">Hamilton, (2014). </w:t>
      </w:r>
    </w:p>
    <w:p w14:paraId="0FEB7638" w14:textId="36968582" w:rsidR="00A70937" w:rsidRPr="00886331" w:rsidRDefault="00A70937" w:rsidP="00CC478F">
      <w:pPr>
        <w:rPr>
          <w:rFonts w:cstheme="minorHAnsi"/>
        </w:rPr>
      </w:pPr>
      <w:r w:rsidRPr="00886331">
        <w:rPr>
          <w:rFonts w:cstheme="minorHAnsi"/>
        </w:rPr>
        <w:t xml:space="preserve">A positive of a prescriptive </w:t>
      </w:r>
      <w:r w:rsidR="003A60F5" w:rsidRPr="00886331">
        <w:rPr>
          <w:rFonts w:cstheme="minorHAnsi"/>
        </w:rPr>
        <w:t>easement is they do not legally need to be registered</w:t>
      </w:r>
      <w:r w:rsidR="00B40420" w:rsidRPr="00886331">
        <w:rPr>
          <w:rFonts w:cstheme="minorHAnsi"/>
        </w:rPr>
        <w:t xml:space="preserve"> as they generally amount to overriding interest</w:t>
      </w:r>
      <w:r w:rsidR="00A364CA" w:rsidRPr="00886331">
        <w:rPr>
          <w:rFonts w:cstheme="minorHAnsi"/>
        </w:rPr>
        <w:t>s</w:t>
      </w:r>
      <w:r w:rsidR="009C00C5" w:rsidRPr="00886331">
        <w:rPr>
          <w:rFonts w:cstheme="minorHAnsi"/>
        </w:rPr>
        <w:t xml:space="preserve"> and are automatically binding between the two </w:t>
      </w:r>
      <w:r w:rsidR="00685424" w:rsidRPr="00886331">
        <w:rPr>
          <w:rFonts w:cstheme="minorHAnsi"/>
        </w:rPr>
        <w:t>tenements</w:t>
      </w:r>
      <w:r w:rsidR="009D36B4" w:rsidRPr="00886331">
        <w:rPr>
          <w:rFonts w:cstheme="minorHAnsi"/>
        </w:rPr>
        <w:t xml:space="preserve">, </w:t>
      </w:r>
      <w:r w:rsidR="00886331" w:rsidRPr="00886331">
        <w:rPr>
          <w:rFonts w:cstheme="minorHAnsi"/>
          <w:shd w:val="clear" w:color="auto" w:fill="FFFFFF"/>
        </w:rPr>
        <w:t>Buck, (</w:t>
      </w:r>
      <w:r w:rsidR="009D36B4" w:rsidRPr="00886331">
        <w:rPr>
          <w:rFonts w:cstheme="minorHAnsi"/>
          <w:shd w:val="clear" w:color="auto" w:fill="FFFFFF"/>
        </w:rPr>
        <w:t>2019).</w:t>
      </w:r>
      <w:r w:rsidR="00685424" w:rsidRPr="00886331">
        <w:rPr>
          <w:rFonts w:cstheme="minorHAnsi"/>
        </w:rPr>
        <w:t xml:space="preserve"> This is</w:t>
      </w:r>
      <w:r w:rsidR="00427043" w:rsidRPr="00886331">
        <w:rPr>
          <w:rFonts w:cstheme="minorHAnsi"/>
        </w:rPr>
        <w:t xml:space="preserve"> beneficial</w:t>
      </w:r>
      <w:r w:rsidR="00685424" w:rsidRPr="00886331">
        <w:rPr>
          <w:rFonts w:cstheme="minorHAnsi"/>
        </w:rPr>
        <w:t xml:space="preserve"> as </w:t>
      </w:r>
      <w:r w:rsidR="00427043" w:rsidRPr="00886331">
        <w:rPr>
          <w:rFonts w:cstheme="minorHAnsi"/>
        </w:rPr>
        <w:t xml:space="preserve">it </w:t>
      </w:r>
      <w:r w:rsidR="00685424" w:rsidRPr="00886331">
        <w:rPr>
          <w:rFonts w:cstheme="minorHAnsi"/>
        </w:rPr>
        <w:t>helps evidence the existence of your right</w:t>
      </w:r>
      <w:r w:rsidR="00BB213E" w:rsidRPr="00886331">
        <w:rPr>
          <w:rFonts w:cstheme="minorHAnsi"/>
        </w:rPr>
        <w:t xml:space="preserve"> by </w:t>
      </w:r>
      <w:r w:rsidR="00685424" w:rsidRPr="00886331">
        <w:rPr>
          <w:rFonts w:cstheme="minorHAnsi"/>
        </w:rPr>
        <w:t>protect</w:t>
      </w:r>
      <w:r w:rsidR="00BB213E" w:rsidRPr="00886331">
        <w:rPr>
          <w:rFonts w:cstheme="minorHAnsi"/>
        </w:rPr>
        <w:t>ing</w:t>
      </w:r>
      <w:r w:rsidR="00685424" w:rsidRPr="00886331">
        <w:rPr>
          <w:rFonts w:cstheme="minorHAnsi"/>
        </w:rPr>
        <w:t xml:space="preserve"> it from being challenged by</w:t>
      </w:r>
      <w:r w:rsidR="00BB213E" w:rsidRPr="00886331">
        <w:rPr>
          <w:rFonts w:cstheme="minorHAnsi"/>
        </w:rPr>
        <w:t xml:space="preserve"> </w:t>
      </w:r>
      <w:r w:rsidR="00685424" w:rsidRPr="00886331">
        <w:rPr>
          <w:rFonts w:cstheme="minorHAnsi"/>
        </w:rPr>
        <w:t xml:space="preserve">current or future </w:t>
      </w:r>
      <w:r w:rsidR="00A364CA" w:rsidRPr="00886331">
        <w:rPr>
          <w:rFonts w:cstheme="minorHAnsi"/>
        </w:rPr>
        <w:t>owner</w:t>
      </w:r>
      <w:r w:rsidR="00BB213E" w:rsidRPr="00886331">
        <w:rPr>
          <w:rFonts w:cstheme="minorHAnsi"/>
        </w:rPr>
        <w:t>s</w:t>
      </w:r>
      <w:r w:rsidR="00A364CA" w:rsidRPr="00886331">
        <w:rPr>
          <w:rFonts w:cstheme="minorHAnsi"/>
        </w:rPr>
        <w:t xml:space="preserve"> </w:t>
      </w:r>
      <w:r w:rsidR="00BB213E" w:rsidRPr="00886331">
        <w:rPr>
          <w:rFonts w:cstheme="minorHAnsi"/>
        </w:rPr>
        <w:t xml:space="preserve">of the </w:t>
      </w:r>
      <w:r w:rsidR="00A364CA" w:rsidRPr="00886331">
        <w:rPr>
          <w:rFonts w:cstheme="minorHAnsi"/>
        </w:rPr>
        <w:t xml:space="preserve">land the right relates too. </w:t>
      </w:r>
    </w:p>
    <w:p w14:paraId="43550C3B" w14:textId="55B0446A" w:rsidR="00614E9E" w:rsidRPr="00886331" w:rsidRDefault="00614E9E" w:rsidP="00CC478F">
      <w:pPr>
        <w:rPr>
          <w:rFonts w:cstheme="minorHAnsi"/>
        </w:rPr>
      </w:pPr>
      <w:r w:rsidRPr="00886331">
        <w:rPr>
          <w:rFonts w:cstheme="minorHAnsi"/>
        </w:rPr>
        <w:t xml:space="preserve">The law commissioner </w:t>
      </w:r>
      <w:r w:rsidR="00853DF1" w:rsidRPr="00886331">
        <w:rPr>
          <w:rFonts w:cstheme="minorHAnsi"/>
        </w:rPr>
        <w:t xml:space="preserve">has stated that the law is old </w:t>
      </w:r>
      <w:r w:rsidR="00D67C4C" w:rsidRPr="00886331">
        <w:rPr>
          <w:rFonts w:cstheme="minorHAnsi"/>
        </w:rPr>
        <w:t>and, in some circumstances,</w:t>
      </w:r>
      <w:r w:rsidR="00853DF1" w:rsidRPr="00886331">
        <w:rPr>
          <w:rFonts w:cstheme="minorHAnsi"/>
        </w:rPr>
        <w:t xml:space="preserve"> illogical or arcane. </w:t>
      </w:r>
      <w:r w:rsidR="00D67C4C" w:rsidRPr="00886331">
        <w:rPr>
          <w:rFonts w:cstheme="minorHAnsi"/>
        </w:rPr>
        <w:t xml:space="preserve">They </w:t>
      </w:r>
      <w:r w:rsidR="00754031" w:rsidRPr="00886331">
        <w:rPr>
          <w:rFonts w:cstheme="minorHAnsi"/>
        </w:rPr>
        <w:t>have proposed the replacement of the earlier mentioned methods of prescription with a single statutory scheme</w:t>
      </w:r>
      <w:r w:rsidR="00C838E2" w:rsidRPr="00886331">
        <w:rPr>
          <w:rFonts w:cstheme="minorHAnsi"/>
        </w:rPr>
        <w:t xml:space="preserve">, while still including elements like use for 20 years, without force, </w:t>
      </w:r>
      <w:r w:rsidR="002C42F1" w:rsidRPr="00886331">
        <w:rPr>
          <w:rFonts w:cstheme="minorHAnsi"/>
        </w:rPr>
        <w:t>stealth,</w:t>
      </w:r>
      <w:r w:rsidR="00C838E2" w:rsidRPr="00886331">
        <w:rPr>
          <w:rFonts w:cstheme="minorHAnsi"/>
        </w:rPr>
        <w:t xml:space="preserve"> or permission</w:t>
      </w:r>
      <w:r w:rsidR="00BF1820" w:rsidRPr="00886331">
        <w:rPr>
          <w:rFonts w:cstheme="minorHAnsi"/>
        </w:rPr>
        <w:t>, The Law Commission, (2008).</w:t>
      </w:r>
    </w:p>
    <w:p w14:paraId="2047513D" w14:textId="7DFDDDC4" w:rsidR="00EB52D4" w:rsidRPr="00886331" w:rsidRDefault="000831D3" w:rsidP="000831D3">
      <w:pPr>
        <w:rPr>
          <w:rFonts w:cstheme="minorHAnsi"/>
        </w:rPr>
      </w:pPr>
      <w:r w:rsidRPr="00886331">
        <w:rPr>
          <w:rFonts w:cstheme="minorHAnsi"/>
        </w:rPr>
        <w:t>To conclude, the doctrines throughout are somewhat clear in the sense they set out exactly how long and what is needed for a successful easement.</w:t>
      </w:r>
      <w:r w:rsidR="00EB52D4" w:rsidRPr="00886331">
        <w:rPr>
          <w:rFonts w:cstheme="minorHAnsi"/>
        </w:rPr>
        <w:t xml:space="preserve"> For instance, a 20- or 40-year interrupted period of use is will ensure an easement. Also, the three methods exist well together as </w:t>
      </w:r>
      <w:r w:rsidR="00561251" w:rsidRPr="00886331">
        <w:rPr>
          <w:rFonts w:cstheme="minorHAnsi"/>
        </w:rPr>
        <w:t xml:space="preserve">one will provide what the other may </w:t>
      </w:r>
      <w:r w:rsidR="00601FE7" w:rsidRPr="00886331">
        <w:rPr>
          <w:rFonts w:cstheme="minorHAnsi"/>
        </w:rPr>
        <w:t>not:</w:t>
      </w:r>
      <w:r w:rsidR="001C14FA" w:rsidRPr="00886331">
        <w:rPr>
          <w:rFonts w:cstheme="minorHAnsi"/>
        </w:rPr>
        <w:t xml:space="preserve"> in the case of los</w:t>
      </w:r>
      <w:r w:rsidR="00601FE7" w:rsidRPr="00886331">
        <w:rPr>
          <w:rFonts w:cstheme="minorHAnsi"/>
        </w:rPr>
        <w:t xml:space="preserve">t </w:t>
      </w:r>
      <w:r w:rsidR="001C14FA" w:rsidRPr="00886331">
        <w:rPr>
          <w:rFonts w:cstheme="minorHAnsi"/>
        </w:rPr>
        <w:t xml:space="preserve">evidence </w:t>
      </w:r>
      <w:r w:rsidR="00601FE7" w:rsidRPr="00886331">
        <w:rPr>
          <w:rFonts w:cstheme="minorHAnsi"/>
        </w:rPr>
        <w:t xml:space="preserve">regarding </w:t>
      </w:r>
      <w:r w:rsidR="001C14FA" w:rsidRPr="00886331">
        <w:rPr>
          <w:rFonts w:cstheme="minorHAnsi"/>
        </w:rPr>
        <w:t xml:space="preserve">the doctrine of lost modern grant. </w:t>
      </w:r>
    </w:p>
    <w:p w14:paraId="21FA7015" w14:textId="78AF94D9" w:rsidR="00933D91" w:rsidRPr="00886331" w:rsidRDefault="000831D3" w:rsidP="007376CB">
      <w:pPr>
        <w:rPr>
          <w:rFonts w:cstheme="minorHAnsi"/>
        </w:rPr>
      </w:pPr>
      <w:r w:rsidRPr="00886331">
        <w:rPr>
          <w:rFonts w:cstheme="minorHAnsi"/>
        </w:rPr>
        <w:t>However, it evident that the</w:t>
      </w:r>
      <w:r w:rsidR="00EB52D4" w:rsidRPr="00886331">
        <w:rPr>
          <w:rFonts w:cstheme="minorHAnsi"/>
        </w:rPr>
        <w:t xml:space="preserve">se doctrines </w:t>
      </w:r>
      <w:r w:rsidRPr="00886331">
        <w:rPr>
          <w:rFonts w:cstheme="minorHAnsi"/>
        </w:rPr>
        <w:t>can be extremely confusing like the common law prescription which is clearly out of date and bizarre. Likewise, the creation of the Prescription Act 1925 which was introduced in hope</w:t>
      </w:r>
      <w:r w:rsidR="00601FE7" w:rsidRPr="00886331">
        <w:rPr>
          <w:rFonts w:cstheme="minorHAnsi"/>
        </w:rPr>
        <w:t>s</w:t>
      </w:r>
      <w:r w:rsidRPr="00886331">
        <w:rPr>
          <w:rFonts w:cstheme="minorHAnsi"/>
        </w:rPr>
        <w:t xml:space="preserve"> to bring more structure but just created complexity and problems. Th</w:t>
      </w:r>
      <w:r w:rsidR="008F72B8" w:rsidRPr="00886331">
        <w:rPr>
          <w:rFonts w:cstheme="minorHAnsi"/>
        </w:rPr>
        <w:t>ere is clear need for</w:t>
      </w:r>
      <w:r w:rsidRPr="00886331">
        <w:rPr>
          <w:rFonts w:cstheme="minorHAnsi"/>
        </w:rPr>
        <w:t xml:space="preserve"> reform</w:t>
      </w:r>
      <w:r w:rsidR="008F72B8" w:rsidRPr="00886331">
        <w:rPr>
          <w:rFonts w:cstheme="minorHAnsi"/>
        </w:rPr>
        <w:t xml:space="preserve">, as it will help in the success of the application and the overall efficiency of the process. </w:t>
      </w:r>
    </w:p>
    <w:p w14:paraId="4BE99548" w14:textId="77777777" w:rsidR="005E7507" w:rsidRPr="00886331" w:rsidRDefault="005E7507">
      <w:pPr>
        <w:rPr>
          <w:rFonts w:cstheme="minorHAnsi"/>
        </w:rPr>
      </w:pPr>
    </w:p>
    <w:p w14:paraId="2FC0C106" w14:textId="3E7BBAF2" w:rsidR="005E7507" w:rsidRPr="00886331" w:rsidRDefault="005E7507" w:rsidP="005E7507">
      <w:pPr>
        <w:jc w:val="center"/>
        <w:rPr>
          <w:rFonts w:cstheme="minorHAnsi"/>
          <w:u w:val="single"/>
        </w:rPr>
      </w:pPr>
      <w:r w:rsidRPr="00886331">
        <w:rPr>
          <w:rFonts w:cstheme="minorHAnsi"/>
          <w:u w:val="single"/>
        </w:rPr>
        <w:t>Reference List</w:t>
      </w:r>
    </w:p>
    <w:p w14:paraId="0572B460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>Bailey, S.J., (1936). The Law of Property Act, 1925, S. 130 (2). </w:t>
      </w:r>
      <w:r w:rsidRPr="00886331">
        <w:rPr>
          <w:rFonts w:cstheme="minorHAnsi"/>
          <w:i/>
          <w:iCs/>
          <w:shd w:val="clear" w:color="auto" w:fill="FFFFFF"/>
        </w:rPr>
        <w:t>The Cambridge Law Journal</w:t>
      </w:r>
      <w:r w:rsidRPr="00886331">
        <w:rPr>
          <w:rFonts w:cstheme="minorHAnsi"/>
          <w:shd w:val="clear" w:color="auto" w:fill="FFFFFF"/>
        </w:rPr>
        <w:t>, </w:t>
      </w:r>
      <w:r w:rsidRPr="00886331">
        <w:rPr>
          <w:rFonts w:cstheme="minorHAnsi"/>
          <w:i/>
          <w:iCs/>
          <w:shd w:val="clear" w:color="auto" w:fill="FFFFFF"/>
        </w:rPr>
        <w:t>6</w:t>
      </w:r>
      <w:r w:rsidRPr="00886331">
        <w:rPr>
          <w:rFonts w:cstheme="minorHAnsi"/>
          <w:shd w:val="clear" w:color="auto" w:fill="FFFFFF"/>
        </w:rPr>
        <w:t>(1), pp.67-82.</w:t>
      </w:r>
    </w:p>
    <w:p w14:paraId="1C7E8272" w14:textId="77777777" w:rsidR="00E31348" w:rsidRPr="00886331" w:rsidRDefault="00E31348" w:rsidP="00F76B19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>Bradbrook, A.J., (1982). The Development of an Easement of Solar Access. </w:t>
      </w:r>
      <w:r w:rsidRPr="00886331">
        <w:rPr>
          <w:rFonts w:cstheme="minorHAnsi"/>
          <w:i/>
          <w:iCs/>
          <w:shd w:val="clear" w:color="auto" w:fill="FFFFFF"/>
        </w:rPr>
        <w:t>UNSWLJ</w:t>
      </w:r>
      <w:r w:rsidRPr="00886331">
        <w:rPr>
          <w:rFonts w:cstheme="minorHAnsi"/>
          <w:shd w:val="clear" w:color="auto" w:fill="FFFFFF"/>
        </w:rPr>
        <w:t>, </w:t>
      </w:r>
      <w:r w:rsidRPr="00886331">
        <w:rPr>
          <w:rFonts w:cstheme="minorHAnsi"/>
          <w:i/>
          <w:iCs/>
          <w:shd w:val="clear" w:color="auto" w:fill="FFFFFF"/>
        </w:rPr>
        <w:t>5</w:t>
      </w:r>
      <w:r w:rsidRPr="00886331">
        <w:rPr>
          <w:rFonts w:cstheme="minorHAnsi"/>
          <w:shd w:val="clear" w:color="auto" w:fill="FFFFFF"/>
        </w:rPr>
        <w:t>, p.229.</w:t>
      </w:r>
    </w:p>
    <w:p w14:paraId="3C5F1267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>Buck, C</w:t>
      </w:r>
      <w:r>
        <w:rPr>
          <w:rFonts w:cstheme="minorHAnsi"/>
          <w:shd w:val="clear" w:color="auto" w:fill="FFFFFF"/>
        </w:rPr>
        <w:t xml:space="preserve">., </w:t>
      </w:r>
      <w:r w:rsidRPr="00886331">
        <w:rPr>
          <w:rFonts w:cstheme="minorHAnsi"/>
          <w:shd w:val="clear" w:color="auto" w:fill="FFFFFF"/>
        </w:rPr>
        <w:t xml:space="preserve">(2019). Prescriptive </w:t>
      </w:r>
      <w:r>
        <w:rPr>
          <w:rFonts w:cstheme="minorHAnsi"/>
          <w:shd w:val="clear" w:color="auto" w:fill="FFFFFF"/>
        </w:rPr>
        <w:t>E</w:t>
      </w:r>
      <w:r w:rsidRPr="00886331">
        <w:rPr>
          <w:rFonts w:cstheme="minorHAnsi"/>
          <w:shd w:val="clear" w:color="auto" w:fill="FFFFFF"/>
        </w:rPr>
        <w:t xml:space="preserve">asement: what are they? </w:t>
      </w:r>
      <w:r>
        <w:rPr>
          <w:rFonts w:cstheme="minorHAnsi"/>
          <w:shd w:val="clear" w:color="auto" w:fill="FFFFFF"/>
        </w:rPr>
        <w:t>Available</w:t>
      </w:r>
      <w:r w:rsidRPr="00886331">
        <w:rPr>
          <w:rFonts w:cstheme="minorHAnsi"/>
          <w:shd w:val="clear" w:color="auto" w:fill="FFFFFF"/>
        </w:rPr>
        <w:t xml:space="preserve"> at: </w:t>
      </w:r>
      <w:hyperlink r:id="rId7" w:anchor=":~:text=There%20is%20generally%20no%20need,and%20their%20successors%20in%20title" w:history="1">
        <w:r w:rsidRPr="00886331">
          <w:rPr>
            <w:rStyle w:val="Hyperlink"/>
            <w:rFonts w:cstheme="minorHAnsi"/>
            <w:color w:val="auto"/>
            <w:shd w:val="clear" w:color="auto" w:fill="FFFFFF"/>
          </w:rPr>
          <w:t>https://www.adams-harrison.co.uk/prescriptive-easements-what-are-they/#:~:text=There%20is%20generally%20no%20need,and%20their%20successors%20in%20title</w:t>
        </w:r>
      </w:hyperlink>
      <w:r w:rsidRPr="00886331">
        <w:rPr>
          <w:rFonts w:cstheme="minorHAnsi"/>
          <w:shd w:val="clear" w:color="auto" w:fill="FFFFFF"/>
        </w:rPr>
        <w:t>. (Accessed: March 15</w:t>
      </w:r>
      <w:r w:rsidRPr="00886331">
        <w:rPr>
          <w:rFonts w:cstheme="minorHAnsi"/>
          <w:shd w:val="clear" w:color="auto" w:fill="FFFFFF"/>
          <w:vertAlign w:val="superscript"/>
        </w:rPr>
        <w:t>th</w:t>
      </w:r>
      <w:r w:rsidRPr="00886331">
        <w:rPr>
          <w:rFonts w:cstheme="minorHAnsi"/>
          <w:shd w:val="clear" w:color="auto" w:fill="FFFFFF"/>
        </w:rPr>
        <w:t xml:space="preserve">, 2022). </w:t>
      </w:r>
    </w:p>
    <w:p w14:paraId="2651BBBB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>Dixon, M., (2011). Easements. </w:t>
      </w:r>
      <w:r w:rsidRPr="00886331">
        <w:rPr>
          <w:rFonts w:cstheme="minorHAnsi"/>
          <w:i/>
          <w:iCs/>
          <w:shd w:val="clear" w:color="auto" w:fill="FFFFFF"/>
        </w:rPr>
        <w:t>Conveyancer &amp; Property Lawyer</w:t>
      </w:r>
      <w:r w:rsidRPr="00886331">
        <w:rPr>
          <w:rFonts w:cstheme="minorHAnsi"/>
          <w:shd w:val="clear" w:color="auto" w:fill="FFFFFF"/>
        </w:rPr>
        <w:t>, </w:t>
      </w:r>
      <w:r w:rsidRPr="00886331">
        <w:rPr>
          <w:rFonts w:cstheme="minorHAnsi"/>
          <w:i/>
          <w:iCs/>
          <w:shd w:val="clear" w:color="auto" w:fill="FFFFFF"/>
        </w:rPr>
        <w:t>167</w:t>
      </w:r>
      <w:r w:rsidRPr="00886331">
        <w:rPr>
          <w:rFonts w:cstheme="minorHAnsi"/>
          <w:shd w:val="clear" w:color="auto" w:fill="FFFFFF"/>
        </w:rPr>
        <w:t xml:space="preserve">. Available at: </w:t>
      </w:r>
      <w:hyperlink r:id="rId8" w:history="1">
        <w:r w:rsidRPr="00886331">
          <w:rPr>
            <w:rStyle w:val="Hyperlink"/>
            <w:rFonts w:cstheme="minorHAnsi"/>
            <w:color w:val="auto"/>
            <w:shd w:val="clear" w:color="auto" w:fill="FFFFFF"/>
          </w:rPr>
          <w:t>https://papers.ssrn.com/sol3/papers.cfm?abstract_id=2271224</w:t>
        </w:r>
      </w:hyperlink>
      <w:r w:rsidRPr="00886331">
        <w:rPr>
          <w:rFonts w:cstheme="minorHAnsi"/>
          <w:shd w:val="clear" w:color="auto" w:fill="FFFFFF"/>
        </w:rPr>
        <w:t xml:space="preserve"> (Accessed: March 13</w:t>
      </w:r>
      <w:r w:rsidRPr="00886331">
        <w:rPr>
          <w:rFonts w:cstheme="minorHAnsi"/>
          <w:shd w:val="clear" w:color="auto" w:fill="FFFFFF"/>
          <w:vertAlign w:val="superscript"/>
        </w:rPr>
        <w:t>th</w:t>
      </w:r>
      <w:r w:rsidRPr="00886331">
        <w:rPr>
          <w:rFonts w:cstheme="minorHAnsi"/>
          <w:shd w:val="clear" w:color="auto" w:fill="FFFFFF"/>
        </w:rPr>
        <w:t xml:space="preserve">, 2022). </w:t>
      </w:r>
    </w:p>
    <w:p w14:paraId="289BC542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>French, G., (2016). The Doctrine of Lost Modern Grant and Prescriptive Easements in Newfoundland. </w:t>
      </w:r>
      <w:r w:rsidRPr="00886331">
        <w:rPr>
          <w:rFonts w:cstheme="minorHAnsi"/>
          <w:i/>
          <w:iCs/>
          <w:shd w:val="clear" w:color="auto" w:fill="FFFFFF"/>
        </w:rPr>
        <w:t>Dalhousie LJ</w:t>
      </w:r>
      <w:r w:rsidRPr="00886331">
        <w:rPr>
          <w:rFonts w:cstheme="minorHAnsi"/>
          <w:shd w:val="clear" w:color="auto" w:fill="FFFFFF"/>
        </w:rPr>
        <w:t>, </w:t>
      </w:r>
      <w:r w:rsidRPr="00886331">
        <w:rPr>
          <w:rFonts w:cstheme="minorHAnsi"/>
          <w:i/>
          <w:iCs/>
          <w:shd w:val="clear" w:color="auto" w:fill="FFFFFF"/>
        </w:rPr>
        <w:t>39</w:t>
      </w:r>
      <w:r w:rsidRPr="00886331">
        <w:rPr>
          <w:rFonts w:cstheme="minorHAnsi"/>
          <w:shd w:val="clear" w:color="auto" w:fill="FFFFFF"/>
        </w:rPr>
        <w:t>, p.585.</w:t>
      </w:r>
    </w:p>
    <w:p w14:paraId="7AEB4406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 xml:space="preserve">Hamilton, J.W., (2014). Landmark Cases in Land Law. Available at: </w:t>
      </w:r>
      <w:hyperlink r:id="rId9" w:history="1">
        <w:r w:rsidRPr="00886331">
          <w:rPr>
            <w:rStyle w:val="Hyperlink"/>
            <w:rFonts w:cstheme="minorHAnsi"/>
            <w:color w:val="auto"/>
            <w:shd w:val="clear" w:color="auto" w:fill="FFFFFF"/>
          </w:rPr>
          <w:t>https://heinonline.org/HOL/LandingPage?handle=hein.journals/canadbus56&amp;div=31&amp;id=&amp;page=</w:t>
        </w:r>
      </w:hyperlink>
      <w:r w:rsidRPr="00886331">
        <w:rPr>
          <w:rFonts w:cstheme="minorHAnsi"/>
          <w:shd w:val="clear" w:color="auto" w:fill="FFFFFF"/>
        </w:rPr>
        <w:t xml:space="preserve"> (Accessed: March 16</w:t>
      </w:r>
      <w:r w:rsidRPr="00886331">
        <w:rPr>
          <w:rFonts w:cstheme="minorHAnsi"/>
          <w:shd w:val="clear" w:color="auto" w:fill="FFFFFF"/>
          <w:vertAlign w:val="superscript"/>
        </w:rPr>
        <w:t>th</w:t>
      </w:r>
      <w:r w:rsidRPr="00886331">
        <w:rPr>
          <w:rFonts w:cstheme="minorHAnsi"/>
          <w:shd w:val="clear" w:color="auto" w:fill="FFFFFF"/>
        </w:rPr>
        <w:t xml:space="preserve">, 2022). </w:t>
      </w:r>
    </w:p>
    <w:p w14:paraId="2E9D8C39" w14:textId="77777777" w:rsidR="00E31348" w:rsidRPr="00886331" w:rsidRDefault="00E31348">
      <w:pPr>
        <w:rPr>
          <w:rFonts w:cstheme="minorHAnsi"/>
          <w:shd w:val="clear" w:color="auto" w:fill="FFFFFF"/>
        </w:rPr>
      </w:pPr>
      <w:proofErr w:type="spellStart"/>
      <w:r w:rsidRPr="00886331">
        <w:rPr>
          <w:rFonts w:cstheme="minorHAnsi"/>
          <w:shd w:val="clear" w:color="auto" w:fill="FFFFFF"/>
        </w:rPr>
        <w:t>Megarry</w:t>
      </w:r>
      <w:proofErr w:type="spellEnd"/>
      <w:r w:rsidRPr="00886331">
        <w:rPr>
          <w:rFonts w:cstheme="minorHAnsi"/>
          <w:shd w:val="clear" w:color="auto" w:fill="FFFFFF"/>
        </w:rPr>
        <w:t>, R.E., (1945). ‘To A and his issue’: The Law of Property Act, 1925, Section 130 (2). </w:t>
      </w:r>
      <w:r w:rsidRPr="00886331">
        <w:rPr>
          <w:rFonts w:cstheme="minorHAnsi"/>
          <w:i/>
          <w:iCs/>
          <w:shd w:val="clear" w:color="auto" w:fill="FFFFFF"/>
        </w:rPr>
        <w:t>The Cambridge Law Journal</w:t>
      </w:r>
      <w:r w:rsidRPr="00886331">
        <w:rPr>
          <w:rFonts w:cstheme="minorHAnsi"/>
          <w:shd w:val="clear" w:color="auto" w:fill="FFFFFF"/>
        </w:rPr>
        <w:t>, </w:t>
      </w:r>
      <w:r w:rsidRPr="00886331">
        <w:rPr>
          <w:rFonts w:cstheme="minorHAnsi"/>
          <w:i/>
          <w:iCs/>
          <w:shd w:val="clear" w:color="auto" w:fill="FFFFFF"/>
        </w:rPr>
        <w:t>9</w:t>
      </w:r>
      <w:r w:rsidRPr="00886331">
        <w:rPr>
          <w:rFonts w:cstheme="minorHAnsi"/>
          <w:shd w:val="clear" w:color="auto" w:fill="FFFFFF"/>
        </w:rPr>
        <w:t>(1), pp.46-55.</w:t>
      </w:r>
    </w:p>
    <w:p w14:paraId="6D192BDD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lastRenderedPageBreak/>
        <w:t>Morgan, D.C., (2015). Balancing Interests: How the Prescriptive Easement Doctrine Can Continue to Efficiently Support Public Policy. </w:t>
      </w:r>
      <w:r w:rsidRPr="00886331">
        <w:rPr>
          <w:rFonts w:cstheme="minorHAnsi"/>
          <w:i/>
          <w:iCs/>
          <w:shd w:val="clear" w:color="auto" w:fill="FFFFFF"/>
        </w:rPr>
        <w:t>Wake Forest L. Rev.</w:t>
      </w:r>
      <w:r w:rsidRPr="00886331">
        <w:rPr>
          <w:rFonts w:cstheme="minorHAnsi"/>
          <w:shd w:val="clear" w:color="auto" w:fill="FFFFFF"/>
        </w:rPr>
        <w:t>, </w:t>
      </w:r>
      <w:r w:rsidRPr="00886331">
        <w:rPr>
          <w:rFonts w:cstheme="minorHAnsi"/>
          <w:i/>
          <w:iCs/>
          <w:shd w:val="clear" w:color="auto" w:fill="FFFFFF"/>
        </w:rPr>
        <w:t>50</w:t>
      </w:r>
      <w:r w:rsidRPr="00886331">
        <w:rPr>
          <w:rFonts w:cstheme="minorHAnsi"/>
          <w:shd w:val="clear" w:color="auto" w:fill="FFFFFF"/>
        </w:rPr>
        <w:t>, p.1253.</w:t>
      </w:r>
    </w:p>
    <w:p w14:paraId="79B4B039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 xml:space="preserve">Park, R.E., (2002). General Law. Available at: </w:t>
      </w:r>
      <w:hyperlink r:id="rId10" w:history="1">
        <w:r w:rsidRPr="00886331">
          <w:rPr>
            <w:rStyle w:val="Hyperlink"/>
            <w:rFonts w:cstheme="minorHAnsi"/>
            <w:color w:val="auto"/>
            <w:shd w:val="clear" w:color="auto" w:fill="FFFFFF"/>
          </w:rPr>
          <w:t>https://www.titlesqld.com.au/wp-content/uploads/2021/06/ltpm-part-09.pdf</w:t>
        </w:r>
      </w:hyperlink>
      <w:r w:rsidRPr="00886331">
        <w:rPr>
          <w:rFonts w:cstheme="minorHAnsi"/>
          <w:shd w:val="clear" w:color="auto" w:fill="FFFFFF"/>
        </w:rPr>
        <w:t xml:space="preserve"> (Accessed March 15th, 2022). </w:t>
      </w:r>
    </w:p>
    <w:p w14:paraId="23D96D20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>Tanfield</w:t>
      </w:r>
      <w:r>
        <w:rPr>
          <w:rFonts w:cstheme="minorHAnsi"/>
          <w:shd w:val="clear" w:color="auto" w:fill="FFFFFF"/>
        </w:rPr>
        <w:t>.</w:t>
      </w:r>
      <w:r w:rsidRPr="00886331">
        <w:rPr>
          <w:rFonts w:cstheme="minorHAnsi"/>
          <w:shd w:val="clear" w:color="auto" w:fill="FFFFFF"/>
        </w:rPr>
        <w:t xml:space="preserve">, (2016). Easements. Available at: </w:t>
      </w:r>
      <w:hyperlink r:id="rId11" w:history="1">
        <w:r w:rsidRPr="00886331">
          <w:rPr>
            <w:rStyle w:val="Hyperlink"/>
            <w:rFonts w:cstheme="minorHAnsi"/>
            <w:color w:val="auto"/>
            <w:shd w:val="clear" w:color="auto" w:fill="FFFFFF"/>
          </w:rPr>
          <w:t>https://www.tanfieldchambers.co.uk/2016/02/16/what-is-an-easement-and-how-are-they-created-and-used/</w:t>
        </w:r>
      </w:hyperlink>
      <w:r w:rsidRPr="00886331">
        <w:rPr>
          <w:rFonts w:cstheme="minorHAnsi"/>
          <w:shd w:val="clear" w:color="auto" w:fill="FFFFFF"/>
        </w:rPr>
        <w:t xml:space="preserve"> (Accessed: March 14</w:t>
      </w:r>
      <w:r w:rsidRPr="00886331">
        <w:rPr>
          <w:rFonts w:cstheme="minorHAnsi"/>
          <w:shd w:val="clear" w:color="auto" w:fill="FFFFFF"/>
          <w:vertAlign w:val="superscript"/>
        </w:rPr>
        <w:t>th</w:t>
      </w:r>
      <w:r w:rsidRPr="00886331">
        <w:rPr>
          <w:rFonts w:cstheme="minorHAnsi"/>
          <w:shd w:val="clear" w:color="auto" w:fill="FFFFFF"/>
        </w:rPr>
        <w:t xml:space="preserve"> 2022). </w:t>
      </w:r>
    </w:p>
    <w:p w14:paraId="673C262F" w14:textId="77777777" w:rsidR="00E31348" w:rsidRPr="00886331" w:rsidRDefault="00E31348">
      <w:pPr>
        <w:rPr>
          <w:rFonts w:cstheme="minorHAnsi"/>
          <w:shd w:val="clear" w:color="auto" w:fill="FFFFFF"/>
        </w:rPr>
      </w:pPr>
      <w:r w:rsidRPr="00886331">
        <w:rPr>
          <w:rFonts w:cstheme="minorHAnsi"/>
          <w:shd w:val="clear" w:color="auto" w:fill="FFFFFF"/>
        </w:rPr>
        <w:t>Taylor, G</w:t>
      </w:r>
      <w:r>
        <w:rPr>
          <w:rFonts w:cstheme="minorHAnsi"/>
          <w:shd w:val="clear" w:color="auto" w:fill="FFFFFF"/>
        </w:rPr>
        <w:t>.</w:t>
      </w:r>
      <w:r w:rsidRPr="00886331">
        <w:rPr>
          <w:rFonts w:cstheme="minorHAnsi"/>
          <w:shd w:val="clear" w:color="auto" w:fill="FFFFFF"/>
        </w:rPr>
        <w:t>, (2012). Easements implied in a grant-away with ‘continuous and apparent'. </w:t>
      </w:r>
      <w:r w:rsidRPr="00886331">
        <w:rPr>
          <w:rFonts w:cstheme="minorHAnsi"/>
          <w:i/>
          <w:iCs/>
          <w:shd w:val="clear" w:color="auto" w:fill="FFFFFF"/>
        </w:rPr>
        <w:t>Monash University Law Review</w:t>
      </w:r>
      <w:r w:rsidRPr="00886331">
        <w:rPr>
          <w:rFonts w:cstheme="minorHAnsi"/>
          <w:shd w:val="clear" w:color="auto" w:fill="FFFFFF"/>
        </w:rPr>
        <w:t>, </w:t>
      </w:r>
      <w:r w:rsidRPr="00886331">
        <w:rPr>
          <w:rFonts w:cstheme="minorHAnsi"/>
          <w:i/>
          <w:iCs/>
          <w:shd w:val="clear" w:color="auto" w:fill="FFFFFF"/>
        </w:rPr>
        <w:t>38</w:t>
      </w:r>
      <w:r w:rsidRPr="00886331">
        <w:rPr>
          <w:rFonts w:cstheme="minorHAnsi"/>
          <w:shd w:val="clear" w:color="auto" w:fill="FFFFFF"/>
        </w:rPr>
        <w:t>(2), pp.128-141.</w:t>
      </w:r>
    </w:p>
    <w:p w14:paraId="0991D6CF" w14:textId="77777777" w:rsidR="00E31348" w:rsidRPr="00886331" w:rsidRDefault="00E31348" w:rsidP="00F76B19">
      <w:pPr>
        <w:rPr>
          <w:rFonts w:cstheme="minorHAnsi"/>
        </w:rPr>
      </w:pPr>
      <w:r w:rsidRPr="00886331">
        <w:rPr>
          <w:rFonts w:cstheme="minorHAnsi"/>
        </w:rPr>
        <w:t xml:space="preserve">The Law Commission, (2008). Easements, Covenants and Profits À Prendre. Available at: </w:t>
      </w:r>
      <w:hyperlink r:id="rId12" w:history="1">
        <w:r w:rsidRPr="00886331">
          <w:rPr>
            <w:rStyle w:val="Hyperlink"/>
            <w:rFonts w:cstheme="minorHAnsi"/>
            <w:color w:val="auto"/>
          </w:rPr>
          <w:t>https://www.lawcom.gov.uk/app/uploads/2015/03/cp186_Easements_Covenants_and_Profits_a_Prendre_Consultation.pdf</w:t>
        </w:r>
      </w:hyperlink>
      <w:r w:rsidRPr="00886331">
        <w:rPr>
          <w:rFonts w:cstheme="minorHAnsi"/>
        </w:rPr>
        <w:t xml:space="preserve"> (Accessed: March 15</w:t>
      </w:r>
      <w:r w:rsidRPr="00886331">
        <w:rPr>
          <w:rFonts w:cstheme="minorHAnsi"/>
          <w:vertAlign w:val="superscript"/>
        </w:rPr>
        <w:t>th</w:t>
      </w:r>
      <w:r w:rsidRPr="00886331">
        <w:rPr>
          <w:rFonts w:cstheme="minorHAnsi"/>
        </w:rPr>
        <w:t xml:space="preserve"> 2022). </w:t>
      </w:r>
    </w:p>
    <w:p w14:paraId="681A09D3" w14:textId="3744B4C6" w:rsidR="00933D91" w:rsidRPr="00886331" w:rsidRDefault="003D15B8">
      <w:pPr>
        <w:rPr>
          <w:rFonts w:cstheme="minorHAnsi"/>
          <w:u w:val="single"/>
        </w:rPr>
      </w:pPr>
      <w:r w:rsidRPr="00886331">
        <w:rPr>
          <w:rFonts w:cstheme="minorHAnsi"/>
          <w:u w:val="single"/>
        </w:rPr>
        <w:t xml:space="preserve">Case Law </w:t>
      </w:r>
    </w:p>
    <w:p w14:paraId="7A3FDFC6" w14:textId="77777777" w:rsidR="00E31348" w:rsidRPr="00886331" w:rsidRDefault="00E31348" w:rsidP="008D727B">
      <w:pPr>
        <w:rPr>
          <w:rFonts w:cstheme="minorHAnsi"/>
        </w:rPr>
      </w:pPr>
      <w:proofErr w:type="spellStart"/>
      <w:r w:rsidRPr="00886331">
        <w:rPr>
          <w:rFonts w:cstheme="minorHAnsi"/>
        </w:rPr>
        <w:t>Diment</w:t>
      </w:r>
      <w:proofErr w:type="spellEnd"/>
      <w:r w:rsidRPr="00886331">
        <w:rPr>
          <w:rFonts w:cstheme="minorHAnsi"/>
        </w:rPr>
        <w:t xml:space="preserve"> v N H Foot (1974) </w:t>
      </w:r>
    </w:p>
    <w:p w14:paraId="7F78A35D" w14:textId="77777777" w:rsidR="00E31348" w:rsidRPr="00886331" w:rsidRDefault="00E31348" w:rsidP="003D15B8">
      <w:pPr>
        <w:rPr>
          <w:rFonts w:cstheme="minorHAnsi"/>
        </w:rPr>
      </w:pPr>
      <w:r w:rsidRPr="00886331">
        <w:rPr>
          <w:rFonts w:cstheme="minorHAnsi"/>
        </w:rPr>
        <w:t>Gardner v Hodgson’s Kingston Brewery (1903)</w:t>
      </w:r>
    </w:p>
    <w:p w14:paraId="5220317A" w14:textId="77777777" w:rsidR="00E31348" w:rsidRPr="00886331" w:rsidRDefault="00E31348" w:rsidP="003D15B8">
      <w:pPr>
        <w:rPr>
          <w:rFonts w:cstheme="minorHAnsi"/>
        </w:rPr>
      </w:pPr>
      <w:r w:rsidRPr="00886331">
        <w:rPr>
          <w:rFonts w:cstheme="minorHAnsi"/>
        </w:rPr>
        <w:t>Harris v De pinna (1886)</w:t>
      </w:r>
    </w:p>
    <w:p w14:paraId="3816F78D" w14:textId="77777777" w:rsidR="00E31348" w:rsidRPr="00886331" w:rsidRDefault="00E31348" w:rsidP="00D52CD8">
      <w:pPr>
        <w:rPr>
          <w:rFonts w:cstheme="minorHAnsi"/>
        </w:rPr>
      </w:pPr>
      <w:r w:rsidRPr="00886331">
        <w:rPr>
          <w:rFonts w:cstheme="minorHAnsi"/>
        </w:rPr>
        <w:t>Hunter v Canary Wharf Ltd (1997)</w:t>
      </w:r>
    </w:p>
    <w:p w14:paraId="6423BB14" w14:textId="77777777" w:rsidR="00E31348" w:rsidRPr="00886331" w:rsidRDefault="00E31348" w:rsidP="00D52CD8">
      <w:pPr>
        <w:rPr>
          <w:rFonts w:cstheme="minorHAnsi"/>
        </w:rPr>
      </w:pPr>
      <w:r w:rsidRPr="00886331">
        <w:rPr>
          <w:rFonts w:cstheme="minorHAnsi"/>
        </w:rPr>
        <w:t>Liverpool Corporation v Coghill (1918)</w:t>
      </w:r>
    </w:p>
    <w:p w14:paraId="49CCECD2" w14:textId="77777777" w:rsidR="00E31348" w:rsidRPr="00886331" w:rsidRDefault="00E31348" w:rsidP="00D52CD8">
      <w:pPr>
        <w:rPr>
          <w:rFonts w:cstheme="minorHAnsi"/>
        </w:rPr>
      </w:pPr>
      <w:proofErr w:type="spellStart"/>
      <w:r w:rsidRPr="00886331">
        <w:rPr>
          <w:rFonts w:cstheme="minorHAnsi"/>
        </w:rPr>
        <w:t>Rance</w:t>
      </w:r>
      <w:proofErr w:type="spellEnd"/>
      <w:r w:rsidRPr="00886331">
        <w:rPr>
          <w:rFonts w:cstheme="minorHAnsi"/>
        </w:rPr>
        <w:t xml:space="preserve"> v Elvin (1985) </w:t>
      </w:r>
    </w:p>
    <w:p w14:paraId="55A6061C" w14:textId="77777777" w:rsidR="00E31348" w:rsidRPr="00886331" w:rsidRDefault="00E31348" w:rsidP="003D15B8">
      <w:pPr>
        <w:rPr>
          <w:rFonts w:cstheme="minorHAnsi"/>
        </w:rPr>
      </w:pPr>
      <w:r w:rsidRPr="00886331">
        <w:rPr>
          <w:rFonts w:cstheme="minorHAnsi"/>
        </w:rPr>
        <w:t>Re Ellenborough Park 1956</w:t>
      </w:r>
    </w:p>
    <w:p w14:paraId="5D45477F" w14:textId="77777777" w:rsidR="00E31348" w:rsidRPr="00886331" w:rsidRDefault="00E31348" w:rsidP="00D52CD8">
      <w:pPr>
        <w:rPr>
          <w:rFonts w:cstheme="minorHAnsi"/>
        </w:rPr>
      </w:pPr>
      <w:proofErr w:type="spellStart"/>
      <w:r w:rsidRPr="00886331">
        <w:rPr>
          <w:rFonts w:cstheme="minorHAnsi"/>
        </w:rPr>
        <w:t>Tehidy</w:t>
      </w:r>
      <w:proofErr w:type="spellEnd"/>
      <w:r w:rsidRPr="00886331">
        <w:rPr>
          <w:rFonts w:cstheme="minorHAnsi"/>
        </w:rPr>
        <w:t xml:space="preserve"> Mineral v Normal (1971)</w:t>
      </w:r>
    </w:p>
    <w:p w14:paraId="45D4BF7C" w14:textId="77777777" w:rsidR="00E31348" w:rsidRPr="00886331" w:rsidRDefault="00E31348" w:rsidP="00D52CD8">
      <w:pPr>
        <w:rPr>
          <w:rFonts w:cstheme="minorHAnsi"/>
        </w:rPr>
      </w:pPr>
      <w:r w:rsidRPr="00886331">
        <w:rPr>
          <w:rFonts w:cstheme="minorHAnsi"/>
        </w:rPr>
        <w:t xml:space="preserve">Union Lighterage v London Graving Dock Company (1902)  </w:t>
      </w:r>
    </w:p>
    <w:p w14:paraId="1CEBF2DE" w14:textId="62A78360" w:rsidR="003D15B8" w:rsidRPr="00886331" w:rsidRDefault="00040CB2">
      <w:pPr>
        <w:rPr>
          <w:rFonts w:cstheme="minorHAnsi"/>
          <w:u w:val="single"/>
        </w:rPr>
      </w:pPr>
      <w:r w:rsidRPr="00886331">
        <w:rPr>
          <w:rFonts w:cstheme="minorHAnsi"/>
          <w:u w:val="single"/>
        </w:rPr>
        <w:t xml:space="preserve">Statute </w:t>
      </w:r>
    </w:p>
    <w:p w14:paraId="4B1EBCC5" w14:textId="44951832" w:rsidR="00040CB2" w:rsidRPr="00886331" w:rsidRDefault="005E7507">
      <w:pPr>
        <w:rPr>
          <w:rFonts w:cstheme="minorHAnsi"/>
        </w:rPr>
      </w:pPr>
      <w:r w:rsidRPr="00886331">
        <w:rPr>
          <w:rFonts w:cstheme="minorHAnsi"/>
        </w:rPr>
        <w:t>Law of Property Act 1925</w:t>
      </w:r>
    </w:p>
    <w:p w14:paraId="383BB598" w14:textId="65B250E6" w:rsidR="001E2513" w:rsidRPr="00886331" w:rsidRDefault="001E2513">
      <w:pPr>
        <w:rPr>
          <w:rFonts w:cstheme="minorHAnsi"/>
          <w:u w:val="single"/>
        </w:rPr>
      </w:pPr>
      <w:r w:rsidRPr="00886331">
        <w:rPr>
          <w:rFonts w:cstheme="minorHAnsi"/>
        </w:rPr>
        <w:t>Prescription Act 1832</w:t>
      </w:r>
    </w:p>
    <w:sectPr w:rsidR="001E2513" w:rsidRPr="00886331" w:rsidSect="000F4CA2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2E39C" w14:textId="77777777" w:rsidR="00E31348" w:rsidRDefault="00E31348" w:rsidP="00E31348">
      <w:pPr>
        <w:spacing w:after="0" w:line="240" w:lineRule="auto"/>
      </w:pPr>
      <w:r>
        <w:separator/>
      </w:r>
    </w:p>
  </w:endnote>
  <w:endnote w:type="continuationSeparator" w:id="0">
    <w:p w14:paraId="7E48145F" w14:textId="77777777" w:rsidR="00E31348" w:rsidRDefault="00E31348" w:rsidP="00E31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2F5D2" w14:textId="77777777" w:rsidR="00E31348" w:rsidRDefault="00E31348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D5367E2" w14:textId="77777777" w:rsidR="00E31348" w:rsidRDefault="00E313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E2F6D" w14:textId="77777777" w:rsidR="00E31348" w:rsidRDefault="00E31348" w:rsidP="00E31348">
      <w:pPr>
        <w:spacing w:after="0" w:line="240" w:lineRule="auto"/>
      </w:pPr>
      <w:r>
        <w:separator/>
      </w:r>
    </w:p>
  </w:footnote>
  <w:footnote w:type="continuationSeparator" w:id="0">
    <w:p w14:paraId="574E8D69" w14:textId="77777777" w:rsidR="00E31348" w:rsidRDefault="00E31348" w:rsidP="00E31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ED8E1" w14:textId="58D46672" w:rsidR="00E31348" w:rsidRDefault="00E31348">
    <w:pPr>
      <w:pStyle w:val="Header"/>
    </w:pPr>
    <w:r>
      <w:t xml:space="preserve">Cerys Hickman </w:t>
    </w:r>
    <w:r>
      <w:ptab w:relativeTo="margin" w:alignment="center" w:leader="none"/>
    </w:r>
    <w:r>
      <w:ptab w:relativeTo="margin" w:alignment="right" w:leader="none"/>
    </w:r>
    <w:r>
      <w:t>1801705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43"/>
    <w:rsid w:val="00003B26"/>
    <w:rsid w:val="00004ECC"/>
    <w:rsid w:val="00007358"/>
    <w:rsid w:val="00012FE3"/>
    <w:rsid w:val="00017BA0"/>
    <w:rsid w:val="00027DFD"/>
    <w:rsid w:val="00032C70"/>
    <w:rsid w:val="0003609F"/>
    <w:rsid w:val="00040CB2"/>
    <w:rsid w:val="0005108D"/>
    <w:rsid w:val="0005696C"/>
    <w:rsid w:val="00061535"/>
    <w:rsid w:val="00066FDB"/>
    <w:rsid w:val="000831D3"/>
    <w:rsid w:val="00087A08"/>
    <w:rsid w:val="000A2664"/>
    <w:rsid w:val="000A4327"/>
    <w:rsid w:val="000B211C"/>
    <w:rsid w:val="000B34AA"/>
    <w:rsid w:val="000B4A69"/>
    <w:rsid w:val="000B4E70"/>
    <w:rsid w:val="000C3B75"/>
    <w:rsid w:val="000D6611"/>
    <w:rsid w:val="000E3754"/>
    <w:rsid w:val="000F2DD1"/>
    <w:rsid w:val="000F4CA2"/>
    <w:rsid w:val="000F6DE2"/>
    <w:rsid w:val="00103A85"/>
    <w:rsid w:val="00106810"/>
    <w:rsid w:val="00112D15"/>
    <w:rsid w:val="0011620F"/>
    <w:rsid w:val="001215E1"/>
    <w:rsid w:val="00150789"/>
    <w:rsid w:val="00150CDC"/>
    <w:rsid w:val="001565DF"/>
    <w:rsid w:val="001605A6"/>
    <w:rsid w:val="001627B6"/>
    <w:rsid w:val="00163606"/>
    <w:rsid w:val="00191BD8"/>
    <w:rsid w:val="0019791A"/>
    <w:rsid w:val="001A5A51"/>
    <w:rsid w:val="001A7CDE"/>
    <w:rsid w:val="001B20CA"/>
    <w:rsid w:val="001B27F5"/>
    <w:rsid w:val="001B706F"/>
    <w:rsid w:val="001C0AD8"/>
    <w:rsid w:val="001C14FA"/>
    <w:rsid w:val="001E1083"/>
    <w:rsid w:val="001E2513"/>
    <w:rsid w:val="001E2AFB"/>
    <w:rsid w:val="001E4A7A"/>
    <w:rsid w:val="001E5A16"/>
    <w:rsid w:val="001E755C"/>
    <w:rsid w:val="002072ED"/>
    <w:rsid w:val="00207795"/>
    <w:rsid w:val="00211BF8"/>
    <w:rsid w:val="00211DC2"/>
    <w:rsid w:val="00212EB3"/>
    <w:rsid w:val="0022738D"/>
    <w:rsid w:val="00235DA8"/>
    <w:rsid w:val="002405A9"/>
    <w:rsid w:val="00251522"/>
    <w:rsid w:val="00257F54"/>
    <w:rsid w:val="00262045"/>
    <w:rsid w:val="00262DDE"/>
    <w:rsid w:val="002637C3"/>
    <w:rsid w:val="0027464F"/>
    <w:rsid w:val="002820B2"/>
    <w:rsid w:val="002840E8"/>
    <w:rsid w:val="0028479A"/>
    <w:rsid w:val="002868DA"/>
    <w:rsid w:val="00290BBF"/>
    <w:rsid w:val="00293FD3"/>
    <w:rsid w:val="002A3562"/>
    <w:rsid w:val="002A7CF1"/>
    <w:rsid w:val="002B463D"/>
    <w:rsid w:val="002B5EBC"/>
    <w:rsid w:val="002C18D9"/>
    <w:rsid w:val="002C42F1"/>
    <w:rsid w:val="002E03B6"/>
    <w:rsid w:val="002E522E"/>
    <w:rsid w:val="002F28FE"/>
    <w:rsid w:val="002F5BA0"/>
    <w:rsid w:val="00300D22"/>
    <w:rsid w:val="003202CC"/>
    <w:rsid w:val="00324245"/>
    <w:rsid w:val="003257BB"/>
    <w:rsid w:val="00345C23"/>
    <w:rsid w:val="00354CE1"/>
    <w:rsid w:val="003664D8"/>
    <w:rsid w:val="00367DB0"/>
    <w:rsid w:val="00367DE7"/>
    <w:rsid w:val="00391670"/>
    <w:rsid w:val="00396D55"/>
    <w:rsid w:val="003A60F5"/>
    <w:rsid w:val="003A6876"/>
    <w:rsid w:val="003B35CE"/>
    <w:rsid w:val="003D15B8"/>
    <w:rsid w:val="003E6F70"/>
    <w:rsid w:val="003F167D"/>
    <w:rsid w:val="003F2B5C"/>
    <w:rsid w:val="003F71A3"/>
    <w:rsid w:val="00411FDE"/>
    <w:rsid w:val="00417E49"/>
    <w:rsid w:val="00422B5E"/>
    <w:rsid w:val="00427043"/>
    <w:rsid w:val="0043241E"/>
    <w:rsid w:val="00455B5A"/>
    <w:rsid w:val="0046212F"/>
    <w:rsid w:val="0046549B"/>
    <w:rsid w:val="00471C8F"/>
    <w:rsid w:val="00471D76"/>
    <w:rsid w:val="00476DF6"/>
    <w:rsid w:val="00490A48"/>
    <w:rsid w:val="004A1343"/>
    <w:rsid w:val="004A4585"/>
    <w:rsid w:val="004A468A"/>
    <w:rsid w:val="004C7980"/>
    <w:rsid w:val="004C7DB5"/>
    <w:rsid w:val="004D5DA4"/>
    <w:rsid w:val="004E1F88"/>
    <w:rsid w:val="004F291F"/>
    <w:rsid w:val="00506ACB"/>
    <w:rsid w:val="005161AA"/>
    <w:rsid w:val="00531F28"/>
    <w:rsid w:val="00553EEA"/>
    <w:rsid w:val="005574E2"/>
    <w:rsid w:val="00561251"/>
    <w:rsid w:val="00592503"/>
    <w:rsid w:val="005940C9"/>
    <w:rsid w:val="005A79B2"/>
    <w:rsid w:val="005A7AE9"/>
    <w:rsid w:val="005B481E"/>
    <w:rsid w:val="005C0C7E"/>
    <w:rsid w:val="005D150B"/>
    <w:rsid w:val="005D2272"/>
    <w:rsid w:val="005D29E2"/>
    <w:rsid w:val="005D2FE9"/>
    <w:rsid w:val="005D7A7D"/>
    <w:rsid w:val="005E442E"/>
    <w:rsid w:val="005E7507"/>
    <w:rsid w:val="00601FE7"/>
    <w:rsid w:val="00603BE8"/>
    <w:rsid w:val="00612633"/>
    <w:rsid w:val="00612AFF"/>
    <w:rsid w:val="00612B83"/>
    <w:rsid w:val="00614E9E"/>
    <w:rsid w:val="0061782C"/>
    <w:rsid w:val="00621EF7"/>
    <w:rsid w:val="00622F88"/>
    <w:rsid w:val="00623998"/>
    <w:rsid w:val="00625B97"/>
    <w:rsid w:val="00630338"/>
    <w:rsid w:val="00645E32"/>
    <w:rsid w:val="00650D99"/>
    <w:rsid w:val="00667C2A"/>
    <w:rsid w:val="0068266E"/>
    <w:rsid w:val="00682D63"/>
    <w:rsid w:val="00685424"/>
    <w:rsid w:val="00691001"/>
    <w:rsid w:val="006C0BB1"/>
    <w:rsid w:val="006D6EEF"/>
    <w:rsid w:val="006E216A"/>
    <w:rsid w:val="006E2675"/>
    <w:rsid w:val="006F1438"/>
    <w:rsid w:val="006F5941"/>
    <w:rsid w:val="0070459D"/>
    <w:rsid w:val="00712683"/>
    <w:rsid w:val="007176F6"/>
    <w:rsid w:val="00721EB1"/>
    <w:rsid w:val="0072230E"/>
    <w:rsid w:val="00730128"/>
    <w:rsid w:val="007333EF"/>
    <w:rsid w:val="007376CB"/>
    <w:rsid w:val="007433B0"/>
    <w:rsid w:val="00754031"/>
    <w:rsid w:val="00760B04"/>
    <w:rsid w:val="00786058"/>
    <w:rsid w:val="007953CF"/>
    <w:rsid w:val="007A2394"/>
    <w:rsid w:val="007B2FDB"/>
    <w:rsid w:val="007B54DE"/>
    <w:rsid w:val="007C4561"/>
    <w:rsid w:val="007D560C"/>
    <w:rsid w:val="007D6DE8"/>
    <w:rsid w:val="007D7B60"/>
    <w:rsid w:val="007F73D9"/>
    <w:rsid w:val="00810057"/>
    <w:rsid w:val="00817E1A"/>
    <w:rsid w:val="00835B6D"/>
    <w:rsid w:val="00843589"/>
    <w:rsid w:val="00844EE7"/>
    <w:rsid w:val="00853DF1"/>
    <w:rsid w:val="008555CE"/>
    <w:rsid w:val="008667AE"/>
    <w:rsid w:val="00882891"/>
    <w:rsid w:val="008856A5"/>
    <w:rsid w:val="00886331"/>
    <w:rsid w:val="008B15C2"/>
    <w:rsid w:val="008B4087"/>
    <w:rsid w:val="008C1863"/>
    <w:rsid w:val="008D23E7"/>
    <w:rsid w:val="008D727B"/>
    <w:rsid w:val="008E3CEF"/>
    <w:rsid w:val="008F13EE"/>
    <w:rsid w:val="008F72B8"/>
    <w:rsid w:val="00901964"/>
    <w:rsid w:val="009041A5"/>
    <w:rsid w:val="00904720"/>
    <w:rsid w:val="00913520"/>
    <w:rsid w:val="00914650"/>
    <w:rsid w:val="00933D91"/>
    <w:rsid w:val="00940813"/>
    <w:rsid w:val="009616E8"/>
    <w:rsid w:val="009710AB"/>
    <w:rsid w:val="0097764F"/>
    <w:rsid w:val="00981B7A"/>
    <w:rsid w:val="00983823"/>
    <w:rsid w:val="00997362"/>
    <w:rsid w:val="009A3BBE"/>
    <w:rsid w:val="009B1CBE"/>
    <w:rsid w:val="009B3172"/>
    <w:rsid w:val="009B79BA"/>
    <w:rsid w:val="009C00C5"/>
    <w:rsid w:val="009C3864"/>
    <w:rsid w:val="009C61B9"/>
    <w:rsid w:val="009D1E6E"/>
    <w:rsid w:val="009D36B4"/>
    <w:rsid w:val="009D6772"/>
    <w:rsid w:val="009E6276"/>
    <w:rsid w:val="009E77B3"/>
    <w:rsid w:val="009E7F8A"/>
    <w:rsid w:val="009F305F"/>
    <w:rsid w:val="009F41A4"/>
    <w:rsid w:val="009F4C92"/>
    <w:rsid w:val="009F5896"/>
    <w:rsid w:val="00A016C5"/>
    <w:rsid w:val="00A158BA"/>
    <w:rsid w:val="00A16FE6"/>
    <w:rsid w:val="00A31886"/>
    <w:rsid w:val="00A3425C"/>
    <w:rsid w:val="00A34B64"/>
    <w:rsid w:val="00A364CA"/>
    <w:rsid w:val="00A42295"/>
    <w:rsid w:val="00A44539"/>
    <w:rsid w:val="00A632D7"/>
    <w:rsid w:val="00A65373"/>
    <w:rsid w:val="00A70937"/>
    <w:rsid w:val="00A736F3"/>
    <w:rsid w:val="00A74704"/>
    <w:rsid w:val="00A85D41"/>
    <w:rsid w:val="00A94E85"/>
    <w:rsid w:val="00AA3562"/>
    <w:rsid w:val="00AA4649"/>
    <w:rsid w:val="00AB4D06"/>
    <w:rsid w:val="00AB6A80"/>
    <w:rsid w:val="00AB7EBB"/>
    <w:rsid w:val="00AC251C"/>
    <w:rsid w:val="00AC6D4C"/>
    <w:rsid w:val="00AC7081"/>
    <w:rsid w:val="00AC7182"/>
    <w:rsid w:val="00AD2ABE"/>
    <w:rsid w:val="00AD6ACC"/>
    <w:rsid w:val="00AF3295"/>
    <w:rsid w:val="00B00379"/>
    <w:rsid w:val="00B06300"/>
    <w:rsid w:val="00B21699"/>
    <w:rsid w:val="00B245B4"/>
    <w:rsid w:val="00B2599B"/>
    <w:rsid w:val="00B27026"/>
    <w:rsid w:val="00B271E6"/>
    <w:rsid w:val="00B318F6"/>
    <w:rsid w:val="00B40420"/>
    <w:rsid w:val="00B44792"/>
    <w:rsid w:val="00B47B48"/>
    <w:rsid w:val="00B629F0"/>
    <w:rsid w:val="00B64607"/>
    <w:rsid w:val="00B714F3"/>
    <w:rsid w:val="00B746DA"/>
    <w:rsid w:val="00B75233"/>
    <w:rsid w:val="00B8210C"/>
    <w:rsid w:val="00BA233C"/>
    <w:rsid w:val="00BB205E"/>
    <w:rsid w:val="00BB213E"/>
    <w:rsid w:val="00BB7168"/>
    <w:rsid w:val="00BC0AE5"/>
    <w:rsid w:val="00BC42A1"/>
    <w:rsid w:val="00BC4A24"/>
    <w:rsid w:val="00BD5278"/>
    <w:rsid w:val="00BE252D"/>
    <w:rsid w:val="00BE4451"/>
    <w:rsid w:val="00BF0DE2"/>
    <w:rsid w:val="00BF1820"/>
    <w:rsid w:val="00BF5387"/>
    <w:rsid w:val="00C05060"/>
    <w:rsid w:val="00C07D10"/>
    <w:rsid w:val="00C11B43"/>
    <w:rsid w:val="00C11DA2"/>
    <w:rsid w:val="00C11F33"/>
    <w:rsid w:val="00C12B97"/>
    <w:rsid w:val="00C13FD7"/>
    <w:rsid w:val="00C26859"/>
    <w:rsid w:val="00C31CD9"/>
    <w:rsid w:val="00C35885"/>
    <w:rsid w:val="00C41F81"/>
    <w:rsid w:val="00C46772"/>
    <w:rsid w:val="00C46EEE"/>
    <w:rsid w:val="00C52042"/>
    <w:rsid w:val="00C57083"/>
    <w:rsid w:val="00C57BAB"/>
    <w:rsid w:val="00C6446D"/>
    <w:rsid w:val="00C66A28"/>
    <w:rsid w:val="00C670B5"/>
    <w:rsid w:val="00C723BB"/>
    <w:rsid w:val="00C8032B"/>
    <w:rsid w:val="00C838E2"/>
    <w:rsid w:val="00CA2D79"/>
    <w:rsid w:val="00CB38B7"/>
    <w:rsid w:val="00CC478F"/>
    <w:rsid w:val="00CC71E1"/>
    <w:rsid w:val="00CD2591"/>
    <w:rsid w:val="00CD6F2F"/>
    <w:rsid w:val="00CE248A"/>
    <w:rsid w:val="00CF2A95"/>
    <w:rsid w:val="00D10FE1"/>
    <w:rsid w:val="00D224CF"/>
    <w:rsid w:val="00D250E7"/>
    <w:rsid w:val="00D3516A"/>
    <w:rsid w:val="00D52CD8"/>
    <w:rsid w:val="00D640CA"/>
    <w:rsid w:val="00D66301"/>
    <w:rsid w:val="00D67C4C"/>
    <w:rsid w:val="00D70F94"/>
    <w:rsid w:val="00D809F7"/>
    <w:rsid w:val="00D82012"/>
    <w:rsid w:val="00D85508"/>
    <w:rsid w:val="00D85A7F"/>
    <w:rsid w:val="00D9706E"/>
    <w:rsid w:val="00D97549"/>
    <w:rsid w:val="00DB6D7E"/>
    <w:rsid w:val="00DB771A"/>
    <w:rsid w:val="00DC5A09"/>
    <w:rsid w:val="00DD0FF9"/>
    <w:rsid w:val="00DF0382"/>
    <w:rsid w:val="00DF61BE"/>
    <w:rsid w:val="00E14EE0"/>
    <w:rsid w:val="00E17BBE"/>
    <w:rsid w:val="00E31348"/>
    <w:rsid w:val="00E468B4"/>
    <w:rsid w:val="00E47A17"/>
    <w:rsid w:val="00E63728"/>
    <w:rsid w:val="00E66415"/>
    <w:rsid w:val="00E82188"/>
    <w:rsid w:val="00EA096A"/>
    <w:rsid w:val="00EA3EFB"/>
    <w:rsid w:val="00EB52D4"/>
    <w:rsid w:val="00EB7A45"/>
    <w:rsid w:val="00EC0E1C"/>
    <w:rsid w:val="00EC291F"/>
    <w:rsid w:val="00EC4F27"/>
    <w:rsid w:val="00ED14DA"/>
    <w:rsid w:val="00ED20F4"/>
    <w:rsid w:val="00ED51DE"/>
    <w:rsid w:val="00EE55EA"/>
    <w:rsid w:val="00EF0F01"/>
    <w:rsid w:val="00F0426B"/>
    <w:rsid w:val="00F12AF7"/>
    <w:rsid w:val="00F21BAD"/>
    <w:rsid w:val="00F36F7F"/>
    <w:rsid w:val="00F426A1"/>
    <w:rsid w:val="00F432FB"/>
    <w:rsid w:val="00F466A4"/>
    <w:rsid w:val="00F63BCD"/>
    <w:rsid w:val="00F7067A"/>
    <w:rsid w:val="00F70B3B"/>
    <w:rsid w:val="00F72998"/>
    <w:rsid w:val="00F72F0E"/>
    <w:rsid w:val="00F76B19"/>
    <w:rsid w:val="00F82A94"/>
    <w:rsid w:val="00F9768A"/>
    <w:rsid w:val="00FA13B4"/>
    <w:rsid w:val="00FA36D6"/>
    <w:rsid w:val="00FA3DA3"/>
    <w:rsid w:val="00FC45D6"/>
    <w:rsid w:val="00FC66DD"/>
    <w:rsid w:val="00FD275A"/>
    <w:rsid w:val="00FD2CCF"/>
    <w:rsid w:val="00FD5B34"/>
    <w:rsid w:val="00FE6379"/>
    <w:rsid w:val="00FF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C9AF5"/>
  <w15:chartTrackingRefBased/>
  <w15:docId w15:val="{65D305B1-66BE-4C71-848A-9C9DF8A6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gkelc">
    <w:name w:val="hgkelc"/>
    <w:basedOn w:val="DefaultParagraphFont"/>
    <w:rsid w:val="009D6772"/>
  </w:style>
  <w:style w:type="character" w:customStyle="1" w:styleId="kx21rb">
    <w:name w:val="kx21rb"/>
    <w:basedOn w:val="DefaultParagraphFont"/>
    <w:rsid w:val="009D6772"/>
  </w:style>
  <w:style w:type="character" w:customStyle="1" w:styleId="essayfootnotecitation">
    <w:name w:val="essay_footnotecitation"/>
    <w:basedOn w:val="DefaultParagraphFont"/>
    <w:rsid w:val="009C61B9"/>
  </w:style>
  <w:style w:type="character" w:styleId="Hyperlink">
    <w:name w:val="Hyperlink"/>
    <w:basedOn w:val="DefaultParagraphFont"/>
    <w:uiPriority w:val="99"/>
    <w:unhideWhenUsed/>
    <w:rsid w:val="009C61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3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30128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BF1820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0F4C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F4CA2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31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348"/>
  </w:style>
  <w:style w:type="paragraph" w:styleId="Footer">
    <w:name w:val="footer"/>
    <w:basedOn w:val="Normal"/>
    <w:link w:val="FooterChar"/>
    <w:uiPriority w:val="99"/>
    <w:unhideWhenUsed/>
    <w:rsid w:val="00E31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9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pers.ssrn.com/sol3/papers.cfm?abstract_id=2271224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dams-harrison.co.uk/prescriptive-easements-what-are-they/" TargetMode="External"/><Relationship Id="rId12" Type="http://schemas.openxmlformats.org/officeDocument/2006/relationships/hyperlink" Target="https://www.lawcom.gov.uk/app/uploads/2015/03/cp186_Easements_Covenants_and_Profits_a_Prendre_Consultation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tanfieldchambers.co.uk/2016/02/16/what-is-an-easement-and-how-are-they-created-and-used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titlesqld.com.au/wp-content/uploads/2021/06/ltpm-part-0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einonline.org/HOL/LandingPage?handle=hein.journals/canadbus56&amp;div=31&amp;id=&amp;page=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CFF6A8858DB4C5F90F8A21099706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95AEF-BAC9-4BD3-B8C0-2CF82649E995}"/>
      </w:docPartPr>
      <w:docPartBody>
        <w:p w:rsidR="00CB2330" w:rsidRDefault="004B5CCC" w:rsidP="004B5CCC">
          <w:pPr>
            <w:pStyle w:val="ACFF6A8858DB4C5F90F8A210997062A2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1615779A8A184EC2840FC22CE88B0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B6C3E-48A0-4105-B708-B11AC0C629D8}"/>
      </w:docPartPr>
      <w:docPartBody>
        <w:p w:rsidR="00CB2330" w:rsidRDefault="004B5CCC" w:rsidP="004B5CCC">
          <w:pPr>
            <w:pStyle w:val="1615779A8A184EC2840FC22CE88B0DAB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7A6BD5365A6342DFAA6B237AE28B3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5B17B-F97C-43D8-86CC-42267D04B038}"/>
      </w:docPartPr>
      <w:docPartBody>
        <w:p w:rsidR="00CB2330" w:rsidRDefault="004B5CCC" w:rsidP="004B5CCC">
          <w:pPr>
            <w:pStyle w:val="7A6BD5365A6342DFAA6B237AE28B39E6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1FE9F8D8706E4D21B29754FF4D667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F2ADF-0140-494F-BEB8-5A489F38257C}"/>
      </w:docPartPr>
      <w:docPartBody>
        <w:p w:rsidR="00CB2330" w:rsidRDefault="004B5CCC" w:rsidP="004B5CCC">
          <w:pPr>
            <w:pStyle w:val="1FE9F8D8706E4D21B29754FF4D667F2E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B475FCEF769468E9126C9D3A73F00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F8EF4-0214-4EA2-8FB2-6F358C85E3F6}"/>
      </w:docPartPr>
      <w:docPartBody>
        <w:p w:rsidR="00CB2330" w:rsidRDefault="004B5CCC" w:rsidP="004B5CCC">
          <w:pPr>
            <w:pStyle w:val="EB475FCEF769468E9126C9D3A73F0015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CCC"/>
    <w:rsid w:val="004B5CCC"/>
    <w:rsid w:val="004E7D06"/>
    <w:rsid w:val="007B724F"/>
    <w:rsid w:val="00CB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FF6A8858DB4C5F90F8A210997062A2">
    <w:name w:val="ACFF6A8858DB4C5F90F8A210997062A2"/>
    <w:rsid w:val="004B5CCC"/>
  </w:style>
  <w:style w:type="paragraph" w:customStyle="1" w:styleId="1615779A8A184EC2840FC22CE88B0DAB">
    <w:name w:val="1615779A8A184EC2840FC22CE88B0DAB"/>
    <w:rsid w:val="004B5CCC"/>
  </w:style>
  <w:style w:type="paragraph" w:customStyle="1" w:styleId="7A6BD5365A6342DFAA6B237AE28B39E6">
    <w:name w:val="7A6BD5365A6342DFAA6B237AE28B39E6"/>
    <w:rsid w:val="004B5CCC"/>
  </w:style>
  <w:style w:type="paragraph" w:customStyle="1" w:styleId="1FE9F8D8706E4D21B29754FF4D667F2E">
    <w:name w:val="1FE9F8D8706E4D21B29754FF4D667F2E"/>
    <w:rsid w:val="004B5CCC"/>
  </w:style>
  <w:style w:type="paragraph" w:customStyle="1" w:styleId="EB475FCEF769468E9126C9D3A73F0015">
    <w:name w:val="EB475FCEF769468E9126C9D3A73F0015"/>
    <w:rsid w:val="004B5CCC"/>
  </w:style>
  <w:style w:type="paragraph" w:customStyle="1" w:styleId="FD98A69ECB7A40979F85A610340E86DE">
    <w:name w:val="FD98A69ECB7A40979F85A610340E86DE"/>
    <w:rsid w:val="007B724F"/>
  </w:style>
  <w:style w:type="paragraph" w:customStyle="1" w:styleId="8CCD27C7FF64435C8D8D2A0EB783CB3A">
    <w:name w:val="8CCD27C7FF64435C8D8D2A0EB783CB3A"/>
    <w:rsid w:val="007B724F"/>
  </w:style>
  <w:style w:type="paragraph" w:customStyle="1" w:styleId="78109537ECDF4185BCC6FD54EC407CE1">
    <w:name w:val="78109537ECDF4185BCC6FD54EC407CE1"/>
    <w:rsid w:val="007B72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2022-04-01T00:00:00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9015</TotalTime>
  <Pages>5</Pages>
  <Words>1943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Critically analyse when an easement may have been created by prescription.</dc:title>
  <dc:subject>Property Law</dc:subject>
  <dc:creator>Cerys Hickman</dc:creator>
  <cp:keywords/>
  <dc:description/>
  <cp:lastModifiedBy>Cerys Hickman</cp:lastModifiedBy>
  <cp:revision>395</cp:revision>
  <dcterms:created xsi:type="dcterms:W3CDTF">2022-03-22T14:09:00Z</dcterms:created>
  <dcterms:modified xsi:type="dcterms:W3CDTF">2022-03-29T10:08:00Z</dcterms:modified>
</cp:coreProperties>
</file>