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D1C1F" w14:textId="77777777" w:rsidR="00A83184" w:rsidRDefault="00051308">
      <w:pPr>
        <w:jc w:val="left"/>
        <w:rPr>
          <w:b/>
          <w:bCs/>
          <w:sz w:val="36"/>
          <w:szCs w:val="36"/>
        </w:rPr>
      </w:pPr>
      <w:bookmarkStart w:id="0" w:name="_heading=h.sm6yg0c4t144" w:colFirst="0" w:colLast="0"/>
      <w:bookmarkEnd w:id="0"/>
      <w:r>
        <w:rPr>
          <w:b/>
          <w:bCs/>
          <w:noProof/>
          <w:sz w:val="36"/>
          <w:szCs w:val="36"/>
        </w:rPr>
        <w:drawing>
          <wp:inline distT="114300" distB="114300" distL="114300" distR="114300" wp14:anchorId="4D5610A2" wp14:editId="79C9019F">
            <wp:extent cx="2295525" cy="1200150"/>
            <wp:effectExtent l="0" t="0" r="0" b="0"/>
            <wp:docPr id="4905743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95525" cy="1200150"/>
                    </a:xfrm>
                    <a:prstGeom prst="rect">
                      <a:avLst/>
                    </a:prstGeom>
                    <a:ln/>
                  </pic:spPr>
                </pic:pic>
              </a:graphicData>
            </a:graphic>
          </wp:inline>
        </w:drawing>
      </w:r>
    </w:p>
    <w:p w14:paraId="2E9C8B8F" w14:textId="77777777" w:rsidR="00A83184" w:rsidRPr="00241A6B" w:rsidRDefault="00051308" w:rsidP="00241A6B">
      <w:pPr>
        <w:jc w:val="center"/>
        <w:rPr>
          <w:b/>
          <w:bCs/>
          <w:sz w:val="28"/>
          <w:szCs w:val="28"/>
        </w:rPr>
      </w:pPr>
      <w:r w:rsidRPr="00241A6B">
        <w:rPr>
          <w:b/>
          <w:bCs/>
          <w:sz w:val="28"/>
          <w:szCs w:val="28"/>
        </w:rPr>
        <w:t xml:space="preserve">Programme: </w:t>
      </w:r>
      <w:sdt>
        <w:sdtPr>
          <w:rPr>
            <w:sz w:val="28"/>
            <w:szCs w:val="28"/>
          </w:rPr>
          <w:tag w:val="goog_rdk_0"/>
          <w:id w:val="1516196555"/>
        </w:sdtPr>
        <w:sdtEndPr/>
        <w:sdtContent/>
      </w:sdt>
      <w:r w:rsidRPr="00241A6B">
        <w:rPr>
          <w:b/>
          <w:bCs/>
          <w:sz w:val="28"/>
          <w:szCs w:val="28"/>
        </w:rPr>
        <w:t>BA (Hons) Business Management </w:t>
      </w:r>
    </w:p>
    <w:p w14:paraId="46A2AC90" w14:textId="77777777" w:rsidR="00A83184" w:rsidRPr="00241A6B" w:rsidRDefault="00051308" w:rsidP="00241A6B">
      <w:pPr>
        <w:jc w:val="center"/>
        <w:rPr>
          <w:b/>
          <w:bCs/>
          <w:sz w:val="28"/>
          <w:szCs w:val="28"/>
        </w:rPr>
      </w:pPr>
      <w:r w:rsidRPr="00241A6B">
        <w:rPr>
          <w:b/>
          <w:bCs/>
          <w:sz w:val="28"/>
          <w:szCs w:val="28"/>
        </w:rPr>
        <w:t>Module: Academic Skills</w:t>
      </w:r>
    </w:p>
    <w:p w14:paraId="69C2F251" w14:textId="77777777" w:rsidR="00A83184" w:rsidRPr="00241A6B" w:rsidRDefault="00051308" w:rsidP="00241A6B">
      <w:pPr>
        <w:jc w:val="center"/>
        <w:rPr>
          <w:b/>
          <w:bCs/>
          <w:sz w:val="28"/>
          <w:szCs w:val="28"/>
        </w:rPr>
      </w:pPr>
      <w:r w:rsidRPr="00241A6B">
        <w:rPr>
          <w:b/>
          <w:bCs/>
          <w:sz w:val="28"/>
          <w:szCs w:val="28"/>
        </w:rPr>
        <w:t xml:space="preserve">Module Code: </w:t>
      </w:r>
      <w:sdt>
        <w:sdtPr>
          <w:rPr>
            <w:sz w:val="28"/>
            <w:szCs w:val="28"/>
          </w:rPr>
          <w:tag w:val="goog_rdk_1"/>
          <w:id w:val="-503460541"/>
        </w:sdtPr>
        <w:sdtEndPr/>
        <w:sdtContent/>
      </w:sdt>
      <w:r w:rsidRPr="00241A6B">
        <w:rPr>
          <w:sz w:val="28"/>
          <w:szCs w:val="28"/>
        </w:rPr>
        <w:t>LCBB4012</w:t>
      </w:r>
    </w:p>
    <w:p w14:paraId="76D6FDBE" w14:textId="77777777" w:rsidR="00A83184" w:rsidRPr="00241A6B" w:rsidRDefault="00051308" w:rsidP="00241A6B">
      <w:pPr>
        <w:jc w:val="center"/>
        <w:rPr>
          <w:b/>
          <w:bCs/>
          <w:sz w:val="28"/>
          <w:szCs w:val="28"/>
        </w:rPr>
      </w:pPr>
      <w:r w:rsidRPr="00241A6B">
        <w:rPr>
          <w:b/>
          <w:bCs/>
          <w:sz w:val="28"/>
          <w:szCs w:val="28"/>
        </w:rPr>
        <w:t xml:space="preserve">Assignment Title: </w:t>
      </w:r>
      <w:sdt>
        <w:sdtPr>
          <w:rPr>
            <w:sz w:val="28"/>
            <w:szCs w:val="28"/>
          </w:rPr>
          <w:tag w:val="goog_rdk_2"/>
          <w:id w:val="-1960487356"/>
        </w:sdtPr>
        <w:sdtEndPr/>
        <w:sdtContent/>
      </w:sdt>
      <w:r w:rsidRPr="00241A6B">
        <w:rPr>
          <w:sz w:val="28"/>
          <w:szCs w:val="28"/>
        </w:rPr>
        <w:t>Component 2:  Coursework Group Report</w:t>
      </w:r>
    </w:p>
    <w:p w14:paraId="609DDDED" w14:textId="1F3CA3C9" w:rsidR="00F10E83" w:rsidRDefault="00051308" w:rsidP="00F10E83">
      <w:pPr>
        <w:jc w:val="center"/>
        <w:rPr>
          <w:b/>
          <w:bCs/>
          <w:sz w:val="28"/>
          <w:szCs w:val="28"/>
        </w:rPr>
      </w:pPr>
      <w:r w:rsidRPr="00241A6B">
        <w:rPr>
          <w:b/>
          <w:bCs/>
          <w:sz w:val="28"/>
          <w:szCs w:val="28"/>
        </w:rPr>
        <w:t>Student Name:</w:t>
      </w:r>
      <w:r w:rsidR="00E31582">
        <w:rPr>
          <w:b/>
          <w:bCs/>
          <w:sz w:val="28"/>
          <w:szCs w:val="28"/>
        </w:rPr>
        <w:t xml:space="preserve"> Ionut Marin, </w:t>
      </w:r>
      <w:r w:rsidR="00A36ABC">
        <w:rPr>
          <w:b/>
          <w:bCs/>
          <w:sz w:val="28"/>
          <w:szCs w:val="28"/>
        </w:rPr>
        <w:t>Ion Paun, Ilie Marin</w:t>
      </w:r>
    </w:p>
    <w:p w14:paraId="678D6C9C" w14:textId="41CB5EA0" w:rsidR="00A83184" w:rsidRPr="00241A6B" w:rsidRDefault="00051308" w:rsidP="00241A6B">
      <w:pPr>
        <w:jc w:val="center"/>
        <w:rPr>
          <w:b/>
          <w:bCs/>
          <w:sz w:val="28"/>
          <w:szCs w:val="28"/>
        </w:rPr>
      </w:pPr>
      <w:r w:rsidRPr="00241A6B">
        <w:rPr>
          <w:b/>
          <w:bCs/>
          <w:sz w:val="28"/>
          <w:szCs w:val="28"/>
        </w:rPr>
        <w:t>Student ID:</w:t>
      </w:r>
      <w:r w:rsidR="00A36ABC">
        <w:rPr>
          <w:b/>
          <w:bCs/>
          <w:sz w:val="28"/>
          <w:szCs w:val="28"/>
        </w:rPr>
        <w:t xml:space="preserve"> </w:t>
      </w:r>
      <w:r w:rsidR="00247A34">
        <w:rPr>
          <w:b/>
          <w:bCs/>
          <w:sz w:val="28"/>
          <w:szCs w:val="28"/>
        </w:rPr>
        <w:t xml:space="preserve">2512904, </w:t>
      </w:r>
      <w:r w:rsidR="00B9170C">
        <w:rPr>
          <w:b/>
          <w:bCs/>
          <w:sz w:val="28"/>
          <w:szCs w:val="28"/>
        </w:rPr>
        <w:t xml:space="preserve">2441885, </w:t>
      </w:r>
      <w:r w:rsidR="00872485">
        <w:rPr>
          <w:b/>
          <w:bCs/>
          <w:sz w:val="28"/>
          <w:szCs w:val="28"/>
        </w:rPr>
        <w:t>2512903</w:t>
      </w:r>
    </w:p>
    <w:p w14:paraId="378C9C80" w14:textId="77777777" w:rsidR="00A83184" w:rsidRPr="00241A6B" w:rsidRDefault="00051308" w:rsidP="00241A6B">
      <w:pPr>
        <w:jc w:val="center"/>
        <w:rPr>
          <w:b/>
          <w:bCs/>
          <w:sz w:val="28"/>
          <w:szCs w:val="28"/>
        </w:rPr>
      </w:pPr>
      <w:r w:rsidRPr="00241A6B">
        <w:rPr>
          <w:b/>
          <w:bCs/>
          <w:sz w:val="28"/>
          <w:szCs w:val="28"/>
        </w:rPr>
        <w:t>Word Count: 2281</w:t>
      </w:r>
    </w:p>
    <w:p w14:paraId="285CAFB2" w14:textId="77777777" w:rsidR="00A83184" w:rsidRDefault="00A83184">
      <w:pPr>
        <w:jc w:val="center"/>
        <w:rPr>
          <w:b/>
          <w:bCs/>
        </w:rPr>
      </w:pPr>
    </w:p>
    <w:p w14:paraId="06CD074D" w14:textId="77777777" w:rsidR="00A83184" w:rsidRDefault="00051308">
      <w:pPr>
        <w:rPr>
          <w:b/>
          <w:bCs/>
          <w:sz w:val="28"/>
          <w:szCs w:val="28"/>
        </w:rPr>
      </w:pPr>
      <w:r>
        <w:br w:type="page"/>
      </w:r>
    </w:p>
    <w:p w14:paraId="029DBAF7" w14:textId="77777777" w:rsidR="00A83184" w:rsidRDefault="00051308">
      <w:pPr>
        <w:jc w:val="center"/>
        <w:rPr>
          <w:b/>
          <w:bCs/>
          <w:sz w:val="28"/>
          <w:szCs w:val="28"/>
        </w:rPr>
      </w:pPr>
      <w:r>
        <w:rPr>
          <w:b/>
          <w:bCs/>
          <w:sz w:val="28"/>
          <w:szCs w:val="28"/>
        </w:rPr>
        <w:lastRenderedPageBreak/>
        <w:t>Executive Summary</w:t>
      </w:r>
    </w:p>
    <w:p w14:paraId="781A4CBA" w14:textId="77777777" w:rsidR="00A83184" w:rsidRDefault="00051308">
      <w:pPr>
        <w:rPr>
          <w:b/>
          <w:bCs/>
          <w:sz w:val="22"/>
          <w:szCs w:val="22"/>
        </w:rPr>
      </w:pPr>
      <w:r>
        <w:rPr>
          <w:sz w:val="22"/>
          <w:szCs w:val="22"/>
        </w:rPr>
        <w:t>The focus of the report is on two core academic and professional skillsets, both teamwork and academic writing skills, and the roles that both play within the workplace and within the University. Teamwork is critical to an individual’s ability to collaborate effectively with others for productive work, as it facilitates interpersonal relationships (collaboration), promotes successful communication, and enhances the ability for teams to collaboratively solve problems together effectively to achieve their work objectives. Academic writing skills are also fundamental to an individual's capacity to communicate in writing clearly, critically evaluate information and present structured and credible written work that incorporates researched information as evidence. The report summarises the importance of each of these skillsets in both University and workplace environments, and provides readers with practical examples of how to incorporate the use of effective written communication and teamwork to enhance their development as individuals, as well as how to support the continuous improvement of these skill sets.</w:t>
      </w:r>
      <w:r>
        <w:br w:type="page"/>
      </w:r>
    </w:p>
    <w:p w14:paraId="23FE61DA" w14:textId="77777777" w:rsidR="00A83184" w:rsidRDefault="00051308">
      <w:pPr>
        <w:keepNext/>
        <w:keepLines/>
        <w:pBdr>
          <w:top w:val="nil"/>
          <w:left w:val="nil"/>
          <w:bottom w:val="nil"/>
          <w:right w:val="nil"/>
          <w:between w:val="nil"/>
        </w:pBdr>
        <w:spacing w:before="240" w:line="259" w:lineRule="auto"/>
        <w:jc w:val="center"/>
        <w:rPr>
          <w:b/>
          <w:bCs/>
          <w:color w:val="000000"/>
        </w:rPr>
      </w:pPr>
      <w:r>
        <w:rPr>
          <w:b/>
          <w:bCs/>
          <w:color w:val="000000"/>
        </w:rPr>
        <w:lastRenderedPageBreak/>
        <w:t>Table of Contents</w:t>
      </w:r>
    </w:p>
    <w:sdt>
      <w:sdtPr>
        <w:id w:val="1092933953"/>
        <w:docPartObj>
          <w:docPartGallery w:val="Table of Contents"/>
          <w:docPartUnique/>
        </w:docPartObj>
      </w:sdtPr>
      <w:sdtEndPr/>
      <w:sdtContent>
        <w:p w14:paraId="70FCB059" w14:textId="77777777" w:rsidR="00A83184" w:rsidRDefault="00051308">
          <w:pPr>
            <w:pBdr>
              <w:top w:val="nil"/>
              <w:left w:val="nil"/>
              <w:bottom w:val="nil"/>
              <w:right w:val="nil"/>
              <w:between w:val="nil"/>
            </w:pBdr>
            <w:tabs>
              <w:tab w:val="right" w:pos="9350"/>
            </w:tabs>
            <w:spacing w:after="100"/>
            <w:rPr>
              <w:color w:val="000000"/>
              <w:sz w:val="22"/>
              <w:szCs w:val="22"/>
            </w:rPr>
          </w:pPr>
          <w:r>
            <w:fldChar w:fldCharType="begin"/>
          </w:r>
          <w:r>
            <w:instrText xml:space="preserve"> TOC \h \u \z \t "Heading 1,1,Heading 2,2,Heading 3,3,"</w:instrText>
          </w:r>
          <w:r>
            <w:fldChar w:fldCharType="separate"/>
          </w:r>
          <w:hyperlink w:anchor="_heading=h.4kgw48rc7u3a">
            <w:r w:rsidR="00A83184">
              <w:rPr>
                <w:color w:val="000000"/>
                <w:sz w:val="22"/>
                <w:szCs w:val="22"/>
              </w:rPr>
              <w:t>1. Introduction</w:t>
            </w:r>
            <w:r w:rsidR="00A83184">
              <w:rPr>
                <w:color w:val="000000"/>
                <w:sz w:val="22"/>
                <w:szCs w:val="22"/>
              </w:rPr>
              <w:tab/>
              <w:t>3</w:t>
            </w:r>
          </w:hyperlink>
        </w:p>
        <w:p w14:paraId="29064377"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7aga1nutobo6">
            <w:r>
              <w:rPr>
                <w:color w:val="000000"/>
                <w:sz w:val="22"/>
                <w:szCs w:val="22"/>
              </w:rPr>
              <w:t>1.1 Introduction of the chosen topics</w:t>
            </w:r>
            <w:r>
              <w:rPr>
                <w:color w:val="000000"/>
                <w:sz w:val="22"/>
                <w:szCs w:val="22"/>
              </w:rPr>
              <w:tab/>
              <w:t>3</w:t>
            </w:r>
          </w:hyperlink>
        </w:p>
        <w:p w14:paraId="7056ECE4"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dvjs4qabhqz0">
            <w:r>
              <w:rPr>
                <w:color w:val="000000"/>
                <w:sz w:val="22"/>
                <w:szCs w:val="22"/>
              </w:rPr>
              <w:t>1.2 Explain the purpose and structure of the report</w:t>
            </w:r>
            <w:r>
              <w:rPr>
                <w:color w:val="000000"/>
                <w:sz w:val="22"/>
                <w:szCs w:val="22"/>
              </w:rPr>
              <w:tab/>
              <w:t>3</w:t>
            </w:r>
          </w:hyperlink>
        </w:p>
        <w:p w14:paraId="51CADDAA"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59viipwtlzs8">
            <w:r>
              <w:rPr>
                <w:color w:val="000000"/>
                <w:sz w:val="22"/>
                <w:szCs w:val="22"/>
              </w:rPr>
              <w:t>2. Definition of the skills</w:t>
            </w:r>
            <w:r>
              <w:rPr>
                <w:color w:val="000000"/>
                <w:sz w:val="22"/>
                <w:szCs w:val="22"/>
              </w:rPr>
              <w:tab/>
              <w:t>3</w:t>
            </w:r>
          </w:hyperlink>
        </w:p>
        <w:p w14:paraId="6EA69FE4"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ee4aje3u9ofm">
            <w:r>
              <w:rPr>
                <w:color w:val="000000"/>
                <w:sz w:val="22"/>
                <w:szCs w:val="22"/>
              </w:rPr>
              <w:t>2.1 Provide a clear and concise definition for each skill</w:t>
            </w:r>
            <w:r>
              <w:rPr>
                <w:color w:val="000000"/>
                <w:sz w:val="22"/>
                <w:szCs w:val="22"/>
              </w:rPr>
              <w:tab/>
              <w:t>3</w:t>
            </w:r>
          </w:hyperlink>
        </w:p>
        <w:p w14:paraId="0950E591" w14:textId="77777777" w:rsidR="00A83184" w:rsidRDefault="00A83184">
          <w:pPr>
            <w:pBdr>
              <w:top w:val="nil"/>
              <w:left w:val="nil"/>
              <w:bottom w:val="nil"/>
              <w:right w:val="nil"/>
              <w:between w:val="nil"/>
            </w:pBdr>
            <w:tabs>
              <w:tab w:val="right" w:pos="9350"/>
            </w:tabs>
            <w:spacing w:after="100"/>
            <w:ind w:left="240"/>
            <w:rPr>
              <w:color w:val="000000"/>
              <w:sz w:val="22"/>
              <w:szCs w:val="22"/>
            </w:rPr>
          </w:pPr>
          <w:hyperlink w:anchor="_heading=h.977qgw6796ry">
            <w:r>
              <w:rPr>
                <w:color w:val="000000"/>
                <w:sz w:val="22"/>
                <w:szCs w:val="22"/>
              </w:rPr>
              <w:t>2.2 Key components of each skill</w:t>
            </w:r>
            <w:r>
              <w:rPr>
                <w:color w:val="000000"/>
                <w:sz w:val="22"/>
                <w:szCs w:val="22"/>
              </w:rPr>
              <w:tab/>
              <w:t>3</w:t>
            </w:r>
          </w:hyperlink>
        </w:p>
        <w:p w14:paraId="7F83A957"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ylaaezzcfmvu">
            <w:r>
              <w:rPr>
                <w:color w:val="000000"/>
                <w:sz w:val="22"/>
                <w:szCs w:val="22"/>
              </w:rPr>
              <w:t>3. Importance of teamwork</w:t>
            </w:r>
            <w:r>
              <w:rPr>
                <w:color w:val="000000"/>
                <w:sz w:val="22"/>
                <w:szCs w:val="22"/>
              </w:rPr>
              <w:tab/>
              <w:t>4</w:t>
            </w:r>
          </w:hyperlink>
        </w:p>
        <w:p w14:paraId="79045B40"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qs2syjhtpdhy">
            <w:r>
              <w:rPr>
                <w:color w:val="000000"/>
                <w:sz w:val="22"/>
                <w:szCs w:val="22"/>
              </w:rPr>
              <w:t>4. Importance of academic writing</w:t>
            </w:r>
            <w:r>
              <w:rPr>
                <w:color w:val="000000"/>
                <w:sz w:val="22"/>
                <w:szCs w:val="22"/>
              </w:rPr>
              <w:tab/>
              <w:t>5</w:t>
            </w:r>
          </w:hyperlink>
        </w:p>
        <w:p w14:paraId="372D8EC7"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foqqsv6tf24c">
            <w:r>
              <w:rPr>
                <w:color w:val="000000"/>
                <w:sz w:val="22"/>
                <w:szCs w:val="22"/>
              </w:rPr>
              <w:t>5. Strategies to improve teamwork</w:t>
            </w:r>
            <w:r>
              <w:rPr>
                <w:color w:val="000000"/>
                <w:sz w:val="22"/>
                <w:szCs w:val="22"/>
              </w:rPr>
              <w:tab/>
              <w:t>6</w:t>
            </w:r>
          </w:hyperlink>
        </w:p>
        <w:p w14:paraId="69CB2AC1"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mx5mul8ggvrq">
            <w:r>
              <w:rPr>
                <w:color w:val="000000"/>
                <w:sz w:val="22"/>
                <w:szCs w:val="22"/>
              </w:rPr>
              <w:t>6. Strategies to improve academic writing</w:t>
            </w:r>
            <w:r>
              <w:rPr>
                <w:color w:val="000000"/>
                <w:sz w:val="22"/>
                <w:szCs w:val="22"/>
              </w:rPr>
              <w:tab/>
              <w:t>7</w:t>
            </w:r>
          </w:hyperlink>
        </w:p>
        <w:p w14:paraId="32340C60"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xvr38bt4n8dg">
            <w:r>
              <w:rPr>
                <w:color w:val="000000"/>
                <w:sz w:val="22"/>
                <w:szCs w:val="22"/>
              </w:rPr>
              <w:t>7. Conclusion</w:t>
            </w:r>
            <w:r>
              <w:rPr>
                <w:color w:val="000000"/>
                <w:sz w:val="22"/>
                <w:szCs w:val="22"/>
              </w:rPr>
              <w:tab/>
              <w:t>8</w:t>
            </w:r>
          </w:hyperlink>
        </w:p>
        <w:p w14:paraId="11CB85AF" w14:textId="77777777" w:rsidR="00A83184" w:rsidRDefault="00A83184">
          <w:pPr>
            <w:pBdr>
              <w:top w:val="nil"/>
              <w:left w:val="nil"/>
              <w:bottom w:val="nil"/>
              <w:right w:val="nil"/>
              <w:between w:val="nil"/>
            </w:pBdr>
            <w:tabs>
              <w:tab w:val="right" w:pos="9350"/>
            </w:tabs>
            <w:spacing w:after="100"/>
            <w:rPr>
              <w:color w:val="000000"/>
              <w:sz w:val="22"/>
              <w:szCs w:val="22"/>
            </w:rPr>
          </w:pPr>
          <w:hyperlink w:anchor="_heading=h.3kjxcaxdvzda">
            <w:r>
              <w:rPr>
                <w:color w:val="000000"/>
                <w:sz w:val="22"/>
                <w:szCs w:val="22"/>
              </w:rPr>
              <w:t>Reference lists</w:t>
            </w:r>
            <w:r>
              <w:rPr>
                <w:color w:val="000000"/>
                <w:sz w:val="22"/>
                <w:szCs w:val="22"/>
              </w:rPr>
              <w:tab/>
              <w:t>10</w:t>
            </w:r>
          </w:hyperlink>
        </w:p>
        <w:p w14:paraId="47D45700" w14:textId="77777777" w:rsidR="00A83184" w:rsidRDefault="00051308">
          <w:r>
            <w:fldChar w:fldCharType="end"/>
          </w:r>
        </w:p>
      </w:sdtContent>
    </w:sdt>
    <w:p w14:paraId="381A7F54" w14:textId="77777777" w:rsidR="00A83184" w:rsidRDefault="00051308">
      <w:pPr>
        <w:rPr>
          <w:b/>
          <w:bCs/>
          <w:sz w:val="28"/>
          <w:szCs w:val="28"/>
        </w:rPr>
      </w:pPr>
      <w:r>
        <w:br w:type="page"/>
      </w:r>
    </w:p>
    <w:p w14:paraId="6B939BAB" w14:textId="77777777" w:rsidR="00A83184" w:rsidRDefault="00051308">
      <w:pPr>
        <w:pStyle w:val="Titlu1"/>
        <w:spacing w:before="240"/>
      </w:pPr>
      <w:bookmarkStart w:id="1" w:name="_heading=h.4kgw48rc7u3a" w:colFirst="0" w:colLast="0"/>
      <w:bookmarkEnd w:id="1"/>
      <w:r>
        <w:lastRenderedPageBreak/>
        <w:t xml:space="preserve">1. Introduction </w:t>
      </w:r>
    </w:p>
    <w:p w14:paraId="18C7ED61" w14:textId="77777777" w:rsidR="00A83184" w:rsidRDefault="00051308">
      <w:pPr>
        <w:pStyle w:val="Titlu2"/>
        <w:spacing w:before="240"/>
      </w:pPr>
      <w:bookmarkStart w:id="2" w:name="_heading=h.7aga1nutobo6" w:colFirst="0" w:colLast="0"/>
      <w:bookmarkEnd w:id="2"/>
      <w:r>
        <w:t>1.1 Introduction of the chosen topics</w:t>
      </w:r>
    </w:p>
    <w:p w14:paraId="48EA5843" w14:textId="77777777" w:rsidR="00A83184" w:rsidRDefault="00051308">
      <w:pPr>
        <w:spacing w:before="240"/>
        <w:rPr>
          <w:sz w:val="22"/>
          <w:szCs w:val="22"/>
        </w:rPr>
      </w:pPr>
      <w:r>
        <w:rPr>
          <w:b/>
          <w:bCs/>
          <w:i/>
          <w:iCs/>
          <w:sz w:val="22"/>
          <w:szCs w:val="22"/>
        </w:rPr>
        <w:t xml:space="preserve">Teamwork skills </w:t>
      </w:r>
      <w:r>
        <w:rPr>
          <w:sz w:val="22"/>
          <w:szCs w:val="22"/>
        </w:rPr>
        <w:t xml:space="preserve">and </w:t>
      </w:r>
      <w:r>
        <w:rPr>
          <w:b/>
          <w:bCs/>
          <w:i/>
          <w:iCs/>
          <w:sz w:val="22"/>
          <w:szCs w:val="22"/>
        </w:rPr>
        <w:t xml:space="preserve">academic writing skills </w:t>
      </w:r>
      <w:r>
        <w:rPr>
          <w:sz w:val="22"/>
          <w:szCs w:val="22"/>
        </w:rPr>
        <w:t>are critical areas of competency among higher education learners and those who are about to join the world of professional life. Teamwork helps people work together, share duties and different opinions to realise common objectives (Baviera, Baviera-Puig and Escribá-Pérez, 2022). Academic writing skills help students to put forward ideas in a clear, logical, and properly structured manner without failing to meet the academic standards.</w:t>
      </w:r>
    </w:p>
    <w:p w14:paraId="6148DAC1" w14:textId="77777777" w:rsidR="00A83184" w:rsidRDefault="00051308">
      <w:pPr>
        <w:pStyle w:val="Titlu2"/>
        <w:spacing w:before="240"/>
      </w:pPr>
      <w:bookmarkStart w:id="3" w:name="_heading=h.dvjs4qabhqz0" w:colFirst="0" w:colLast="0"/>
      <w:bookmarkEnd w:id="3"/>
      <w:r>
        <w:t>1.2 Explain the purpose and structure of the report</w:t>
      </w:r>
    </w:p>
    <w:p w14:paraId="42FD04D7" w14:textId="77777777" w:rsidR="00A83184" w:rsidRDefault="00051308">
      <w:pPr>
        <w:spacing w:before="240"/>
        <w:rPr>
          <w:b/>
          <w:bCs/>
          <w:sz w:val="22"/>
          <w:szCs w:val="22"/>
        </w:rPr>
      </w:pPr>
      <w:bookmarkStart w:id="4" w:name="_heading=h.96cm72axkym7" w:colFirst="0" w:colLast="0"/>
      <w:bookmarkEnd w:id="4"/>
      <w:r>
        <w:rPr>
          <w:sz w:val="22"/>
          <w:szCs w:val="22"/>
        </w:rPr>
        <w:t>The purpose of this report is to identify real-world systems for students and professionals to develop and improve two key skills, like teamwork and academic writing. Teamwork and academic writing are defined first; the next section of the report discusses how important both of these skills are for academic success at the university level and in the workplace. Finally, the report concludes with recommendations to improve both skills and a summary of the key themes found within the report. This structured approach enables an in-depth understanding of these two critical skills.</w:t>
      </w:r>
    </w:p>
    <w:p w14:paraId="7FAF8711" w14:textId="77777777" w:rsidR="00A83184" w:rsidRDefault="00051308">
      <w:pPr>
        <w:pStyle w:val="Titlu1"/>
        <w:spacing w:before="240"/>
      </w:pPr>
      <w:bookmarkStart w:id="5" w:name="_heading=h.59viipwtlzs8" w:colFirst="0" w:colLast="0"/>
      <w:bookmarkEnd w:id="5"/>
      <w:r>
        <w:t xml:space="preserve">2. Definition of the skills </w:t>
      </w:r>
    </w:p>
    <w:p w14:paraId="0BDD84A6" w14:textId="77777777" w:rsidR="00A83184" w:rsidRDefault="00051308">
      <w:pPr>
        <w:pStyle w:val="Titlu2"/>
        <w:spacing w:before="240"/>
      </w:pPr>
      <w:bookmarkStart w:id="6" w:name="_heading=h.ee4aje3u9ofm" w:colFirst="0" w:colLast="0"/>
      <w:bookmarkEnd w:id="6"/>
      <w:r>
        <w:t>2.1 Provide a clear and concise definition for each skill</w:t>
      </w:r>
    </w:p>
    <w:p w14:paraId="4C369651" w14:textId="77777777" w:rsidR="00A83184" w:rsidRDefault="00051308">
      <w:pPr>
        <w:spacing w:before="240"/>
        <w:rPr>
          <w:sz w:val="22"/>
          <w:szCs w:val="22"/>
        </w:rPr>
      </w:pPr>
      <w:r>
        <w:rPr>
          <w:sz w:val="22"/>
          <w:szCs w:val="22"/>
        </w:rPr>
        <w:t xml:space="preserve">Teamwork skills are the capability of people to work as a team towards common goals and goals as they share their strengths, assisting others, and communicating effectively (Francis et al., 2024). Teamwork includes organising activities, constructively engaging in conflict resolution, and showing respect to one another as members of the group.  Academic writing skills entail the competence to come up with clear, structured and evidence-based written materials that comply with the requirements of academic conventions (Melody et al., 2025). Such skills involve the students being able to arrange ideas logically, to be able to present arguments in support of such arguments and use credible sources to prove the claims. </w:t>
      </w:r>
    </w:p>
    <w:p w14:paraId="65317C3D" w14:textId="77777777" w:rsidR="00A83184" w:rsidRDefault="00051308">
      <w:pPr>
        <w:pStyle w:val="Titlu2"/>
        <w:spacing w:before="240"/>
      </w:pPr>
      <w:bookmarkStart w:id="7" w:name="_heading=h.977qgw6796ry" w:colFirst="0" w:colLast="0"/>
      <w:bookmarkEnd w:id="7"/>
      <w:r>
        <w:t>2.2 Key components of each skill</w:t>
      </w:r>
    </w:p>
    <w:p w14:paraId="36780FB2" w14:textId="77777777" w:rsidR="00A83184" w:rsidRDefault="00051308">
      <w:pPr>
        <w:spacing w:before="240"/>
        <w:rPr>
          <w:sz w:val="22"/>
          <w:szCs w:val="22"/>
        </w:rPr>
      </w:pPr>
      <w:r>
        <w:rPr>
          <w:sz w:val="22"/>
          <w:szCs w:val="22"/>
        </w:rPr>
        <w:t xml:space="preserve">The elements show that communication, cooperation, accountability, adaptability and problem solving are crucial to making teamwork effective (Bearman, Hayes and Thomason, 2023). Also </w:t>
      </w:r>
      <w:r>
        <w:rPr>
          <w:sz w:val="22"/>
          <w:szCs w:val="22"/>
        </w:rPr>
        <w:lastRenderedPageBreak/>
        <w:t>important to teamwork are listening attentively, having an openness to sharing ideas, and being able to compromise when necessary. Teamwork skills can be used in both academic and professional settings, where they allow students to accomplish group projects in an efficient manner and ensure positive working relationships and increased productivity in the work environment, respectively.</w:t>
      </w:r>
    </w:p>
    <w:p w14:paraId="36FEE9D8" w14:textId="77777777" w:rsidR="00A83184" w:rsidRDefault="00051308">
      <w:pPr>
        <w:spacing w:before="240"/>
        <w:rPr>
          <w:sz w:val="22"/>
          <w:szCs w:val="22"/>
        </w:rPr>
      </w:pPr>
      <w:r>
        <w:rPr>
          <w:sz w:val="22"/>
          <w:szCs w:val="22"/>
        </w:rPr>
        <w:t>The major aspects of academic writing are critical thinking, clarity of expression, correct grammar, reference, and awareness of the rules of the academic style (Abrar, Failasofah and Heryanti, 2025). For academic writing to be appropriate, objectivity, use of formal language and specific vocabulary must also be taken into consideration. Furthermore, students must understand how to paraphrase, summarise and synthesise their information to avoid plagiarism and express the highest level of independent thought possible. Teamwork and academic writing competencies comprise an essential basis of successful learning and professional communication. Whereas collaboration and problem-solving are facilitated through teamwork, academic writing helps one to express knowledge and findings of the research straightforwardly.</w:t>
      </w:r>
    </w:p>
    <w:p w14:paraId="6C5DD690" w14:textId="77777777" w:rsidR="00A83184" w:rsidRDefault="00051308">
      <w:pPr>
        <w:pStyle w:val="Titlu1"/>
        <w:spacing w:before="240"/>
      </w:pPr>
      <w:bookmarkStart w:id="8" w:name="_heading=h.ylaaezzcfmvu" w:colFirst="0" w:colLast="0"/>
      <w:bookmarkEnd w:id="8"/>
      <w:r>
        <w:t xml:space="preserve">3. Importance of teamwork </w:t>
      </w:r>
    </w:p>
    <w:p w14:paraId="66FD3D02" w14:textId="77777777" w:rsidR="00A83184" w:rsidRDefault="00051308">
      <w:pPr>
        <w:spacing w:before="240"/>
        <w:rPr>
          <w:sz w:val="22"/>
          <w:szCs w:val="22"/>
        </w:rPr>
      </w:pPr>
      <w:r>
        <w:rPr>
          <w:sz w:val="22"/>
          <w:szCs w:val="22"/>
        </w:rPr>
        <w:t>Teamwork skills contribute to academic success as they allow students to work effectively in teams on group tasks, projects, and presentations, which are frequent elements of university evaluation. By working in teams, the students get to see a variety of perspectives and are taught to be able to combine various thoughts into a high-quality work. This is done to increase their critical thinking and problem-solving skills. It is also through teamwork that communication skills are enhanced, since the students will be required to be able to express their ideas in an effective way, listen to the other students and give positive feedback (Ningsih et al., 2025). Also, teamwork imparts valuable academic behaviours that include time management, responsibility and accountability. When they distribute assignments and establish similar objectives, students build stronger ideas of how to handle work-related issues, meet deadlines, and sustain a steady performance. Other than academic work, teamwork encourages social learning since students get to know people, solve crises, and gain interpersonal confidence.</w:t>
      </w:r>
    </w:p>
    <w:p w14:paraId="1C1A68BE" w14:textId="77777777" w:rsidR="00A83184" w:rsidRDefault="00051308">
      <w:pPr>
        <w:spacing w:before="240"/>
        <w:rPr>
          <w:b/>
          <w:bCs/>
          <w:sz w:val="22"/>
          <w:szCs w:val="22"/>
        </w:rPr>
      </w:pPr>
      <w:r>
        <w:rPr>
          <w:sz w:val="22"/>
          <w:szCs w:val="22"/>
        </w:rPr>
        <w:t xml:space="preserve">Professional and business environments have considered teamwork as one of the core competencies because organisations have been identified to require teamwork in achieving strategic goals. Modern workplace necessitates employees to operate in cross-functional teams where coordination, communication, and cooperation are major factors that determine efficiency. </w:t>
      </w:r>
      <w:r>
        <w:rPr>
          <w:sz w:val="22"/>
          <w:szCs w:val="22"/>
        </w:rPr>
        <w:lastRenderedPageBreak/>
        <w:t>Teamwork improves the productivity of a team, as the work can be divided based on personal abilities, and it will result in better results and faster problem solution (Ji and Yan, 2020). It is also innovative because the team members have different skills and perceptions which play a role in the generation of innovative solutions. Teamwork fosters good organisational culture by enhancing trust, job involvement and reduces work conflicts at the workplace. In addition, employers value teamwork because it expands the leadership ability; people are trained to inspire others, delegate responsibilities and build on the group missions. Healthcare, hospitality, marketing, and technology, in particular, industries use team-based solutions so that they could offer the services of the desired quality and respond to the changes. Altogether, team work can be discussed as a competency that is not only crucial but also provides students with success in academic achievement and professional prosperity in a dynamic and teamwork environment.</w:t>
      </w:r>
    </w:p>
    <w:p w14:paraId="3C3113E5" w14:textId="77777777" w:rsidR="00A83184" w:rsidRDefault="00051308">
      <w:pPr>
        <w:pStyle w:val="Titlu1"/>
        <w:spacing w:before="240"/>
      </w:pPr>
      <w:bookmarkStart w:id="9" w:name="_heading=h.qs2syjhtpdhy" w:colFirst="0" w:colLast="0"/>
      <w:bookmarkEnd w:id="9"/>
      <w:r>
        <w:t xml:space="preserve">4. Importance of academic writing </w:t>
      </w:r>
    </w:p>
    <w:p w14:paraId="41D50DFC" w14:textId="77777777" w:rsidR="00A83184" w:rsidRDefault="00051308">
      <w:pPr>
        <w:spacing w:before="240"/>
        <w:rPr>
          <w:sz w:val="22"/>
          <w:szCs w:val="22"/>
        </w:rPr>
      </w:pPr>
      <w:r>
        <w:rPr>
          <w:sz w:val="22"/>
          <w:szCs w:val="22"/>
        </w:rPr>
        <w:t>Academic writing skills are critical in academic success as they provide the student with the ability to express his/her ideas clearly, logically, and professionally. In tertiary education, the majority of the assessments (essays, reports, reflections, research papers, etc.) involve students providing organised arguments with documented evidence. Academic writing helps students to think, analyse and construct logical chains of reasoning (Wei and Liu, 2024). It also trains them on how to paraphrase, summarise and synthesise various sources, which will be useful in showing knowledge on complicated subjects. Good academic writing minimises the chances of plagiarism as it fosters proper citing and use of information in a morally responsible manner. In addition to clarifying ideas, written academic work is eloquent. Written work effectively represents how much knowledge each student possesses and will therefore allow students to present their thoughts more accurately and persuasively. Students who are successful writers generally perform better in their coursework as they can effectively share their ideas and fulfil other academic requirements such as formal presentation, objectivity, and consistency.</w:t>
      </w:r>
    </w:p>
    <w:p w14:paraId="25865590" w14:textId="77777777" w:rsidR="00A83184" w:rsidRDefault="00051308">
      <w:pPr>
        <w:spacing w:before="240"/>
        <w:rPr>
          <w:sz w:val="22"/>
          <w:szCs w:val="22"/>
        </w:rPr>
      </w:pPr>
      <w:r>
        <w:rPr>
          <w:sz w:val="22"/>
          <w:szCs w:val="22"/>
        </w:rPr>
        <w:t>The academic writing skills are also very valuable in the professional and business world, as they are the basis of effective communication at work. Most of the job positions involve having employees write down documents like reports, policy statements, proposals, emails, and strategic plans. Decision-making, the ability to communicate expectations, and the credibility of professionals who write clearly are more likely to influence decision-making. The skills of academic writing make one more powerful to relate any information logically, analyse data, and provide recommendations on the basis of evidence (Escorcia et al., 2025). All these qualities are necessary in managerial and analytical practice. The preparation of well-structured documents in other areas like business management, marketing, human resources and finance has helped in efficiency and professionalism in the organisation. Also, good writing abilities enable the employees to be accurate and professional, and this improves the reputation of an organisation. Teamwork is also aided by good writing because when things are well documented, there are fewer misunderstandings, and those working in a team would understand the goals and processes.</w:t>
      </w:r>
    </w:p>
    <w:p w14:paraId="2D8D4710" w14:textId="77777777" w:rsidR="00A83184" w:rsidRDefault="00051308">
      <w:pPr>
        <w:spacing w:before="240"/>
        <w:rPr>
          <w:sz w:val="22"/>
          <w:szCs w:val="22"/>
        </w:rPr>
      </w:pPr>
      <w:r>
        <w:rPr>
          <w:sz w:val="22"/>
          <w:szCs w:val="22"/>
        </w:rPr>
        <w:t>All in all, academic writing is a very important skill, and it helps to succeed in the education process and be ready for clear, structured, and evidence-based communication in the work environment.</w:t>
      </w:r>
    </w:p>
    <w:p w14:paraId="1FEBEACF" w14:textId="77777777" w:rsidR="00A83184" w:rsidRDefault="00051308">
      <w:pPr>
        <w:pStyle w:val="Titlu1"/>
        <w:spacing w:before="240"/>
      </w:pPr>
      <w:bookmarkStart w:id="10" w:name="_heading=h.foqqsv6tf24c" w:colFirst="0" w:colLast="0"/>
      <w:bookmarkEnd w:id="10"/>
      <w:r>
        <w:t xml:space="preserve">5. Strategies to improve teamwork </w:t>
      </w:r>
    </w:p>
    <w:p w14:paraId="389BD14E" w14:textId="77777777" w:rsidR="00A83184" w:rsidRDefault="00051308">
      <w:pPr>
        <w:spacing w:before="240"/>
        <w:rPr>
          <w:sz w:val="22"/>
          <w:szCs w:val="22"/>
        </w:rPr>
      </w:pPr>
      <w:r>
        <w:rPr>
          <w:sz w:val="22"/>
          <w:szCs w:val="22"/>
        </w:rPr>
        <w:t>Developing teamwork skills is a process that will need deliberate effort, systematic communication and reflection. People have a tendency not to communicate clearly or listen actively. However, using these two skills in a team can greatly improve teamwork. Team members must feel free and able to bring ideas to the table, ask questions for clarification, and give all team members a chance to participate actively in the team. When individuals use active listening techniques in their group work, they demonstrate their support for other members and help create an environment of trust. By showing trust in team members, you create a positive, respectful and collaborative team atmosphere. For students and professionals, active listening can be practised by summarising, looking at the person speaking, and encouraging members of the group who are more reserved to participate actively. Digital communication tools (e.g., shared documents, instant messaging, and project management software) are also helpful in achieving better accountability in teams and providing members with an up-to-date source of information.</w:t>
      </w:r>
    </w:p>
    <w:p w14:paraId="4CB96976" w14:textId="77777777" w:rsidR="00A83184" w:rsidRDefault="00051308">
      <w:pPr>
        <w:spacing w:before="240"/>
        <w:rPr>
          <w:sz w:val="22"/>
          <w:szCs w:val="22"/>
        </w:rPr>
      </w:pPr>
      <w:r>
        <w:rPr>
          <w:sz w:val="22"/>
          <w:szCs w:val="22"/>
        </w:rPr>
        <w:t>The second strategy that can contribute greatly to the enhancement of teamwork is the establishment of specific roles and collaborative planning tools. When roles are distributed according to personal strengths, then the work of the teams will be more efficient as everyone is participating in areas where they are best positioned to work. Role definitions reduce conflict, duplication of effort and accountability. Gantt charts, shared task lists, and meeting agendas are used to keep the teams informed about the progress and remain organised (Aggrawal and Magana, 2024). Constant check-in meetings are also used to enable the members to address problems, move deadlines, and help each other. In the school environment, delegation of certain roles, like research coordinator, writer, editor or presenter, can assist the students in effectively handling group work. Roles can be clearly defined in professional settings to promote project coordination and enhance productivity because, through clear roles, activities are focused on organisational objectives.</w:t>
      </w:r>
    </w:p>
    <w:p w14:paraId="000FC2B1" w14:textId="77777777" w:rsidR="00A83184" w:rsidRDefault="00051308">
      <w:pPr>
        <w:spacing w:before="240"/>
        <w:rPr>
          <w:sz w:val="22"/>
          <w:szCs w:val="22"/>
        </w:rPr>
      </w:pPr>
      <w:r>
        <w:rPr>
          <w:sz w:val="22"/>
          <w:szCs w:val="22"/>
        </w:rPr>
        <w:t>Finally, feedback and evaluation procedures can be used to further evaluate team performance. Positive feedback identifies team members' strengths and weaknesses and motivates them to continuously develop their skills. In addition, students may submit peer evaluations or reflective journals, while professionals may submit performance appraisals and participate in debriefs. Teams that utilise effective communication, established roles and feedback mechanisms to improve their performance will become more coordinated.</w:t>
      </w:r>
    </w:p>
    <w:p w14:paraId="77ACA636" w14:textId="77777777" w:rsidR="00A83184" w:rsidRDefault="00051308">
      <w:pPr>
        <w:pStyle w:val="Titlu1"/>
        <w:spacing w:before="240"/>
      </w:pPr>
      <w:bookmarkStart w:id="11" w:name="_heading=h.mx5mul8ggvrq" w:colFirst="0" w:colLast="0"/>
      <w:bookmarkEnd w:id="11"/>
      <w:r>
        <w:t xml:space="preserve">6. Strategies to improve academic writing </w:t>
      </w:r>
    </w:p>
    <w:p w14:paraId="35716260" w14:textId="77777777" w:rsidR="00A83184" w:rsidRDefault="00051308">
      <w:pPr>
        <w:spacing w:before="240"/>
        <w:rPr>
          <w:sz w:val="22"/>
          <w:szCs w:val="22"/>
        </w:rPr>
      </w:pPr>
      <w:r>
        <w:rPr>
          <w:sz w:val="22"/>
          <w:szCs w:val="22"/>
        </w:rPr>
        <w:t xml:space="preserve">The development of academic writing is a process that has to be practised and involves being aware of academic conventions. Among the key strategies, it should be the development of powerful reading and note-taking habits. Excellent writing is developed based on an excellent understanding, and a wide reading would help students and professionals learn how arguments are written, how to use evidence, and how to use academic language. Good note-taking or summary writing skills, such as summarising main points, finding themes and categorising ideas under titles, are used to make the information coherent and logical to the writer (Kvasova, 2024). The comprehension and ability to write coherent paragraphs can be enhanced with the help of techniques such as the Cornell note-taking system and mind-mapping. Frequent reading also develops vocabulary and gives one an understanding of the academic tone. </w:t>
      </w:r>
    </w:p>
    <w:p w14:paraId="59D7CE9F" w14:textId="77777777" w:rsidR="00A83184" w:rsidRDefault="00051308">
      <w:pPr>
        <w:spacing w:before="240"/>
        <w:rPr>
          <w:sz w:val="22"/>
          <w:szCs w:val="22"/>
        </w:rPr>
      </w:pPr>
      <w:r>
        <w:rPr>
          <w:sz w:val="22"/>
          <w:szCs w:val="22"/>
        </w:rPr>
        <w:t>The second useful technique is to practice the structured writing on the basis of templates, planning tools and revision techniques. Writing is good after planning makes people arrange their ideas in a logical manner. Outlines with an introduction, main points, supporting evidence and conclusion are the guarantee of clarity and coherence. Academic writing has numerous conventions that writers can implement when creating strong paragraphs, such as the PEEL or TEEL method. A writer develops his/her argument through writing multiple drafts, which aids in clarifying language. Once the writing has been created, proofreading and editing are critical for detecting grammatical errors that may appear throughout the text. Some resources that assist in promoting grammatical accuracy include grammar checkers, citation software, and other academic style guides.</w:t>
      </w:r>
    </w:p>
    <w:p w14:paraId="471E8A1F" w14:textId="77777777" w:rsidR="00A83184" w:rsidRDefault="00051308">
      <w:pPr>
        <w:spacing w:before="240"/>
        <w:rPr>
          <w:b/>
          <w:bCs/>
          <w:sz w:val="22"/>
          <w:szCs w:val="22"/>
        </w:rPr>
      </w:pPr>
      <w:bookmarkStart w:id="12" w:name="_heading=h.7ghc58j0ck4x" w:colFirst="0" w:colLast="0"/>
      <w:bookmarkEnd w:id="12"/>
      <w:r>
        <w:rPr>
          <w:sz w:val="22"/>
          <w:szCs w:val="22"/>
        </w:rPr>
        <w:t>One more highly significant element of good writing is the skill to properly reference and cite sources. As an illustration, the Harvard referencing system has been incorporated as a method of avoiding plagiarism and as well as giving credibility to any work(s) cited. The other method of attaining academic honesty and at the same time gaining originality is through practising paraphrasing and summarising. Also, the consultation with others, including peers, tutors or colleagues can be a good opportunity to improve the quality of writing. Feedback provides information about what has been left out during writing that is unspecified by the writer and therefore writers can work on being clearer, more organized and develop the argument better. By using the combination of good reading skills, well-organised writing, good revision as well as proper referencing, students and even professionals will continue to refurbish their academic writing skills.</w:t>
      </w:r>
    </w:p>
    <w:p w14:paraId="79A5915D" w14:textId="77777777" w:rsidR="00A83184" w:rsidRDefault="00051308">
      <w:pPr>
        <w:pStyle w:val="Titlu1"/>
        <w:spacing w:before="240"/>
      </w:pPr>
      <w:bookmarkStart w:id="13" w:name="_heading=h.xvr38bt4n8dg" w:colFirst="0" w:colLast="0"/>
      <w:bookmarkEnd w:id="13"/>
      <w:r>
        <w:t xml:space="preserve">7. Conclusion </w:t>
      </w:r>
    </w:p>
    <w:p w14:paraId="5FC68F46" w14:textId="77777777" w:rsidR="00A83184" w:rsidRDefault="00051308">
      <w:pPr>
        <w:spacing w:before="240"/>
        <w:rPr>
          <w:sz w:val="22"/>
          <w:szCs w:val="22"/>
        </w:rPr>
      </w:pPr>
      <w:r>
        <w:rPr>
          <w:sz w:val="22"/>
          <w:szCs w:val="22"/>
        </w:rPr>
        <w:t>Based on the above discussion, academic writing skills and mastery of teamwork are essential aspects of success in the academic and professional context. One way to establish expectations regarding communication in a team at the beginning of a project is to create a standard of communication expectations that clearly identify who will do what, as well as what each member of the team is responsible for doing. Academic writing skills, in their turn, permit students and professional people to express ideas in a clear, rational and with proper evidence. Good writing skills facilitate critical thinking, boost performance in school work, and make the school work meet the required academic standards, like referencing and structure. Professional credibility and informed decision-making in the workplace can be attributed to the capacity to create clear reports, proposals, and strategic documents, which can be used to guide decisions.</w:t>
      </w:r>
    </w:p>
    <w:p w14:paraId="5F735F3F" w14:textId="77777777" w:rsidR="00A83184" w:rsidRDefault="00051308">
      <w:pPr>
        <w:spacing w:before="240"/>
        <w:rPr>
          <w:sz w:val="22"/>
          <w:szCs w:val="22"/>
        </w:rPr>
      </w:pPr>
      <w:r>
        <w:rPr>
          <w:sz w:val="22"/>
          <w:szCs w:val="22"/>
        </w:rPr>
        <w:t>The discussed strategies, including effective communication, role allocation, structured planning, wide reading and consistent practice, are the practical methods to improve both of the mentioned skills. With these strategies, the person will be able to enhance his or her capability in cooperating, conveying or communicating complicated thoughts, and fulfilling the anticipation of academic and professional activities. In general, effective training in teamwork and academic writing makes a person prepared and proficient in the key skills of long-term achievements.</w:t>
      </w:r>
    </w:p>
    <w:p w14:paraId="6819E686" w14:textId="77777777" w:rsidR="00A83184" w:rsidRDefault="00051308">
      <w:pPr>
        <w:spacing w:before="240"/>
      </w:pPr>
      <w:r>
        <w:br w:type="page"/>
      </w:r>
    </w:p>
    <w:p w14:paraId="44AD9F6F" w14:textId="77777777" w:rsidR="00A83184" w:rsidRDefault="00051308">
      <w:pPr>
        <w:pStyle w:val="Titlu1"/>
      </w:pPr>
      <w:bookmarkStart w:id="14" w:name="_heading=h.3kjxcaxdvzda" w:colFirst="0" w:colLast="0"/>
      <w:bookmarkEnd w:id="14"/>
      <w:r>
        <w:t>Reference lists</w:t>
      </w:r>
    </w:p>
    <w:p w14:paraId="53CA4FB9"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Abrar, M., Failasofah, F. and Heryanti, R. (2025). Critical Thinking in EFL Academic Writing: Influencing Factors and Strategic Approaches. </w:t>
      </w:r>
      <w:r>
        <w:rPr>
          <w:i/>
          <w:iCs/>
          <w:color w:val="000000"/>
          <w:sz w:val="22"/>
          <w:szCs w:val="22"/>
        </w:rPr>
        <w:t>Edukasi Jurnal Pendidikan dan Pengajaran</w:t>
      </w:r>
      <w:r>
        <w:rPr>
          <w:color w:val="000000"/>
          <w:sz w:val="22"/>
          <w:szCs w:val="22"/>
        </w:rPr>
        <w:t xml:space="preserve">, 12(2), pp.764–785. </w:t>
      </w:r>
    </w:p>
    <w:p w14:paraId="1361435A"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Aggrawal, S. and Magana, A.J. (2024). Teamwork Conflict Management Training and Conflict Resolution Practice via Large Language Models. </w:t>
      </w:r>
      <w:r>
        <w:rPr>
          <w:i/>
          <w:iCs/>
          <w:color w:val="000000"/>
          <w:sz w:val="22"/>
          <w:szCs w:val="22"/>
        </w:rPr>
        <w:t>Future Internet</w:t>
      </w:r>
      <w:r>
        <w:rPr>
          <w:color w:val="000000"/>
          <w:sz w:val="22"/>
          <w:szCs w:val="22"/>
        </w:rPr>
        <w:t xml:space="preserve">, 16(5), pp.177–177. </w:t>
      </w:r>
    </w:p>
    <w:p w14:paraId="156190B1" w14:textId="77777777" w:rsidR="00A83184" w:rsidRDefault="00051308">
      <w:pPr>
        <w:pBdr>
          <w:top w:val="nil"/>
          <w:left w:val="nil"/>
          <w:bottom w:val="nil"/>
          <w:right w:val="nil"/>
          <w:between w:val="nil"/>
        </w:pBdr>
        <w:spacing w:after="240"/>
        <w:rPr>
          <w:sz w:val="22"/>
          <w:szCs w:val="22"/>
        </w:rPr>
      </w:pPr>
      <w:r>
        <w:rPr>
          <w:color w:val="000000"/>
          <w:sz w:val="22"/>
          <w:szCs w:val="22"/>
        </w:rPr>
        <w:t xml:space="preserve">Baviera, T., Baviera-Puig, A. and Escribá-Pérez, C. (2022). Assessing Team Member Effectiveness among higher education students using 180° perspective. </w:t>
      </w:r>
      <w:r>
        <w:rPr>
          <w:i/>
          <w:iCs/>
          <w:color w:val="000000"/>
          <w:sz w:val="22"/>
          <w:szCs w:val="22"/>
        </w:rPr>
        <w:t>The International Journal of Management Education</w:t>
      </w:r>
      <w:r>
        <w:rPr>
          <w:color w:val="000000"/>
          <w:sz w:val="22"/>
          <w:szCs w:val="22"/>
        </w:rPr>
        <w:t xml:space="preserve">, 20(3), p.100702. </w:t>
      </w:r>
    </w:p>
    <w:p w14:paraId="5AF8843B"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Bearman, C., Hayes, P. and Thomason, M. (2023). Facilitating teamwork in emergency management: The team process checklist. </w:t>
      </w:r>
      <w:r>
        <w:rPr>
          <w:i/>
          <w:iCs/>
          <w:color w:val="000000"/>
          <w:sz w:val="22"/>
          <w:szCs w:val="22"/>
        </w:rPr>
        <w:t>International Journal of Disaster Risk Reduction</w:t>
      </w:r>
      <w:r>
        <w:rPr>
          <w:color w:val="000000"/>
          <w:sz w:val="22"/>
          <w:szCs w:val="22"/>
        </w:rPr>
        <w:t xml:space="preserve">, 94(103775). </w:t>
      </w:r>
    </w:p>
    <w:p w14:paraId="0AF5B28A"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Escorcia, D., Campo, K., Navarro, G. and Ros, C. (2025). Assessing writing practices in higher education: Characterizing self-reported practices and identifying their determinants. </w:t>
      </w:r>
      <w:r>
        <w:rPr>
          <w:i/>
          <w:iCs/>
          <w:color w:val="000000"/>
          <w:sz w:val="22"/>
          <w:szCs w:val="22"/>
        </w:rPr>
        <w:t>Assessing Writing</w:t>
      </w:r>
      <w:r>
        <w:rPr>
          <w:color w:val="000000"/>
          <w:sz w:val="22"/>
          <w:szCs w:val="22"/>
        </w:rPr>
        <w:t xml:space="preserve">, 66, p.100976. </w:t>
      </w:r>
    </w:p>
    <w:p w14:paraId="0ECF0937"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Francis, N., Pritchard, C., Prytherch, Z. and Rutherford, S. (2024). Making teamwork work: enhancing teamwork and assessment in higher education. </w:t>
      </w:r>
      <w:r>
        <w:rPr>
          <w:i/>
          <w:iCs/>
          <w:color w:val="000000"/>
          <w:sz w:val="22"/>
          <w:szCs w:val="22"/>
        </w:rPr>
        <w:t>FEBS Open Bio</w:t>
      </w:r>
      <w:r>
        <w:rPr>
          <w:color w:val="000000"/>
          <w:sz w:val="22"/>
          <w:szCs w:val="22"/>
        </w:rPr>
        <w:t xml:space="preserve">, 15(1). </w:t>
      </w:r>
    </w:p>
    <w:p w14:paraId="37A1357C"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Gannon, S. and Dove, J. (2021). Artefacts, practices and pedagogies: teaching writing in English in the NAPLAN era. </w:t>
      </w:r>
      <w:r>
        <w:rPr>
          <w:i/>
          <w:iCs/>
          <w:color w:val="000000"/>
          <w:sz w:val="22"/>
          <w:szCs w:val="22"/>
        </w:rPr>
        <w:t>The Australian Educational Researcher</w:t>
      </w:r>
      <w:r>
        <w:rPr>
          <w:color w:val="000000"/>
          <w:sz w:val="22"/>
          <w:szCs w:val="22"/>
        </w:rPr>
        <w:t xml:space="preserve">, 48(4). </w:t>
      </w:r>
    </w:p>
    <w:p w14:paraId="3E8D99DB"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Ji, H. and Yan, J. (2020). How Team Structure Can Enhance Performance: Team Longevity’s Moderating Effect and Team Coordination’s Mediating Effect. </w:t>
      </w:r>
      <w:r>
        <w:rPr>
          <w:i/>
          <w:iCs/>
          <w:color w:val="000000"/>
          <w:sz w:val="22"/>
          <w:szCs w:val="22"/>
        </w:rPr>
        <w:t>Frontiers in Psychology</w:t>
      </w:r>
      <w:r>
        <w:rPr>
          <w:color w:val="000000"/>
          <w:sz w:val="22"/>
          <w:szCs w:val="22"/>
        </w:rPr>
        <w:t xml:space="preserve">, 11(1). </w:t>
      </w:r>
    </w:p>
    <w:p w14:paraId="59544F28"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Kvasova, O. (2024). Teaching Summary Writing as a Transferable Academic Skill in L1 University Context. </w:t>
      </w:r>
      <w:r>
        <w:rPr>
          <w:i/>
          <w:iCs/>
          <w:color w:val="000000"/>
          <w:sz w:val="22"/>
          <w:szCs w:val="22"/>
        </w:rPr>
        <w:t>Education Sciences</w:t>
      </w:r>
      <w:r>
        <w:rPr>
          <w:color w:val="000000"/>
          <w:sz w:val="22"/>
          <w:szCs w:val="22"/>
        </w:rPr>
        <w:t xml:space="preserve">, 14(3), p.288. </w:t>
      </w:r>
    </w:p>
    <w:p w14:paraId="126DA141"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Melody, M., Makuvire, C., Dziva, D. and Chikuvadze, P. (2025). Mastering academic writing skills: A handbook for university students. </w:t>
      </w:r>
      <w:r>
        <w:rPr>
          <w:i/>
          <w:iCs/>
          <w:color w:val="000000"/>
          <w:sz w:val="22"/>
          <w:szCs w:val="22"/>
        </w:rPr>
        <w:t>ResearchGate</w:t>
      </w:r>
      <w:r>
        <w:rPr>
          <w:color w:val="000000"/>
          <w:sz w:val="22"/>
          <w:szCs w:val="22"/>
        </w:rPr>
        <w:t xml:space="preserve">. </w:t>
      </w:r>
    </w:p>
    <w:p w14:paraId="12CFE76C"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Ningsih, T.Z., Aman, A., Nasrulloh, A., Ofianto, O., Erniwati, E., Asri, Z., Judijanto, L. and Firza, F. (2025). Enhancing communication and collaboration skills through discovery, cooperative and problem-based learning models in Social Studies education. </w:t>
      </w:r>
      <w:r>
        <w:rPr>
          <w:i/>
          <w:iCs/>
          <w:color w:val="000000"/>
          <w:sz w:val="22"/>
          <w:szCs w:val="22"/>
        </w:rPr>
        <w:t>Cogent Education</w:t>
      </w:r>
      <w:r>
        <w:rPr>
          <w:color w:val="000000"/>
          <w:sz w:val="22"/>
          <w:szCs w:val="22"/>
        </w:rPr>
        <w:t xml:space="preserve">, 12(1). </w:t>
      </w:r>
    </w:p>
    <w:p w14:paraId="4CEDE589"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Tennant, K., Butler, T.J.T. and Long, A. (2023). </w:t>
      </w:r>
      <w:r>
        <w:rPr>
          <w:i/>
          <w:iCs/>
          <w:color w:val="000000"/>
          <w:sz w:val="22"/>
          <w:szCs w:val="22"/>
        </w:rPr>
        <w:t>Active listening</w:t>
      </w:r>
      <w:r>
        <w:rPr>
          <w:color w:val="000000"/>
          <w:sz w:val="22"/>
          <w:szCs w:val="22"/>
        </w:rPr>
        <w:t xml:space="preserve">. National Library of Medicine. Available at: </w:t>
      </w:r>
      <w:hyperlink r:id="rId8">
        <w:r w:rsidR="00A83184">
          <w:rPr>
            <w:color w:val="1155CC"/>
            <w:sz w:val="22"/>
            <w:szCs w:val="22"/>
            <w:u w:val="single"/>
          </w:rPr>
          <w:t>https://www.ncbi.nlm.nih.gov/books/NBK442015/</w:t>
        </w:r>
      </w:hyperlink>
      <w:r>
        <w:rPr>
          <w:color w:val="000000"/>
          <w:sz w:val="22"/>
          <w:szCs w:val="22"/>
        </w:rPr>
        <w:t>. (</w:t>
      </w:r>
      <w:r>
        <w:rPr>
          <w:sz w:val="22"/>
          <w:szCs w:val="22"/>
        </w:rPr>
        <w:t>Accessed 2nd December 2025</w:t>
      </w:r>
      <w:r>
        <w:rPr>
          <w:color w:val="000000"/>
          <w:sz w:val="22"/>
          <w:szCs w:val="22"/>
        </w:rPr>
        <w:t xml:space="preserve"> )</w:t>
      </w:r>
    </w:p>
    <w:p w14:paraId="5D8BA7A9" w14:textId="77777777" w:rsidR="00A83184" w:rsidRDefault="00051308">
      <w:pPr>
        <w:pBdr>
          <w:top w:val="nil"/>
          <w:left w:val="nil"/>
          <w:bottom w:val="nil"/>
          <w:right w:val="nil"/>
          <w:between w:val="nil"/>
        </w:pBdr>
        <w:spacing w:after="240"/>
        <w:rPr>
          <w:color w:val="000000"/>
          <w:sz w:val="22"/>
          <w:szCs w:val="22"/>
        </w:rPr>
      </w:pPr>
      <w:r>
        <w:rPr>
          <w:color w:val="000000"/>
          <w:sz w:val="22"/>
          <w:szCs w:val="22"/>
        </w:rPr>
        <w:t xml:space="preserve">Wei, Y. and Liu, D. (2024). Incorporating peer feedback in academic writing: a systematic review of benefits and challenges. </w:t>
      </w:r>
      <w:r>
        <w:rPr>
          <w:i/>
          <w:iCs/>
          <w:color w:val="000000"/>
          <w:sz w:val="22"/>
          <w:szCs w:val="22"/>
        </w:rPr>
        <w:t>Frontiers in Psychology</w:t>
      </w:r>
      <w:r>
        <w:rPr>
          <w:color w:val="000000"/>
          <w:sz w:val="22"/>
          <w:szCs w:val="22"/>
        </w:rPr>
        <w:t xml:space="preserve">, 15. </w:t>
      </w:r>
    </w:p>
    <w:p w14:paraId="51ABF801" w14:textId="77777777" w:rsidR="00A83184" w:rsidRDefault="00A83184">
      <w:pPr>
        <w:rPr>
          <w:sz w:val="22"/>
          <w:szCs w:val="22"/>
        </w:rPr>
      </w:pPr>
    </w:p>
    <w:sectPr w:rsidR="00A8318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BAB94" w14:textId="77777777" w:rsidR="00374D56" w:rsidRDefault="00374D56" w:rsidP="00D07FEF">
      <w:pPr>
        <w:spacing w:line="240" w:lineRule="auto"/>
      </w:pPr>
      <w:r>
        <w:separator/>
      </w:r>
    </w:p>
  </w:endnote>
  <w:endnote w:type="continuationSeparator" w:id="0">
    <w:p w14:paraId="51B6671E" w14:textId="77777777" w:rsidR="00374D56" w:rsidRDefault="00374D56" w:rsidP="00D07F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FB73842-5BEF-431C-A33E-92B292BACE18}"/>
  </w:font>
  <w:font w:name="Cambria">
    <w:panose1 w:val="02040503050406030204"/>
    <w:charset w:val="00"/>
    <w:family w:val="roman"/>
    <w:pitch w:val="variable"/>
    <w:sig w:usb0="E00006FF" w:usb1="420024FF" w:usb2="02000000" w:usb3="00000000" w:csb0="0000019F" w:csb1="00000000"/>
    <w:embedRegular r:id="rId2" w:fontKey="{3D4FF4ED-FF76-0147-B8CD-9864ED9BE9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2380049"/>
      <w:docPartObj>
        <w:docPartGallery w:val="Page Numbers (Bottom of Page)"/>
        <w:docPartUnique/>
      </w:docPartObj>
    </w:sdtPr>
    <w:sdtEndPr>
      <w:rPr>
        <w:noProof/>
      </w:rPr>
    </w:sdtEndPr>
    <w:sdtContent>
      <w:p w14:paraId="1131419F" w14:textId="40641A71" w:rsidR="00D07FEF" w:rsidRDefault="00D07FEF">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26CEA4D" w14:textId="77777777" w:rsidR="00D07FEF" w:rsidRDefault="00D07FE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DCF2" w14:textId="77777777" w:rsidR="00374D56" w:rsidRDefault="00374D56" w:rsidP="00D07FEF">
      <w:pPr>
        <w:spacing w:line="240" w:lineRule="auto"/>
      </w:pPr>
      <w:r>
        <w:separator/>
      </w:r>
    </w:p>
  </w:footnote>
  <w:footnote w:type="continuationSeparator" w:id="0">
    <w:p w14:paraId="7C8072B0" w14:textId="77777777" w:rsidR="00374D56" w:rsidRDefault="00374D56" w:rsidP="00D07F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184"/>
    <w:rsid w:val="00051308"/>
    <w:rsid w:val="00071A53"/>
    <w:rsid w:val="00176EAC"/>
    <w:rsid w:val="00176F91"/>
    <w:rsid w:val="00241A6B"/>
    <w:rsid w:val="00247A34"/>
    <w:rsid w:val="002A6070"/>
    <w:rsid w:val="00374D56"/>
    <w:rsid w:val="00407DB2"/>
    <w:rsid w:val="006E4CDD"/>
    <w:rsid w:val="00872485"/>
    <w:rsid w:val="008E62DF"/>
    <w:rsid w:val="00957C0A"/>
    <w:rsid w:val="00A36ABC"/>
    <w:rsid w:val="00A83184"/>
    <w:rsid w:val="00B56A41"/>
    <w:rsid w:val="00B9170C"/>
    <w:rsid w:val="00B922BF"/>
    <w:rsid w:val="00C73231"/>
    <w:rsid w:val="00CF3604"/>
    <w:rsid w:val="00D07FEF"/>
    <w:rsid w:val="00E31582"/>
    <w:rsid w:val="00F10E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2798"/>
  <w15:docId w15:val="{3B111A29-23F0-4893-88CB-57C26921D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bCs/>
      <w:color w:val="000000"/>
    </w:rPr>
  </w:style>
  <w:style w:type="paragraph" w:styleId="Titlu2">
    <w:name w:val="heading 2"/>
    <w:basedOn w:val="Normal"/>
    <w:next w:val="Normal"/>
    <w:uiPriority w:val="9"/>
    <w:unhideWhenUsed/>
    <w:qFormat/>
    <w:pPr>
      <w:keepNext/>
      <w:keepLines/>
      <w:outlineLvl w:val="1"/>
    </w:pPr>
    <w:rPr>
      <w:b/>
      <w:bCs/>
      <w:color w:val="000000"/>
      <w:sz w:val="22"/>
      <w:szCs w:val="2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paragraph" w:styleId="NormalWeb">
    <w:name w:val="Normal (Web)"/>
    <w:basedOn w:val="Normal"/>
    <w:uiPriority w:val="99"/>
    <w:semiHidden/>
    <w:unhideWhenUsed/>
    <w:rsid w:val="00D735C0"/>
    <w:pPr>
      <w:spacing w:before="100" w:beforeAutospacing="1" w:after="100" w:afterAutospacing="1" w:line="240" w:lineRule="auto"/>
      <w:jc w:val="left"/>
    </w:pPr>
    <w:rPr>
      <w:rFonts w:ascii="Times New Roman" w:eastAsia="Times New Roman" w:hAnsi="Times New Roman" w:cs="Times New Roman"/>
      <w:lang w:val="en-IN"/>
    </w:rPr>
  </w:style>
  <w:style w:type="paragraph" w:styleId="Titlucuprins">
    <w:name w:val="TOC Heading"/>
    <w:basedOn w:val="Titlu1"/>
    <w:next w:val="Normal"/>
    <w:uiPriority w:val="39"/>
    <w:unhideWhenUsed/>
    <w:qFormat/>
    <w:rsid w:val="00D735C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Cuprins1">
    <w:name w:val="toc 1"/>
    <w:basedOn w:val="Normal"/>
    <w:next w:val="Normal"/>
    <w:autoRedefine/>
    <w:uiPriority w:val="39"/>
    <w:unhideWhenUsed/>
    <w:rsid w:val="00D735C0"/>
    <w:pPr>
      <w:spacing w:after="100"/>
    </w:pPr>
  </w:style>
  <w:style w:type="paragraph" w:styleId="Cuprins2">
    <w:name w:val="toc 2"/>
    <w:basedOn w:val="Normal"/>
    <w:next w:val="Normal"/>
    <w:autoRedefine/>
    <w:uiPriority w:val="39"/>
    <w:unhideWhenUsed/>
    <w:rsid w:val="00D735C0"/>
    <w:pPr>
      <w:spacing w:after="100"/>
      <w:ind w:left="240"/>
    </w:pPr>
  </w:style>
  <w:style w:type="character" w:styleId="Hyperlink">
    <w:name w:val="Hyperlink"/>
    <w:basedOn w:val="Fontdeparagrafimplicit"/>
    <w:uiPriority w:val="99"/>
    <w:unhideWhenUsed/>
    <w:rsid w:val="00D735C0"/>
    <w:rPr>
      <w:color w:val="0000FF" w:themeColor="hyperlink"/>
      <w:u w:val="single"/>
    </w:rPr>
  </w:style>
  <w:style w:type="character" w:styleId="Referincomentariu">
    <w:name w:val="annotation reference"/>
    <w:basedOn w:val="Fontdeparagrafimplicit"/>
    <w:uiPriority w:val="99"/>
    <w:semiHidden/>
    <w:unhideWhenUsed/>
    <w:rsid w:val="00C370E9"/>
    <w:rPr>
      <w:sz w:val="16"/>
      <w:szCs w:val="16"/>
    </w:rPr>
  </w:style>
  <w:style w:type="paragraph" w:styleId="Textcomentariu">
    <w:name w:val="annotation text"/>
    <w:basedOn w:val="Normal"/>
    <w:link w:val="TextcomentariuCaracter"/>
    <w:uiPriority w:val="99"/>
    <w:semiHidden/>
    <w:unhideWhenUsed/>
    <w:rsid w:val="00C370E9"/>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370E9"/>
    <w:rPr>
      <w:sz w:val="20"/>
      <w:szCs w:val="20"/>
    </w:rPr>
  </w:style>
  <w:style w:type="paragraph" w:styleId="SubiectComentariu">
    <w:name w:val="annotation subject"/>
    <w:basedOn w:val="Textcomentariu"/>
    <w:next w:val="Textcomentariu"/>
    <w:link w:val="SubiectComentariuCaracter"/>
    <w:uiPriority w:val="99"/>
    <w:semiHidden/>
    <w:unhideWhenUsed/>
    <w:rsid w:val="00C370E9"/>
    <w:rPr>
      <w:b/>
      <w:bCs/>
    </w:rPr>
  </w:style>
  <w:style w:type="character" w:customStyle="1" w:styleId="SubiectComentariuCaracter">
    <w:name w:val="Subiect Comentariu Caracter"/>
    <w:basedOn w:val="TextcomentariuCaracter"/>
    <w:link w:val="SubiectComentariu"/>
    <w:uiPriority w:val="99"/>
    <w:semiHidden/>
    <w:rsid w:val="00C370E9"/>
    <w:rPr>
      <w:b/>
      <w:bCs/>
      <w:sz w:val="20"/>
      <w:szCs w:val="20"/>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5" w:type="dxa"/>
        <w:left w:w="15" w:type="dxa"/>
        <w:bottom w:w="15" w:type="dxa"/>
        <w:right w:w="15" w:type="dxa"/>
      </w:tblCellMar>
    </w:tblPr>
  </w:style>
  <w:style w:type="paragraph" w:styleId="Antet">
    <w:name w:val="header"/>
    <w:basedOn w:val="Normal"/>
    <w:link w:val="AntetCaracter"/>
    <w:uiPriority w:val="99"/>
    <w:unhideWhenUsed/>
    <w:rsid w:val="00D07FEF"/>
    <w:pPr>
      <w:tabs>
        <w:tab w:val="center" w:pos="4513"/>
        <w:tab w:val="right" w:pos="9026"/>
      </w:tabs>
      <w:spacing w:line="240" w:lineRule="auto"/>
    </w:pPr>
  </w:style>
  <w:style w:type="character" w:customStyle="1" w:styleId="AntetCaracter">
    <w:name w:val="Antet Caracter"/>
    <w:basedOn w:val="Fontdeparagrafimplicit"/>
    <w:link w:val="Antet"/>
    <w:uiPriority w:val="99"/>
    <w:rsid w:val="00D07FEF"/>
  </w:style>
  <w:style w:type="paragraph" w:styleId="Subsol">
    <w:name w:val="footer"/>
    <w:basedOn w:val="Normal"/>
    <w:link w:val="SubsolCaracter"/>
    <w:uiPriority w:val="99"/>
    <w:unhideWhenUsed/>
    <w:rsid w:val="00D07FE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07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cbi.nlm.nih.gov/books/NBK442015/"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5ovWXPOu+OX6/v8/ISaNRewgQg==">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3028</Words>
  <Characters>17565</Characters>
  <Application>Microsoft Office Word</Application>
  <DocSecurity>0</DocSecurity>
  <Lines>146</Lines>
  <Paragraphs>41</Paragraphs>
  <ScaleCrop>false</ScaleCrop>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 Paun</cp:lastModifiedBy>
  <cp:revision>2</cp:revision>
  <dcterms:created xsi:type="dcterms:W3CDTF">2025-12-18T17:30:00Z</dcterms:created>
  <dcterms:modified xsi:type="dcterms:W3CDTF">2025-12-18T17:30:00Z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30ca7819-fde6-40ae-a3fe-4cd5414dfc9c</vt:lpwstr>
  </property>
</Properties>
</file>