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000000" w:themeColor="text1"/>
          <w:sz w:val="24"/>
          <w:szCs w:val="24"/>
          <w:lang w:val="en-GB"/>
        </w:rPr>
        <w:id w:val="-1522475554"/>
        <w:docPartObj>
          <w:docPartGallery w:val="Cover Pages"/>
          <w:docPartUnique/>
        </w:docPartObj>
      </w:sdtPr>
      <w:sdtEndPr>
        <w:rPr>
          <w:rFonts w:eastAsiaTheme="majorEastAsia"/>
        </w:rPr>
      </w:sdtEndPr>
      <w:sdtContent>
        <w:p w14:paraId="78ACA379" w14:textId="7FFD898C" w:rsidR="007D1947" w:rsidRPr="009C7F3B" w:rsidRDefault="002A5583" w:rsidP="009C7F3B">
          <w:pPr>
            <w:pStyle w:val="NoSpacing"/>
            <w:spacing w:before="1540" w:after="240" w:line="360" w:lineRule="auto"/>
            <w:jc w:val="both"/>
            <w:rPr>
              <w:rFonts w:ascii="Times New Roman" w:hAnsi="Times New Roman" w:cs="Times New Roman"/>
              <w:color w:val="000000" w:themeColor="text1"/>
              <w:sz w:val="24"/>
              <w:szCs w:val="24"/>
            </w:rPr>
          </w:pPr>
          <w:r>
            <w:rPr>
              <w:rFonts w:ascii="Times New Roman" w:eastAsiaTheme="minorHAnsi" w:hAnsi="Times New Roman" w:cs="Times New Roman"/>
              <w:b/>
              <w:color w:val="000000" w:themeColor="text1"/>
              <w:sz w:val="24"/>
              <w:szCs w:val="24"/>
              <w:lang w:val="en-GB"/>
            </w:rPr>
            <w:object w:dxaOrig="1534" w:dyaOrig="991" w14:anchorId="3C92CD8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55pt" o:ole="">
                <v:imagedata r:id="rId11" o:title=""/>
              </v:shape>
              <o:OLEObject Type="Embed" ProgID="Excel.Sheet.12" ShapeID="_x0000_i1025" DrawAspect="Icon" ObjectID="_1739016184" r:id="rId12"/>
            </w:object>
          </w:r>
        </w:p>
        <w:p w14:paraId="65B5E730" w14:textId="7CDBE681" w:rsidR="007D1947" w:rsidRPr="009C7F3B" w:rsidRDefault="000C679E" w:rsidP="009C7F3B">
          <w:pPr>
            <w:pStyle w:val="NoSpacing"/>
            <w:pBdr>
              <w:top w:val="single" w:sz="6" w:space="6" w:color="5B9BD5" w:themeColor="accent1"/>
              <w:bottom w:val="single" w:sz="6" w:space="6" w:color="5B9BD5" w:themeColor="accent1"/>
            </w:pBdr>
            <w:spacing w:after="240" w:line="360" w:lineRule="auto"/>
            <w:jc w:val="center"/>
            <w:rPr>
              <w:rFonts w:ascii="Times New Roman" w:hAnsi="Times New Roman" w:cs="Times New Roman"/>
              <w:color w:val="000000" w:themeColor="text1"/>
              <w:sz w:val="36"/>
              <w:szCs w:val="24"/>
              <w:u w:val="single"/>
            </w:rPr>
          </w:pPr>
          <w:r w:rsidRPr="009C7F3B">
            <w:rPr>
              <w:rFonts w:ascii="Times New Roman" w:hAnsi="Times New Roman" w:cs="Times New Roman"/>
              <w:b/>
              <w:bCs/>
              <w:caps/>
              <w:color w:val="000000" w:themeColor="text1"/>
              <w:sz w:val="36"/>
              <w:szCs w:val="24"/>
              <w:u w:val="single"/>
              <w:shd w:val="clear" w:color="auto" w:fill="FFFFFF"/>
            </w:rPr>
            <w:t>FINANCIAL MANAGEMENT FOR THE HOTEL INDUSTRY A2</w:t>
          </w:r>
        </w:p>
        <w:p w14:paraId="0E730CFC" w14:textId="782BB807" w:rsidR="007D1947" w:rsidRDefault="007D1947" w:rsidP="009C7F3B">
          <w:pPr>
            <w:pStyle w:val="NoSpacing"/>
            <w:spacing w:before="480" w:line="360" w:lineRule="auto"/>
            <w:jc w:val="both"/>
            <w:rPr>
              <w:rFonts w:ascii="Times New Roman" w:hAnsi="Times New Roman" w:cs="Times New Roman"/>
              <w:noProof/>
              <w:color w:val="000000" w:themeColor="text1"/>
              <w:sz w:val="24"/>
              <w:szCs w:val="24"/>
              <w:lang w:val="en-IN" w:eastAsia="en-IN"/>
            </w:rPr>
          </w:pPr>
          <w:r w:rsidRPr="009C7F3B">
            <w:rPr>
              <w:rFonts w:ascii="Times New Roman" w:hAnsi="Times New Roman" w:cs="Times New Roman"/>
              <w:noProof/>
              <w:color w:val="000000" w:themeColor="text1"/>
              <w:sz w:val="24"/>
              <w:szCs w:val="24"/>
              <w:lang w:val="en-IN" w:eastAsia="en-IN"/>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3078492" w14:textId="0BBC504C" w:rsidR="007D1947" w:rsidRPr="00B73B0C" w:rsidRDefault="00B73B0C" w:rsidP="00B73B0C">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275C62E" w14:textId="77777777" w:rsidR="007D1947" w:rsidRDefault="00B73B0C">
                                <w:pPr>
                                  <w:pStyle w:val="NoSpacing"/>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3078492" w14:textId="0BBC504C" w:rsidR="007D1947" w:rsidRPr="00B73B0C" w:rsidRDefault="00B73B0C" w:rsidP="00B73B0C">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6275C62E" w14:textId="77777777" w:rsidR="007D1947" w:rsidRDefault="00B73B0C">
                          <w:pPr>
                            <w:pStyle w:val="NoSpacing"/>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18142E">
            <w:rPr>
              <w:rFonts w:ascii="Times New Roman" w:hAnsi="Times New Roman" w:cs="Times New Roman"/>
              <w:noProof/>
              <w:color w:val="000000" w:themeColor="text1"/>
              <w:sz w:val="24"/>
              <w:szCs w:val="24"/>
              <w:lang w:val="en-IN" w:eastAsia="en-IN"/>
            </w:rPr>
            <w:t>STUDENT ID:</w:t>
          </w:r>
          <w:r w:rsidR="00323452">
            <w:rPr>
              <w:rFonts w:ascii="Times New Roman" w:hAnsi="Times New Roman" w:cs="Times New Roman"/>
              <w:noProof/>
              <w:color w:val="000000" w:themeColor="text1"/>
              <w:sz w:val="24"/>
              <w:szCs w:val="24"/>
              <w:lang w:val="en-IN" w:eastAsia="en-IN"/>
            </w:rPr>
            <w:t>2026964</w:t>
          </w:r>
        </w:p>
        <w:p w14:paraId="6E59C394" w14:textId="48A00499" w:rsidR="00323452" w:rsidRPr="009C7F3B" w:rsidRDefault="00323452" w:rsidP="009C7F3B">
          <w:pPr>
            <w:pStyle w:val="NoSpacing"/>
            <w:spacing w:before="480"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IN" w:eastAsia="en-IN"/>
            </w:rPr>
            <w:t>STUDENT NAME:Adrian Ionut Vasile</w:t>
          </w:r>
        </w:p>
        <w:p w14:paraId="199BAB2D" w14:textId="77777777" w:rsidR="00B97E54" w:rsidRPr="009C7F3B" w:rsidRDefault="00B97E54"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125AA18" w14:textId="027CAA34" w:rsidR="00BC6116" w:rsidRPr="009C7F3B" w:rsidRDefault="007D1947" w:rsidP="009C7F3B">
          <w:pPr>
            <w:pStyle w:val="Heading1"/>
            <w:spacing w:line="360" w:lineRule="auto"/>
            <w:jc w:val="both"/>
            <w:rPr>
              <w:rFonts w:ascii="Times New Roman" w:hAnsi="Times New Roman" w:cs="Times New Roman"/>
              <w:color w:val="000000" w:themeColor="text1"/>
              <w:sz w:val="24"/>
              <w:szCs w:val="24"/>
            </w:rPr>
          </w:pPr>
          <w:bookmarkStart w:id="0" w:name="_Toc124283494"/>
          <w:r w:rsidRPr="009C7F3B">
            <w:rPr>
              <w:rFonts w:ascii="Times New Roman" w:hAnsi="Times New Roman" w:cs="Times New Roman"/>
              <w:color w:val="000000" w:themeColor="text1"/>
              <w:sz w:val="24"/>
              <w:szCs w:val="24"/>
            </w:rPr>
            <w:lastRenderedPageBreak/>
            <w:t>Executive Summar</w:t>
          </w:r>
          <w:bookmarkEnd w:id="0"/>
          <w:r w:rsidR="000C679E" w:rsidRPr="009C7F3B">
            <w:rPr>
              <w:rFonts w:ascii="Times New Roman" w:hAnsi="Times New Roman" w:cs="Times New Roman"/>
              <w:color w:val="000000" w:themeColor="text1"/>
              <w:sz w:val="24"/>
              <w:szCs w:val="24"/>
            </w:rPr>
            <w:t>y</w:t>
          </w:r>
        </w:p>
        <w:p w14:paraId="11015AD6" w14:textId="7E852BEE" w:rsidR="004F1068" w:rsidRPr="009C7F3B" w:rsidRDefault="004F106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report covered the Liquidity, profitability, and gearing ratio for the period 2020 and 2021 of the company Marriott International Company. It is the quantitative analysis of </w:t>
          </w:r>
          <w:r w:rsidR="00A15150">
            <w:rPr>
              <w:rFonts w:ascii="Times New Roman" w:hAnsi="Times New Roman" w:cs="Times New Roman"/>
              <w:color w:val="000000" w:themeColor="text1"/>
              <w:sz w:val="24"/>
              <w:szCs w:val="24"/>
            </w:rPr>
            <w:t>the</w:t>
          </w:r>
          <w:r w:rsidR="000F1659">
            <w:rPr>
              <w:rFonts w:ascii="Times New Roman" w:hAnsi="Times New Roman" w:cs="Times New Roman"/>
              <w:color w:val="000000" w:themeColor="text1"/>
              <w:sz w:val="24"/>
              <w:szCs w:val="24"/>
            </w:rPr>
            <w:t xml:space="preserve"> information of the stamen of financial reports</w:t>
          </w:r>
          <w:r w:rsidRPr="009C7F3B">
            <w:rPr>
              <w:rFonts w:ascii="Times New Roman" w:hAnsi="Times New Roman" w:cs="Times New Roman"/>
              <w:color w:val="000000" w:themeColor="text1"/>
              <w:sz w:val="24"/>
              <w:szCs w:val="24"/>
            </w:rPr>
            <w:t xml:space="preserve">. It is used in organizations for understanding financial performance and working during a particular period. The interpretation of the ratio analysis helps the firm to maintain and develop new strategies and policies that would help to increase its profits and sustainability. The internal and external parties used ratio analysis techniques for knowing the solvency, liquidity, performance, and profitability for the </w:t>
          </w:r>
          <w:proofErr w:type="gramStart"/>
          <w:r w:rsidRPr="009C7F3B">
            <w:rPr>
              <w:rFonts w:ascii="Times New Roman" w:hAnsi="Times New Roman" w:cs="Times New Roman"/>
              <w:color w:val="000000" w:themeColor="text1"/>
              <w:sz w:val="24"/>
              <w:szCs w:val="24"/>
            </w:rPr>
            <w:t>particular periods</w:t>
          </w:r>
          <w:proofErr w:type="gramEnd"/>
          <w:r w:rsidRPr="009C7F3B">
            <w:rPr>
              <w:rFonts w:ascii="Times New Roman" w:hAnsi="Times New Roman" w:cs="Times New Roman"/>
              <w:color w:val="000000" w:themeColor="text1"/>
              <w:sz w:val="24"/>
              <w:szCs w:val="24"/>
            </w:rPr>
            <w:t xml:space="preserve">. </w:t>
          </w:r>
        </w:p>
        <w:p w14:paraId="782F0226" w14:textId="77777777" w:rsidR="001C6E85" w:rsidRPr="009C7F3B" w:rsidRDefault="001C6E85" w:rsidP="009C7F3B">
          <w:pPr>
            <w:spacing w:line="360" w:lineRule="auto"/>
            <w:jc w:val="both"/>
            <w:rPr>
              <w:rFonts w:ascii="Times New Roman" w:hAnsi="Times New Roman" w:cs="Times New Roman"/>
              <w:color w:val="000000" w:themeColor="text1"/>
              <w:sz w:val="24"/>
              <w:szCs w:val="24"/>
            </w:rPr>
          </w:pPr>
        </w:p>
        <w:p w14:paraId="46F149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19933FB"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D6BF5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1C68BD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8EEC16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A7E0BD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60983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BD24EA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E20A62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592EA3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02FA409"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EB4AA4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3F4A0A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AC34DF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192611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7A33B7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6E8243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2C1983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color w:val="000000" w:themeColor="text1"/>
              <w:sz w:val="24"/>
              <w:szCs w:val="24"/>
              <w:lang w:val="en-GB"/>
            </w:rPr>
            <w:id w:val="-1297214018"/>
            <w:docPartObj>
              <w:docPartGallery w:val="Table of Contents"/>
              <w:docPartUnique/>
            </w:docPartObj>
          </w:sdtPr>
          <w:sdtEndPr>
            <w:rPr>
              <w:bCs/>
              <w:noProof/>
            </w:rPr>
          </w:sdtEndPr>
          <w:sdtContent>
            <w:p w14:paraId="17F927D0" w14:textId="77777777" w:rsidR="007D1947" w:rsidRPr="009C7F3B" w:rsidRDefault="007D1947" w:rsidP="009C7F3B">
              <w:pPr>
                <w:pStyle w:val="TOCHeading"/>
                <w:spacing w:line="360" w:lineRule="auto"/>
                <w:jc w:val="both"/>
                <w:rPr>
                  <w:rStyle w:val="Heading1Char"/>
                  <w:rFonts w:ascii="Times New Roman" w:hAnsi="Times New Roman" w:cs="Times New Roman"/>
                  <w:b/>
                  <w:color w:val="000000" w:themeColor="text1"/>
                  <w:sz w:val="24"/>
                  <w:szCs w:val="24"/>
                </w:rPr>
              </w:pPr>
              <w:r w:rsidRPr="009C7F3B">
                <w:rPr>
                  <w:rStyle w:val="Heading1Char"/>
                  <w:rFonts w:ascii="Times New Roman" w:hAnsi="Times New Roman" w:cs="Times New Roman"/>
                  <w:b/>
                  <w:color w:val="000000" w:themeColor="text1"/>
                  <w:sz w:val="24"/>
                  <w:szCs w:val="24"/>
                </w:rPr>
                <w:t>Table of Contents</w:t>
              </w:r>
            </w:p>
            <w:p w14:paraId="06412010" w14:textId="77777777" w:rsidR="0055127F" w:rsidRPr="009C7F3B" w:rsidRDefault="007D1947"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r w:rsidRPr="009C7F3B">
                <w:rPr>
                  <w:rFonts w:ascii="Times New Roman" w:hAnsi="Times New Roman" w:cs="Times New Roman"/>
                  <w:color w:val="000000" w:themeColor="text1"/>
                  <w:sz w:val="24"/>
                  <w:szCs w:val="24"/>
                </w:rPr>
                <w:fldChar w:fldCharType="begin"/>
              </w:r>
              <w:r w:rsidRPr="009C7F3B">
                <w:rPr>
                  <w:rFonts w:ascii="Times New Roman" w:hAnsi="Times New Roman" w:cs="Times New Roman"/>
                  <w:color w:val="000000" w:themeColor="text1"/>
                  <w:sz w:val="24"/>
                  <w:szCs w:val="24"/>
                </w:rPr>
                <w:instrText xml:space="preserve"> TOC \o "1-3" \h \z \u </w:instrText>
              </w:r>
              <w:r w:rsidRPr="009C7F3B">
                <w:rPr>
                  <w:rFonts w:ascii="Times New Roman" w:hAnsi="Times New Roman" w:cs="Times New Roman"/>
                  <w:color w:val="000000" w:themeColor="text1"/>
                  <w:sz w:val="24"/>
                  <w:szCs w:val="24"/>
                </w:rPr>
                <w:fldChar w:fldCharType="separate"/>
              </w:r>
              <w:hyperlink w:anchor="_Toc124283494" w:history="1">
                <w:r w:rsidR="0055127F" w:rsidRPr="009C7F3B">
                  <w:rPr>
                    <w:rStyle w:val="Hyperlink"/>
                    <w:rFonts w:ascii="Times New Roman" w:hAnsi="Times New Roman" w:cs="Times New Roman"/>
                    <w:noProof/>
                    <w:color w:val="000000" w:themeColor="text1"/>
                    <w:sz w:val="24"/>
                    <w:szCs w:val="24"/>
                  </w:rPr>
                  <w:t>Executive Summary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_Toc124283494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w:t>
                </w:r>
                <w:r w:rsidR="0055127F" w:rsidRPr="009C7F3B">
                  <w:rPr>
                    <w:rFonts w:ascii="Times New Roman" w:hAnsi="Times New Roman" w:cs="Times New Roman"/>
                    <w:noProof/>
                    <w:webHidden/>
                    <w:color w:val="000000" w:themeColor="text1"/>
                    <w:sz w:val="24"/>
                    <w:szCs w:val="24"/>
                  </w:rPr>
                  <w:fldChar w:fldCharType="end"/>
                </w:r>
              </w:hyperlink>
            </w:p>
            <w:p w14:paraId="0B77CCEC" w14:textId="77777777" w:rsidR="0055127F" w:rsidRPr="009C7F3B" w:rsidRDefault="00B73B0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5" w:history="1">
                <w:r w:rsidR="0055127F" w:rsidRPr="009C7F3B">
                  <w:rPr>
                    <w:rStyle w:val="Hyperlink"/>
                    <w:rFonts w:ascii="Times New Roman" w:hAnsi="Times New Roman" w:cs="Times New Roman"/>
                    <w:noProof/>
                    <w:color w:val="000000" w:themeColor="text1"/>
                    <w:sz w:val="24"/>
                    <w:szCs w:val="24"/>
                  </w:rPr>
                  <w:t>Introduction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_Toc124283495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4</w:t>
                </w:r>
                <w:r w:rsidR="0055127F" w:rsidRPr="009C7F3B">
                  <w:rPr>
                    <w:rFonts w:ascii="Times New Roman" w:hAnsi="Times New Roman" w:cs="Times New Roman"/>
                    <w:noProof/>
                    <w:webHidden/>
                    <w:color w:val="000000" w:themeColor="text1"/>
                    <w:sz w:val="24"/>
                    <w:szCs w:val="24"/>
                  </w:rPr>
                  <w:fldChar w:fldCharType="end"/>
                </w:r>
              </w:hyperlink>
            </w:p>
            <w:p w14:paraId="0DFD3BAD" w14:textId="77777777" w:rsidR="0055127F" w:rsidRPr="009C7F3B" w:rsidRDefault="00B73B0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6" w:history="1">
                <w:r w:rsidR="0055127F" w:rsidRPr="009C7F3B">
                  <w:rPr>
                    <w:rStyle w:val="Hyperlink"/>
                    <w:rFonts w:ascii="Times New Roman" w:hAnsi="Times New Roman" w:cs="Times New Roman"/>
                    <w:noProof/>
                    <w:color w:val="000000" w:themeColor="text1"/>
                    <w:sz w:val="24"/>
                    <w:szCs w:val="24"/>
                  </w:rPr>
                  <w:t>Financial Analysis Trends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_Toc124283496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46E70954" w14:textId="77777777" w:rsidR="0055127F" w:rsidRPr="009C7F3B" w:rsidRDefault="00B73B0C"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7" w:history="1">
                <w:r w:rsidR="0055127F" w:rsidRPr="009C7F3B">
                  <w:rPr>
                    <w:rStyle w:val="Hyperlink"/>
                    <w:rFonts w:ascii="Times New Roman" w:hAnsi="Times New Roman" w:cs="Times New Roman"/>
                    <w:noProof/>
                    <w:color w:val="000000" w:themeColor="text1"/>
                    <w:sz w:val="24"/>
                    <w:szCs w:val="24"/>
                  </w:rPr>
                  <w:t>Profitability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_Toc124283497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285DBF2C" w14:textId="77777777" w:rsidR="0055127F" w:rsidRPr="009C7F3B" w:rsidRDefault="00B73B0C"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8" w:history="1">
                <w:r w:rsidR="0055127F" w:rsidRPr="009C7F3B">
                  <w:rPr>
                    <w:rStyle w:val="Hyperlink"/>
                    <w:rFonts w:ascii="Times New Roman" w:hAnsi="Times New Roman" w:cs="Times New Roman"/>
                    <w:noProof/>
                    <w:color w:val="000000" w:themeColor="text1"/>
                    <w:sz w:val="24"/>
                    <w:szCs w:val="24"/>
                  </w:rPr>
                  <w:t>Liquidity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_Toc124283498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7</w:t>
                </w:r>
                <w:r w:rsidR="0055127F" w:rsidRPr="009C7F3B">
                  <w:rPr>
                    <w:rFonts w:ascii="Times New Roman" w:hAnsi="Times New Roman" w:cs="Times New Roman"/>
                    <w:noProof/>
                    <w:webHidden/>
                    <w:color w:val="000000" w:themeColor="text1"/>
                    <w:sz w:val="24"/>
                    <w:szCs w:val="24"/>
                  </w:rPr>
                  <w:fldChar w:fldCharType="end"/>
                </w:r>
              </w:hyperlink>
            </w:p>
            <w:p w14:paraId="2F7BC4CA" w14:textId="77777777" w:rsidR="0055127F" w:rsidRPr="009C7F3B" w:rsidRDefault="00B73B0C" w:rsidP="009C7F3B">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9" w:history="1">
                <w:r w:rsidR="0055127F" w:rsidRPr="009C7F3B">
                  <w:rPr>
                    <w:rStyle w:val="Hyperlink"/>
                    <w:rFonts w:ascii="Times New Roman" w:hAnsi="Times New Roman" w:cs="Times New Roman"/>
                    <w:noProof/>
                    <w:color w:val="000000" w:themeColor="text1"/>
                    <w:sz w:val="24"/>
                    <w:szCs w:val="24"/>
                  </w:rPr>
                  <w:t>Gearing</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_Toc124283499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8</w:t>
                </w:r>
                <w:r w:rsidR="0055127F" w:rsidRPr="009C7F3B">
                  <w:rPr>
                    <w:rFonts w:ascii="Times New Roman" w:hAnsi="Times New Roman" w:cs="Times New Roman"/>
                    <w:noProof/>
                    <w:webHidden/>
                    <w:color w:val="000000" w:themeColor="text1"/>
                    <w:sz w:val="24"/>
                    <w:szCs w:val="24"/>
                  </w:rPr>
                  <w:fldChar w:fldCharType="end"/>
                </w:r>
              </w:hyperlink>
            </w:p>
            <w:p w14:paraId="3A395000" w14:textId="77777777" w:rsidR="0055127F" w:rsidRPr="009C7F3B" w:rsidRDefault="00B73B0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0" w:history="1">
                <w:r w:rsidR="0055127F" w:rsidRPr="009C7F3B">
                  <w:rPr>
                    <w:rStyle w:val="Hyperlink"/>
                    <w:rFonts w:ascii="Times New Roman" w:hAnsi="Times New Roman" w:cs="Times New Roman"/>
                    <w:noProof/>
                    <w:color w:val="000000" w:themeColor="text1"/>
                    <w:sz w:val="24"/>
                    <w:szCs w:val="24"/>
                  </w:rPr>
                  <w:t>Knowledge from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_Toc124283500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9</w:t>
                </w:r>
                <w:r w:rsidR="0055127F" w:rsidRPr="009C7F3B">
                  <w:rPr>
                    <w:rFonts w:ascii="Times New Roman" w:hAnsi="Times New Roman" w:cs="Times New Roman"/>
                    <w:noProof/>
                    <w:webHidden/>
                    <w:color w:val="000000" w:themeColor="text1"/>
                    <w:sz w:val="24"/>
                    <w:szCs w:val="24"/>
                  </w:rPr>
                  <w:fldChar w:fldCharType="end"/>
                </w:r>
              </w:hyperlink>
            </w:p>
            <w:p w14:paraId="43BEE8F1" w14:textId="77777777" w:rsidR="0055127F" w:rsidRPr="009C7F3B" w:rsidRDefault="00B73B0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1" w:history="1">
                <w:r w:rsidR="0055127F" w:rsidRPr="009C7F3B">
                  <w:rPr>
                    <w:rStyle w:val="Hyperlink"/>
                    <w:rFonts w:ascii="Times New Roman" w:hAnsi="Times New Roman" w:cs="Times New Roman"/>
                    <w:noProof/>
                    <w:color w:val="000000" w:themeColor="text1"/>
                    <w:sz w:val="24"/>
                    <w:szCs w:val="24"/>
                  </w:rPr>
                  <w:t>Benefits and Limitations of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_Toc124283501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10</w:t>
                </w:r>
                <w:r w:rsidR="0055127F" w:rsidRPr="009C7F3B">
                  <w:rPr>
                    <w:rFonts w:ascii="Times New Roman" w:hAnsi="Times New Roman" w:cs="Times New Roman"/>
                    <w:noProof/>
                    <w:webHidden/>
                    <w:color w:val="000000" w:themeColor="text1"/>
                    <w:sz w:val="24"/>
                    <w:szCs w:val="24"/>
                  </w:rPr>
                  <w:fldChar w:fldCharType="end"/>
                </w:r>
              </w:hyperlink>
            </w:p>
            <w:p w14:paraId="0DFB3055" w14:textId="77777777" w:rsidR="0055127F" w:rsidRPr="009C7F3B" w:rsidRDefault="00B73B0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2" w:history="1">
                <w:r w:rsidR="0055127F" w:rsidRPr="009C7F3B">
                  <w:rPr>
                    <w:rStyle w:val="Hyperlink"/>
                    <w:rFonts w:ascii="Times New Roman" w:hAnsi="Times New Roman" w:cs="Times New Roman"/>
                    <w:noProof/>
                    <w:color w:val="000000" w:themeColor="text1"/>
                    <w:sz w:val="24"/>
                    <w:szCs w:val="24"/>
                  </w:rPr>
                  <w:t>Conclusion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_Toc124283502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11</w:t>
                </w:r>
                <w:r w:rsidR="0055127F" w:rsidRPr="009C7F3B">
                  <w:rPr>
                    <w:rFonts w:ascii="Times New Roman" w:hAnsi="Times New Roman" w:cs="Times New Roman"/>
                    <w:noProof/>
                    <w:webHidden/>
                    <w:color w:val="000000" w:themeColor="text1"/>
                    <w:sz w:val="24"/>
                    <w:szCs w:val="24"/>
                  </w:rPr>
                  <w:fldChar w:fldCharType="end"/>
                </w:r>
              </w:hyperlink>
            </w:p>
            <w:p w14:paraId="7879EAFE" w14:textId="77777777" w:rsidR="0055127F" w:rsidRPr="009C7F3B" w:rsidRDefault="00B73B0C" w:rsidP="009C7F3B">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3" w:history="1">
                <w:r w:rsidR="0055127F" w:rsidRPr="009C7F3B">
                  <w:rPr>
                    <w:rStyle w:val="Hyperlink"/>
                    <w:rFonts w:ascii="Times New Roman" w:hAnsi="Times New Roman" w:cs="Times New Roman"/>
                    <w:noProof/>
                    <w:color w:val="000000" w:themeColor="text1"/>
                    <w:sz w:val="24"/>
                    <w:szCs w:val="24"/>
                  </w:rPr>
                  <w:t>Bibliography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_Toc124283503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12</w:t>
                </w:r>
                <w:r w:rsidR="0055127F" w:rsidRPr="009C7F3B">
                  <w:rPr>
                    <w:rFonts w:ascii="Times New Roman" w:hAnsi="Times New Roman" w:cs="Times New Roman"/>
                    <w:noProof/>
                    <w:webHidden/>
                    <w:color w:val="000000" w:themeColor="text1"/>
                    <w:sz w:val="24"/>
                    <w:szCs w:val="24"/>
                  </w:rPr>
                  <w:fldChar w:fldCharType="end"/>
                </w:r>
              </w:hyperlink>
            </w:p>
            <w:p w14:paraId="5849B348" w14:textId="0C44AAD1" w:rsidR="007D1947" w:rsidRPr="009C7F3B" w:rsidRDefault="007D1947"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bCs/>
                  <w:noProof/>
                  <w:color w:val="000000" w:themeColor="text1"/>
                  <w:sz w:val="24"/>
                  <w:szCs w:val="24"/>
                </w:rPr>
                <w:fldChar w:fldCharType="end"/>
              </w:r>
              <w:r w:rsidR="00295C45" w:rsidRPr="009C7F3B">
                <w:rPr>
                  <w:rFonts w:ascii="Times New Roman" w:hAnsi="Times New Roman" w:cs="Times New Roman"/>
                  <w:b/>
                  <w:bCs/>
                  <w:noProof/>
                  <w:color w:val="000000" w:themeColor="text1"/>
                  <w:sz w:val="24"/>
                  <w:szCs w:val="24"/>
                </w:rPr>
                <w:t xml:space="preserve"> </w:t>
              </w:r>
            </w:p>
          </w:sdtContent>
        </w:sdt>
        <w:p w14:paraId="1E6FA7D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C870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73B2AF"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59AA21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8482C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3DB8D0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FAB09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547ED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92177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21E26EC" w14:textId="59776F39" w:rsidR="007D1947" w:rsidRPr="009C7F3B" w:rsidRDefault="006126CE" w:rsidP="009C7F3B">
          <w:pPr>
            <w:pStyle w:val="Heading1"/>
            <w:spacing w:line="360" w:lineRule="auto"/>
            <w:jc w:val="both"/>
            <w:rPr>
              <w:rFonts w:ascii="Times New Roman" w:hAnsi="Times New Roman" w:cs="Times New Roman"/>
              <w:color w:val="000000" w:themeColor="text1"/>
              <w:sz w:val="24"/>
              <w:szCs w:val="24"/>
            </w:rPr>
          </w:pPr>
          <w:r w:rsidRPr="009C7F3B">
            <w:rPr>
              <w:rFonts w:ascii="Times New Roman" w:eastAsiaTheme="minorHAnsi" w:hAnsi="Times New Roman" w:cs="Times New Roman"/>
              <w:color w:val="000000" w:themeColor="text1"/>
              <w:sz w:val="24"/>
              <w:szCs w:val="24"/>
            </w:rPr>
            <w:br w:type="page"/>
          </w:r>
          <w:bookmarkStart w:id="1" w:name="_Toc124283495"/>
          <w:r w:rsidR="007D1947" w:rsidRPr="009C7F3B">
            <w:rPr>
              <w:rFonts w:ascii="Times New Roman" w:hAnsi="Times New Roman" w:cs="Times New Roman"/>
              <w:color w:val="000000" w:themeColor="text1"/>
              <w:sz w:val="24"/>
              <w:szCs w:val="24"/>
            </w:rPr>
            <w:lastRenderedPageBreak/>
            <w:t>Introduction</w:t>
          </w:r>
          <w:bookmarkEnd w:id="1"/>
        </w:p>
        <w:p w14:paraId="2D9E5568" w14:textId="7B8DF44C"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purpose of this report is to understand the financial statement of an American company of Marriott International, Inc. through the various financial ratios. It will cover the meaning of the financial analysis trend and the different ratios such as profitability, liquidity, and gearing ratio. It includes charts and graphs for a better understanding of the company’s financial position and the comparison of the two financial years of the American company which is 2020 and 2021. And then, it describes the importance of the ratio </w:t>
          </w:r>
          <w:proofErr w:type="gramStart"/>
          <w:r w:rsidRPr="009C7F3B">
            <w:rPr>
              <w:rFonts w:ascii="Times New Roman" w:hAnsi="Times New Roman" w:cs="Times New Roman"/>
              <w:color w:val="000000" w:themeColor="text1"/>
              <w:sz w:val="24"/>
              <w:szCs w:val="24"/>
            </w:rPr>
            <w:t>analysis</w:t>
          </w:r>
          <w:proofErr w:type="gramEnd"/>
          <w:r w:rsidRPr="009C7F3B">
            <w:rPr>
              <w:rFonts w:ascii="Times New Roman" w:hAnsi="Times New Roman" w:cs="Times New Roman"/>
              <w:color w:val="000000" w:themeColor="text1"/>
              <w:sz w:val="24"/>
              <w:szCs w:val="24"/>
            </w:rPr>
            <w:t xml:space="preserve"> and it will interpret in relation to the Marriott International Inc. Company. Additionally, this report covers the advantages and limitations of the financial ratio analysis. </w:t>
          </w:r>
        </w:p>
        <w:p w14:paraId="2E3F4C20" w14:textId="7F42F017"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Marriott International’s headquarter is situated in Maryland (Bethesda). It is an American international business which is franchises, licenses lodgings, and operates timeshare and residential properties and hotels. The founder of the company is J. Willard Marriott and Alice </w:t>
          </w:r>
          <w:proofErr w:type="gramStart"/>
          <w:r w:rsidRPr="009C7F3B">
            <w:rPr>
              <w:rFonts w:ascii="Times New Roman" w:hAnsi="Times New Roman" w:cs="Times New Roman"/>
              <w:color w:val="000000" w:themeColor="text1"/>
              <w:sz w:val="24"/>
              <w:szCs w:val="24"/>
            </w:rPr>
            <w:t>Marriott</w:t>
          </w:r>
          <w:proofErr w:type="gramEnd"/>
          <w:r w:rsidRPr="009C7F3B">
            <w:rPr>
              <w:rFonts w:ascii="Times New Roman" w:hAnsi="Times New Roman" w:cs="Times New Roman"/>
              <w:color w:val="000000" w:themeColor="text1"/>
              <w:sz w:val="24"/>
              <w:szCs w:val="24"/>
            </w:rPr>
            <w:t xml:space="preserve"> and it is established in the year 1927,</w:t>
          </w:r>
          <w:r w:rsidR="00A27FB6">
            <w:rPr>
              <w:rFonts w:ascii="Times New Roman" w:hAnsi="Times New Roman" w:cs="Times New Roman"/>
              <w:color w:val="000000" w:themeColor="text1"/>
              <w:sz w:val="24"/>
              <w:szCs w:val="24"/>
            </w:rPr>
            <w:t xml:space="preserve"> March 5. It is a public </w:t>
          </w:r>
          <w:proofErr w:type="gramStart"/>
          <w:r w:rsidR="00A27FB6">
            <w:rPr>
              <w:rFonts w:ascii="Times New Roman" w:hAnsi="Times New Roman" w:cs="Times New Roman"/>
              <w:color w:val="000000" w:themeColor="text1"/>
              <w:sz w:val="24"/>
              <w:szCs w:val="24"/>
            </w:rPr>
            <w:t>corporation</w:t>
          </w:r>
          <w:proofErr w:type="gramEnd"/>
          <w:r w:rsidRPr="009C7F3B">
            <w:rPr>
              <w:rFonts w:ascii="Times New Roman" w:hAnsi="Times New Roman" w:cs="Times New Roman"/>
              <w:color w:val="000000" w:themeColor="text1"/>
              <w:sz w:val="24"/>
              <w:szCs w:val="24"/>
            </w:rPr>
            <w:t xml:space="preserve"> and its shares are traded under the </w:t>
          </w:r>
          <w:r w:rsidR="008F487B">
            <w:rPr>
              <w:rFonts w:ascii="Times New Roman" w:hAnsi="Times New Roman" w:cs="Times New Roman"/>
              <w:color w:val="000000" w:themeColor="text1"/>
              <w:sz w:val="24"/>
              <w:szCs w:val="24"/>
            </w:rPr>
            <w:t>N</w:t>
          </w:r>
          <w:r w:rsidR="0064759D">
            <w:rPr>
              <w:rFonts w:ascii="Times New Roman" w:hAnsi="Times New Roman" w:cs="Times New Roman"/>
              <w:color w:val="000000" w:themeColor="text1"/>
              <w:sz w:val="24"/>
              <w:szCs w:val="24"/>
            </w:rPr>
            <w:t xml:space="preserve">asdaq. </w:t>
          </w:r>
          <w:r w:rsidRPr="009C7F3B">
            <w:rPr>
              <w:rFonts w:ascii="Times New Roman" w:hAnsi="Times New Roman" w:cs="Times New Roman"/>
              <w:color w:val="000000" w:themeColor="text1"/>
              <w:sz w:val="24"/>
              <w:szCs w:val="24"/>
            </w:rPr>
            <w:t xml:space="preserve">The industry is related to </w:t>
          </w:r>
          <w:proofErr w:type="gramStart"/>
          <w:r w:rsidRPr="009C7F3B">
            <w:rPr>
              <w:rFonts w:ascii="Times New Roman" w:hAnsi="Times New Roman" w:cs="Times New Roman"/>
              <w:color w:val="000000" w:themeColor="text1"/>
              <w:sz w:val="24"/>
              <w:szCs w:val="24"/>
            </w:rPr>
            <w:t>hospitality</w:t>
          </w:r>
          <w:proofErr w:type="gramEnd"/>
          <w:r w:rsidRPr="009C7F3B">
            <w:rPr>
              <w:rFonts w:ascii="Times New Roman" w:hAnsi="Times New Roman" w:cs="Times New Roman"/>
              <w:color w:val="000000" w:themeColor="text1"/>
              <w:sz w:val="24"/>
              <w:szCs w:val="24"/>
            </w:rPr>
            <w:t xml:space="preserve"> and it provides its services and products related to hotels and resorts. The branches </w:t>
          </w:r>
          <w:proofErr w:type="gramStart"/>
          <w:r w:rsidRPr="009C7F3B">
            <w:rPr>
              <w:rFonts w:ascii="Times New Roman" w:hAnsi="Times New Roman" w:cs="Times New Roman"/>
              <w:color w:val="000000" w:themeColor="text1"/>
              <w:sz w:val="24"/>
              <w:szCs w:val="24"/>
            </w:rPr>
            <w:t>are located in</w:t>
          </w:r>
          <w:proofErr w:type="gramEnd"/>
          <w:r w:rsidRPr="009C7F3B">
            <w:rPr>
              <w:rFonts w:ascii="Times New Roman" w:hAnsi="Times New Roman" w:cs="Times New Roman"/>
              <w:color w:val="000000" w:themeColor="text1"/>
              <w:sz w:val="24"/>
              <w:szCs w:val="24"/>
            </w:rPr>
            <w:t xml:space="preserve"> the 8484 locations in the country. The total revenue and assets were $13.86 billion and $25.55 billion in the year 2021 respectively. In the year 2021, the total operating profit and net income are $1.75 billion and $1.10 billion respectively. The total number of workers working in the organization is 120000 in the month of December 2021. Marriott Hotels &amp; Resorts, Le Meridien, Sheraton Hotels and Resorts, and The Ritz- Carlton Hotel Company are the subsidiary of the firm. </w:t>
          </w:r>
        </w:p>
        <w:p w14:paraId="69C7FA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344B2AD"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D878A77"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3D7B52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54C4174"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7977B4C9"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05F8553"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38F11E7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6CDD61D0" w14:textId="36824CBF" w:rsidR="00405DD5" w:rsidRPr="009C7F3B" w:rsidRDefault="00405DD5" w:rsidP="009C7F3B">
          <w:pPr>
            <w:spacing w:line="360" w:lineRule="auto"/>
            <w:jc w:val="both"/>
            <w:rPr>
              <w:rFonts w:ascii="Times New Roman" w:hAnsi="Times New Roman" w:cs="Times New Roman"/>
              <w:color w:val="000000" w:themeColor="text1"/>
              <w:sz w:val="24"/>
              <w:szCs w:val="24"/>
            </w:rPr>
          </w:pPr>
        </w:p>
        <w:p w14:paraId="65D911F3" w14:textId="64214EEA" w:rsidR="004A11F6" w:rsidRPr="009C7F3B" w:rsidRDefault="004D519C" w:rsidP="009C7F3B">
          <w:pPr>
            <w:pStyle w:val="Heading1"/>
            <w:spacing w:line="360" w:lineRule="auto"/>
            <w:jc w:val="both"/>
            <w:rPr>
              <w:rFonts w:ascii="Times New Roman" w:hAnsi="Times New Roman" w:cs="Times New Roman"/>
              <w:color w:val="000000" w:themeColor="text1"/>
              <w:sz w:val="24"/>
              <w:szCs w:val="24"/>
            </w:rPr>
          </w:pPr>
          <w:bookmarkStart w:id="2" w:name="_Toc124283496"/>
          <w:r w:rsidRPr="009C7F3B">
            <w:rPr>
              <w:rFonts w:ascii="Times New Roman" w:hAnsi="Times New Roman" w:cs="Times New Roman"/>
              <w:color w:val="000000" w:themeColor="text1"/>
              <w:sz w:val="24"/>
              <w:szCs w:val="24"/>
            </w:rPr>
            <w:lastRenderedPageBreak/>
            <w:t>Financial Analysis Trends</w:t>
          </w:r>
          <w:bookmarkEnd w:id="2"/>
        </w:p>
        <w:p w14:paraId="0E2D20FD" w14:textId="5CAAA734" w:rsidR="00C344A2" w:rsidRPr="009C7F3B" w:rsidRDefault="00C344A2"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refers to critically examining the financial statements of the companies by using different financial analysis tools such as ratio analysis, Trend analysis, and Horizontal and vertical analysis. This will </w:t>
          </w:r>
          <w:proofErr w:type="gramStart"/>
          <w:r w:rsidRPr="009C7F3B">
            <w:rPr>
              <w:rFonts w:ascii="Times New Roman" w:hAnsi="Times New Roman" w:cs="Times New Roman"/>
              <w:color w:val="000000" w:themeColor="text1"/>
              <w:sz w:val="24"/>
              <w:szCs w:val="24"/>
            </w:rPr>
            <w:t>helps</w:t>
          </w:r>
          <w:proofErr w:type="gramEnd"/>
          <w:r w:rsidRPr="009C7F3B">
            <w:rPr>
              <w:rFonts w:ascii="Times New Roman" w:hAnsi="Times New Roman" w:cs="Times New Roman"/>
              <w:color w:val="000000" w:themeColor="text1"/>
              <w:sz w:val="24"/>
              <w:szCs w:val="24"/>
            </w:rPr>
            <w:t xml:space="preserve"> the company to determine its financial performance and ability to sustain itself for the long period (Corbet et al. 2019). The following information is about the financial ratio of Marriott International Company for the years 2020 and 2021. This ratio is </w:t>
          </w:r>
          <w:proofErr w:type="gramStart"/>
          <w:r w:rsidRPr="009C7F3B">
            <w:rPr>
              <w:rFonts w:ascii="Times New Roman" w:hAnsi="Times New Roman" w:cs="Times New Roman"/>
              <w:color w:val="000000" w:themeColor="text1"/>
              <w:sz w:val="24"/>
              <w:szCs w:val="24"/>
            </w:rPr>
            <w:t>interpret</w:t>
          </w:r>
          <w:proofErr w:type="gramEnd"/>
          <w:r w:rsidRPr="009C7F3B">
            <w:rPr>
              <w:rFonts w:ascii="Times New Roman" w:hAnsi="Times New Roman" w:cs="Times New Roman"/>
              <w:color w:val="000000" w:themeColor="text1"/>
              <w:sz w:val="24"/>
              <w:szCs w:val="24"/>
            </w:rPr>
            <w:t xml:space="preserve"> the financial position of the firm for a particular period and suggests a different way to improve the ratio. For better understanding, the different ratio includes the graphs and tables. </w:t>
          </w:r>
        </w:p>
        <w:p w14:paraId="31921F49" w14:textId="77777777" w:rsidR="00284F1F" w:rsidRPr="009C7F3B" w:rsidRDefault="00284F1F" w:rsidP="009C7F3B">
          <w:pPr>
            <w:spacing w:line="360" w:lineRule="auto"/>
            <w:jc w:val="both"/>
            <w:rPr>
              <w:rFonts w:ascii="Times New Roman" w:hAnsi="Times New Roman" w:cs="Times New Roman"/>
              <w:color w:val="000000" w:themeColor="text1"/>
              <w:sz w:val="24"/>
              <w:szCs w:val="24"/>
            </w:rPr>
          </w:pPr>
        </w:p>
        <w:p w14:paraId="68670666" w14:textId="4C7D6FE6" w:rsidR="00F94474" w:rsidRPr="009C7F3B" w:rsidRDefault="004D519C" w:rsidP="009C7F3B">
          <w:pPr>
            <w:pStyle w:val="Heading2"/>
            <w:spacing w:line="360" w:lineRule="auto"/>
            <w:jc w:val="both"/>
            <w:rPr>
              <w:rFonts w:ascii="Times New Roman" w:hAnsi="Times New Roman" w:cs="Times New Roman"/>
              <w:color w:val="000000" w:themeColor="text1"/>
              <w:sz w:val="24"/>
              <w:szCs w:val="24"/>
            </w:rPr>
          </w:pPr>
          <w:bookmarkStart w:id="3" w:name="_Toc463944603"/>
          <w:bookmarkStart w:id="4" w:name="_Toc124283497"/>
          <w:r w:rsidRPr="009C7F3B">
            <w:rPr>
              <w:rFonts w:ascii="Times New Roman" w:hAnsi="Times New Roman" w:cs="Times New Roman"/>
              <w:color w:val="000000" w:themeColor="text1"/>
              <w:sz w:val="24"/>
              <w:szCs w:val="24"/>
            </w:rPr>
            <w:t>Profitability</w:t>
          </w:r>
          <w:bookmarkEnd w:id="3"/>
          <w:bookmarkEnd w:id="4"/>
        </w:p>
        <w:tbl>
          <w:tblPr>
            <w:tblW w:w="5000" w:type="pct"/>
            <w:tblLook w:val="04A0" w:firstRow="1" w:lastRow="0" w:firstColumn="1" w:lastColumn="0" w:noHBand="0" w:noVBand="1"/>
          </w:tblPr>
          <w:tblGrid>
            <w:gridCol w:w="1767"/>
            <w:gridCol w:w="2167"/>
            <w:gridCol w:w="2368"/>
            <w:gridCol w:w="2714"/>
          </w:tblGrid>
          <w:tr w:rsidR="009C7F3B" w:rsidRPr="009C7F3B" w14:paraId="6E86F70A" w14:textId="77777777" w:rsidTr="005B5539">
            <w:trPr>
              <w:trHeight w:val="300"/>
            </w:trPr>
            <w:tc>
              <w:tcPr>
                <w:tcW w:w="9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6D5A1C"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202" w:type="pct"/>
                <w:tcBorders>
                  <w:top w:val="single" w:sz="4" w:space="0" w:color="auto"/>
                  <w:left w:val="nil"/>
                  <w:bottom w:val="single" w:sz="4" w:space="0" w:color="auto"/>
                  <w:right w:val="single" w:sz="4" w:space="0" w:color="auto"/>
                </w:tcBorders>
                <w:shd w:val="clear" w:color="auto" w:fill="auto"/>
                <w:noWrap/>
                <w:vAlign w:val="bottom"/>
                <w:hideMark/>
              </w:tcPr>
              <w:p w14:paraId="2526C2F5"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Gross Profit Ratio</w:t>
                </w:r>
              </w:p>
            </w:tc>
            <w:tc>
              <w:tcPr>
                <w:tcW w:w="1313" w:type="pct"/>
                <w:tcBorders>
                  <w:top w:val="single" w:sz="4" w:space="0" w:color="auto"/>
                  <w:left w:val="nil"/>
                  <w:bottom w:val="single" w:sz="4" w:space="0" w:color="auto"/>
                  <w:right w:val="single" w:sz="4" w:space="0" w:color="auto"/>
                </w:tcBorders>
                <w:shd w:val="clear" w:color="auto" w:fill="auto"/>
                <w:noWrap/>
                <w:vAlign w:val="bottom"/>
                <w:hideMark/>
              </w:tcPr>
              <w:p w14:paraId="5B12023A"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Net Profit Ratio</w:t>
                </w:r>
              </w:p>
            </w:tc>
            <w:tc>
              <w:tcPr>
                <w:tcW w:w="1505" w:type="pct"/>
                <w:tcBorders>
                  <w:top w:val="single" w:sz="4" w:space="0" w:color="auto"/>
                  <w:left w:val="nil"/>
                  <w:bottom w:val="single" w:sz="4" w:space="0" w:color="auto"/>
                  <w:right w:val="single" w:sz="4" w:space="0" w:color="auto"/>
                </w:tcBorders>
                <w:shd w:val="clear" w:color="auto" w:fill="auto"/>
                <w:noWrap/>
                <w:vAlign w:val="bottom"/>
                <w:hideMark/>
              </w:tcPr>
              <w:p w14:paraId="5CEC4103"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Operating Profit Ratio</w:t>
                </w:r>
              </w:p>
            </w:tc>
          </w:tr>
          <w:tr w:rsidR="009C7F3B" w:rsidRPr="009C7F3B" w14:paraId="33055B2C"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4AC02A80"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202" w:type="pct"/>
                <w:tcBorders>
                  <w:top w:val="nil"/>
                  <w:left w:val="nil"/>
                  <w:bottom w:val="single" w:sz="4" w:space="0" w:color="auto"/>
                  <w:right w:val="single" w:sz="4" w:space="0" w:color="auto"/>
                </w:tcBorders>
                <w:shd w:val="clear" w:color="auto" w:fill="auto"/>
                <w:noWrap/>
                <w:vAlign w:val="bottom"/>
                <w:hideMark/>
              </w:tcPr>
              <w:p w14:paraId="492B51AF"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13.8</w:t>
                </w:r>
              </w:p>
            </w:tc>
            <w:tc>
              <w:tcPr>
                <w:tcW w:w="1313" w:type="pct"/>
                <w:tcBorders>
                  <w:top w:val="nil"/>
                  <w:left w:val="nil"/>
                  <w:bottom w:val="single" w:sz="4" w:space="0" w:color="auto"/>
                  <w:right w:val="single" w:sz="4" w:space="0" w:color="auto"/>
                </w:tcBorders>
                <w:shd w:val="clear" w:color="auto" w:fill="auto"/>
                <w:noWrap/>
                <w:vAlign w:val="bottom"/>
                <w:hideMark/>
              </w:tcPr>
              <w:p w14:paraId="1DE9709B"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-2.52</w:t>
                </w:r>
              </w:p>
            </w:tc>
            <w:tc>
              <w:tcPr>
                <w:tcW w:w="1505" w:type="pct"/>
                <w:tcBorders>
                  <w:top w:val="nil"/>
                  <w:left w:val="nil"/>
                  <w:bottom w:val="single" w:sz="4" w:space="0" w:color="auto"/>
                  <w:right w:val="single" w:sz="4" w:space="0" w:color="auto"/>
                </w:tcBorders>
                <w:shd w:val="clear" w:color="auto" w:fill="auto"/>
                <w:noWrap/>
                <w:vAlign w:val="bottom"/>
                <w:hideMark/>
              </w:tcPr>
              <w:p w14:paraId="1F91AF78"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0.79</w:t>
                </w:r>
              </w:p>
            </w:tc>
          </w:tr>
          <w:tr w:rsidR="009C7F3B" w:rsidRPr="009C7F3B" w14:paraId="2DCCE554"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6F8772E2"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202" w:type="pct"/>
                <w:tcBorders>
                  <w:top w:val="nil"/>
                  <w:left w:val="nil"/>
                  <w:bottom w:val="single" w:sz="4" w:space="0" w:color="auto"/>
                  <w:right w:val="single" w:sz="4" w:space="0" w:color="auto"/>
                </w:tcBorders>
                <w:shd w:val="clear" w:color="auto" w:fill="auto"/>
                <w:noWrap/>
                <w:vAlign w:val="bottom"/>
                <w:hideMark/>
              </w:tcPr>
              <w:p w14:paraId="3A4F4861"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20.21</w:t>
                </w:r>
              </w:p>
            </w:tc>
            <w:tc>
              <w:tcPr>
                <w:tcW w:w="1313" w:type="pct"/>
                <w:tcBorders>
                  <w:top w:val="nil"/>
                  <w:left w:val="nil"/>
                  <w:bottom w:val="single" w:sz="4" w:space="0" w:color="auto"/>
                  <w:right w:val="single" w:sz="4" w:space="0" w:color="auto"/>
                </w:tcBorders>
                <w:shd w:val="clear" w:color="auto" w:fill="auto"/>
                <w:noWrap/>
                <w:vAlign w:val="bottom"/>
                <w:hideMark/>
              </w:tcPr>
              <w:p w14:paraId="0E9889E2"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7.93</w:t>
                </w:r>
              </w:p>
            </w:tc>
            <w:tc>
              <w:tcPr>
                <w:tcW w:w="1505" w:type="pct"/>
                <w:tcBorders>
                  <w:top w:val="nil"/>
                  <w:left w:val="nil"/>
                  <w:bottom w:val="single" w:sz="4" w:space="0" w:color="auto"/>
                  <w:right w:val="single" w:sz="4" w:space="0" w:color="auto"/>
                </w:tcBorders>
                <w:shd w:val="clear" w:color="auto" w:fill="auto"/>
                <w:noWrap/>
                <w:vAlign w:val="bottom"/>
                <w:hideMark/>
              </w:tcPr>
              <w:p w14:paraId="0CEE5203"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12.62</w:t>
                </w:r>
              </w:p>
            </w:tc>
          </w:tr>
        </w:tbl>
        <w:p w14:paraId="28868FC0" w14:textId="77777777" w:rsidR="00F94474" w:rsidRPr="009C7F3B" w:rsidRDefault="00F94474" w:rsidP="009C7F3B">
          <w:pPr>
            <w:spacing w:line="360" w:lineRule="auto"/>
            <w:jc w:val="both"/>
            <w:rPr>
              <w:rFonts w:ascii="Times New Roman" w:hAnsi="Times New Roman" w:cs="Times New Roman"/>
              <w:b/>
              <w:color w:val="000000" w:themeColor="text1"/>
              <w:sz w:val="24"/>
              <w:szCs w:val="24"/>
            </w:rPr>
          </w:pPr>
        </w:p>
        <w:p w14:paraId="7BEB3804" w14:textId="02FC556C" w:rsidR="00F94474" w:rsidRPr="009C7F3B" w:rsidRDefault="00F94474"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152F1226" wp14:editId="49D7EB8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D0DABB" w14:textId="45CCCE60"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table graph and table show the profitability ratio which includes the gross profit, net profit, and operating profit ratio for the years 2021 and 2020. The ratio of the profitability is shown in the form of percentages. The </w:t>
          </w:r>
          <w:r w:rsidRPr="009C7F3B">
            <w:rPr>
              <w:rFonts w:ascii="Times New Roman" w:hAnsi="Times New Roman" w:cs="Times New Roman"/>
              <w:b/>
              <w:color w:val="000000" w:themeColor="text1"/>
              <w:sz w:val="24"/>
              <w:szCs w:val="24"/>
            </w:rPr>
            <w:t xml:space="preserve">gross profit </w:t>
          </w:r>
          <w:r w:rsidRPr="009C7F3B">
            <w:rPr>
              <w:rFonts w:ascii="Times New Roman" w:hAnsi="Times New Roman" w:cs="Times New Roman"/>
              <w:color w:val="000000" w:themeColor="text1"/>
              <w:sz w:val="24"/>
              <w:szCs w:val="24"/>
            </w:rPr>
            <w:t>refers to the profit which is remaining after subtracting all the selling and manufacturing expenses from the total revenue earned during the financial year (</w:t>
          </w:r>
          <w:proofErr w:type="spellStart"/>
          <w:r w:rsidRPr="009C7F3B">
            <w:rPr>
              <w:rFonts w:ascii="Times New Roman" w:hAnsi="Times New Roman" w:cs="Times New Roman"/>
              <w:color w:val="000000" w:themeColor="text1"/>
              <w:sz w:val="24"/>
              <w:szCs w:val="24"/>
            </w:rPr>
            <w:t>Ginting</w:t>
          </w:r>
          <w:proofErr w:type="spellEnd"/>
          <w:r w:rsidRPr="009C7F3B">
            <w:rPr>
              <w:rFonts w:ascii="Times New Roman" w:hAnsi="Times New Roman" w:cs="Times New Roman"/>
              <w:color w:val="000000" w:themeColor="text1"/>
              <w:sz w:val="24"/>
              <w:szCs w:val="24"/>
            </w:rPr>
            <w:t xml:space="preserve"> </w:t>
          </w:r>
          <w:r w:rsidR="006220B8">
            <w:rPr>
              <w:rFonts w:ascii="Times New Roman" w:hAnsi="Times New Roman" w:cs="Times New Roman"/>
              <w:color w:val="000000" w:themeColor="text1"/>
              <w:sz w:val="24"/>
              <w:szCs w:val="24"/>
            </w:rPr>
            <w:t xml:space="preserve">2021). The ratio of the organisations </w:t>
          </w:r>
          <w:r w:rsidRPr="009C7F3B">
            <w:rPr>
              <w:rFonts w:ascii="Times New Roman" w:hAnsi="Times New Roman" w:cs="Times New Roman"/>
              <w:color w:val="000000" w:themeColor="text1"/>
              <w:sz w:val="24"/>
              <w:szCs w:val="24"/>
            </w:rPr>
            <w:t xml:space="preserve">in the year 2020 and 2021 was 13.8% and 20.21% respectively. The ratio </w:t>
          </w:r>
          <w:proofErr w:type="gramStart"/>
          <w:r w:rsidRPr="009C7F3B">
            <w:rPr>
              <w:rFonts w:ascii="Times New Roman" w:hAnsi="Times New Roman" w:cs="Times New Roman"/>
              <w:color w:val="000000" w:themeColor="text1"/>
              <w:sz w:val="24"/>
              <w:szCs w:val="24"/>
            </w:rPr>
            <w:t>increase</w:t>
          </w:r>
          <w:proofErr w:type="gramEnd"/>
          <w:r w:rsidRPr="009C7F3B">
            <w:rPr>
              <w:rFonts w:ascii="Times New Roman" w:hAnsi="Times New Roman" w:cs="Times New Roman"/>
              <w:color w:val="000000" w:themeColor="text1"/>
              <w:sz w:val="24"/>
              <w:szCs w:val="24"/>
            </w:rPr>
            <w:t xml:space="preserve"> of gross profit increase in the next year </w:t>
          </w:r>
          <w:r w:rsidRPr="009C7F3B">
            <w:rPr>
              <w:rFonts w:ascii="Times New Roman" w:hAnsi="Times New Roman" w:cs="Times New Roman"/>
              <w:color w:val="000000" w:themeColor="text1"/>
              <w:sz w:val="24"/>
              <w:szCs w:val="24"/>
            </w:rPr>
            <w:lastRenderedPageBreak/>
            <w:t xml:space="preserve">(2021) due to an increase in sales and reducing unnecessary costs. It increases by 6.41% in the year 2021. </w:t>
          </w:r>
        </w:p>
        <w:p w14:paraId="2C63F35A" w14:textId="5700DB08"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Net profit refers</w:t>
          </w:r>
          <w:r w:rsidRPr="009C7F3B">
            <w:rPr>
              <w:rFonts w:ascii="Times New Roman" w:hAnsi="Times New Roman" w:cs="Times New Roman"/>
              <w:color w:val="000000" w:themeColor="text1"/>
              <w:sz w:val="24"/>
              <w:szCs w:val="24"/>
            </w:rPr>
            <w:t xml:space="preserve"> to the total amount company earns during the year after deducting all the financial expenses such as operating, administrative, taxes, and interest from th</w:t>
          </w:r>
          <w:r w:rsidR="007146D6" w:rsidRPr="009C7F3B">
            <w:rPr>
              <w:rFonts w:ascii="Times New Roman" w:hAnsi="Times New Roman" w:cs="Times New Roman"/>
              <w:color w:val="000000" w:themeColor="text1"/>
              <w:sz w:val="24"/>
              <w:szCs w:val="24"/>
            </w:rPr>
            <w:t>e total revenue (</w:t>
          </w:r>
          <w:proofErr w:type="spellStart"/>
          <w:r w:rsidR="007146D6" w:rsidRPr="009C7F3B">
            <w:rPr>
              <w:rFonts w:ascii="Times New Roman" w:hAnsi="Times New Roman" w:cs="Times New Roman"/>
              <w:color w:val="000000" w:themeColor="text1"/>
              <w:sz w:val="24"/>
              <w:szCs w:val="24"/>
            </w:rPr>
            <w:t>Iriyadi</w:t>
          </w:r>
          <w:proofErr w:type="spellEnd"/>
          <w:r w:rsidR="007146D6" w:rsidRPr="009C7F3B">
            <w:rPr>
              <w:rFonts w:ascii="Times New Roman" w:hAnsi="Times New Roman" w:cs="Times New Roman"/>
              <w:color w:val="000000" w:themeColor="text1"/>
              <w:sz w:val="24"/>
              <w:szCs w:val="24"/>
            </w:rPr>
            <w:t xml:space="preserve"> et al.</w:t>
          </w:r>
          <w:r w:rsidRPr="009C7F3B">
            <w:rPr>
              <w:rFonts w:ascii="Times New Roman" w:hAnsi="Times New Roman" w:cs="Times New Roman"/>
              <w:color w:val="000000" w:themeColor="text1"/>
              <w:sz w:val="24"/>
              <w:szCs w:val="24"/>
            </w:rPr>
            <w:t xml:space="preserve"> 2020).  The ratio of NP was (2.52%) and 7.93% in the years 2020 and 2021 respectively. The </w:t>
          </w:r>
          <w:r w:rsidRPr="009C7F3B">
            <w:rPr>
              <w:rFonts w:ascii="Times New Roman" w:hAnsi="Times New Roman" w:cs="Times New Roman"/>
              <w:b/>
              <w:color w:val="000000" w:themeColor="text1"/>
              <w:sz w:val="24"/>
              <w:szCs w:val="24"/>
            </w:rPr>
            <w:t>trend</w:t>
          </w:r>
          <w:r w:rsidRPr="009C7F3B">
            <w:rPr>
              <w:rFonts w:ascii="Times New Roman" w:hAnsi="Times New Roman" w:cs="Times New Roman"/>
              <w:color w:val="000000" w:themeColor="text1"/>
              <w:sz w:val="24"/>
              <w:szCs w:val="24"/>
            </w:rPr>
            <w:t xml:space="preserve"> of the ratio is to increase from the previous year by 10.45% in the current year because in 2020 the ratio is a negative figure due to ineffective control of the expenditure of the firm. </w:t>
          </w:r>
        </w:p>
        <w:p w14:paraId="117B9F1C" w14:textId="2C9A65CE"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The operating profit ratio</w:t>
          </w:r>
          <w:r w:rsidRPr="009C7F3B">
            <w:rPr>
              <w:rFonts w:ascii="Times New Roman" w:hAnsi="Times New Roman" w:cs="Times New Roman"/>
              <w:color w:val="000000" w:themeColor="text1"/>
              <w:sz w:val="24"/>
              <w:szCs w:val="24"/>
            </w:rPr>
            <w:t xml:space="preserve"> refers to the total amount earned by the company after selling the products and services during the year (Amalia et al</w:t>
          </w:r>
          <w:r w:rsidR="001D0A54">
            <w:rPr>
              <w:rFonts w:ascii="Times New Roman" w:hAnsi="Times New Roman" w:cs="Times New Roman"/>
              <w:color w:val="000000" w:themeColor="text1"/>
              <w:sz w:val="24"/>
              <w:szCs w:val="24"/>
            </w:rPr>
            <w:t>. 2020). The ratio is det</w:t>
          </w:r>
          <w:r w:rsidR="00341BD0">
            <w:rPr>
              <w:rFonts w:ascii="Times New Roman" w:hAnsi="Times New Roman" w:cs="Times New Roman"/>
              <w:color w:val="000000" w:themeColor="text1"/>
              <w:sz w:val="24"/>
              <w:szCs w:val="24"/>
            </w:rPr>
            <w:t>er</w:t>
          </w:r>
          <w:r w:rsidR="001D0A54">
            <w:rPr>
              <w:rFonts w:ascii="Times New Roman" w:hAnsi="Times New Roman" w:cs="Times New Roman"/>
              <w:color w:val="000000" w:themeColor="text1"/>
              <w:sz w:val="24"/>
              <w:szCs w:val="24"/>
            </w:rPr>
            <w:t>mined</w:t>
          </w:r>
          <w:r w:rsidRPr="009C7F3B">
            <w:rPr>
              <w:rFonts w:ascii="Times New Roman" w:hAnsi="Times New Roman" w:cs="Times New Roman"/>
              <w:color w:val="000000" w:themeColor="text1"/>
              <w:sz w:val="24"/>
              <w:szCs w:val="24"/>
            </w:rPr>
            <w:t xml:space="preserve"> by dividing the operating income by its net revenue. The OP ratio was 12.62% and 0.79% in the years 2021 and 2020 respectively. The ratio increases from the previous year (2020) to the current year by 11.83%. It </w:t>
          </w:r>
          <w:r w:rsidRPr="009C7F3B">
            <w:rPr>
              <w:rFonts w:ascii="Times New Roman" w:hAnsi="Times New Roman" w:cs="Times New Roman"/>
              <w:b/>
              <w:color w:val="000000" w:themeColor="text1"/>
              <w:sz w:val="24"/>
              <w:szCs w:val="24"/>
            </w:rPr>
            <w:t>depicts</w:t>
          </w:r>
          <w:r w:rsidRPr="009C7F3B">
            <w:rPr>
              <w:rFonts w:ascii="Times New Roman" w:hAnsi="Times New Roman" w:cs="Times New Roman"/>
              <w:color w:val="000000" w:themeColor="text1"/>
              <w:sz w:val="24"/>
              <w:szCs w:val="24"/>
            </w:rPr>
            <w:t xml:space="preserve"> that the company efficiently manages its resources and expenses in the year 2021. </w:t>
          </w:r>
        </w:p>
        <w:p w14:paraId="4E93BFBA" w14:textId="77777777"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w:t>
          </w:r>
          <w:r w:rsidRPr="009C7F3B">
            <w:rPr>
              <w:rFonts w:ascii="Times New Roman" w:hAnsi="Times New Roman" w:cs="Times New Roman"/>
              <w:b/>
              <w:color w:val="000000" w:themeColor="text1"/>
              <w:sz w:val="24"/>
              <w:szCs w:val="24"/>
            </w:rPr>
            <w:t xml:space="preserve">concludes </w:t>
          </w:r>
          <w:r w:rsidRPr="009C7F3B">
            <w:rPr>
              <w:rFonts w:ascii="Times New Roman" w:hAnsi="Times New Roman" w:cs="Times New Roman"/>
              <w:color w:val="000000" w:themeColor="text1"/>
              <w:sz w:val="24"/>
              <w:szCs w:val="24"/>
            </w:rPr>
            <w:t xml:space="preserve">that the profitability ratios of the company increase in the year 2021 due to proper control of its assets, allocation of resources, and expenditures. The graph illustrates that the firm earns profits higher than in 2020 due to selling a large number of products and services to customers.  The gross, net and operating profit increased in the year 2021. The company in a net loss in the year 2020 which was 2.52%.  It also defines that the firm makes enough cash or profits for its investors. </w:t>
          </w:r>
        </w:p>
        <w:p w14:paraId="40ECB901" w14:textId="77777777" w:rsidR="00857AB8" w:rsidRPr="009C7F3B" w:rsidRDefault="00857AB8" w:rsidP="009C7F3B">
          <w:pPr>
            <w:spacing w:line="360" w:lineRule="auto"/>
            <w:jc w:val="both"/>
            <w:rPr>
              <w:rFonts w:ascii="Times New Roman" w:hAnsi="Times New Roman" w:cs="Times New Roman"/>
              <w:color w:val="000000" w:themeColor="text1"/>
              <w:sz w:val="24"/>
              <w:szCs w:val="24"/>
            </w:rPr>
          </w:pPr>
        </w:p>
        <w:p w14:paraId="5B1894D2" w14:textId="77777777" w:rsidR="00650E00" w:rsidRPr="009C7F3B" w:rsidRDefault="00650E00" w:rsidP="009C7F3B">
          <w:pPr>
            <w:spacing w:line="360" w:lineRule="auto"/>
            <w:jc w:val="both"/>
            <w:rPr>
              <w:rFonts w:ascii="Times New Roman" w:eastAsiaTheme="majorEastAsia" w:hAnsi="Times New Roman" w:cs="Times New Roman"/>
              <w:b/>
              <w:color w:val="000000" w:themeColor="text1"/>
              <w:sz w:val="24"/>
              <w:szCs w:val="24"/>
            </w:rPr>
          </w:pPr>
          <w:r w:rsidRPr="009C7F3B">
            <w:rPr>
              <w:rFonts w:ascii="Times New Roman" w:hAnsi="Times New Roman" w:cs="Times New Roman"/>
              <w:b/>
              <w:color w:val="000000" w:themeColor="text1"/>
              <w:sz w:val="24"/>
              <w:szCs w:val="24"/>
            </w:rPr>
            <w:br w:type="page"/>
          </w:r>
        </w:p>
        <w:p w14:paraId="0ADBA87F" w14:textId="01B42832" w:rsidR="005C5044" w:rsidRPr="00DF65AE" w:rsidRDefault="004D519C" w:rsidP="00DF65AE">
          <w:pPr>
            <w:pStyle w:val="Heading2"/>
            <w:spacing w:line="360" w:lineRule="auto"/>
            <w:jc w:val="both"/>
            <w:rPr>
              <w:rFonts w:ascii="Times New Roman" w:hAnsi="Times New Roman" w:cs="Times New Roman"/>
              <w:color w:val="000000" w:themeColor="text1"/>
              <w:sz w:val="24"/>
              <w:szCs w:val="24"/>
            </w:rPr>
          </w:pPr>
          <w:bookmarkStart w:id="5" w:name="_Toc124283498"/>
          <w:r w:rsidRPr="009C7F3B">
            <w:rPr>
              <w:rFonts w:ascii="Times New Roman" w:hAnsi="Times New Roman" w:cs="Times New Roman"/>
              <w:color w:val="000000" w:themeColor="text1"/>
              <w:sz w:val="24"/>
              <w:szCs w:val="24"/>
            </w:rPr>
            <w:lastRenderedPageBreak/>
            <w:t>Liquidity</w:t>
          </w:r>
          <w:bookmarkEnd w:id="5"/>
        </w:p>
        <w:tbl>
          <w:tblPr>
            <w:tblW w:w="5000" w:type="pct"/>
            <w:tblLook w:val="0000" w:firstRow="0" w:lastRow="0" w:firstColumn="0" w:lastColumn="0" w:noHBand="0" w:noVBand="0"/>
          </w:tblPr>
          <w:tblGrid>
            <w:gridCol w:w="4047"/>
            <w:gridCol w:w="4963"/>
          </w:tblGrid>
          <w:tr w:rsidR="009C7F3B" w:rsidRPr="009C7F3B" w14:paraId="4E0A5696"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27DBCCE8"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 xml:space="preserve">Year </w:t>
                </w:r>
              </w:p>
            </w:tc>
            <w:tc>
              <w:tcPr>
                <w:tcW w:w="2754" w:type="pct"/>
                <w:tcBorders>
                  <w:top w:val="single" w:sz="6" w:space="0" w:color="auto"/>
                  <w:left w:val="single" w:sz="6" w:space="0" w:color="auto"/>
                  <w:bottom w:val="single" w:sz="6" w:space="0" w:color="auto"/>
                  <w:right w:val="single" w:sz="6" w:space="0" w:color="auto"/>
                </w:tcBorders>
              </w:tcPr>
              <w:p w14:paraId="36509FAC"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Current Ratio (In times)</w:t>
                </w:r>
              </w:p>
            </w:tc>
          </w:tr>
          <w:tr w:rsidR="009C7F3B" w:rsidRPr="009C7F3B" w14:paraId="0AB5C1D4"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DA88ECE"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2020</w:t>
                </w:r>
              </w:p>
            </w:tc>
            <w:tc>
              <w:tcPr>
                <w:tcW w:w="2754" w:type="pct"/>
                <w:tcBorders>
                  <w:top w:val="single" w:sz="6" w:space="0" w:color="auto"/>
                  <w:left w:val="single" w:sz="6" w:space="0" w:color="auto"/>
                  <w:bottom w:val="single" w:sz="6" w:space="0" w:color="auto"/>
                  <w:right w:val="single" w:sz="6" w:space="0" w:color="auto"/>
                </w:tcBorders>
              </w:tcPr>
              <w:p w14:paraId="467B7EA1"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0.49</w:t>
                </w:r>
              </w:p>
            </w:tc>
          </w:tr>
          <w:tr w:rsidR="009C7F3B" w:rsidRPr="009C7F3B" w14:paraId="412DE15F"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9D9A599"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2021</w:t>
                </w:r>
              </w:p>
            </w:tc>
            <w:tc>
              <w:tcPr>
                <w:tcW w:w="2754" w:type="pct"/>
                <w:tcBorders>
                  <w:top w:val="single" w:sz="6" w:space="0" w:color="auto"/>
                  <w:left w:val="single" w:sz="6" w:space="0" w:color="auto"/>
                  <w:bottom w:val="single" w:sz="6" w:space="0" w:color="auto"/>
                  <w:right w:val="single" w:sz="6" w:space="0" w:color="auto"/>
                </w:tcBorders>
              </w:tcPr>
              <w:p w14:paraId="2DB2D8A4"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0.56</w:t>
                </w:r>
              </w:p>
            </w:tc>
          </w:tr>
        </w:tbl>
        <w:p w14:paraId="182BD287" w14:textId="77777777" w:rsidR="005C5044" w:rsidRPr="009C7F3B" w:rsidRDefault="005C5044" w:rsidP="009C7F3B">
          <w:pPr>
            <w:spacing w:line="360" w:lineRule="auto"/>
            <w:jc w:val="both"/>
            <w:rPr>
              <w:rFonts w:ascii="Times New Roman" w:hAnsi="Times New Roman" w:cs="Times New Roman"/>
              <w:color w:val="000000" w:themeColor="text1"/>
              <w:sz w:val="24"/>
              <w:szCs w:val="24"/>
            </w:rPr>
          </w:pPr>
        </w:p>
        <w:p w14:paraId="3F908173" w14:textId="77777777" w:rsidR="00C52B00" w:rsidRPr="009C7F3B" w:rsidRDefault="002C005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598DE757" wp14:editId="33F0C9A6">
                <wp:extent cx="4229100" cy="2667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2CB45AA" w14:textId="068B3A93"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5C5044" w:rsidRPr="009C7F3B">
            <w:rPr>
              <w:rFonts w:ascii="Times New Roman" w:hAnsi="Times New Roman" w:cs="Times New Roman"/>
              <w:color w:val="000000" w:themeColor="text1"/>
              <w:sz w:val="24"/>
              <w:szCs w:val="24"/>
            </w:rPr>
            <w:t xml:space="preserve">The above graph and tables show the current ratio for the years 2021 and 2020. It is a type </w:t>
          </w:r>
          <w:r w:rsidR="009D2C41">
            <w:rPr>
              <w:rFonts w:ascii="Times New Roman" w:hAnsi="Times New Roman" w:cs="Times New Roman"/>
              <w:color w:val="000000" w:themeColor="text1"/>
              <w:sz w:val="24"/>
              <w:szCs w:val="24"/>
            </w:rPr>
            <w:t>of liquidity ratio. It represents</w:t>
          </w:r>
          <w:r w:rsidR="005C5044" w:rsidRPr="009C7F3B">
            <w:rPr>
              <w:rFonts w:ascii="Times New Roman" w:hAnsi="Times New Roman" w:cs="Times New Roman"/>
              <w:color w:val="000000" w:themeColor="text1"/>
              <w:sz w:val="24"/>
              <w:szCs w:val="24"/>
            </w:rPr>
            <w:t xml:space="preserve"> the company</w:t>
          </w:r>
          <w:r w:rsidR="00F758C0">
            <w:rPr>
              <w:rFonts w:ascii="Times New Roman" w:hAnsi="Times New Roman" w:cs="Times New Roman"/>
              <w:color w:val="000000" w:themeColor="text1"/>
              <w:sz w:val="24"/>
              <w:szCs w:val="24"/>
            </w:rPr>
            <w:t>’s ability to pay its current</w:t>
          </w:r>
          <w:r w:rsidR="005C5044" w:rsidRPr="009C7F3B">
            <w:rPr>
              <w:rFonts w:ascii="Times New Roman" w:hAnsi="Times New Roman" w:cs="Times New Roman"/>
              <w:color w:val="000000" w:themeColor="text1"/>
              <w:sz w:val="24"/>
              <w:szCs w:val="24"/>
            </w:rPr>
            <w:t xml:space="preserve"> obligation from its current assets during the financial year. The current ratio was 0.49 times and 0.56 times in the respective year 2020 and 2021. </w:t>
          </w:r>
        </w:p>
        <w:p w14:paraId="36CA913E" w14:textId="3B5C78A5"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5C5044" w:rsidRPr="009C7F3B">
            <w:rPr>
              <w:rFonts w:ascii="Times New Roman" w:hAnsi="Times New Roman" w:cs="Times New Roman"/>
              <w:color w:val="000000" w:themeColor="text1"/>
              <w:sz w:val="24"/>
              <w:szCs w:val="24"/>
            </w:rPr>
            <w:t>The ratio trend increased in the year 2021 by 0.1 times. But in both years the</w:t>
          </w:r>
          <w:r w:rsidR="00137B5C">
            <w:rPr>
              <w:rFonts w:ascii="Times New Roman" w:hAnsi="Times New Roman" w:cs="Times New Roman"/>
              <w:color w:val="000000" w:themeColor="text1"/>
              <w:sz w:val="24"/>
              <w:szCs w:val="24"/>
            </w:rPr>
            <w:t xml:space="preserve"> ratio is less than the ideal</w:t>
          </w:r>
          <w:r w:rsidR="005C5044" w:rsidRPr="009C7F3B">
            <w:rPr>
              <w:rFonts w:ascii="Times New Roman" w:hAnsi="Times New Roman" w:cs="Times New Roman"/>
              <w:color w:val="000000" w:themeColor="text1"/>
              <w:sz w:val="24"/>
              <w:szCs w:val="24"/>
            </w:rPr>
            <w:t xml:space="preserve"> ratio which is 2:1. The liquidity position of the Marriott Company is inadequate to meet its financial obligation that is due within one year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13F68C0E" w14:textId="77777777"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Comparison-</w:t>
          </w:r>
          <w:r w:rsidR="005C5044" w:rsidRPr="009C7F3B">
            <w:rPr>
              <w:rFonts w:ascii="Times New Roman" w:hAnsi="Times New Roman" w:cs="Times New Roman"/>
              <w:color w:val="000000" w:themeColor="text1"/>
              <w:sz w:val="24"/>
              <w:szCs w:val="24"/>
            </w:rPr>
            <w:t xml:space="preserve"> In the year 2020 company does not meet its short-term liabilities due to insufficient cash on the other side in the year 2021 the company pays half of the liabilities because the ratio is 0.56 times which means that the firm has 0.5 current assets to meet the $1 current liabilities. It provides information to analysts and shareholders about how a company increases its short-term assets for meeting all its current obligation and payables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51EBD75A" w14:textId="7D3C0D3F" w:rsidR="005C5044"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5C5044" w:rsidRPr="009C7F3B">
            <w:rPr>
              <w:rFonts w:ascii="Times New Roman" w:hAnsi="Times New Roman" w:cs="Times New Roman"/>
              <w:color w:val="000000" w:themeColor="text1"/>
              <w:sz w:val="24"/>
              <w:szCs w:val="24"/>
            </w:rPr>
            <w:t xml:space="preserve">So it concludes that the firm liquidity position is not stable in the financial year 2020 but it will improve in the year 2021 by 0.1 time. The company improves its liquidity </w:t>
          </w:r>
          <w:proofErr w:type="gramStart"/>
          <w:r w:rsidR="005C5044" w:rsidRPr="009C7F3B">
            <w:rPr>
              <w:rFonts w:ascii="Times New Roman" w:hAnsi="Times New Roman" w:cs="Times New Roman"/>
              <w:color w:val="000000" w:themeColor="text1"/>
              <w:sz w:val="24"/>
              <w:szCs w:val="24"/>
            </w:rPr>
            <w:lastRenderedPageBreak/>
            <w:t>position</w:t>
          </w:r>
          <w:proofErr w:type="gramEnd"/>
          <w:r w:rsidR="005C5044" w:rsidRPr="009C7F3B">
            <w:rPr>
              <w:rFonts w:ascii="Times New Roman" w:hAnsi="Times New Roman" w:cs="Times New Roman"/>
              <w:color w:val="000000" w:themeColor="text1"/>
              <w:sz w:val="24"/>
              <w:szCs w:val="24"/>
            </w:rPr>
            <w:t xml:space="preserve"> or we say the current ratio by controlling the overhead expenses, Selling old or unnecessary machinery and equipment, and modifying the cycle of payment. </w:t>
          </w:r>
        </w:p>
        <w:p w14:paraId="4A67860D" w14:textId="6765ED82" w:rsidR="00883B9F"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6466746" w14:textId="239C53D5" w:rsidR="00E54C42" w:rsidRPr="009C7F3B" w:rsidRDefault="004D519C" w:rsidP="009C7F3B">
          <w:pPr>
            <w:pStyle w:val="Heading2"/>
            <w:spacing w:line="360" w:lineRule="auto"/>
            <w:jc w:val="both"/>
            <w:rPr>
              <w:rFonts w:ascii="Times New Roman" w:hAnsi="Times New Roman" w:cs="Times New Roman"/>
              <w:color w:val="000000" w:themeColor="text1"/>
              <w:sz w:val="24"/>
              <w:szCs w:val="24"/>
            </w:rPr>
          </w:pPr>
          <w:bookmarkStart w:id="6" w:name="_Toc124283499"/>
          <w:r w:rsidRPr="009C7F3B">
            <w:rPr>
              <w:rFonts w:ascii="Times New Roman" w:hAnsi="Times New Roman" w:cs="Times New Roman"/>
              <w:color w:val="000000" w:themeColor="text1"/>
              <w:sz w:val="24"/>
              <w:szCs w:val="24"/>
            </w:rPr>
            <w:lastRenderedPageBreak/>
            <w:t>Gearing</w:t>
          </w:r>
          <w:bookmarkEnd w:id="6"/>
        </w:p>
        <w:tbl>
          <w:tblPr>
            <w:tblW w:w="5000" w:type="pct"/>
            <w:tblLook w:val="04A0" w:firstRow="1" w:lastRow="0" w:firstColumn="1" w:lastColumn="0" w:noHBand="0" w:noVBand="1"/>
          </w:tblPr>
          <w:tblGrid>
            <w:gridCol w:w="2528"/>
            <w:gridCol w:w="3102"/>
            <w:gridCol w:w="3386"/>
          </w:tblGrid>
          <w:tr w:rsidR="009C7F3B" w:rsidRPr="009C7F3B" w14:paraId="416CF706" w14:textId="77777777" w:rsidTr="005B5539">
            <w:trPr>
              <w:trHeight w:val="300"/>
            </w:trPr>
            <w:tc>
              <w:tcPr>
                <w:tcW w:w="14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4B96D"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720" w:type="pct"/>
                <w:tcBorders>
                  <w:top w:val="single" w:sz="4" w:space="0" w:color="auto"/>
                  <w:left w:val="nil"/>
                  <w:bottom w:val="single" w:sz="4" w:space="0" w:color="auto"/>
                  <w:right w:val="single" w:sz="4" w:space="0" w:color="auto"/>
                </w:tcBorders>
                <w:shd w:val="clear" w:color="auto" w:fill="auto"/>
                <w:noWrap/>
                <w:vAlign w:val="bottom"/>
                <w:hideMark/>
              </w:tcPr>
              <w:p w14:paraId="587A71FF"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Debt to equity ratio</w:t>
                </w:r>
              </w:p>
            </w:tc>
            <w:tc>
              <w:tcPr>
                <w:tcW w:w="1878" w:type="pct"/>
                <w:tcBorders>
                  <w:top w:val="single" w:sz="4" w:space="0" w:color="auto"/>
                  <w:left w:val="nil"/>
                  <w:bottom w:val="single" w:sz="4" w:space="0" w:color="auto"/>
                  <w:right w:val="single" w:sz="4" w:space="0" w:color="auto"/>
                </w:tcBorders>
                <w:shd w:val="clear" w:color="auto" w:fill="auto"/>
                <w:noWrap/>
                <w:vAlign w:val="bottom"/>
                <w:hideMark/>
              </w:tcPr>
              <w:p w14:paraId="6C7436F3"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Return On Equity Ratio</w:t>
                </w:r>
              </w:p>
            </w:tc>
          </w:tr>
          <w:tr w:rsidR="009C7F3B" w:rsidRPr="009C7F3B" w14:paraId="3BD6538C"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0C4D66A4"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720" w:type="pct"/>
                <w:tcBorders>
                  <w:top w:val="nil"/>
                  <w:left w:val="nil"/>
                  <w:bottom w:val="single" w:sz="4" w:space="0" w:color="auto"/>
                  <w:right w:val="single" w:sz="4" w:space="0" w:color="auto"/>
                </w:tcBorders>
                <w:shd w:val="clear" w:color="auto" w:fill="auto"/>
                <w:noWrap/>
                <w:vAlign w:val="bottom"/>
                <w:hideMark/>
              </w:tcPr>
              <w:p w14:paraId="106763AB"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24.13</w:t>
                </w:r>
              </w:p>
            </w:tc>
            <w:tc>
              <w:tcPr>
                <w:tcW w:w="1878" w:type="pct"/>
                <w:tcBorders>
                  <w:top w:val="nil"/>
                  <w:left w:val="nil"/>
                  <w:bottom w:val="single" w:sz="4" w:space="0" w:color="auto"/>
                  <w:right w:val="single" w:sz="4" w:space="0" w:color="auto"/>
                </w:tcBorders>
                <w:shd w:val="clear" w:color="auto" w:fill="auto"/>
                <w:noWrap/>
                <w:vAlign w:val="bottom"/>
                <w:hideMark/>
              </w:tcPr>
              <w:p w14:paraId="69675289"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-62.09</w:t>
                </w:r>
              </w:p>
            </w:tc>
          </w:tr>
          <w:tr w:rsidR="009C7F3B" w:rsidRPr="009C7F3B" w14:paraId="541A14BB"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284FEC6A"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720" w:type="pct"/>
                <w:tcBorders>
                  <w:top w:val="nil"/>
                  <w:left w:val="nil"/>
                  <w:bottom w:val="single" w:sz="4" w:space="0" w:color="auto"/>
                  <w:right w:val="single" w:sz="4" w:space="0" w:color="auto"/>
                </w:tcBorders>
                <w:shd w:val="clear" w:color="auto" w:fill="auto"/>
                <w:noWrap/>
                <w:vAlign w:val="bottom"/>
                <w:hideMark/>
              </w:tcPr>
              <w:p w14:paraId="1D2D6E16"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7.16</w:t>
                </w:r>
              </w:p>
            </w:tc>
            <w:tc>
              <w:tcPr>
                <w:tcW w:w="1878" w:type="pct"/>
                <w:tcBorders>
                  <w:top w:val="nil"/>
                  <w:left w:val="nil"/>
                  <w:bottom w:val="single" w:sz="4" w:space="0" w:color="auto"/>
                  <w:right w:val="single" w:sz="4" w:space="0" w:color="auto"/>
                </w:tcBorders>
                <w:shd w:val="clear" w:color="auto" w:fill="auto"/>
                <w:noWrap/>
                <w:vAlign w:val="bottom"/>
                <w:hideMark/>
              </w:tcPr>
              <w:p w14:paraId="72E4F1B8"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77.72</w:t>
                </w:r>
              </w:p>
            </w:tc>
          </w:tr>
        </w:tbl>
        <w:p w14:paraId="079A3190"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p>
        <w:p w14:paraId="416C1CCE"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8EAF93F" wp14:editId="3968921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65D2FF" w14:textId="2BC97811" w:rsidR="0011390D" w:rsidRPr="009C7F3B" w:rsidRDefault="0011390D"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Debt to Equity Ratio-</w:t>
          </w:r>
        </w:p>
        <w:p w14:paraId="6ABAA657" w14:textId="3C9A3EAD"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E54C42" w:rsidRPr="009C7F3B">
            <w:rPr>
              <w:rFonts w:ascii="Times New Roman" w:hAnsi="Times New Roman" w:cs="Times New Roman"/>
              <w:color w:val="000000" w:themeColor="text1"/>
              <w:sz w:val="24"/>
              <w:szCs w:val="24"/>
            </w:rPr>
            <w:t xml:space="preserve">The table and graph illustrate the debt-to-equity ratios for the financial period of 2021 and 2020. The above ratio is the type of gearing </w:t>
          </w:r>
          <w:proofErr w:type="gramStart"/>
          <w:r w:rsidR="00E54C42" w:rsidRPr="009C7F3B">
            <w:rPr>
              <w:rFonts w:ascii="Times New Roman" w:hAnsi="Times New Roman" w:cs="Times New Roman"/>
              <w:color w:val="000000" w:themeColor="text1"/>
              <w:sz w:val="24"/>
              <w:szCs w:val="24"/>
            </w:rPr>
            <w:t>ratio</w:t>
          </w:r>
          <w:proofErr w:type="gramEnd"/>
          <w:r w:rsidR="00E54C42" w:rsidRPr="009C7F3B">
            <w:rPr>
              <w:rFonts w:ascii="Times New Roman" w:hAnsi="Times New Roman" w:cs="Times New Roman"/>
              <w:color w:val="000000" w:themeColor="text1"/>
              <w:sz w:val="24"/>
              <w:szCs w:val="24"/>
            </w:rPr>
            <w:t xml:space="preserve"> and it indicates the financial r</w:t>
          </w:r>
          <w:r w:rsidR="003942E8" w:rsidRPr="009C7F3B">
            <w:rPr>
              <w:rFonts w:ascii="Times New Roman" w:hAnsi="Times New Roman" w:cs="Times New Roman"/>
              <w:color w:val="000000" w:themeColor="text1"/>
              <w:sz w:val="24"/>
              <w:szCs w:val="24"/>
            </w:rPr>
            <w:t>isk that exists in the company (</w:t>
          </w:r>
          <w:proofErr w:type="spellStart"/>
          <w:r w:rsidR="003942E8" w:rsidRPr="009C7F3B">
            <w:rPr>
              <w:rFonts w:ascii="Times New Roman" w:hAnsi="Times New Roman" w:cs="Times New Roman"/>
              <w:color w:val="000000" w:themeColor="text1"/>
              <w:sz w:val="24"/>
              <w:szCs w:val="24"/>
              <w:shd w:val="clear" w:color="auto" w:fill="FFFFFF"/>
            </w:rPr>
            <w:t>Hosaka</w:t>
          </w:r>
          <w:proofErr w:type="spellEnd"/>
          <w:r w:rsidR="003942E8" w:rsidRPr="009C7F3B">
            <w:rPr>
              <w:rFonts w:ascii="Times New Roman" w:hAnsi="Times New Roman" w:cs="Times New Roman"/>
              <w:color w:val="000000" w:themeColor="text1"/>
              <w:sz w:val="24"/>
              <w:szCs w:val="24"/>
              <w:shd w:val="clear" w:color="auto" w:fill="FFFFFF"/>
            </w:rPr>
            <w:t xml:space="preserve"> 2019).  </w:t>
          </w:r>
        </w:p>
        <w:p w14:paraId="25FF2851" w14:textId="66D13811"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If the ratio of debt increases over periods it means that the financial stress of the firm increase and vice-versa. </w:t>
          </w:r>
          <w:r w:rsidR="0011390D" w:rsidRPr="009C7F3B">
            <w:rPr>
              <w:rFonts w:ascii="Times New Roman" w:hAnsi="Times New Roman" w:cs="Times New Roman"/>
              <w:color w:val="000000" w:themeColor="text1"/>
              <w:sz w:val="24"/>
              <w:szCs w:val="24"/>
            </w:rPr>
            <w:t xml:space="preserve">The company is highly altered when the ratio exceeds 5. </w:t>
          </w:r>
          <w:r w:rsidR="00E54C42" w:rsidRPr="009C7F3B">
            <w:rPr>
              <w:rFonts w:ascii="Times New Roman" w:hAnsi="Times New Roman" w:cs="Times New Roman"/>
              <w:color w:val="000000" w:themeColor="text1"/>
              <w:sz w:val="24"/>
              <w:szCs w:val="24"/>
            </w:rPr>
            <w:t xml:space="preserve"> </w:t>
          </w:r>
        </w:p>
        <w:p w14:paraId="109D05F5" w14:textId="5920A01B"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Pr="009C7F3B">
            <w:rPr>
              <w:rFonts w:ascii="Times New Roman" w:hAnsi="Times New Roman" w:cs="Times New Roman"/>
              <w:color w:val="000000" w:themeColor="text1"/>
              <w:sz w:val="24"/>
              <w:szCs w:val="24"/>
            </w:rPr>
            <w:t>T</w:t>
          </w:r>
          <w:r w:rsidR="00E54C42" w:rsidRPr="009C7F3B">
            <w:rPr>
              <w:rFonts w:ascii="Times New Roman" w:hAnsi="Times New Roman" w:cs="Times New Roman"/>
              <w:color w:val="000000" w:themeColor="text1"/>
              <w:sz w:val="24"/>
              <w:szCs w:val="24"/>
            </w:rPr>
            <w:t xml:space="preserve">he ratio was 24.13 times and 7.16 times in the year 2020 and 2021 respectively. The ratio of debt to equity of the Marriott Company is higher than the standard ratio which is 1:1 which means that the firm is used more debt with respect to the equity capital. </w:t>
          </w:r>
          <w:r w:rsidR="0011390D" w:rsidRPr="009C7F3B">
            <w:rPr>
              <w:rFonts w:ascii="Times New Roman" w:hAnsi="Times New Roman" w:cs="Times New Roman"/>
              <w:color w:val="000000" w:themeColor="text1"/>
              <w:sz w:val="24"/>
              <w:szCs w:val="24"/>
            </w:rPr>
            <w:t xml:space="preserve">The </w:t>
          </w:r>
          <w:r w:rsidR="0011390D" w:rsidRPr="009C7F3B">
            <w:rPr>
              <w:rFonts w:ascii="Times New Roman" w:hAnsi="Times New Roman" w:cs="Times New Roman"/>
              <w:b/>
              <w:color w:val="000000" w:themeColor="text1"/>
              <w:sz w:val="24"/>
              <w:szCs w:val="24"/>
            </w:rPr>
            <w:t>debt-to-equity ratio</w:t>
          </w:r>
          <w:r w:rsidR="0011390D" w:rsidRPr="009C7F3B">
            <w:rPr>
              <w:rFonts w:ascii="Times New Roman" w:hAnsi="Times New Roman" w:cs="Times New Roman"/>
              <w:color w:val="000000" w:themeColor="text1"/>
              <w:sz w:val="24"/>
              <w:szCs w:val="24"/>
            </w:rPr>
            <w:t xml:space="preserve"> refers to how much liability amount is used for financing the tangible assets of the company relative to the investors of equity (</w:t>
          </w:r>
          <w:proofErr w:type="spellStart"/>
          <w:r w:rsidR="0011390D" w:rsidRPr="009C7F3B">
            <w:rPr>
              <w:rFonts w:ascii="Times New Roman" w:hAnsi="Times New Roman" w:cs="Times New Roman"/>
              <w:color w:val="000000" w:themeColor="text1"/>
              <w:sz w:val="24"/>
              <w:szCs w:val="24"/>
            </w:rPr>
            <w:t>Sausan</w:t>
          </w:r>
          <w:proofErr w:type="spellEnd"/>
          <w:r w:rsidR="0011390D" w:rsidRPr="009C7F3B">
            <w:rPr>
              <w:rFonts w:ascii="Times New Roman" w:hAnsi="Times New Roman" w:cs="Times New Roman"/>
              <w:color w:val="000000" w:themeColor="text1"/>
              <w:sz w:val="24"/>
              <w:szCs w:val="24"/>
            </w:rPr>
            <w:t xml:space="preserve"> et al. 2020).</w:t>
          </w:r>
        </w:p>
        <w:p w14:paraId="6B99ED37" w14:textId="04BA03DA" w:rsidR="00E54C42"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 xml:space="preserve">In the year 2021, the ratio falls from 24.13 to 7.16 times which is good for the business capital structure. </w:t>
          </w:r>
        </w:p>
        <w:p w14:paraId="309F4161" w14:textId="0C82EF26" w:rsidR="004151FE" w:rsidRPr="009C7F3B" w:rsidRDefault="004151FE"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Return on Equity Ratio-</w:t>
          </w:r>
        </w:p>
        <w:p w14:paraId="161D4685" w14:textId="77777777" w:rsidR="004151FE" w:rsidRPr="009C7F3B" w:rsidRDefault="0011390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lastRenderedPageBreak/>
            <w:t xml:space="preserve">Meaning- </w:t>
          </w:r>
          <w:r w:rsidR="00E54C42" w:rsidRPr="009C7F3B">
            <w:rPr>
              <w:rFonts w:ascii="Times New Roman" w:hAnsi="Times New Roman" w:cs="Times New Roman"/>
              <w:color w:val="000000" w:themeColor="text1"/>
              <w:sz w:val="24"/>
              <w:szCs w:val="24"/>
            </w:rPr>
            <w:t>The return on equity ratio depicts the financial performance of the firm. It refers the how well the firm manages the shareholders’ funds for generating profits during the year.  It is determined by dividing the net income by the equity investors (</w:t>
          </w:r>
          <w:proofErr w:type="spellStart"/>
          <w:r w:rsidR="00E54C42" w:rsidRPr="009C7F3B">
            <w:rPr>
              <w:rFonts w:ascii="Times New Roman" w:hAnsi="Times New Roman" w:cs="Times New Roman"/>
              <w:color w:val="000000" w:themeColor="text1"/>
              <w:sz w:val="24"/>
              <w:szCs w:val="24"/>
            </w:rPr>
            <w:t>Siregar</w:t>
          </w:r>
          <w:proofErr w:type="spellEnd"/>
          <w:r w:rsidR="00E54C42" w:rsidRPr="009C7F3B">
            <w:rPr>
              <w:rFonts w:ascii="Times New Roman" w:hAnsi="Times New Roman" w:cs="Times New Roman"/>
              <w:color w:val="000000" w:themeColor="text1"/>
              <w:sz w:val="24"/>
              <w:szCs w:val="24"/>
            </w:rPr>
            <w:t xml:space="preserve"> and </w:t>
          </w:r>
          <w:proofErr w:type="spellStart"/>
          <w:r w:rsidR="00E54C42" w:rsidRPr="009C7F3B">
            <w:rPr>
              <w:rFonts w:ascii="Times New Roman" w:hAnsi="Times New Roman" w:cs="Times New Roman"/>
              <w:color w:val="000000" w:themeColor="text1"/>
              <w:sz w:val="24"/>
              <w:szCs w:val="24"/>
            </w:rPr>
            <w:t>Harahap</w:t>
          </w:r>
          <w:proofErr w:type="spellEnd"/>
          <w:r w:rsidR="00E54C42" w:rsidRPr="009C7F3B">
            <w:rPr>
              <w:rFonts w:ascii="Times New Roman" w:hAnsi="Times New Roman" w:cs="Times New Roman"/>
              <w:color w:val="000000" w:themeColor="text1"/>
              <w:sz w:val="24"/>
              <w:szCs w:val="24"/>
            </w:rPr>
            <w:t xml:space="preserve"> 2021).  </w:t>
          </w:r>
        </w:p>
        <w:p w14:paraId="430C9EE7" w14:textId="79C3CDA1" w:rsidR="000C612D"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00E54C42" w:rsidRPr="009C7F3B">
            <w:rPr>
              <w:rFonts w:ascii="Times New Roman" w:hAnsi="Times New Roman" w:cs="Times New Roman"/>
              <w:color w:val="000000" w:themeColor="text1"/>
              <w:sz w:val="24"/>
              <w:szCs w:val="24"/>
            </w:rPr>
            <w:t xml:space="preserve">The ROE ratio in the years 2021 and 2020 was 77.72 times and (62.09) times respectively. </w:t>
          </w:r>
          <w:r w:rsidR="001F07B4" w:rsidRPr="009C7F3B">
            <w:rPr>
              <w:rFonts w:ascii="Times New Roman" w:hAnsi="Times New Roman" w:cs="Times New Roman"/>
              <w:color w:val="000000" w:themeColor="text1"/>
              <w:sz w:val="24"/>
              <w:szCs w:val="24"/>
            </w:rPr>
            <w:t xml:space="preserve">This shows an increase in the ratio which shows better results. </w:t>
          </w:r>
        </w:p>
        <w:p w14:paraId="43144078" w14:textId="31DFF7F0" w:rsidR="004151FE" w:rsidRPr="009C7F3B" w:rsidRDefault="000C612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The graph for the year 2020 shows a downward due to net loss in this particular year which means that the firm is losing its equity shareholders. </w:t>
          </w:r>
        </w:p>
        <w:p w14:paraId="0B2E43C8" w14:textId="643E50A4" w:rsidR="00E54C42"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But in the year 2021, the company ratio of return on equity increased due to the effective allocation of the investment in the different resources and projects which lead to an increase in the profits and growth of the firm.</w:t>
          </w:r>
        </w:p>
        <w:p w14:paraId="0E330BE9" w14:textId="0A65AFC3" w:rsidR="005F3CC2" w:rsidRPr="009C7F3B" w:rsidRDefault="003942E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D469E22" w14:textId="77777777"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7" w:name="_Toc124283500"/>
          <w:r w:rsidRPr="009C7F3B">
            <w:rPr>
              <w:rFonts w:ascii="Times New Roman" w:hAnsi="Times New Roman" w:cs="Times New Roman"/>
              <w:color w:val="000000" w:themeColor="text1"/>
              <w:sz w:val="24"/>
              <w:szCs w:val="24"/>
            </w:rPr>
            <w:lastRenderedPageBreak/>
            <w:t>Knowledge from Ratio Analysis</w:t>
          </w:r>
          <w:bookmarkEnd w:id="7"/>
        </w:p>
        <w:p w14:paraId="5ACB4963"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43CB4DFB" w14:textId="0CBAD1BB"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b) The profitability ratio of the company tells the profits and future growth. The above analysis of the financial statement depicts that the company’s profitability ratio is not good because of its inefficient management techniques and methods that will lead to the company’s profi</w:t>
          </w:r>
          <w:r w:rsidR="00BE2C61" w:rsidRPr="009C7F3B">
            <w:rPr>
              <w:rFonts w:ascii="Times New Roman" w:hAnsi="Times New Roman" w:cs="Times New Roman"/>
              <w:color w:val="000000" w:themeColor="text1"/>
              <w:sz w:val="24"/>
              <w:szCs w:val="24"/>
            </w:rPr>
            <w:t>t decrease during the year 2020 (</w:t>
          </w:r>
          <w:proofErr w:type="spellStart"/>
          <w:r w:rsidR="00BE2C61" w:rsidRPr="009C7F3B">
            <w:rPr>
              <w:rFonts w:ascii="Times New Roman" w:hAnsi="Times New Roman" w:cs="Times New Roman"/>
              <w:color w:val="000000" w:themeColor="text1"/>
              <w:sz w:val="24"/>
              <w:szCs w:val="24"/>
              <w:shd w:val="clear" w:color="auto" w:fill="FFFFFF"/>
            </w:rPr>
            <w:t>Dewi</w:t>
          </w:r>
          <w:proofErr w:type="spellEnd"/>
          <w:r w:rsidR="00BE2C61" w:rsidRPr="009C7F3B">
            <w:rPr>
              <w:rFonts w:ascii="Times New Roman" w:hAnsi="Times New Roman" w:cs="Times New Roman"/>
              <w:color w:val="000000" w:themeColor="text1"/>
              <w:sz w:val="24"/>
              <w:szCs w:val="24"/>
              <w:shd w:val="clear" w:color="auto" w:fill="FFFFFF"/>
            </w:rPr>
            <w:t xml:space="preserve"> et al. 2019). </w:t>
          </w:r>
          <w:r w:rsidRPr="009C7F3B">
            <w:rPr>
              <w:rFonts w:ascii="Times New Roman" w:hAnsi="Times New Roman" w:cs="Times New Roman"/>
              <w:color w:val="000000" w:themeColor="text1"/>
              <w:sz w:val="24"/>
              <w:szCs w:val="24"/>
            </w:rPr>
            <w:t xml:space="preserve">In the year 2021, the company increases its performance and efficiently controls its expenditures, and allocates goods effectively. </w:t>
          </w:r>
        </w:p>
        <w:p w14:paraId="697B690D"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3E7A13E1"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aid the company in accessing it is future sustainability or growth (Tien et al. 2020).  If the company used more debt it means that the firm is paying a fixed amount of interest every year which results from the increase in the expenses of the company. The investor analysis this ratio for finding the creditworthiness and future growth of its revenue over a period. </w:t>
          </w:r>
        </w:p>
        <w:p w14:paraId="6F79F50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9D73963" w14:textId="77777777" w:rsidR="009658A8" w:rsidRPr="009C7F3B" w:rsidRDefault="009658A8"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b/>
              <w:color w:val="000000" w:themeColor="text1"/>
              <w:sz w:val="24"/>
              <w:szCs w:val="24"/>
            </w:rPr>
            <w:br w:type="page"/>
          </w:r>
        </w:p>
        <w:p w14:paraId="34BB229B" w14:textId="6D7703BC"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8" w:name="_Toc124283501"/>
          <w:r w:rsidRPr="009C7F3B">
            <w:rPr>
              <w:rFonts w:ascii="Times New Roman" w:hAnsi="Times New Roman" w:cs="Times New Roman"/>
              <w:color w:val="000000" w:themeColor="text1"/>
              <w:sz w:val="24"/>
              <w:szCs w:val="24"/>
            </w:rPr>
            <w:lastRenderedPageBreak/>
            <w:t>Benefits and Limitations of Ratio Analysis</w:t>
          </w:r>
          <w:bookmarkEnd w:id="8"/>
        </w:p>
        <w:p w14:paraId="496D99B8"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0CAEFB64"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b) The profitability ratio of the company tells the profits and future growth. The above analysis of the financial statement depicts that the company’s profitability ratio is not good because of its inefficient management techniques and methods that will lead to the company’s profit decrease during the year 2020. In the year 2021, the company increases its performance and efficiently controls its expenditures, and allocates goods effectively. </w:t>
          </w:r>
        </w:p>
        <w:p w14:paraId="2FEEF31C"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7CF15375"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aid the company in accessing it is future sustainability or growth (Tien et al. 2020).  If the company used more debt it means that the firm is paying a fixed amount of interest every year which results from the increase in the expenses of the company. The investor analysis this ratio for finding the creditworthiness and future growth of its revenue over a period. </w:t>
          </w:r>
        </w:p>
        <w:p w14:paraId="3EE87C95" w14:textId="77777777" w:rsidR="004D519C" w:rsidRPr="009C7F3B" w:rsidRDefault="004D519C" w:rsidP="009C7F3B">
          <w:pPr>
            <w:spacing w:line="360" w:lineRule="auto"/>
            <w:jc w:val="both"/>
            <w:rPr>
              <w:rFonts w:ascii="Times New Roman" w:hAnsi="Times New Roman" w:cs="Times New Roman"/>
              <w:color w:val="000000" w:themeColor="text1"/>
              <w:sz w:val="24"/>
              <w:szCs w:val="24"/>
            </w:rPr>
          </w:pPr>
        </w:p>
        <w:p w14:paraId="78002955"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93E8D7A"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FC654D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6B2906D"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B5BA63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605BA5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4CB8F2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37ECABC" w14:textId="56CB6F9D" w:rsidR="00AA2A91"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9" w:name="_Toc124283502"/>
          <w:r w:rsidRPr="009C7F3B">
            <w:rPr>
              <w:rFonts w:ascii="Times New Roman" w:hAnsi="Times New Roman" w:cs="Times New Roman"/>
              <w:color w:val="000000" w:themeColor="text1"/>
              <w:sz w:val="24"/>
              <w:szCs w:val="24"/>
            </w:rPr>
            <w:lastRenderedPageBreak/>
            <w:t>Conclusion</w:t>
          </w:r>
          <w:bookmarkEnd w:id="9"/>
          <w:r w:rsidR="00D854A5" w:rsidRPr="009C7F3B">
            <w:rPr>
              <w:rFonts w:ascii="Times New Roman" w:hAnsi="Times New Roman" w:cs="Times New Roman"/>
              <w:color w:val="000000" w:themeColor="text1"/>
              <w:sz w:val="24"/>
              <w:szCs w:val="24"/>
            </w:rPr>
            <w:t xml:space="preserve"> </w:t>
          </w:r>
        </w:p>
        <w:p w14:paraId="35427123" w14:textId="47931CA0" w:rsidR="006442A0" w:rsidRPr="009C7F3B" w:rsidRDefault="006442A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report concluded that the financial position is not good in the year 2020 but in the year 2021, the ratio changes </w:t>
          </w:r>
          <w:r w:rsidR="00017330" w:rsidRPr="009C7F3B">
            <w:rPr>
              <w:rFonts w:ascii="Times New Roman" w:hAnsi="Times New Roman" w:cs="Times New Roman"/>
              <w:color w:val="000000" w:themeColor="text1"/>
              <w:sz w:val="24"/>
              <w:szCs w:val="24"/>
            </w:rPr>
            <w:t>favourably</w:t>
          </w:r>
          <w:r w:rsidRPr="009C7F3B">
            <w:rPr>
              <w:rFonts w:ascii="Times New Roman" w:hAnsi="Times New Roman" w:cs="Times New Roman"/>
              <w:color w:val="000000" w:themeColor="text1"/>
              <w:sz w:val="24"/>
              <w:szCs w:val="24"/>
            </w:rPr>
            <w:t xml:space="preserve"> or say that increasing the financial performance of the Marriott International Inc. Company. The report covered all the information about how the profitability, liquidity, and gearing ratio are helps the company to improve its business operations and allocation of resources. The company used more debt in its capital structure in the year 2020 but the next year the ratio of debt to equity ratio decreased. The companies are used this financial analysis tool because it is depicted more accurately as compared to other tools. The Marriott Company improves its financial performance and gains the shareholder's or creditors' trust when it uses the capital of the investor effectively which would help the firm to increase its profits over the period. </w:t>
          </w:r>
        </w:p>
        <w:p w14:paraId="1234792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2185B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B690C8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18278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543DD7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794032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44A091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74AD4D4"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CD381F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492D960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4E083D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42DF8DC"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2B10D93"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D62B1B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29CCAE5" w14:textId="77777777" w:rsidR="001C36F1" w:rsidRPr="009C7F3B" w:rsidRDefault="001C36F1"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DB06FBD" w14:textId="57CB0572" w:rsidR="00E13EE0" w:rsidRPr="009C7F3B" w:rsidRDefault="00AA2A91" w:rsidP="009C7F3B">
          <w:pPr>
            <w:pStyle w:val="Heading1"/>
            <w:spacing w:line="360" w:lineRule="auto"/>
            <w:jc w:val="both"/>
            <w:rPr>
              <w:rFonts w:ascii="Times New Roman" w:hAnsi="Times New Roman" w:cs="Times New Roman"/>
              <w:color w:val="000000" w:themeColor="text1"/>
              <w:sz w:val="24"/>
              <w:szCs w:val="24"/>
            </w:rPr>
          </w:pPr>
          <w:bookmarkStart w:id="10" w:name="_Toc124283503"/>
          <w:r w:rsidRPr="009C7F3B">
            <w:rPr>
              <w:rFonts w:ascii="Times New Roman" w:hAnsi="Times New Roman" w:cs="Times New Roman"/>
              <w:color w:val="000000" w:themeColor="text1"/>
              <w:sz w:val="24"/>
              <w:szCs w:val="24"/>
            </w:rPr>
            <w:lastRenderedPageBreak/>
            <w:t>Bibliography</w:t>
          </w:r>
        </w:p>
      </w:sdtContent>
    </w:sdt>
    <w:bookmarkEnd w:id="10" w:displacedByCustomXml="prev"/>
    <w:p w14:paraId="05CF781E"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lang w:val="en-US"/>
        </w:rPr>
        <w:t xml:space="preserve">Amalia, S., </w:t>
      </w:r>
      <w:proofErr w:type="spellStart"/>
      <w:r w:rsidRPr="009C7F3B">
        <w:rPr>
          <w:rFonts w:ascii="Times New Roman" w:eastAsia="Times New Roman" w:hAnsi="Times New Roman" w:cs="Times New Roman"/>
          <w:color w:val="000000" w:themeColor="text1"/>
          <w:sz w:val="24"/>
          <w:szCs w:val="24"/>
          <w:lang w:val="en-US"/>
        </w:rPr>
        <w:t>Fadjriah</w:t>
      </w:r>
      <w:proofErr w:type="spellEnd"/>
      <w:r w:rsidRPr="009C7F3B">
        <w:rPr>
          <w:rFonts w:ascii="Times New Roman" w:eastAsia="Times New Roman" w:hAnsi="Times New Roman" w:cs="Times New Roman"/>
          <w:color w:val="000000" w:themeColor="text1"/>
          <w:sz w:val="24"/>
          <w:szCs w:val="24"/>
          <w:lang w:val="en-US"/>
        </w:rPr>
        <w:t xml:space="preserve">, N.E. and </w:t>
      </w:r>
      <w:proofErr w:type="spellStart"/>
      <w:r w:rsidRPr="009C7F3B">
        <w:rPr>
          <w:rFonts w:ascii="Times New Roman" w:eastAsia="Times New Roman" w:hAnsi="Times New Roman" w:cs="Times New Roman"/>
          <w:color w:val="000000" w:themeColor="text1"/>
          <w:sz w:val="24"/>
          <w:szCs w:val="24"/>
          <w:lang w:val="en-US"/>
        </w:rPr>
        <w:t>Nugraha</w:t>
      </w:r>
      <w:proofErr w:type="spellEnd"/>
      <w:r w:rsidRPr="009C7F3B">
        <w:rPr>
          <w:rFonts w:ascii="Times New Roman" w:eastAsia="Times New Roman" w:hAnsi="Times New Roman" w:cs="Times New Roman"/>
          <w:color w:val="000000" w:themeColor="text1"/>
          <w:sz w:val="24"/>
          <w:szCs w:val="24"/>
          <w:lang w:val="en-US"/>
        </w:rPr>
        <w:t>, N.M. (2020). The influence of the financial ratio to the prevention of bankruptcy in cigarette manufacturing companies sub sector. </w:t>
      </w:r>
      <w:r w:rsidRPr="009C7F3B">
        <w:rPr>
          <w:rFonts w:ascii="Times New Roman" w:eastAsia="Times New Roman" w:hAnsi="Times New Roman" w:cs="Times New Roman"/>
          <w:i/>
          <w:iCs/>
          <w:color w:val="000000" w:themeColor="text1"/>
          <w:sz w:val="24"/>
          <w:szCs w:val="24"/>
          <w:lang w:val="en-US"/>
        </w:rPr>
        <w:t>Solid State Technology</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63</w:t>
      </w:r>
      <w:r w:rsidRPr="009C7F3B">
        <w:rPr>
          <w:rFonts w:ascii="Times New Roman" w:eastAsia="Times New Roman" w:hAnsi="Times New Roman" w:cs="Times New Roman"/>
          <w:color w:val="000000" w:themeColor="text1"/>
          <w:sz w:val="24"/>
          <w:szCs w:val="24"/>
          <w:lang w:val="en-US"/>
        </w:rPr>
        <w:t>(3), pp.4173-4182.</w:t>
      </w:r>
    </w:p>
    <w:p w14:paraId="033FD565"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shd w:val="clear" w:color="auto" w:fill="FFFFFF"/>
        </w:rPr>
        <w:t xml:space="preserve">Corbet, S., Lucey, B., Urquhart, A. and </w:t>
      </w:r>
      <w:proofErr w:type="spellStart"/>
      <w:r w:rsidRPr="009C7F3B">
        <w:rPr>
          <w:rFonts w:ascii="Times New Roman" w:hAnsi="Times New Roman" w:cs="Times New Roman"/>
          <w:color w:val="000000" w:themeColor="text1"/>
          <w:sz w:val="24"/>
          <w:szCs w:val="24"/>
          <w:shd w:val="clear" w:color="auto" w:fill="FFFFFF"/>
        </w:rPr>
        <w:t>Yarovaya</w:t>
      </w:r>
      <w:proofErr w:type="spellEnd"/>
      <w:r w:rsidRPr="009C7F3B">
        <w:rPr>
          <w:rFonts w:ascii="Times New Roman" w:hAnsi="Times New Roman" w:cs="Times New Roman"/>
          <w:color w:val="000000" w:themeColor="text1"/>
          <w:sz w:val="24"/>
          <w:szCs w:val="24"/>
          <w:shd w:val="clear" w:color="auto" w:fill="FFFFFF"/>
        </w:rPr>
        <w:t>, L. (2019). Cryptocurrencies as a financial asset: A systematic analysis. </w:t>
      </w:r>
      <w:r w:rsidRPr="009C7F3B">
        <w:rPr>
          <w:rFonts w:ascii="Times New Roman" w:hAnsi="Times New Roman" w:cs="Times New Roman"/>
          <w:i/>
          <w:iCs/>
          <w:color w:val="000000" w:themeColor="text1"/>
          <w:sz w:val="24"/>
          <w:szCs w:val="24"/>
          <w:shd w:val="clear" w:color="auto" w:fill="FFFFFF"/>
        </w:rPr>
        <w:t>International Review of Financial Analysis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62</w:t>
      </w:r>
      <w:r w:rsidRPr="009C7F3B">
        <w:rPr>
          <w:rFonts w:ascii="Times New Roman" w:hAnsi="Times New Roman" w:cs="Times New Roman"/>
          <w:color w:val="000000" w:themeColor="text1"/>
          <w:sz w:val="24"/>
          <w:szCs w:val="24"/>
          <w:shd w:val="clear" w:color="auto" w:fill="FFFFFF"/>
        </w:rPr>
        <w:t>, pp.182-199.</w:t>
      </w:r>
    </w:p>
    <w:p w14:paraId="42EA2389"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Dewi</w:t>
      </w:r>
      <w:proofErr w:type="spellEnd"/>
      <w:r w:rsidRPr="009C7F3B">
        <w:rPr>
          <w:rFonts w:ascii="Times New Roman" w:hAnsi="Times New Roman" w:cs="Times New Roman"/>
          <w:color w:val="000000" w:themeColor="text1"/>
          <w:sz w:val="24"/>
          <w:szCs w:val="24"/>
          <w:shd w:val="clear" w:color="auto" w:fill="FFFFFF"/>
        </w:rPr>
        <w:t xml:space="preserve">, N., Azam, S. and </w:t>
      </w:r>
      <w:proofErr w:type="spellStart"/>
      <w:r w:rsidRPr="009C7F3B">
        <w:rPr>
          <w:rFonts w:ascii="Times New Roman" w:hAnsi="Times New Roman" w:cs="Times New Roman"/>
          <w:color w:val="000000" w:themeColor="text1"/>
          <w:sz w:val="24"/>
          <w:szCs w:val="24"/>
          <w:shd w:val="clear" w:color="auto" w:fill="FFFFFF"/>
        </w:rPr>
        <w:t>Yusoff</w:t>
      </w:r>
      <w:proofErr w:type="spellEnd"/>
      <w:r w:rsidRPr="009C7F3B">
        <w:rPr>
          <w:rFonts w:ascii="Times New Roman" w:hAnsi="Times New Roman" w:cs="Times New Roman"/>
          <w:color w:val="000000" w:themeColor="text1"/>
          <w:sz w:val="24"/>
          <w:szCs w:val="24"/>
          <w:shd w:val="clear" w:color="auto" w:fill="FFFFFF"/>
        </w:rPr>
        <w:t>, S. (2019). Factors influencing the information quality of local government financial statement and financial accountability. </w:t>
      </w:r>
      <w:r w:rsidRPr="009C7F3B">
        <w:rPr>
          <w:rFonts w:ascii="Times New Roman" w:hAnsi="Times New Roman" w:cs="Times New Roman"/>
          <w:i/>
          <w:iCs/>
          <w:color w:val="000000" w:themeColor="text1"/>
          <w:sz w:val="24"/>
          <w:szCs w:val="24"/>
          <w:shd w:val="clear" w:color="auto" w:fill="FFFFFF"/>
        </w:rPr>
        <w:t>Management Science Letters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9</w:t>
      </w:r>
      <w:r w:rsidRPr="009C7F3B">
        <w:rPr>
          <w:rFonts w:ascii="Times New Roman" w:hAnsi="Times New Roman" w:cs="Times New Roman"/>
          <w:color w:val="000000" w:themeColor="text1"/>
          <w:sz w:val="24"/>
          <w:szCs w:val="24"/>
          <w:shd w:val="clear" w:color="auto" w:fill="FFFFFF"/>
        </w:rPr>
        <w:t>(9), pp.1373-1384.</w:t>
      </w:r>
    </w:p>
    <w:p w14:paraId="2B62202E"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Ginting</w:t>
      </w:r>
      <w:proofErr w:type="spellEnd"/>
      <w:r w:rsidRPr="009C7F3B">
        <w:rPr>
          <w:rFonts w:ascii="Times New Roman" w:hAnsi="Times New Roman" w:cs="Times New Roman"/>
          <w:color w:val="000000" w:themeColor="text1"/>
          <w:sz w:val="24"/>
          <w:szCs w:val="24"/>
          <w:shd w:val="clear" w:color="auto" w:fill="FFFFFF"/>
        </w:rPr>
        <w:t xml:space="preserve">, E.S. (2021). Ratio-Based Financial Performance Analysis of PT. </w:t>
      </w:r>
      <w:proofErr w:type="spellStart"/>
      <w:r w:rsidRPr="009C7F3B">
        <w:rPr>
          <w:rFonts w:ascii="Times New Roman" w:hAnsi="Times New Roman" w:cs="Times New Roman"/>
          <w:color w:val="000000" w:themeColor="text1"/>
          <w:sz w:val="24"/>
          <w:szCs w:val="24"/>
          <w:shd w:val="clear" w:color="auto" w:fill="FFFFFF"/>
        </w:rPr>
        <w:t>Mustika</w:t>
      </w:r>
      <w:proofErr w:type="spellEnd"/>
      <w:r w:rsidRPr="009C7F3B">
        <w:rPr>
          <w:rFonts w:ascii="Times New Roman" w:hAnsi="Times New Roman" w:cs="Times New Roman"/>
          <w:color w:val="000000" w:themeColor="text1"/>
          <w:sz w:val="24"/>
          <w:szCs w:val="24"/>
          <w:shd w:val="clear" w:color="auto" w:fill="FFFFFF"/>
        </w:rPr>
        <w:t xml:space="preserve"> Ratu, </w:t>
      </w:r>
      <w:proofErr w:type="spellStart"/>
      <w:r w:rsidRPr="009C7F3B">
        <w:rPr>
          <w:rFonts w:ascii="Times New Roman" w:hAnsi="Times New Roman" w:cs="Times New Roman"/>
          <w:color w:val="000000" w:themeColor="text1"/>
          <w:sz w:val="24"/>
          <w:szCs w:val="24"/>
          <w:shd w:val="clear" w:color="auto" w:fill="FFFFFF"/>
        </w:rPr>
        <w:t>Tbk</w:t>
      </w:r>
      <w:proofErr w:type="spellEnd"/>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Enrichment: Journal of Management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w:t>
      </w:r>
      <w:r w:rsidRPr="009C7F3B">
        <w:rPr>
          <w:rFonts w:ascii="Times New Roman" w:hAnsi="Times New Roman" w:cs="Times New Roman"/>
          <w:color w:val="000000" w:themeColor="text1"/>
          <w:sz w:val="24"/>
          <w:szCs w:val="24"/>
          <w:shd w:val="clear" w:color="auto" w:fill="FFFFFF"/>
        </w:rPr>
        <w:t>(2), pp.456-462.</w:t>
      </w:r>
    </w:p>
    <w:p w14:paraId="6E795448"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Hertina</w:t>
      </w:r>
      <w:proofErr w:type="spellEnd"/>
      <w:r w:rsidRPr="009C7F3B">
        <w:rPr>
          <w:rFonts w:ascii="Times New Roman" w:hAnsi="Times New Roman" w:cs="Times New Roman"/>
          <w:color w:val="000000" w:themeColor="text1"/>
          <w:sz w:val="24"/>
          <w:szCs w:val="24"/>
          <w:shd w:val="clear" w:color="auto" w:fill="FFFFFF"/>
        </w:rPr>
        <w:t>, D. (2021). The influence of current ratio, debt to equity ratio and company size on return on assets. </w:t>
      </w:r>
      <w:r w:rsidRPr="009C7F3B">
        <w:rPr>
          <w:rFonts w:ascii="Times New Roman" w:hAnsi="Times New Roman" w:cs="Times New Roman"/>
          <w:i/>
          <w:iCs/>
          <w:color w:val="000000" w:themeColor="text1"/>
          <w:sz w:val="24"/>
          <w:szCs w:val="24"/>
          <w:shd w:val="clear" w:color="auto" w:fill="FFFFFF"/>
        </w:rPr>
        <w:t>Turkish Journal of Computer and Mathematics Education (TURCOMAT)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12</w:t>
      </w:r>
      <w:r w:rsidRPr="009C7F3B">
        <w:rPr>
          <w:rFonts w:ascii="Times New Roman" w:hAnsi="Times New Roman" w:cs="Times New Roman"/>
          <w:color w:val="000000" w:themeColor="text1"/>
          <w:sz w:val="24"/>
          <w:szCs w:val="24"/>
          <w:shd w:val="clear" w:color="auto" w:fill="FFFFFF"/>
        </w:rPr>
        <w:t>(8), pp.1702-1709.</w:t>
      </w:r>
    </w:p>
    <w:p w14:paraId="3FA34A9D"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Hosaka</w:t>
      </w:r>
      <w:proofErr w:type="spellEnd"/>
      <w:r w:rsidRPr="009C7F3B">
        <w:rPr>
          <w:rFonts w:ascii="Times New Roman" w:hAnsi="Times New Roman" w:cs="Times New Roman"/>
          <w:color w:val="000000" w:themeColor="text1"/>
          <w:sz w:val="24"/>
          <w:szCs w:val="24"/>
          <w:shd w:val="clear" w:color="auto" w:fill="FFFFFF"/>
        </w:rPr>
        <w:t>, T. (2019). Bankruptcy prediction using imaged financial ratios and convolutional neural networks. </w:t>
      </w:r>
      <w:r w:rsidRPr="009C7F3B">
        <w:rPr>
          <w:rFonts w:ascii="Times New Roman" w:hAnsi="Times New Roman" w:cs="Times New Roman"/>
          <w:i/>
          <w:iCs/>
          <w:color w:val="000000" w:themeColor="text1"/>
          <w:sz w:val="24"/>
          <w:szCs w:val="24"/>
          <w:shd w:val="clear" w:color="auto" w:fill="FFFFFF"/>
        </w:rPr>
        <w:t>Expert systems with applications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117</w:t>
      </w:r>
      <w:r w:rsidRPr="009C7F3B">
        <w:rPr>
          <w:rFonts w:ascii="Times New Roman" w:hAnsi="Times New Roman" w:cs="Times New Roman"/>
          <w:color w:val="000000" w:themeColor="text1"/>
          <w:sz w:val="24"/>
          <w:szCs w:val="24"/>
          <w:shd w:val="clear" w:color="auto" w:fill="FFFFFF"/>
        </w:rPr>
        <w:t>, pp.287-299.</w:t>
      </w:r>
    </w:p>
    <w:p w14:paraId="767237A2"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Iriyadi</w:t>
      </w:r>
      <w:proofErr w:type="spellEnd"/>
      <w:r w:rsidRPr="009C7F3B">
        <w:rPr>
          <w:rFonts w:ascii="Times New Roman" w:hAnsi="Times New Roman" w:cs="Times New Roman"/>
          <w:color w:val="000000" w:themeColor="text1"/>
          <w:sz w:val="24"/>
          <w:szCs w:val="24"/>
          <w:shd w:val="clear" w:color="auto" w:fill="FFFFFF"/>
        </w:rPr>
        <w:t xml:space="preserve">, I., </w:t>
      </w:r>
      <w:proofErr w:type="spellStart"/>
      <w:r w:rsidRPr="009C7F3B">
        <w:rPr>
          <w:rFonts w:ascii="Times New Roman" w:hAnsi="Times New Roman" w:cs="Times New Roman"/>
          <w:color w:val="000000" w:themeColor="text1"/>
          <w:sz w:val="24"/>
          <w:szCs w:val="24"/>
          <w:shd w:val="clear" w:color="auto" w:fill="FFFFFF"/>
        </w:rPr>
        <w:t>Tartilla</w:t>
      </w:r>
      <w:proofErr w:type="spellEnd"/>
      <w:r w:rsidRPr="009C7F3B">
        <w:rPr>
          <w:rFonts w:ascii="Times New Roman" w:hAnsi="Times New Roman" w:cs="Times New Roman"/>
          <w:color w:val="000000" w:themeColor="text1"/>
          <w:sz w:val="24"/>
          <w:szCs w:val="24"/>
          <w:shd w:val="clear" w:color="auto" w:fill="FFFFFF"/>
        </w:rPr>
        <w:t xml:space="preserve">, N. and </w:t>
      </w:r>
      <w:proofErr w:type="spellStart"/>
      <w:r w:rsidRPr="009C7F3B">
        <w:rPr>
          <w:rFonts w:ascii="Times New Roman" w:hAnsi="Times New Roman" w:cs="Times New Roman"/>
          <w:color w:val="000000" w:themeColor="text1"/>
          <w:sz w:val="24"/>
          <w:szCs w:val="24"/>
          <w:shd w:val="clear" w:color="auto" w:fill="FFFFFF"/>
        </w:rPr>
        <w:t>Gusdiani</w:t>
      </w:r>
      <w:proofErr w:type="spellEnd"/>
      <w:r w:rsidRPr="009C7F3B">
        <w:rPr>
          <w:rFonts w:ascii="Times New Roman" w:hAnsi="Times New Roman" w:cs="Times New Roman"/>
          <w:color w:val="000000" w:themeColor="text1"/>
          <w:sz w:val="24"/>
          <w:szCs w:val="24"/>
          <w:shd w:val="clear" w:color="auto" w:fill="FFFFFF"/>
        </w:rPr>
        <w:t>, R. (2020). The Effect of Tax Planning and Use of Assets on Profitability with Good Corporate Governance as a Moderating Variable. In </w:t>
      </w:r>
      <w:r w:rsidRPr="009C7F3B">
        <w:rPr>
          <w:rFonts w:ascii="Times New Roman" w:hAnsi="Times New Roman" w:cs="Times New Roman"/>
          <w:i/>
          <w:iCs/>
          <w:color w:val="000000" w:themeColor="text1"/>
          <w:sz w:val="24"/>
          <w:szCs w:val="24"/>
          <w:shd w:val="clear" w:color="auto" w:fill="FFFFFF"/>
        </w:rPr>
        <w:t>2nd International Seminar on Business, Economics, Social Science and Technology (ISBEST 2019)</w:t>
      </w:r>
      <w:r w:rsidRPr="009C7F3B">
        <w:rPr>
          <w:rFonts w:ascii="Times New Roman" w:hAnsi="Times New Roman" w:cs="Times New Roman"/>
          <w:color w:val="000000" w:themeColor="text1"/>
          <w:sz w:val="24"/>
          <w:szCs w:val="24"/>
          <w:shd w:val="clear" w:color="auto" w:fill="FFFFFF"/>
        </w:rPr>
        <w:t> (pp. 220-227). Atlantis Press.</w:t>
      </w:r>
    </w:p>
    <w:p w14:paraId="16CD3073"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Sausan</w:t>
      </w:r>
      <w:proofErr w:type="spellEnd"/>
      <w:r w:rsidRPr="009C7F3B">
        <w:rPr>
          <w:rFonts w:ascii="Times New Roman" w:eastAsia="Times New Roman" w:hAnsi="Times New Roman" w:cs="Times New Roman"/>
          <w:color w:val="000000" w:themeColor="text1"/>
          <w:sz w:val="24"/>
          <w:szCs w:val="24"/>
          <w:lang w:val="en-US"/>
        </w:rPr>
        <w:t xml:space="preserve">, F.R., </w:t>
      </w:r>
      <w:proofErr w:type="spellStart"/>
      <w:r w:rsidRPr="009C7F3B">
        <w:rPr>
          <w:rFonts w:ascii="Times New Roman" w:eastAsia="Times New Roman" w:hAnsi="Times New Roman" w:cs="Times New Roman"/>
          <w:color w:val="000000" w:themeColor="text1"/>
          <w:sz w:val="24"/>
          <w:szCs w:val="24"/>
          <w:lang w:val="en-US"/>
        </w:rPr>
        <w:t>Korawijayanti</w:t>
      </w:r>
      <w:proofErr w:type="spellEnd"/>
      <w:r w:rsidRPr="009C7F3B">
        <w:rPr>
          <w:rFonts w:ascii="Times New Roman" w:eastAsia="Times New Roman" w:hAnsi="Times New Roman" w:cs="Times New Roman"/>
          <w:color w:val="000000" w:themeColor="text1"/>
          <w:sz w:val="24"/>
          <w:szCs w:val="24"/>
          <w:lang w:val="en-US"/>
        </w:rPr>
        <w:t xml:space="preserve">, L. and </w:t>
      </w:r>
      <w:proofErr w:type="spellStart"/>
      <w:r w:rsidRPr="009C7F3B">
        <w:rPr>
          <w:rFonts w:ascii="Times New Roman" w:eastAsia="Times New Roman" w:hAnsi="Times New Roman" w:cs="Times New Roman"/>
          <w:color w:val="000000" w:themeColor="text1"/>
          <w:sz w:val="24"/>
          <w:szCs w:val="24"/>
          <w:lang w:val="en-US"/>
        </w:rPr>
        <w:t>Ciptaningtias</w:t>
      </w:r>
      <w:proofErr w:type="spellEnd"/>
      <w:r w:rsidRPr="009C7F3B">
        <w:rPr>
          <w:rFonts w:ascii="Times New Roman" w:eastAsia="Times New Roman" w:hAnsi="Times New Roman" w:cs="Times New Roman"/>
          <w:color w:val="000000" w:themeColor="text1"/>
          <w:sz w:val="24"/>
          <w:szCs w:val="24"/>
          <w:lang w:val="en-US"/>
        </w:rPr>
        <w:t>, A.F. (2020). The effect of return on asset (ROA), debt to equity ratio (DER), earning per share (EPS), total asset turnover (TATO) and exchange rate on stock return of property and real estate companies at Indonesia stock exchange period 2012-2017. </w:t>
      </w:r>
      <w:proofErr w:type="spellStart"/>
      <w:r w:rsidRPr="009C7F3B">
        <w:rPr>
          <w:rFonts w:ascii="Times New Roman" w:eastAsia="Times New Roman" w:hAnsi="Times New Roman" w:cs="Times New Roman"/>
          <w:i/>
          <w:iCs/>
          <w:color w:val="000000" w:themeColor="text1"/>
          <w:sz w:val="24"/>
          <w:szCs w:val="24"/>
          <w:lang w:val="en-US"/>
        </w:rPr>
        <w:t>Ilomata</w:t>
      </w:r>
      <w:proofErr w:type="spellEnd"/>
      <w:r w:rsidRPr="009C7F3B">
        <w:rPr>
          <w:rFonts w:ascii="Times New Roman" w:eastAsia="Times New Roman" w:hAnsi="Times New Roman" w:cs="Times New Roman"/>
          <w:i/>
          <w:iCs/>
          <w:color w:val="000000" w:themeColor="text1"/>
          <w:sz w:val="24"/>
          <w:szCs w:val="24"/>
          <w:lang w:val="en-US"/>
        </w:rPr>
        <w:t xml:space="preserve"> International Journal of Tax and Accounting</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1</w:t>
      </w:r>
      <w:r w:rsidRPr="009C7F3B">
        <w:rPr>
          <w:rFonts w:ascii="Times New Roman" w:eastAsia="Times New Roman" w:hAnsi="Times New Roman" w:cs="Times New Roman"/>
          <w:color w:val="000000" w:themeColor="text1"/>
          <w:sz w:val="24"/>
          <w:szCs w:val="24"/>
          <w:lang w:val="en-US"/>
        </w:rPr>
        <w:t>(2), pp.103-114.</w:t>
      </w:r>
    </w:p>
    <w:p w14:paraId="58C86326"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Siregar</w:t>
      </w:r>
      <w:proofErr w:type="spellEnd"/>
      <w:r w:rsidRPr="009C7F3B">
        <w:rPr>
          <w:rFonts w:ascii="Times New Roman" w:eastAsia="Times New Roman" w:hAnsi="Times New Roman" w:cs="Times New Roman"/>
          <w:color w:val="000000" w:themeColor="text1"/>
          <w:sz w:val="24"/>
          <w:szCs w:val="24"/>
          <w:lang w:val="en-US"/>
        </w:rPr>
        <w:t xml:space="preserve">, Q.R. and </w:t>
      </w:r>
      <w:proofErr w:type="spellStart"/>
      <w:r w:rsidRPr="009C7F3B">
        <w:rPr>
          <w:rFonts w:ascii="Times New Roman" w:eastAsia="Times New Roman" w:hAnsi="Times New Roman" w:cs="Times New Roman"/>
          <w:color w:val="000000" w:themeColor="text1"/>
          <w:sz w:val="24"/>
          <w:szCs w:val="24"/>
          <w:lang w:val="en-US"/>
        </w:rPr>
        <w:t>Harahap</w:t>
      </w:r>
      <w:proofErr w:type="spellEnd"/>
      <w:r w:rsidRPr="009C7F3B">
        <w:rPr>
          <w:rFonts w:ascii="Times New Roman" w:eastAsia="Times New Roman" w:hAnsi="Times New Roman" w:cs="Times New Roman"/>
          <w:color w:val="000000" w:themeColor="text1"/>
          <w:sz w:val="24"/>
          <w:szCs w:val="24"/>
          <w:lang w:val="en-US"/>
        </w:rPr>
        <w:t>, D.D. (2021). Influence Current Ratio, Debt to Equity Ratio and Total Asset Turnover on Return on Equity in the Transportation Sector Industry. </w:t>
      </w:r>
      <w:r w:rsidRPr="009C7F3B">
        <w:rPr>
          <w:rFonts w:ascii="Times New Roman" w:eastAsia="Times New Roman" w:hAnsi="Times New Roman" w:cs="Times New Roman"/>
          <w:i/>
          <w:iCs/>
          <w:color w:val="000000" w:themeColor="text1"/>
          <w:sz w:val="24"/>
          <w:szCs w:val="24"/>
          <w:lang w:val="en-US"/>
        </w:rPr>
        <w:t>International Journal of Business Economics (IJBE)</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2</w:t>
      </w:r>
      <w:r w:rsidRPr="009C7F3B">
        <w:rPr>
          <w:rFonts w:ascii="Times New Roman" w:eastAsia="Times New Roman" w:hAnsi="Times New Roman" w:cs="Times New Roman"/>
          <w:color w:val="000000" w:themeColor="text1"/>
          <w:sz w:val="24"/>
          <w:szCs w:val="24"/>
          <w:lang w:val="en-US"/>
        </w:rPr>
        <w:t>(2), pp.99-112.</w:t>
      </w:r>
    </w:p>
    <w:p w14:paraId="1FB8E76F" w14:textId="77777777" w:rsidR="00D440F4" w:rsidRPr="009C7F3B" w:rsidRDefault="00D440F4" w:rsidP="009C7F3B">
      <w:pPr>
        <w:spacing w:line="360" w:lineRule="auto"/>
        <w:jc w:val="both"/>
        <w:rPr>
          <w:rFonts w:ascii="Times New Roman" w:hAnsi="Times New Roman" w:cs="Times New Roman"/>
          <w:color w:val="000000" w:themeColor="text1"/>
          <w:sz w:val="24"/>
          <w:szCs w:val="24"/>
        </w:rPr>
      </w:pPr>
    </w:p>
    <w:sectPr w:rsidR="00D440F4" w:rsidRPr="009C7F3B"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A005F" w14:textId="77777777" w:rsidR="00187963" w:rsidRDefault="00187963" w:rsidP="00023519">
      <w:pPr>
        <w:spacing w:after="0" w:line="240" w:lineRule="auto"/>
      </w:pPr>
      <w:r>
        <w:separator/>
      </w:r>
    </w:p>
  </w:endnote>
  <w:endnote w:type="continuationSeparator" w:id="0">
    <w:p w14:paraId="207C6219" w14:textId="77777777" w:rsidR="00187963" w:rsidRDefault="00187963" w:rsidP="00023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967897"/>
      <w:docPartObj>
        <w:docPartGallery w:val="Page Numbers (Bottom of Page)"/>
        <w:docPartUnique/>
      </w:docPartObj>
    </w:sdtPr>
    <w:sdtEndPr>
      <w:rPr>
        <w:noProof/>
      </w:rPr>
    </w:sdtEndPr>
    <w:sdtContent>
      <w:p w14:paraId="7B8B8886" w14:textId="5B883731" w:rsidR="00023519" w:rsidRDefault="00023519">
        <w:pPr>
          <w:pStyle w:val="Footer"/>
          <w:jc w:val="center"/>
        </w:pPr>
        <w:r>
          <w:fldChar w:fldCharType="begin"/>
        </w:r>
        <w:r>
          <w:instrText xml:space="preserve"> PAGE   \* MERGEFORMAT </w:instrText>
        </w:r>
        <w:r>
          <w:fldChar w:fldCharType="separate"/>
        </w:r>
        <w:r w:rsidR="00137B5C">
          <w:rPr>
            <w:noProof/>
          </w:rPr>
          <w:t>6</w:t>
        </w:r>
        <w:r>
          <w:rPr>
            <w:noProof/>
          </w:rPr>
          <w:fldChar w:fldCharType="end"/>
        </w:r>
      </w:p>
    </w:sdtContent>
  </w:sdt>
  <w:p w14:paraId="33AB00C3" w14:textId="77777777" w:rsidR="00023519" w:rsidRDefault="00023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B0A1E" w14:textId="77777777" w:rsidR="00187963" w:rsidRDefault="00187963" w:rsidP="00023519">
      <w:pPr>
        <w:spacing w:after="0" w:line="240" w:lineRule="auto"/>
      </w:pPr>
      <w:r>
        <w:separator/>
      </w:r>
    </w:p>
  </w:footnote>
  <w:footnote w:type="continuationSeparator" w:id="0">
    <w:p w14:paraId="5EE47C05" w14:textId="77777777" w:rsidR="00187963" w:rsidRDefault="00187963" w:rsidP="00023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614"/>
    <w:multiLevelType w:val="hybridMultilevel"/>
    <w:tmpl w:val="6DA6E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6596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NDM1NDEzszAzMDFW0lEKTi0uzszPAykwrAUAhhaw9SwAAAA="/>
  </w:docVars>
  <w:rsids>
    <w:rsidRoot w:val="007D1947"/>
    <w:rsid w:val="00017330"/>
    <w:rsid w:val="00023519"/>
    <w:rsid w:val="0003388D"/>
    <w:rsid w:val="000C612D"/>
    <w:rsid w:val="000C679E"/>
    <w:rsid w:val="000F1659"/>
    <w:rsid w:val="0011390D"/>
    <w:rsid w:val="00115B96"/>
    <w:rsid w:val="00132F32"/>
    <w:rsid w:val="00137B5C"/>
    <w:rsid w:val="00141DBD"/>
    <w:rsid w:val="001723B8"/>
    <w:rsid w:val="001804D4"/>
    <w:rsid w:val="0018142E"/>
    <w:rsid w:val="00187963"/>
    <w:rsid w:val="001C36F1"/>
    <w:rsid w:val="001C6E85"/>
    <w:rsid w:val="001D0A54"/>
    <w:rsid w:val="001F07B4"/>
    <w:rsid w:val="001F35D6"/>
    <w:rsid w:val="002029EE"/>
    <w:rsid w:val="00227225"/>
    <w:rsid w:val="00284F1F"/>
    <w:rsid w:val="00295C45"/>
    <w:rsid w:val="002A51F9"/>
    <w:rsid w:val="002A5583"/>
    <w:rsid w:val="002B3AB6"/>
    <w:rsid w:val="002C0050"/>
    <w:rsid w:val="002D3050"/>
    <w:rsid w:val="002F052A"/>
    <w:rsid w:val="003015E9"/>
    <w:rsid w:val="0031796A"/>
    <w:rsid w:val="00323452"/>
    <w:rsid w:val="00324CCD"/>
    <w:rsid w:val="00341BD0"/>
    <w:rsid w:val="00364993"/>
    <w:rsid w:val="00371B23"/>
    <w:rsid w:val="00372130"/>
    <w:rsid w:val="00372C24"/>
    <w:rsid w:val="003848CA"/>
    <w:rsid w:val="003942E8"/>
    <w:rsid w:val="003C4428"/>
    <w:rsid w:val="00405DD5"/>
    <w:rsid w:val="004151FE"/>
    <w:rsid w:val="004A11F6"/>
    <w:rsid w:val="004D519C"/>
    <w:rsid w:val="004F1068"/>
    <w:rsid w:val="004F5966"/>
    <w:rsid w:val="0055127F"/>
    <w:rsid w:val="005C5044"/>
    <w:rsid w:val="005E1198"/>
    <w:rsid w:val="005F3CC2"/>
    <w:rsid w:val="006126CE"/>
    <w:rsid w:val="006220B8"/>
    <w:rsid w:val="006442A0"/>
    <w:rsid w:val="0064759D"/>
    <w:rsid w:val="00650E00"/>
    <w:rsid w:val="00656954"/>
    <w:rsid w:val="00710226"/>
    <w:rsid w:val="007146D6"/>
    <w:rsid w:val="00724F1E"/>
    <w:rsid w:val="007A15FF"/>
    <w:rsid w:val="007C0649"/>
    <w:rsid w:val="007D1947"/>
    <w:rsid w:val="007F63D7"/>
    <w:rsid w:val="0080553B"/>
    <w:rsid w:val="00810319"/>
    <w:rsid w:val="0083311C"/>
    <w:rsid w:val="00857AB8"/>
    <w:rsid w:val="00883B9F"/>
    <w:rsid w:val="008E7430"/>
    <w:rsid w:val="008F487B"/>
    <w:rsid w:val="0093037F"/>
    <w:rsid w:val="009658A8"/>
    <w:rsid w:val="009B1CCE"/>
    <w:rsid w:val="009C7F3B"/>
    <w:rsid w:val="009D2C41"/>
    <w:rsid w:val="009D7440"/>
    <w:rsid w:val="00A15150"/>
    <w:rsid w:val="00A27FB6"/>
    <w:rsid w:val="00A40CE6"/>
    <w:rsid w:val="00A6757F"/>
    <w:rsid w:val="00A70B1D"/>
    <w:rsid w:val="00AA2A91"/>
    <w:rsid w:val="00AF4B48"/>
    <w:rsid w:val="00B73B0C"/>
    <w:rsid w:val="00B74D79"/>
    <w:rsid w:val="00B97E54"/>
    <w:rsid w:val="00BA6F15"/>
    <w:rsid w:val="00BC6116"/>
    <w:rsid w:val="00BE2C61"/>
    <w:rsid w:val="00C113EE"/>
    <w:rsid w:val="00C344A2"/>
    <w:rsid w:val="00C4474F"/>
    <w:rsid w:val="00C52B00"/>
    <w:rsid w:val="00C71FB5"/>
    <w:rsid w:val="00CA09F3"/>
    <w:rsid w:val="00CD4334"/>
    <w:rsid w:val="00CF281A"/>
    <w:rsid w:val="00D1730E"/>
    <w:rsid w:val="00D440F4"/>
    <w:rsid w:val="00D63D3C"/>
    <w:rsid w:val="00D84E02"/>
    <w:rsid w:val="00D854A5"/>
    <w:rsid w:val="00D977F3"/>
    <w:rsid w:val="00DA7AF8"/>
    <w:rsid w:val="00DD6CB6"/>
    <w:rsid w:val="00DF65AE"/>
    <w:rsid w:val="00E13EE0"/>
    <w:rsid w:val="00E43F7D"/>
    <w:rsid w:val="00E44724"/>
    <w:rsid w:val="00E539D5"/>
    <w:rsid w:val="00E54C42"/>
    <w:rsid w:val="00E942F2"/>
    <w:rsid w:val="00F12BC3"/>
    <w:rsid w:val="00F21BEE"/>
    <w:rsid w:val="00F36FA0"/>
    <w:rsid w:val="00F758C0"/>
    <w:rsid w:val="00F94474"/>
    <w:rsid w:val="00F95B2A"/>
    <w:rsid w:val="00FA7F0C"/>
    <w:rsid w:val="00FE3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CA3F25"/>
  <w15:docId w15:val="{8D2D02E5-2369-4EFB-991B-B1C4E193F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F1E"/>
    <w:pPr>
      <w:keepNext/>
      <w:keepLines/>
      <w:spacing w:before="240" w:after="0" w:line="72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724F1E"/>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24F1E"/>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724F1E"/>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E13EE0"/>
    <w:pPr>
      <w:ind w:left="720"/>
      <w:contextualSpacing/>
    </w:pPr>
  </w:style>
  <w:style w:type="paragraph" w:styleId="Header">
    <w:name w:val="header"/>
    <w:basedOn w:val="Normal"/>
    <w:link w:val="HeaderChar"/>
    <w:uiPriority w:val="99"/>
    <w:unhideWhenUsed/>
    <w:rsid w:val="000235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519"/>
  </w:style>
  <w:style w:type="paragraph" w:styleId="Footer">
    <w:name w:val="footer"/>
    <w:basedOn w:val="Normal"/>
    <w:link w:val="FooterChar"/>
    <w:uiPriority w:val="99"/>
    <w:unhideWhenUsed/>
    <w:rsid w:val="000235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519"/>
  </w:style>
  <w:style w:type="paragraph" w:styleId="BalloonText">
    <w:name w:val="Balloon Text"/>
    <w:basedOn w:val="Normal"/>
    <w:link w:val="BalloonTextChar"/>
    <w:uiPriority w:val="99"/>
    <w:semiHidden/>
    <w:unhideWhenUsed/>
    <w:rsid w:val="000C67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7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47041">
      <w:bodyDiv w:val="1"/>
      <w:marLeft w:val="0"/>
      <w:marRight w:val="0"/>
      <w:marTop w:val="0"/>
      <w:marBottom w:val="0"/>
      <w:divBdr>
        <w:top w:val="none" w:sz="0" w:space="0" w:color="auto"/>
        <w:left w:val="none" w:sz="0" w:space="0" w:color="auto"/>
        <w:bottom w:val="none" w:sz="0" w:space="0" w:color="auto"/>
        <w:right w:val="none" w:sz="0" w:space="0" w:color="auto"/>
      </w:divBdr>
      <w:divsChild>
        <w:div w:id="201527508">
          <w:marLeft w:val="0"/>
          <w:marRight w:val="0"/>
          <w:marTop w:val="0"/>
          <w:marBottom w:val="0"/>
          <w:divBdr>
            <w:top w:val="none" w:sz="0" w:space="0" w:color="auto"/>
            <w:left w:val="none" w:sz="0" w:space="0" w:color="auto"/>
            <w:bottom w:val="none" w:sz="0" w:space="0" w:color="auto"/>
            <w:right w:val="none" w:sz="0" w:space="0" w:color="auto"/>
          </w:divBdr>
        </w:div>
      </w:divsChild>
    </w:div>
    <w:div w:id="1209682564">
      <w:bodyDiv w:val="1"/>
      <w:marLeft w:val="0"/>
      <w:marRight w:val="0"/>
      <w:marTop w:val="0"/>
      <w:marBottom w:val="0"/>
      <w:divBdr>
        <w:top w:val="none" w:sz="0" w:space="0" w:color="auto"/>
        <w:left w:val="none" w:sz="0" w:space="0" w:color="auto"/>
        <w:bottom w:val="none" w:sz="0" w:space="0" w:color="auto"/>
        <w:right w:val="none" w:sz="0" w:space="0" w:color="auto"/>
      </w:divBdr>
      <w:divsChild>
        <w:div w:id="142351192">
          <w:marLeft w:val="0"/>
          <w:marRight w:val="0"/>
          <w:marTop w:val="0"/>
          <w:marBottom w:val="0"/>
          <w:divBdr>
            <w:top w:val="none" w:sz="0" w:space="0" w:color="auto"/>
            <w:left w:val="none" w:sz="0" w:space="0" w:color="auto"/>
            <w:bottom w:val="none" w:sz="0" w:space="0" w:color="auto"/>
            <w:right w:val="none" w:sz="0" w:space="0" w:color="auto"/>
          </w:divBdr>
        </w:div>
      </w:divsChild>
    </w:div>
    <w:div w:id="1258560101">
      <w:bodyDiv w:val="1"/>
      <w:marLeft w:val="0"/>
      <w:marRight w:val="0"/>
      <w:marTop w:val="0"/>
      <w:marBottom w:val="0"/>
      <w:divBdr>
        <w:top w:val="none" w:sz="0" w:space="0" w:color="auto"/>
        <w:left w:val="none" w:sz="0" w:space="0" w:color="auto"/>
        <w:bottom w:val="none" w:sz="0" w:space="0" w:color="auto"/>
        <w:right w:val="none" w:sz="0" w:space="0" w:color="auto"/>
      </w:divBdr>
      <w:divsChild>
        <w:div w:id="1627660950">
          <w:marLeft w:val="0"/>
          <w:marRight w:val="0"/>
          <w:marTop w:val="0"/>
          <w:marBottom w:val="0"/>
          <w:divBdr>
            <w:top w:val="none" w:sz="0" w:space="0" w:color="auto"/>
            <w:left w:val="none" w:sz="0" w:space="0" w:color="auto"/>
            <w:bottom w:val="none" w:sz="0" w:space="0" w:color="auto"/>
            <w:right w:val="none" w:sz="0" w:space="0" w:color="auto"/>
          </w:divBdr>
        </w:div>
      </w:divsChild>
    </w:div>
    <w:div w:id="2022848851">
      <w:bodyDiv w:val="1"/>
      <w:marLeft w:val="0"/>
      <w:marRight w:val="0"/>
      <w:marTop w:val="0"/>
      <w:marBottom w:val="0"/>
      <w:divBdr>
        <w:top w:val="none" w:sz="0" w:space="0" w:color="auto"/>
        <w:left w:val="none" w:sz="0" w:space="0" w:color="auto"/>
        <w:bottom w:val="none" w:sz="0" w:space="0" w:color="auto"/>
        <w:right w:val="none" w:sz="0" w:space="0" w:color="auto"/>
      </w:divBdr>
      <w:divsChild>
        <w:div w:id="1973050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package" Target="embeddings/Microsoft_Excel_Worksheet.xlsx"/><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Profitability</a:t>
            </a:r>
            <a:r>
              <a:rPr lang="en-US" baseline="0"/>
              <a:t> Ratio</a:t>
            </a:r>
            <a:endParaRPr lang="en-US"/>
          </a:p>
        </c:rich>
      </c:tx>
      <c:layout>
        <c:manualLayout>
          <c:xMode val="edge"/>
          <c:yMode val="edge"/>
          <c:x val="0.36224300087489059"/>
          <c:y val="2.3148148148148147E-2"/>
        </c:manualLayout>
      </c:layout>
      <c:overlay val="0"/>
      <c:spPr>
        <a:noFill/>
        <a:ln>
          <a:noFill/>
        </a:ln>
        <a:effectLst/>
      </c:spPr>
    </c:title>
    <c:autoTitleDeleted val="0"/>
    <c:plotArea>
      <c:layout>
        <c:manualLayout>
          <c:layoutTarget val="inner"/>
          <c:xMode val="edge"/>
          <c:yMode val="edge"/>
          <c:x val="7.213648293963254E-2"/>
          <c:y val="0.16449074074074077"/>
          <c:w val="0.90286351706036749"/>
          <c:h val="0.66016149023038784"/>
        </c:manualLayout>
      </c:layout>
      <c:barChart>
        <c:barDir val="col"/>
        <c:grouping val="clustered"/>
        <c:varyColors val="0"/>
        <c:ser>
          <c:idx val="0"/>
          <c:order val="0"/>
          <c:tx>
            <c:strRef>
              <c:f>Sheet1!$A$6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Sheet1!$B$6:$E$6</c:f>
              <c:numCache>
                <c:formatCode>General</c:formatCode>
                <c:ptCount val="4"/>
                <c:pt idx="0">
                  <c:v>13.8</c:v>
                </c:pt>
                <c:pt idx="1">
                  <c:v>-2.52</c:v>
                </c:pt>
                <c:pt idx="2">
                  <c:v>0.79</c:v>
                </c:pt>
              </c:numCache>
            </c:numRef>
          </c:val>
          <c:extLst>
            <c:ext xmlns:c16="http://schemas.microsoft.com/office/drawing/2014/chart" uri="{C3380CC4-5D6E-409C-BE32-E72D297353CC}">
              <c16:uniqueId val="{00000000-2D6C-4D00-9201-89F80DFE0984}"/>
            </c:ext>
          </c:extLst>
        </c:ser>
        <c:ser>
          <c:idx val="1"/>
          <c:order val="1"/>
          <c:tx>
            <c:strRef>
              <c:f>Sheet1!$A$7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Sheet1!$B$7:$E$7</c:f>
              <c:numCache>
                <c:formatCode>General</c:formatCode>
                <c:ptCount val="4"/>
                <c:pt idx="0">
                  <c:v>20.21</c:v>
                </c:pt>
                <c:pt idx="1">
                  <c:v>7.93</c:v>
                </c:pt>
                <c:pt idx="2">
                  <c:v>12.62</c:v>
                </c:pt>
              </c:numCache>
            </c:numRef>
          </c:val>
          <c:extLst>
            <c:ext xmlns:c16="http://schemas.microsoft.com/office/drawing/2014/chart" uri="{C3380CC4-5D6E-409C-BE32-E72D297353CC}">
              <c16:uniqueId val="{00000001-2D6C-4D00-9201-89F80DFE0984}"/>
            </c:ext>
          </c:extLst>
        </c:ser>
        <c:dLbls>
          <c:dLblPos val="inEnd"/>
          <c:showLegendKey val="0"/>
          <c:showVal val="1"/>
          <c:showCatName val="0"/>
          <c:showSerName val="0"/>
          <c:showPercent val="0"/>
          <c:showBubbleSize val="0"/>
        </c:dLbls>
        <c:gapWidth val="100"/>
        <c:overlap val="-24"/>
        <c:axId val="326712704"/>
        <c:axId val="336688256"/>
      </c:barChart>
      <c:catAx>
        <c:axId val="32671270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688256"/>
        <c:crosses val="autoZero"/>
        <c:auto val="1"/>
        <c:lblAlgn val="ctr"/>
        <c:lblOffset val="100"/>
        <c:noMultiLvlLbl val="0"/>
      </c:catAx>
      <c:valAx>
        <c:axId val="336688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712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Sheet1!$B$10</c:f>
              <c:strCache>
                <c:ptCount val="1"/>
                <c:pt idx="0">
                  <c:v>Current Ratio</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Sheet1!$A$11:$A$12</c:f>
              <c:numCache>
                <c:formatCode>General</c:formatCode>
                <c:ptCount val="2"/>
                <c:pt idx="0">
                  <c:v>2020</c:v>
                </c:pt>
                <c:pt idx="1">
                  <c:v>2021</c:v>
                </c:pt>
              </c:numCache>
            </c:numRef>
          </c:cat>
          <c:val>
            <c:numRef>
              <c:f>Sheet1!$B$11:$B$12</c:f>
              <c:numCache>
                <c:formatCode>General</c:formatCode>
                <c:ptCount val="2"/>
                <c:pt idx="0">
                  <c:v>0.49</c:v>
                </c:pt>
                <c:pt idx="1">
                  <c:v>0.56000000000000005</c:v>
                </c:pt>
              </c:numCache>
            </c:numRef>
          </c:val>
          <c:extLst>
            <c:ext xmlns:c16="http://schemas.microsoft.com/office/drawing/2014/chart" uri="{C3380CC4-5D6E-409C-BE32-E72D297353CC}">
              <c16:uniqueId val="{00000000-2537-4020-A857-91665E933A6B}"/>
            </c:ext>
          </c:extLst>
        </c:ser>
        <c:dLbls>
          <c:dLblPos val="inEnd"/>
          <c:showLegendKey val="0"/>
          <c:showVal val="1"/>
          <c:showCatName val="0"/>
          <c:showSerName val="0"/>
          <c:showPercent val="0"/>
          <c:showBubbleSize val="0"/>
        </c:dLbls>
        <c:gapWidth val="80"/>
        <c:overlap val="25"/>
        <c:axId val="302982272"/>
        <c:axId val="302985216"/>
      </c:barChart>
      <c:catAx>
        <c:axId val="30298227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302985216"/>
        <c:crosses val="autoZero"/>
        <c:auto val="1"/>
        <c:lblAlgn val="ctr"/>
        <c:lblOffset val="100"/>
        <c:noMultiLvlLbl val="0"/>
      </c:catAx>
      <c:valAx>
        <c:axId val="30298521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30298227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itle>
    <c:autoTitleDeleted val="0"/>
    <c:plotArea>
      <c:layout/>
      <c:barChart>
        <c:barDir val="col"/>
        <c:grouping val="clustered"/>
        <c:varyColors val="0"/>
        <c:ser>
          <c:idx val="0"/>
          <c:order val="0"/>
          <c:tx>
            <c:strRef>
              <c:f>Sheet1!$A$16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Sheet1!$B$16:$D$16</c:f>
              <c:numCache>
                <c:formatCode>General</c:formatCode>
                <c:ptCount val="3"/>
                <c:pt idx="0">
                  <c:v>24.13</c:v>
                </c:pt>
                <c:pt idx="1">
                  <c:v>-62.09</c:v>
                </c:pt>
              </c:numCache>
            </c:numRef>
          </c:val>
          <c:extLst>
            <c:ext xmlns:c16="http://schemas.microsoft.com/office/drawing/2014/chart" uri="{C3380CC4-5D6E-409C-BE32-E72D297353CC}">
              <c16:uniqueId val="{00000000-FD45-4EBB-9B1D-1FC6BECA64BE}"/>
            </c:ext>
          </c:extLst>
        </c:ser>
        <c:ser>
          <c:idx val="1"/>
          <c:order val="1"/>
          <c:tx>
            <c:strRef>
              <c:f>Sheet1!$A$17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Sheet1!$B$17:$D$17</c:f>
              <c:numCache>
                <c:formatCode>General</c:formatCode>
                <c:ptCount val="3"/>
                <c:pt idx="0">
                  <c:v>7.16</c:v>
                </c:pt>
                <c:pt idx="1">
                  <c:v>77.72</c:v>
                </c:pt>
              </c:numCache>
            </c:numRef>
          </c:val>
          <c:extLst>
            <c:ext xmlns:c16="http://schemas.microsoft.com/office/drawing/2014/chart" uri="{C3380CC4-5D6E-409C-BE32-E72D297353CC}">
              <c16:uniqueId val="{00000001-FD45-4EBB-9B1D-1FC6BECA64BE}"/>
            </c:ext>
          </c:extLst>
        </c:ser>
        <c:dLbls>
          <c:dLblPos val="inEnd"/>
          <c:showLegendKey val="0"/>
          <c:showVal val="1"/>
          <c:showCatName val="0"/>
          <c:showSerName val="0"/>
          <c:showPercent val="0"/>
          <c:showBubbleSize val="0"/>
        </c:dLbls>
        <c:gapWidth val="100"/>
        <c:overlap val="-24"/>
        <c:axId val="303002752"/>
        <c:axId val="303004288"/>
      </c:barChart>
      <c:catAx>
        <c:axId val="3030027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004288"/>
        <c:crosses val="autoZero"/>
        <c:auto val="1"/>
        <c:lblAlgn val="ctr"/>
        <c:lblOffset val="100"/>
        <c:noMultiLvlLbl val="0"/>
      </c:catAx>
      <c:valAx>
        <c:axId val="30300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00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A3682D82-F5BC-4531-844A-758E899F22A8}">
  <ds:schemaRefs>
    <ds:schemaRef ds:uri="http://schemas.openxmlformats.org/officeDocument/2006/bibliography"/>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2475</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adrian vasile</dc:creator>
  <cp:keywords/>
  <dc:description/>
  <cp:lastModifiedBy>adrian vasile</cp:lastModifiedBy>
  <cp:revision>3</cp:revision>
  <dcterms:created xsi:type="dcterms:W3CDTF">2023-02-27T15:16:00Z</dcterms:created>
  <dcterms:modified xsi:type="dcterms:W3CDTF">2023-02-27T15:17:00Z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6739244d5bd96bc989e1fcdd8e7cb34fe8f4d6d4271136a34ad06f95ab69cafe</vt:lpwstr>
  </property>
</Properties>
</file>