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4F81BD" w:themeColor="accent1"/>
          <w:sz w:val="22"/>
        </w:rPr>
        <w:id w:val="-1033654657"/>
        <w:docPartObj>
          <w:docPartGallery w:val="Cover Pages"/>
          <w:docPartUnique/>
        </w:docPartObj>
      </w:sdtPr>
      <w:sdtEndPr>
        <w:rPr>
          <w:bCs/>
          <w:color w:val="1F4E79"/>
        </w:rPr>
      </w:sdtEndPr>
      <w:sdtContent>
        <w:p w14:paraId="0B9C783E" w14:textId="4DEEE773" w:rsidR="00C10EEC" w:rsidRDefault="00C10EEC">
          <w:pPr>
            <w:pStyle w:val="NoSpacing"/>
            <w:spacing w:before="1540" w:after="240"/>
            <w:jc w:val="center"/>
            <w:rPr>
              <w:color w:val="4F81BD" w:themeColor="accent1"/>
            </w:rPr>
          </w:pPr>
          <w:r>
            <w:rPr>
              <w:noProof/>
              <w:color w:val="4F81BD" w:themeColor="accent1"/>
            </w:rPr>
            <w:drawing>
              <wp:inline distT="0" distB="0" distL="0" distR="0" wp14:anchorId="1EB54537" wp14:editId="2B2D1B2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FE75901C9D74BC2A5E6AFE181978A8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BDAC08" w14:textId="1D990B00" w:rsidR="00C10EEC" w:rsidRDefault="00C10EE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 UK-U.S</w:t>
              </w:r>
              <w:r w:rsidR="00E866DA">
                <w:rPr>
                  <w:rFonts w:asciiTheme="majorHAnsi" w:eastAsiaTheme="majorEastAsia" w:hAnsiTheme="majorHAnsi" w:cstheme="majorBidi"/>
                  <w:caps/>
                  <w:color w:val="4F81BD" w:themeColor="accent1"/>
                  <w:sz w:val="72"/>
                  <w:szCs w:val="72"/>
                </w:rPr>
                <w:t>.</w:t>
              </w:r>
              <w:r>
                <w:rPr>
                  <w:rFonts w:asciiTheme="majorHAnsi" w:eastAsiaTheme="majorEastAsia" w:hAnsiTheme="majorHAnsi" w:cstheme="majorBidi"/>
                  <w:caps/>
                  <w:color w:val="4F81BD" w:themeColor="accent1"/>
                  <w:sz w:val="72"/>
                  <w:szCs w:val="72"/>
                </w:rPr>
                <w:t xml:space="preserve"> Strategic Advisory report for jpmorgan chaSe &amp; Co</w:t>
              </w:r>
              <w:r w:rsidR="00575854">
                <w:rPr>
                  <w:rFonts w:asciiTheme="majorHAnsi" w:eastAsiaTheme="majorEastAsia" w:hAnsiTheme="majorHAnsi" w:cstheme="majorBidi"/>
                  <w:caps/>
                  <w:color w:val="4F81BD" w:themeColor="accent1"/>
                  <w:sz w:val="72"/>
                  <w:szCs w:val="72"/>
                </w:rPr>
                <w:t>.</w:t>
              </w:r>
            </w:p>
          </w:sdtContent>
        </w:sdt>
        <w:sdt>
          <w:sdtPr>
            <w:rPr>
              <w:color w:val="4F81BD" w:themeColor="accent1"/>
              <w:sz w:val="28"/>
              <w:szCs w:val="28"/>
            </w:rPr>
            <w:alias w:val="Subtitle"/>
            <w:tag w:val=""/>
            <w:id w:val="328029620"/>
            <w:placeholder>
              <w:docPart w:val="AE473271457D49F280E6D89A92CD30C8"/>
            </w:placeholder>
            <w:dataBinding w:prefixMappings="xmlns:ns0='http://purl.org/dc/elements/1.1/' xmlns:ns1='http://schemas.openxmlformats.org/package/2006/metadata/core-properties' " w:xpath="/ns1:coreProperties[1]/ns0:subject[1]" w:storeItemID="{6C3C8BC8-F283-45AE-878A-BAB7291924A1}"/>
            <w:text/>
          </w:sdtPr>
          <w:sdtContent>
            <w:p w14:paraId="637D69A6" w14:textId="273F9A49" w:rsidR="00C10EEC" w:rsidRDefault="00575854">
              <w:pPr>
                <w:pStyle w:val="NoSpacing"/>
                <w:jc w:val="center"/>
                <w:rPr>
                  <w:color w:val="4F81BD" w:themeColor="accent1"/>
                  <w:sz w:val="28"/>
                  <w:szCs w:val="28"/>
                </w:rPr>
              </w:pPr>
              <w:r>
                <w:rPr>
                  <w:color w:val="4F81BD" w:themeColor="accent1"/>
                  <w:sz w:val="28"/>
                  <w:szCs w:val="28"/>
                </w:rPr>
                <w:t>GLOBAL BUSINESS CHALLENGES [BMMB7006]</w:t>
              </w:r>
              <w:r w:rsidR="00E821A1">
                <w:rPr>
                  <w:color w:val="4F81BD" w:themeColor="accent1"/>
                  <w:sz w:val="28"/>
                  <w:szCs w:val="28"/>
                </w:rPr>
                <w:t xml:space="preserve">                                                                  MOHD RAVISH</w:t>
              </w:r>
              <w:r w:rsidR="00DE33C3">
                <w:rPr>
                  <w:color w:val="4F81BD" w:themeColor="accent1"/>
                  <w:sz w:val="28"/>
                  <w:szCs w:val="28"/>
                </w:rPr>
                <w:t xml:space="preserve"> [2523743]</w:t>
              </w:r>
            </w:p>
          </w:sdtContent>
        </w:sdt>
        <w:p w14:paraId="5D4AEEBA" w14:textId="77777777" w:rsidR="00C10EEC" w:rsidRDefault="00C10EEC">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7C78A97F" wp14:editId="3C0B5BA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690537DF" w14:textId="21EEE29B" w:rsidR="00C10EEC" w:rsidRDefault="00FA7437">
                                    <w:pPr>
                                      <w:pStyle w:val="NoSpacing"/>
                                      <w:spacing w:after="40"/>
                                      <w:jc w:val="center"/>
                                      <w:rPr>
                                        <w:caps/>
                                        <w:color w:val="4F81BD" w:themeColor="accent1"/>
                                        <w:sz w:val="28"/>
                                        <w:szCs w:val="28"/>
                                      </w:rPr>
                                    </w:pPr>
                                    <w:r>
                                      <w:rPr>
                                        <w:caps/>
                                        <w:color w:val="4F81BD" w:themeColor="accent1"/>
                                        <w:sz w:val="28"/>
                                        <w:szCs w:val="28"/>
                                      </w:rPr>
                                      <w:t>April 27, 2026</w:t>
                                    </w:r>
                                  </w:p>
                                </w:sdtContent>
                              </w:sdt>
                              <w:p w14:paraId="083D44CD" w14:textId="0D776D70" w:rsidR="00C10EEC" w:rsidRDefault="00000000">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13FBE">
                                      <w:rPr>
                                        <w:caps/>
                                        <w:color w:val="4F81BD" w:themeColor="accent1"/>
                                      </w:rPr>
                                      <w:t xml:space="preserve">     </w:t>
                                    </w:r>
                                  </w:sdtContent>
                                </w:sdt>
                              </w:p>
                              <w:p w14:paraId="31851755" w14:textId="2EDCBA7A" w:rsidR="00C10EEC" w:rsidRDefault="00000000">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866DA">
                                      <w:rPr>
                                        <w:color w:val="4F81BD" w:themeColor="accent1"/>
                                      </w:rPr>
                                      <w:t xml:space="preserve">     </w:t>
                                    </w:r>
                                  </w:sdtContent>
                                </w:sdt>
                                <w:r w:rsidR="00E866DA">
                                  <w:rPr>
                                    <w:color w:val="4F81BD" w:themeColor="accent1"/>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78A97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7T00:00:00Z">
                              <w:dateFormat w:val="MMMM d, yyyy"/>
                              <w:lid w:val="en-US"/>
                              <w:storeMappedDataAs w:val="dateTime"/>
                              <w:calendar w:val="gregorian"/>
                            </w:date>
                          </w:sdtPr>
                          <w:sdtContent>
                            <w:p w14:paraId="690537DF" w14:textId="21EEE29B" w:rsidR="00C10EEC" w:rsidRDefault="00FA7437">
                              <w:pPr>
                                <w:pStyle w:val="NoSpacing"/>
                                <w:spacing w:after="40"/>
                                <w:jc w:val="center"/>
                                <w:rPr>
                                  <w:caps/>
                                  <w:color w:val="4F81BD" w:themeColor="accent1"/>
                                  <w:sz w:val="28"/>
                                  <w:szCs w:val="28"/>
                                </w:rPr>
                              </w:pPr>
                              <w:r>
                                <w:rPr>
                                  <w:caps/>
                                  <w:color w:val="4F81BD" w:themeColor="accent1"/>
                                  <w:sz w:val="28"/>
                                  <w:szCs w:val="28"/>
                                </w:rPr>
                                <w:t>April 27, 2026</w:t>
                              </w:r>
                            </w:p>
                          </w:sdtContent>
                        </w:sdt>
                        <w:p w14:paraId="083D44CD" w14:textId="0D776D70" w:rsidR="00C10EEC" w:rsidRDefault="00C10EEC">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13FBE">
                                <w:rPr>
                                  <w:caps/>
                                  <w:color w:val="4F81BD" w:themeColor="accent1"/>
                                </w:rPr>
                                <w:t xml:space="preserve">     </w:t>
                              </w:r>
                            </w:sdtContent>
                          </w:sdt>
                        </w:p>
                        <w:p w14:paraId="31851755" w14:textId="2EDCBA7A" w:rsidR="00C10EEC" w:rsidRDefault="00C10EEC">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866DA">
                                <w:rPr>
                                  <w:color w:val="4F81BD" w:themeColor="accent1"/>
                                </w:rPr>
                                <w:t xml:space="preserve">     </w:t>
                              </w:r>
                            </w:sdtContent>
                          </w:sdt>
                          <w:r w:rsidR="00E866DA">
                            <w:rPr>
                              <w:color w:val="4F81BD" w:themeColor="accent1"/>
                            </w:rPr>
                            <w:t>UNIVERSITY OF WALES TRINITY SAINT DAVID</w:t>
                          </w:r>
                        </w:p>
                      </w:txbxContent>
                    </v:textbox>
                    <w10:wrap anchorx="margin" anchory="page"/>
                  </v:shape>
                </w:pict>
              </mc:Fallback>
            </mc:AlternateContent>
          </w:r>
          <w:r>
            <w:rPr>
              <w:noProof/>
              <w:color w:val="4F81BD" w:themeColor="accent1"/>
            </w:rPr>
            <w:drawing>
              <wp:inline distT="0" distB="0" distL="0" distR="0" wp14:anchorId="1AC812E0" wp14:editId="0888E2D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AE2B1D" w14:textId="57DED54C" w:rsidR="00655FE5" w:rsidRPr="00E866DA" w:rsidRDefault="00C10EEC" w:rsidP="00E866DA">
          <w:pPr>
            <w:spacing w:line="264" w:lineRule="auto"/>
            <w:jc w:val="left"/>
            <w:rPr>
              <w:bCs/>
              <w:color w:val="1F4E79"/>
            </w:rPr>
          </w:pPr>
          <w:r>
            <w:rPr>
              <w:bCs/>
              <w:color w:val="1F4E79"/>
            </w:rPr>
            <w:br w:type="page"/>
          </w:r>
        </w:p>
      </w:sdtContent>
    </w:sdt>
    <w:tbl>
      <w:tblPr>
        <w:tblStyle w:val="TableGrid"/>
        <w:tblpPr w:leftFromText="180" w:rightFromText="180" w:vertAnchor="page" w:horzAnchor="margin" w:tblpY="1861"/>
        <w:tblW w:w="0" w:type="auto"/>
        <w:tblLook w:val="04A0" w:firstRow="1" w:lastRow="0" w:firstColumn="1" w:lastColumn="0" w:noHBand="0" w:noVBand="1"/>
      </w:tblPr>
      <w:tblGrid>
        <w:gridCol w:w="4714"/>
        <w:gridCol w:w="4714"/>
      </w:tblGrid>
      <w:tr w:rsidR="00655FE5" w:rsidRPr="005752BF" w14:paraId="38FC6D36" w14:textId="77777777" w:rsidTr="00DE33C3">
        <w:trPr>
          <w:trHeight w:val="446"/>
        </w:trPr>
        <w:tc>
          <w:tcPr>
            <w:tcW w:w="4714" w:type="dxa"/>
            <w:shd w:val="clear" w:color="auto" w:fill="EEF5FB"/>
            <w:tcMar>
              <w:top w:w="110" w:type="dxa"/>
              <w:left w:w="110" w:type="dxa"/>
              <w:bottom w:w="110" w:type="dxa"/>
              <w:right w:w="110" w:type="dxa"/>
            </w:tcMar>
            <w:vAlign w:val="center"/>
          </w:tcPr>
          <w:p w14:paraId="45B8C66F" w14:textId="75C3B66B" w:rsidR="00655FE5" w:rsidRPr="005752BF" w:rsidRDefault="00DB345A" w:rsidP="0051536C">
            <w:pPr>
              <w:rPr>
                <w:bCs/>
              </w:rPr>
            </w:pPr>
            <w:r w:rsidRPr="005752BF">
              <w:rPr>
                <w:bCs/>
                <w:color w:val="1F4E79"/>
              </w:rPr>
              <w:lastRenderedPageBreak/>
              <w:t>Client</w:t>
            </w:r>
          </w:p>
        </w:tc>
        <w:tc>
          <w:tcPr>
            <w:tcW w:w="4714" w:type="dxa"/>
            <w:tcMar>
              <w:top w:w="110" w:type="dxa"/>
              <w:left w:w="110" w:type="dxa"/>
              <w:bottom w:w="110" w:type="dxa"/>
              <w:right w:w="110" w:type="dxa"/>
            </w:tcMar>
            <w:vAlign w:val="center"/>
          </w:tcPr>
          <w:p w14:paraId="5CA1746D" w14:textId="77777777" w:rsidR="00655FE5" w:rsidRPr="005752BF" w:rsidRDefault="00DB345A" w:rsidP="0051536C">
            <w:pPr>
              <w:rPr>
                <w:bCs/>
              </w:rPr>
            </w:pPr>
            <w:r w:rsidRPr="005752BF">
              <w:rPr>
                <w:bCs/>
              </w:rPr>
              <w:t>JPMorgan Chase &amp; Co.</w:t>
            </w:r>
          </w:p>
        </w:tc>
      </w:tr>
      <w:tr w:rsidR="00655FE5" w:rsidRPr="005752BF" w14:paraId="0826228B" w14:textId="77777777" w:rsidTr="00DE33C3">
        <w:trPr>
          <w:trHeight w:val="433"/>
        </w:trPr>
        <w:tc>
          <w:tcPr>
            <w:tcW w:w="4714" w:type="dxa"/>
            <w:shd w:val="clear" w:color="auto" w:fill="EEF5FB"/>
            <w:tcMar>
              <w:top w:w="110" w:type="dxa"/>
              <w:left w:w="110" w:type="dxa"/>
              <w:bottom w:w="110" w:type="dxa"/>
              <w:right w:w="110" w:type="dxa"/>
            </w:tcMar>
            <w:vAlign w:val="center"/>
          </w:tcPr>
          <w:p w14:paraId="46F694DF" w14:textId="77777777" w:rsidR="00655FE5" w:rsidRPr="005752BF" w:rsidRDefault="00DB345A" w:rsidP="0051536C">
            <w:pPr>
              <w:rPr>
                <w:bCs/>
              </w:rPr>
            </w:pPr>
            <w:r w:rsidRPr="005752BF">
              <w:rPr>
                <w:bCs/>
                <w:color w:val="1F4E79"/>
              </w:rPr>
              <w:t>Jurisdictions analysed</w:t>
            </w:r>
          </w:p>
        </w:tc>
        <w:tc>
          <w:tcPr>
            <w:tcW w:w="4714" w:type="dxa"/>
            <w:tcMar>
              <w:top w:w="110" w:type="dxa"/>
              <w:left w:w="110" w:type="dxa"/>
              <w:bottom w:w="110" w:type="dxa"/>
              <w:right w:w="110" w:type="dxa"/>
            </w:tcMar>
            <w:vAlign w:val="center"/>
          </w:tcPr>
          <w:p w14:paraId="7CBA0A32" w14:textId="77777777" w:rsidR="00655FE5" w:rsidRPr="005752BF" w:rsidRDefault="00DB345A" w:rsidP="0051536C">
            <w:pPr>
              <w:rPr>
                <w:bCs/>
              </w:rPr>
            </w:pPr>
            <w:r w:rsidRPr="005752BF">
              <w:rPr>
                <w:bCs/>
              </w:rPr>
              <w:t>United Kingdom and United States</w:t>
            </w:r>
          </w:p>
        </w:tc>
      </w:tr>
      <w:tr w:rsidR="00655FE5" w:rsidRPr="005752BF" w14:paraId="3D546351" w14:textId="77777777" w:rsidTr="00DE33C3">
        <w:trPr>
          <w:trHeight w:val="880"/>
        </w:trPr>
        <w:tc>
          <w:tcPr>
            <w:tcW w:w="4714" w:type="dxa"/>
            <w:shd w:val="clear" w:color="auto" w:fill="EEF5FB"/>
            <w:tcMar>
              <w:top w:w="110" w:type="dxa"/>
              <w:left w:w="110" w:type="dxa"/>
              <w:bottom w:w="110" w:type="dxa"/>
              <w:right w:w="110" w:type="dxa"/>
            </w:tcMar>
            <w:vAlign w:val="center"/>
          </w:tcPr>
          <w:p w14:paraId="3A07E412" w14:textId="77777777" w:rsidR="00655FE5" w:rsidRPr="005752BF" w:rsidRDefault="00DB345A" w:rsidP="0051536C">
            <w:pPr>
              <w:rPr>
                <w:bCs/>
              </w:rPr>
            </w:pPr>
            <w:r w:rsidRPr="005752BF">
              <w:rPr>
                <w:bCs/>
                <w:color w:val="1F4E79"/>
              </w:rPr>
              <w:t>Primary issue</w:t>
            </w:r>
          </w:p>
        </w:tc>
        <w:tc>
          <w:tcPr>
            <w:tcW w:w="4714" w:type="dxa"/>
            <w:tcMar>
              <w:top w:w="110" w:type="dxa"/>
              <w:left w:w="110" w:type="dxa"/>
              <w:bottom w:w="110" w:type="dxa"/>
              <w:right w:w="110" w:type="dxa"/>
            </w:tcMar>
            <w:vAlign w:val="center"/>
          </w:tcPr>
          <w:p w14:paraId="5BC55B82" w14:textId="77777777" w:rsidR="00655FE5" w:rsidRPr="005752BF" w:rsidRDefault="00DB345A" w:rsidP="0051536C">
            <w:pPr>
              <w:rPr>
                <w:bCs/>
              </w:rPr>
            </w:pPr>
            <w:r w:rsidRPr="005752BF">
              <w:rPr>
                <w:bCs/>
              </w:rPr>
              <w:t>AI risk management, conduct risk and governance scalability</w:t>
            </w:r>
          </w:p>
        </w:tc>
      </w:tr>
      <w:tr w:rsidR="00DE33C3" w:rsidRPr="005752BF" w14:paraId="1FC12DBC" w14:textId="77777777" w:rsidTr="00DE33C3">
        <w:trPr>
          <w:trHeight w:val="880"/>
        </w:trPr>
        <w:tc>
          <w:tcPr>
            <w:tcW w:w="4714" w:type="dxa"/>
            <w:shd w:val="clear" w:color="auto" w:fill="EEF5FB"/>
            <w:tcMar>
              <w:top w:w="110" w:type="dxa"/>
              <w:left w:w="110" w:type="dxa"/>
              <w:bottom w:w="110" w:type="dxa"/>
              <w:right w:w="110" w:type="dxa"/>
            </w:tcMar>
            <w:vAlign w:val="center"/>
          </w:tcPr>
          <w:p w14:paraId="666DBAB5" w14:textId="17E66CD2" w:rsidR="00DE33C3" w:rsidRPr="005752BF" w:rsidRDefault="00DE33C3" w:rsidP="0051536C">
            <w:pPr>
              <w:rPr>
                <w:bCs/>
                <w:color w:val="1F4E79"/>
              </w:rPr>
            </w:pPr>
            <w:r>
              <w:rPr>
                <w:bCs/>
                <w:color w:val="1F4E79"/>
              </w:rPr>
              <w:t>Words count</w:t>
            </w:r>
          </w:p>
        </w:tc>
        <w:tc>
          <w:tcPr>
            <w:tcW w:w="4714" w:type="dxa"/>
            <w:tcMar>
              <w:top w:w="110" w:type="dxa"/>
              <w:left w:w="110" w:type="dxa"/>
              <w:bottom w:w="110" w:type="dxa"/>
              <w:right w:w="110" w:type="dxa"/>
            </w:tcMar>
            <w:vAlign w:val="center"/>
          </w:tcPr>
          <w:p w14:paraId="1AA0A406" w14:textId="7DE981C3" w:rsidR="00DE33C3" w:rsidRPr="005752BF" w:rsidRDefault="00DE33C3" w:rsidP="0051536C">
            <w:pPr>
              <w:rPr>
                <w:bCs/>
              </w:rPr>
            </w:pPr>
            <w:r>
              <w:rPr>
                <w:bCs/>
              </w:rPr>
              <w:t>5260</w:t>
            </w:r>
          </w:p>
        </w:tc>
      </w:tr>
    </w:tbl>
    <w:p w14:paraId="06D46E0A" w14:textId="77777777" w:rsidR="00655FE5" w:rsidRPr="005752BF" w:rsidRDefault="00655FE5">
      <w:pPr>
        <w:rPr>
          <w:bCs/>
        </w:rPr>
      </w:pPr>
    </w:p>
    <w:p w14:paraId="1E8E376C" w14:textId="1FCED6A8" w:rsidR="00655FE5" w:rsidRPr="005752BF" w:rsidRDefault="006B7B04">
      <w:pPr>
        <w:pStyle w:val="SubtitleLine"/>
        <w:jc w:val="center"/>
        <w:rPr>
          <w:bCs/>
        </w:rPr>
      </w:pPr>
      <w:r w:rsidRPr="005752BF">
        <w:rPr>
          <w:bCs/>
        </w:rPr>
        <w:t xml:space="preserve"> </w:t>
      </w:r>
    </w:p>
    <w:p w14:paraId="13BE9F11" w14:textId="77777777" w:rsidR="00A8155A" w:rsidRPr="005752BF" w:rsidRDefault="00A8155A" w:rsidP="002703B3">
      <w:pPr>
        <w:rPr>
          <w:bCs/>
        </w:rPr>
      </w:pPr>
      <w:r w:rsidRPr="005752BF">
        <w:rPr>
          <w:bCs/>
        </w:rPr>
        <w:br w:type="page"/>
      </w:r>
    </w:p>
    <w:p w14:paraId="560BFB7E" w14:textId="228998FB" w:rsidR="00655FE5" w:rsidRPr="009C56AE" w:rsidRDefault="00DB345A" w:rsidP="009C56AE">
      <w:pPr>
        <w:pStyle w:val="Heading1"/>
        <w:numPr>
          <w:ilvl w:val="0"/>
          <w:numId w:val="40"/>
        </w:numPr>
      </w:pPr>
      <w:bookmarkStart w:id="0" w:name="_Toc228177135"/>
      <w:r w:rsidRPr="009C56AE">
        <w:lastRenderedPageBreak/>
        <w:t>Executive Summary</w:t>
      </w:r>
      <w:bookmarkEnd w:id="0"/>
    </w:p>
    <w:p w14:paraId="11C91287" w14:textId="77777777" w:rsidR="00B47E9D" w:rsidRPr="005752BF" w:rsidRDefault="00B47E9D" w:rsidP="005752BF">
      <w:r w:rsidRPr="005752BF">
        <w:t xml:space="preserve">JPMorgan Chase ought to consider artificial intelligence governance as a fundamental risk-management field, as opposed to a technology-side innovation programme. Credit, fraud detection, complaints handling, personalization, cybersecurity, employee decision support, and operational resilience are already AI-informed in the banking industry. The strategic issue is whether JPMorgan can scale AI without normalising weak accountability, harming customers, misusing models, or failing </w:t>
      </w:r>
      <w:r w:rsidRPr="005752BF">
        <w:rPr>
          <w:rStyle w:val="Strong"/>
          <w:b w:val="0"/>
        </w:rPr>
        <w:t>to provide adequate</w:t>
      </w:r>
      <w:r w:rsidRPr="005752BF">
        <w:t xml:space="preserve"> supervision.</w:t>
      </w:r>
    </w:p>
    <w:p w14:paraId="69D880D5" w14:textId="77777777" w:rsidR="00B47E9D" w:rsidRPr="005752BF" w:rsidRDefault="00B47E9D" w:rsidP="005752BF">
      <w:r w:rsidRPr="005752BF">
        <w:t xml:space="preserve">This report posits that the AI problem at JPMorgan can be viewed as a governance-at-scale issue that is caused by the interplay of model risk, conduct risk, data governance, and third-party concentration within two </w:t>
      </w:r>
      <w:r w:rsidRPr="005752BF">
        <w:rPr>
          <w:rStyle w:val="Strong"/>
          <w:b w:val="0"/>
        </w:rPr>
        <w:t>differently structured</w:t>
      </w:r>
      <w:r w:rsidRPr="005752BF">
        <w:t xml:space="preserve"> regulatory frameworks. The firm in the United Kingdom is confronted with a </w:t>
      </w:r>
      <w:r w:rsidRPr="005752BF">
        <w:rPr>
          <w:rStyle w:val="Strong"/>
          <w:b w:val="0"/>
        </w:rPr>
        <w:t>principles-based</w:t>
      </w:r>
      <w:r w:rsidRPr="005752BF">
        <w:t xml:space="preserve"> regime in which the Financial Conduct Authority anticipates AI to adhere to the current frameworks like Consumer Duty and senior-management accountability. Only </w:t>
      </w:r>
      <w:r w:rsidRPr="005752BF">
        <w:rPr>
          <w:rStyle w:val="Strong"/>
          <w:b w:val="0"/>
        </w:rPr>
        <w:t>with</w:t>
      </w:r>
      <w:r w:rsidRPr="005752BF">
        <w:t xml:space="preserve"> protections like information, challenge rights and human intervention </w:t>
      </w:r>
      <w:r w:rsidRPr="005752BF">
        <w:rPr>
          <w:rStyle w:val="Strong"/>
          <w:b w:val="0"/>
        </w:rPr>
        <w:t>does</w:t>
      </w:r>
      <w:r w:rsidRPr="005752BF">
        <w:t xml:space="preserve"> the Data (Use and Access) Act 2025 permit solely automated significant decisions in certain cases. The United States does not </w:t>
      </w:r>
      <w:r w:rsidRPr="005752BF">
        <w:rPr>
          <w:rStyle w:val="Strong"/>
          <w:b w:val="0"/>
        </w:rPr>
        <w:t>yet</w:t>
      </w:r>
      <w:r w:rsidRPr="005752BF">
        <w:t xml:space="preserve"> have a single omnibus AI law, but the practical regime is not permissive: SR 11-7 remains in place to regulate model governance, the CFPB demands particular justification of adverse action despite the use of complex algorithms, and Treasury and the OCC have both noted AI-related risks to concentration, compliance, and resilience.</w:t>
      </w:r>
    </w:p>
    <w:p w14:paraId="31D369A2" w14:textId="521986A6" w:rsidR="00B47E9D" w:rsidRPr="005752BF" w:rsidRDefault="00B47E9D" w:rsidP="005752BF">
      <w:r w:rsidRPr="005752BF">
        <w:t xml:space="preserve">It is suggested in the report that there is one enterprise AI control architecture and local legal overlays. The operating model must have a required AI inventory, </w:t>
      </w:r>
      <w:r w:rsidRPr="005752BF">
        <w:rPr>
          <w:rStyle w:val="Strong"/>
          <w:b w:val="0"/>
        </w:rPr>
        <w:t>a</w:t>
      </w:r>
      <w:r w:rsidRPr="005752BF">
        <w:t xml:space="preserve"> four-level use-case categorisation, independent verification of customer-impacting and high-impact systems, enhanced third-party AI procurement policies, standardised model cards and audit records, and compulsory human review of </w:t>
      </w:r>
      <w:r w:rsidRPr="005752BF">
        <w:rPr>
          <w:rStyle w:val="Strong"/>
          <w:b w:val="0"/>
        </w:rPr>
        <w:t>AI systems</w:t>
      </w:r>
      <w:r w:rsidRPr="005752BF">
        <w:t xml:space="preserve"> that </w:t>
      </w:r>
      <w:r w:rsidRPr="005752BF">
        <w:rPr>
          <w:rStyle w:val="Strong"/>
          <w:b w:val="0"/>
        </w:rPr>
        <w:t>materially impact</w:t>
      </w:r>
      <w:r w:rsidRPr="005752BF">
        <w:t xml:space="preserve"> customer treatment. </w:t>
      </w:r>
      <w:r w:rsidR="00615A84">
        <w:rPr>
          <w:rStyle w:val="Strong"/>
          <w:b w:val="0"/>
        </w:rPr>
        <w:t xml:space="preserve"> </w:t>
      </w:r>
    </w:p>
    <w:p w14:paraId="7D169B86" w14:textId="77777777" w:rsidR="00A8155A" w:rsidRPr="005752BF" w:rsidRDefault="00A8155A">
      <w:pPr>
        <w:rPr>
          <w:bCs/>
        </w:rPr>
      </w:pPr>
      <w:r w:rsidRPr="005752BF">
        <w:rPr>
          <w:bCs/>
        </w:rPr>
        <w:br w:type="page"/>
      </w:r>
    </w:p>
    <w:sdt>
      <w:sdtPr>
        <w:rPr>
          <w:rFonts w:ascii="Aptos" w:eastAsia="Aptos" w:hAnsi="Aptos" w:cstheme="minorBidi"/>
          <w:b w:val="0"/>
          <w:bCs/>
          <w:color w:val="auto"/>
          <w:sz w:val="22"/>
          <w:szCs w:val="22"/>
        </w:rPr>
        <w:id w:val="-642350673"/>
        <w:docPartObj>
          <w:docPartGallery w:val="Table of Contents"/>
          <w:docPartUnique/>
        </w:docPartObj>
      </w:sdtPr>
      <w:sdtEndPr>
        <w:rPr>
          <w:rFonts w:ascii="Arial" w:eastAsiaTheme="minorEastAsia" w:hAnsi="Arial"/>
          <w:bCs w:val="0"/>
          <w:noProof/>
          <w:szCs w:val="21"/>
        </w:rPr>
      </w:sdtEndPr>
      <w:sdtContent>
        <w:p w14:paraId="22BD7FDA" w14:textId="3B05E980" w:rsidR="00A8155A" w:rsidRPr="009C56AE" w:rsidRDefault="00A8155A">
          <w:pPr>
            <w:pStyle w:val="TOCHeading"/>
          </w:pPr>
          <w:r w:rsidRPr="009C56AE">
            <w:t>Table of Contents</w:t>
          </w:r>
        </w:p>
        <w:p w14:paraId="5FDFD8CD" w14:textId="419295FE" w:rsidR="005F14D0" w:rsidRDefault="00A8155A">
          <w:pPr>
            <w:pStyle w:val="TOC1"/>
            <w:tabs>
              <w:tab w:val="left" w:pos="440"/>
              <w:tab w:val="right" w:leader="dot" w:pos="9638"/>
            </w:tabs>
            <w:rPr>
              <w:rFonts w:asciiTheme="minorHAnsi" w:hAnsiTheme="minorHAnsi"/>
              <w:noProof/>
              <w:szCs w:val="22"/>
            </w:rPr>
          </w:pPr>
          <w:r w:rsidRPr="005752BF">
            <w:rPr>
              <w:bCs/>
            </w:rPr>
            <w:fldChar w:fldCharType="begin"/>
          </w:r>
          <w:r w:rsidRPr="005752BF">
            <w:rPr>
              <w:bCs/>
            </w:rPr>
            <w:instrText xml:space="preserve"> TOC \o "1-3" \h \z \u </w:instrText>
          </w:r>
          <w:r w:rsidRPr="005752BF">
            <w:rPr>
              <w:bCs/>
            </w:rPr>
            <w:fldChar w:fldCharType="separate"/>
          </w:r>
          <w:hyperlink w:anchor="_Toc228177135" w:history="1">
            <w:r w:rsidR="005F14D0" w:rsidRPr="00BA3244">
              <w:rPr>
                <w:rStyle w:val="Hyperlink"/>
                <w:noProof/>
              </w:rPr>
              <w:t>1.</w:t>
            </w:r>
            <w:r w:rsidR="005F14D0">
              <w:rPr>
                <w:rFonts w:asciiTheme="minorHAnsi" w:hAnsiTheme="minorHAnsi"/>
                <w:noProof/>
                <w:szCs w:val="22"/>
              </w:rPr>
              <w:tab/>
            </w:r>
            <w:r w:rsidR="005F14D0" w:rsidRPr="00BA3244">
              <w:rPr>
                <w:rStyle w:val="Hyperlink"/>
                <w:noProof/>
              </w:rPr>
              <w:t>Executive Summary</w:t>
            </w:r>
            <w:r w:rsidR="005F14D0">
              <w:rPr>
                <w:noProof/>
                <w:webHidden/>
              </w:rPr>
              <w:tab/>
            </w:r>
            <w:r w:rsidR="005F14D0">
              <w:rPr>
                <w:noProof/>
                <w:webHidden/>
              </w:rPr>
              <w:fldChar w:fldCharType="begin"/>
            </w:r>
            <w:r w:rsidR="005F14D0">
              <w:rPr>
                <w:noProof/>
                <w:webHidden/>
              </w:rPr>
              <w:instrText xml:space="preserve"> PAGEREF _Toc228177135 \h </w:instrText>
            </w:r>
            <w:r w:rsidR="005F14D0">
              <w:rPr>
                <w:noProof/>
                <w:webHidden/>
              </w:rPr>
            </w:r>
            <w:r w:rsidR="005F14D0">
              <w:rPr>
                <w:noProof/>
                <w:webHidden/>
              </w:rPr>
              <w:fldChar w:fldCharType="separate"/>
            </w:r>
            <w:r w:rsidR="005F14D0">
              <w:rPr>
                <w:noProof/>
                <w:webHidden/>
              </w:rPr>
              <w:t>2</w:t>
            </w:r>
            <w:r w:rsidR="005F14D0">
              <w:rPr>
                <w:noProof/>
                <w:webHidden/>
              </w:rPr>
              <w:fldChar w:fldCharType="end"/>
            </w:r>
          </w:hyperlink>
        </w:p>
        <w:p w14:paraId="298D152E" w14:textId="6BAEBA55" w:rsidR="005F14D0" w:rsidRDefault="005F14D0">
          <w:pPr>
            <w:pStyle w:val="TOC1"/>
            <w:tabs>
              <w:tab w:val="left" w:pos="440"/>
              <w:tab w:val="right" w:leader="dot" w:pos="9638"/>
            </w:tabs>
            <w:rPr>
              <w:rFonts w:asciiTheme="minorHAnsi" w:hAnsiTheme="minorHAnsi"/>
              <w:noProof/>
              <w:szCs w:val="22"/>
            </w:rPr>
          </w:pPr>
          <w:hyperlink w:anchor="_Toc228177136" w:history="1">
            <w:r w:rsidRPr="00BA3244">
              <w:rPr>
                <w:rStyle w:val="Hyperlink"/>
                <w:noProof/>
              </w:rPr>
              <w:t>2.</w:t>
            </w:r>
            <w:r>
              <w:rPr>
                <w:rFonts w:asciiTheme="minorHAnsi" w:hAnsiTheme="minorHAnsi"/>
                <w:noProof/>
                <w:szCs w:val="22"/>
              </w:rPr>
              <w:tab/>
            </w:r>
            <w:r w:rsidRPr="00BA3244">
              <w:rPr>
                <w:rStyle w:val="Hyperlink"/>
                <w:noProof/>
              </w:rPr>
              <w:t>Introduction</w:t>
            </w:r>
            <w:r>
              <w:rPr>
                <w:noProof/>
                <w:webHidden/>
              </w:rPr>
              <w:tab/>
            </w:r>
            <w:r>
              <w:rPr>
                <w:noProof/>
                <w:webHidden/>
              </w:rPr>
              <w:fldChar w:fldCharType="begin"/>
            </w:r>
            <w:r>
              <w:rPr>
                <w:noProof/>
                <w:webHidden/>
              </w:rPr>
              <w:instrText xml:space="preserve"> PAGEREF _Toc228177136 \h </w:instrText>
            </w:r>
            <w:r>
              <w:rPr>
                <w:noProof/>
                <w:webHidden/>
              </w:rPr>
            </w:r>
            <w:r>
              <w:rPr>
                <w:noProof/>
                <w:webHidden/>
              </w:rPr>
              <w:fldChar w:fldCharType="separate"/>
            </w:r>
            <w:r>
              <w:rPr>
                <w:noProof/>
                <w:webHidden/>
              </w:rPr>
              <w:t>5</w:t>
            </w:r>
            <w:r>
              <w:rPr>
                <w:noProof/>
                <w:webHidden/>
              </w:rPr>
              <w:fldChar w:fldCharType="end"/>
            </w:r>
          </w:hyperlink>
        </w:p>
        <w:p w14:paraId="24723DFC" w14:textId="14E0227D" w:rsidR="005F14D0" w:rsidRDefault="005F14D0">
          <w:pPr>
            <w:pStyle w:val="TOC1"/>
            <w:tabs>
              <w:tab w:val="left" w:pos="440"/>
              <w:tab w:val="right" w:leader="dot" w:pos="9638"/>
            </w:tabs>
            <w:rPr>
              <w:rFonts w:asciiTheme="minorHAnsi" w:hAnsiTheme="minorHAnsi"/>
              <w:noProof/>
              <w:szCs w:val="22"/>
            </w:rPr>
          </w:pPr>
          <w:hyperlink w:anchor="_Toc228177137" w:history="1">
            <w:r w:rsidRPr="00BA3244">
              <w:rPr>
                <w:rStyle w:val="Hyperlink"/>
                <w:noProof/>
              </w:rPr>
              <w:t>3.</w:t>
            </w:r>
            <w:r>
              <w:rPr>
                <w:rFonts w:asciiTheme="minorHAnsi" w:hAnsiTheme="minorHAnsi"/>
                <w:noProof/>
                <w:szCs w:val="22"/>
              </w:rPr>
              <w:tab/>
            </w:r>
            <w:r w:rsidRPr="00BA3244">
              <w:rPr>
                <w:rStyle w:val="Hyperlink"/>
                <w:noProof/>
              </w:rPr>
              <w:t>Strategic and Macroeconomic Environment</w:t>
            </w:r>
            <w:r>
              <w:rPr>
                <w:noProof/>
                <w:webHidden/>
              </w:rPr>
              <w:tab/>
            </w:r>
            <w:r>
              <w:rPr>
                <w:noProof/>
                <w:webHidden/>
              </w:rPr>
              <w:fldChar w:fldCharType="begin"/>
            </w:r>
            <w:r>
              <w:rPr>
                <w:noProof/>
                <w:webHidden/>
              </w:rPr>
              <w:instrText xml:space="preserve"> PAGEREF _Toc228177137 \h </w:instrText>
            </w:r>
            <w:r>
              <w:rPr>
                <w:noProof/>
                <w:webHidden/>
              </w:rPr>
            </w:r>
            <w:r>
              <w:rPr>
                <w:noProof/>
                <w:webHidden/>
              </w:rPr>
              <w:fldChar w:fldCharType="separate"/>
            </w:r>
            <w:r>
              <w:rPr>
                <w:noProof/>
                <w:webHidden/>
              </w:rPr>
              <w:t>5</w:t>
            </w:r>
            <w:r>
              <w:rPr>
                <w:noProof/>
                <w:webHidden/>
              </w:rPr>
              <w:fldChar w:fldCharType="end"/>
            </w:r>
          </w:hyperlink>
        </w:p>
        <w:p w14:paraId="4DC0AFD5" w14:textId="5B729917" w:rsidR="005F14D0" w:rsidRDefault="005F14D0">
          <w:pPr>
            <w:pStyle w:val="TOC2"/>
            <w:tabs>
              <w:tab w:val="left" w:pos="880"/>
              <w:tab w:val="right" w:leader="dot" w:pos="9638"/>
            </w:tabs>
            <w:rPr>
              <w:rFonts w:asciiTheme="minorHAnsi" w:hAnsiTheme="minorHAnsi"/>
              <w:noProof/>
              <w:szCs w:val="22"/>
            </w:rPr>
          </w:pPr>
          <w:hyperlink w:anchor="_Toc228177138" w:history="1">
            <w:r w:rsidRPr="00BA3244">
              <w:rPr>
                <w:rStyle w:val="Hyperlink"/>
                <w:noProof/>
              </w:rPr>
              <w:t>3.1</w:t>
            </w:r>
            <w:r>
              <w:rPr>
                <w:rFonts w:asciiTheme="minorHAnsi" w:hAnsiTheme="minorHAnsi"/>
                <w:noProof/>
                <w:szCs w:val="22"/>
              </w:rPr>
              <w:tab/>
            </w:r>
            <w:r w:rsidRPr="00BA3244">
              <w:rPr>
                <w:rStyle w:val="Hyperlink"/>
                <w:noProof/>
              </w:rPr>
              <w:t>AI as a productivity and competitive necessity</w:t>
            </w:r>
            <w:r>
              <w:rPr>
                <w:noProof/>
                <w:webHidden/>
              </w:rPr>
              <w:tab/>
            </w:r>
            <w:r>
              <w:rPr>
                <w:noProof/>
                <w:webHidden/>
              </w:rPr>
              <w:fldChar w:fldCharType="begin"/>
            </w:r>
            <w:r>
              <w:rPr>
                <w:noProof/>
                <w:webHidden/>
              </w:rPr>
              <w:instrText xml:space="preserve"> PAGEREF _Toc228177138 \h </w:instrText>
            </w:r>
            <w:r>
              <w:rPr>
                <w:noProof/>
                <w:webHidden/>
              </w:rPr>
            </w:r>
            <w:r>
              <w:rPr>
                <w:noProof/>
                <w:webHidden/>
              </w:rPr>
              <w:fldChar w:fldCharType="separate"/>
            </w:r>
            <w:r>
              <w:rPr>
                <w:noProof/>
                <w:webHidden/>
              </w:rPr>
              <w:t>5</w:t>
            </w:r>
            <w:r>
              <w:rPr>
                <w:noProof/>
                <w:webHidden/>
              </w:rPr>
              <w:fldChar w:fldCharType="end"/>
            </w:r>
          </w:hyperlink>
        </w:p>
        <w:p w14:paraId="74265C90" w14:textId="6ED197CF" w:rsidR="005F14D0" w:rsidRDefault="005F14D0">
          <w:pPr>
            <w:pStyle w:val="TOC2"/>
            <w:tabs>
              <w:tab w:val="left" w:pos="880"/>
              <w:tab w:val="right" w:leader="dot" w:pos="9638"/>
            </w:tabs>
            <w:rPr>
              <w:rFonts w:asciiTheme="minorHAnsi" w:hAnsiTheme="minorHAnsi"/>
              <w:noProof/>
              <w:szCs w:val="22"/>
            </w:rPr>
          </w:pPr>
          <w:hyperlink w:anchor="_Toc228177139" w:history="1">
            <w:r w:rsidRPr="00BA3244">
              <w:rPr>
                <w:rStyle w:val="Hyperlink"/>
                <w:noProof/>
              </w:rPr>
              <w:t>3.2</w:t>
            </w:r>
            <w:r>
              <w:rPr>
                <w:rFonts w:asciiTheme="minorHAnsi" w:hAnsiTheme="minorHAnsi"/>
                <w:noProof/>
                <w:szCs w:val="22"/>
              </w:rPr>
              <w:tab/>
            </w:r>
            <w:r w:rsidRPr="00BA3244">
              <w:rPr>
                <w:rStyle w:val="Hyperlink"/>
                <w:noProof/>
              </w:rPr>
              <w:t>Reason why the logic of move fast does not work in banking</w:t>
            </w:r>
            <w:r>
              <w:rPr>
                <w:noProof/>
                <w:webHidden/>
              </w:rPr>
              <w:tab/>
            </w:r>
            <w:r>
              <w:rPr>
                <w:noProof/>
                <w:webHidden/>
              </w:rPr>
              <w:fldChar w:fldCharType="begin"/>
            </w:r>
            <w:r>
              <w:rPr>
                <w:noProof/>
                <w:webHidden/>
              </w:rPr>
              <w:instrText xml:space="preserve"> PAGEREF _Toc228177139 \h </w:instrText>
            </w:r>
            <w:r>
              <w:rPr>
                <w:noProof/>
                <w:webHidden/>
              </w:rPr>
            </w:r>
            <w:r>
              <w:rPr>
                <w:noProof/>
                <w:webHidden/>
              </w:rPr>
              <w:fldChar w:fldCharType="separate"/>
            </w:r>
            <w:r>
              <w:rPr>
                <w:noProof/>
                <w:webHidden/>
              </w:rPr>
              <w:t>6</w:t>
            </w:r>
            <w:r>
              <w:rPr>
                <w:noProof/>
                <w:webHidden/>
              </w:rPr>
              <w:fldChar w:fldCharType="end"/>
            </w:r>
          </w:hyperlink>
        </w:p>
        <w:p w14:paraId="7EB9E683" w14:textId="6A9224C9" w:rsidR="005F14D0" w:rsidRDefault="005F14D0">
          <w:pPr>
            <w:pStyle w:val="TOC2"/>
            <w:tabs>
              <w:tab w:val="left" w:pos="880"/>
              <w:tab w:val="right" w:leader="dot" w:pos="9638"/>
            </w:tabs>
            <w:rPr>
              <w:rFonts w:asciiTheme="minorHAnsi" w:hAnsiTheme="minorHAnsi"/>
              <w:noProof/>
              <w:szCs w:val="22"/>
            </w:rPr>
          </w:pPr>
          <w:hyperlink w:anchor="_Toc228177140" w:history="1">
            <w:r w:rsidRPr="00BA3244">
              <w:rPr>
                <w:rStyle w:val="Hyperlink"/>
                <w:noProof/>
              </w:rPr>
              <w:t>3.3</w:t>
            </w:r>
            <w:r>
              <w:rPr>
                <w:rFonts w:asciiTheme="minorHAnsi" w:hAnsiTheme="minorHAnsi"/>
                <w:noProof/>
                <w:szCs w:val="22"/>
              </w:rPr>
              <w:tab/>
            </w:r>
            <w:r w:rsidRPr="00BA3244">
              <w:rPr>
                <w:rStyle w:val="Hyperlink"/>
                <w:noProof/>
              </w:rPr>
              <w:t>JPMorgan-specific strategic exposure</w:t>
            </w:r>
            <w:r>
              <w:rPr>
                <w:noProof/>
                <w:webHidden/>
              </w:rPr>
              <w:tab/>
            </w:r>
            <w:r>
              <w:rPr>
                <w:noProof/>
                <w:webHidden/>
              </w:rPr>
              <w:fldChar w:fldCharType="begin"/>
            </w:r>
            <w:r>
              <w:rPr>
                <w:noProof/>
                <w:webHidden/>
              </w:rPr>
              <w:instrText xml:space="preserve"> PAGEREF _Toc228177140 \h </w:instrText>
            </w:r>
            <w:r>
              <w:rPr>
                <w:noProof/>
                <w:webHidden/>
              </w:rPr>
            </w:r>
            <w:r>
              <w:rPr>
                <w:noProof/>
                <w:webHidden/>
              </w:rPr>
              <w:fldChar w:fldCharType="separate"/>
            </w:r>
            <w:r>
              <w:rPr>
                <w:noProof/>
                <w:webHidden/>
              </w:rPr>
              <w:t>6</w:t>
            </w:r>
            <w:r>
              <w:rPr>
                <w:noProof/>
                <w:webHidden/>
              </w:rPr>
              <w:fldChar w:fldCharType="end"/>
            </w:r>
          </w:hyperlink>
        </w:p>
        <w:p w14:paraId="3CCD2680" w14:textId="48F499B2" w:rsidR="005F14D0" w:rsidRDefault="005F14D0">
          <w:pPr>
            <w:pStyle w:val="TOC1"/>
            <w:tabs>
              <w:tab w:val="left" w:pos="440"/>
              <w:tab w:val="right" w:leader="dot" w:pos="9638"/>
            </w:tabs>
            <w:rPr>
              <w:rFonts w:asciiTheme="minorHAnsi" w:hAnsiTheme="minorHAnsi"/>
              <w:noProof/>
              <w:szCs w:val="22"/>
            </w:rPr>
          </w:pPr>
          <w:hyperlink w:anchor="_Toc228177141" w:history="1">
            <w:r w:rsidRPr="00BA3244">
              <w:rPr>
                <w:rStyle w:val="Hyperlink"/>
                <w:noProof/>
              </w:rPr>
              <w:t>4.</w:t>
            </w:r>
            <w:r>
              <w:rPr>
                <w:rFonts w:asciiTheme="minorHAnsi" w:hAnsiTheme="minorHAnsi"/>
                <w:noProof/>
                <w:szCs w:val="22"/>
              </w:rPr>
              <w:tab/>
            </w:r>
            <w:r w:rsidRPr="00BA3244">
              <w:rPr>
                <w:rStyle w:val="Hyperlink"/>
                <w:noProof/>
              </w:rPr>
              <w:t>Enterprise AI Risk Architecture</w:t>
            </w:r>
            <w:r>
              <w:rPr>
                <w:noProof/>
                <w:webHidden/>
              </w:rPr>
              <w:tab/>
            </w:r>
            <w:r>
              <w:rPr>
                <w:noProof/>
                <w:webHidden/>
              </w:rPr>
              <w:fldChar w:fldCharType="begin"/>
            </w:r>
            <w:r>
              <w:rPr>
                <w:noProof/>
                <w:webHidden/>
              </w:rPr>
              <w:instrText xml:space="preserve"> PAGEREF _Toc228177141 \h </w:instrText>
            </w:r>
            <w:r>
              <w:rPr>
                <w:noProof/>
                <w:webHidden/>
              </w:rPr>
            </w:r>
            <w:r>
              <w:rPr>
                <w:noProof/>
                <w:webHidden/>
              </w:rPr>
              <w:fldChar w:fldCharType="separate"/>
            </w:r>
            <w:r>
              <w:rPr>
                <w:noProof/>
                <w:webHidden/>
              </w:rPr>
              <w:t>6</w:t>
            </w:r>
            <w:r>
              <w:rPr>
                <w:noProof/>
                <w:webHidden/>
              </w:rPr>
              <w:fldChar w:fldCharType="end"/>
            </w:r>
          </w:hyperlink>
        </w:p>
        <w:p w14:paraId="254AE088" w14:textId="5AFC2E8D" w:rsidR="005F14D0" w:rsidRDefault="005F14D0">
          <w:pPr>
            <w:pStyle w:val="TOC2"/>
            <w:tabs>
              <w:tab w:val="left" w:pos="880"/>
              <w:tab w:val="right" w:leader="dot" w:pos="9638"/>
            </w:tabs>
            <w:rPr>
              <w:rFonts w:asciiTheme="minorHAnsi" w:hAnsiTheme="minorHAnsi"/>
              <w:noProof/>
              <w:szCs w:val="22"/>
            </w:rPr>
          </w:pPr>
          <w:hyperlink w:anchor="_Toc228177142" w:history="1">
            <w:r w:rsidRPr="00BA3244">
              <w:rPr>
                <w:rStyle w:val="Hyperlink"/>
                <w:noProof/>
              </w:rPr>
              <w:t>4.1</w:t>
            </w:r>
            <w:r>
              <w:rPr>
                <w:rFonts w:asciiTheme="minorHAnsi" w:hAnsiTheme="minorHAnsi"/>
                <w:noProof/>
                <w:szCs w:val="22"/>
              </w:rPr>
              <w:tab/>
            </w:r>
            <w:r w:rsidRPr="00BA3244">
              <w:rPr>
                <w:rStyle w:val="Hyperlink"/>
                <w:noProof/>
              </w:rPr>
              <w:t>Data governance and data lineage</w:t>
            </w:r>
            <w:r>
              <w:rPr>
                <w:noProof/>
                <w:webHidden/>
              </w:rPr>
              <w:tab/>
            </w:r>
            <w:r>
              <w:rPr>
                <w:noProof/>
                <w:webHidden/>
              </w:rPr>
              <w:fldChar w:fldCharType="begin"/>
            </w:r>
            <w:r>
              <w:rPr>
                <w:noProof/>
                <w:webHidden/>
              </w:rPr>
              <w:instrText xml:space="preserve"> PAGEREF _Toc228177142 \h </w:instrText>
            </w:r>
            <w:r>
              <w:rPr>
                <w:noProof/>
                <w:webHidden/>
              </w:rPr>
            </w:r>
            <w:r>
              <w:rPr>
                <w:noProof/>
                <w:webHidden/>
              </w:rPr>
              <w:fldChar w:fldCharType="separate"/>
            </w:r>
            <w:r>
              <w:rPr>
                <w:noProof/>
                <w:webHidden/>
              </w:rPr>
              <w:t>6</w:t>
            </w:r>
            <w:r>
              <w:rPr>
                <w:noProof/>
                <w:webHidden/>
              </w:rPr>
              <w:fldChar w:fldCharType="end"/>
            </w:r>
          </w:hyperlink>
        </w:p>
        <w:p w14:paraId="449487B0" w14:textId="72B37811" w:rsidR="005F14D0" w:rsidRDefault="005F14D0">
          <w:pPr>
            <w:pStyle w:val="TOC2"/>
            <w:tabs>
              <w:tab w:val="left" w:pos="880"/>
              <w:tab w:val="right" w:leader="dot" w:pos="9638"/>
            </w:tabs>
            <w:rPr>
              <w:rFonts w:asciiTheme="minorHAnsi" w:hAnsiTheme="minorHAnsi"/>
              <w:noProof/>
              <w:szCs w:val="22"/>
            </w:rPr>
          </w:pPr>
          <w:hyperlink w:anchor="_Toc228177143" w:history="1">
            <w:r w:rsidRPr="00BA3244">
              <w:rPr>
                <w:rStyle w:val="Hyperlink"/>
                <w:noProof/>
              </w:rPr>
              <w:t>4.2</w:t>
            </w:r>
            <w:r>
              <w:rPr>
                <w:rFonts w:asciiTheme="minorHAnsi" w:hAnsiTheme="minorHAnsi"/>
                <w:noProof/>
                <w:szCs w:val="22"/>
              </w:rPr>
              <w:tab/>
            </w:r>
            <w:r w:rsidRPr="00BA3244">
              <w:rPr>
                <w:rStyle w:val="Hyperlink"/>
                <w:noProof/>
              </w:rPr>
              <w:t>Model risk control and validation</w:t>
            </w:r>
            <w:r>
              <w:rPr>
                <w:noProof/>
                <w:webHidden/>
              </w:rPr>
              <w:tab/>
            </w:r>
            <w:r>
              <w:rPr>
                <w:noProof/>
                <w:webHidden/>
              </w:rPr>
              <w:fldChar w:fldCharType="begin"/>
            </w:r>
            <w:r>
              <w:rPr>
                <w:noProof/>
                <w:webHidden/>
              </w:rPr>
              <w:instrText xml:space="preserve"> PAGEREF _Toc228177143 \h </w:instrText>
            </w:r>
            <w:r>
              <w:rPr>
                <w:noProof/>
                <w:webHidden/>
              </w:rPr>
            </w:r>
            <w:r>
              <w:rPr>
                <w:noProof/>
                <w:webHidden/>
              </w:rPr>
              <w:fldChar w:fldCharType="separate"/>
            </w:r>
            <w:r>
              <w:rPr>
                <w:noProof/>
                <w:webHidden/>
              </w:rPr>
              <w:t>7</w:t>
            </w:r>
            <w:r>
              <w:rPr>
                <w:noProof/>
                <w:webHidden/>
              </w:rPr>
              <w:fldChar w:fldCharType="end"/>
            </w:r>
          </w:hyperlink>
        </w:p>
        <w:p w14:paraId="11265351" w14:textId="532D4474" w:rsidR="005F14D0" w:rsidRDefault="005F14D0">
          <w:pPr>
            <w:pStyle w:val="TOC2"/>
            <w:tabs>
              <w:tab w:val="left" w:pos="880"/>
              <w:tab w:val="right" w:leader="dot" w:pos="9638"/>
            </w:tabs>
            <w:rPr>
              <w:rFonts w:asciiTheme="minorHAnsi" w:hAnsiTheme="minorHAnsi"/>
              <w:noProof/>
              <w:szCs w:val="22"/>
            </w:rPr>
          </w:pPr>
          <w:hyperlink w:anchor="_Toc228177144" w:history="1">
            <w:r w:rsidRPr="00BA3244">
              <w:rPr>
                <w:rStyle w:val="Hyperlink"/>
                <w:noProof/>
              </w:rPr>
              <w:t>4.3</w:t>
            </w:r>
            <w:r>
              <w:rPr>
                <w:rFonts w:asciiTheme="minorHAnsi" w:hAnsiTheme="minorHAnsi"/>
                <w:noProof/>
                <w:szCs w:val="22"/>
              </w:rPr>
              <w:tab/>
            </w:r>
            <w:r w:rsidRPr="00BA3244">
              <w:rPr>
                <w:rStyle w:val="Hyperlink"/>
                <w:noProof/>
              </w:rPr>
              <w:t>Dependency between third parties and foundations</w:t>
            </w:r>
            <w:r>
              <w:rPr>
                <w:noProof/>
                <w:webHidden/>
              </w:rPr>
              <w:tab/>
            </w:r>
            <w:r>
              <w:rPr>
                <w:noProof/>
                <w:webHidden/>
              </w:rPr>
              <w:fldChar w:fldCharType="begin"/>
            </w:r>
            <w:r>
              <w:rPr>
                <w:noProof/>
                <w:webHidden/>
              </w:rPr>
              <w:instrText xml:space="preserve"> PAGEREF _Toc228177144 \h </w:instrText>
            </w:r>
            <w:r>
              <w:rPr>
                <w:noProof/>
                <w:webHidden/>
              </w:rPr>
            </w:r>
            <w:r>
              <w:rPr>
                <w:noProof/>
                <w:webHidden/>
              </w:rPr>
              <w:fldChar w:fldCharType="separate"/>
            </w:r>
            <w:r>
              <w:rPr>
                <w:noProof/>
                <w:webHidden/>
              </w:rPr>
              <w:t>8</w:t>
            </w:r>
            <w:r>
              <w:rPr>
                <w:noProof/>
                <w:webHidden/>
              </w:rPr>
              <w:fldChar w:fldCharType="end"/>
            </w:r>
          </w:hyperlink>
        </w:p>
        <w:p w14:paraId="0656FEE1" w14:textId="67B121B9" w:rsidR="005F14D0" w:rsidRDefault="005F14D0">
          <w:pPr>
            <w:pStyle w:val="TOC2"/>
            <w:tabs>
              <w:tab w:val="left" w:pos="880"/>
              <w:tab w:val="right" w:leader="dot" w:pos="9638"/>
            </w:tabs>
            <w:rPr>
              <w:rFonts w:asciiTheme="minorHAnsi" w:hAnsiTheme="minorHAnsi"/>
              <w:noProof/>
              <w:szCs w:val="22"/>
            </w:rPr>
          </w:pPr>
          <w:hyperlink w:anchor="_Toc228177145" w:history="1">
            <w:r w:rsidRPr="00BA3244">
              <w:rPr>
                <w:rStyle w:val="Hyperlink"/>
                <w:noProof/>
              </w:rPr>
              <w:t>4.4</w:t>
            </w:r>
            <w:r>
              <w:rPr>
                <w:rFonts w:asciiTheme="minorHAnsi" w:hAnsiTheme="minorHAnsi"/>
                <w:noProof/>
                <w:szCs w:val="22"/>
              </w:rPr>
              <w:tab/>
            </w:r>
            <w:r w:rsidRPr="00BA3244">
              <w:rPr>
                <w:rStyle w:val="Hyperlink"/>
                <w:noProof/>
              </w:rPr>
              <w:t>Use case tiered governance</w:t>
            </w:r>
            <w:r>
              <w:rPr>
                <w:noProof/>
                <w:webHidden/>
              </w:rPr>
              <w:tab/>
            </w:r>
            <w:r>
              <w:rPr>
                <w:noProof/>
                <w:webHidden/>
              </w:rPr>
              <w:fldChar w:fldCharType="begin"/>
            </w:r>
            <w:r>
              <w:rPr>
                <w:noProof/>
                <w:webHidden/>
              </w:rPr>
              <w:instrText xml:space="preserve"> PAGEREF _Toc228177145 \h </w:instrText>
            </w:r>
            <w:r>
              <w:rPr>
                <w:noProof/>
                <w:webHidden/>
              </w:rPr>
            </w:r>
            <w:r>
              <w:rPr>
                <w:noProof/>
                <w:webHidden/>
              </w:rPr>
              <w:fldChar w:fldCharType="separate"/>
            </w:r>
            <w:r>
              <w:rPr>
                <w:noProof/>
                <w:webHidden/>
              </w:rPr>
              <w:t>8</w:t>
            </w:r>
            <w:r>
              <w:rPr>
                <w:noProof/>
                <w:webHidden/>
              </w:rPr>
              <w:fldChar w:fldCharType="end"/>
            </w:r>
          </w:hyperlink>
        </w:p>
        <w:p w14:paraId="527CB6E8" w14:textId="521E53B4" w:rsidR="005F14D0" w:rsidRDefault="005F14D0">
          <w:pPr>
            <w:pStyle w:val="TOC1"/>
            <w:tabs>
              <w:tab w:val="left" w:pos="440"/>
              <w:tab w:val="right" w:leader="dot" w:pos="9638"/>
            </w:tabs>
            <w:rPr>
              <w:rFonts w:asciiTheme="minorHAnsi" w:hAnsiTheme="minorHAnsi"/>
              <w:noProof/>
              <w:szCs w:val="22"/>
            </w:rPr>
          </w:pPr>
          <w:hyperlink w:anchor="_Toc228177146" w:history="1">
            <w:r w:rsidRPr="00BA3244">
              <w:rPr>
                <w:rStyle w:val="Hyperlink"/>
                <w:noProof/>
              </w:rPr>
              <w:t>5.</w:t>
            </w:r>
            <w:r>
              <w:rPr>
                <w:rFonts w:asciiTheme="minorHAnsi" w:hAnsiTheme="minorHAnsi"/>
                <w:noProof/>
                <w:szCs w:val="22"/>
              </w:rPr>
              <w:tab/>
            </w:r>
            <w:r w:rsidRPr="00BA3244">
              <w:rPr>
                <w:rStyle w:val="Hyperlink"/>
                <w:noProof/>
              </w:rPr>
              <w:t>UK-U.S. Regulatory and Supervisory Analysis</w:t>
            </w:r>
            <w:r>
              <w:rPr>
                <w:noProof/>
                <w:webHidden/>
              </w:rPr>
              <w:tab/>
            </w:r>
            <w:r>
              <w:rPr>
                <w:noProof/>
                <w:webHidden/>
              </w:rPr>
              <w:fldChar w:fldCharType="begin"/>
            </w:r>
            <w:r>
              <w:rPr>
                <w:noProof/>
                <w:webHidden/>
              </w:rPr>
              <w:instrText xml:space="preserve"> PAGEREF _Toc228177146 \h </w:instrText>
            </w:r>
            <w:r>
              <w:rPr>
                <w:noProof/>
                <w:webHidden/>
              </w:rPr>
            </w:r>
            <w:r>
              <w:rPr>
                <w:noProof/>
                <w:webHidden/>
              </w:rPr>
              <w:fldChar w:fldCharType="separate"/>
            </w:r>
            <w:r>
              <w:rPr>
                <w:noProof/>
                <w:webHidden/>
              </w:rPr>
              <w:t>9</w:t>
            </w:r>
            <w:r>
              <w:rPr>
                <w:noProof/>
                <w:webHidden/>
              </w:rPr>
              <w:fldChar w:fldCharType="end"/>
            </w:r>
          </w:hyperlink>
        </w:p>
        <w:p w14:paraId="1581D2D4" w14:textId="2F11B749" w:rsidR="005F14D0" w:rsidRDefault="005F14D0">
          <w:pPr>
            <w:pStyle w:val="TOC2"/>
            <w:tabs>
              <w:tab w:val="left" w:pos="880"/>
              <w:tab w:val="right" w:leader="dot" w:pos="9638"/>
            </w:tabs>
            <w:rPr>
              <w:rFonts w:asciiTheme="minorHAnsi" w:hAnsiTheme="minorHAnsi"/>
              <w:noProof/>
              <w:szCs w:val="22"/>
            </w:rPr>
          </w:pPr>
          <w:hyperlink w:anchor="_Toc228177147" w:history="1">
            <w:r w:rsidRPr="00BA3244">
              <w:rPr>
                <w:rStyle w:val="Hyperlink"/>
                <w:noProof/>
              </w:rPr>
              <w:t>5.1</w:t>
            </w:r>
            <w:r>
              <w:rPr>
                <w:rFonts w:asciiTheme="minorHAnsi" w:hAnsiTheme="minorHAnsi"/>
                <w:noProof/>
                <w:szCs w:val="22"/>
              </w:rPr>
              <w:tab/>
            </w:r>
            <w:r w:rsidRPr="00BA3244">
              <w:rPr>
                <w:rStyle w:val="Hyperlink"/>
                <w:noProof/>
              </w:rPr>
              <w:t>United Kingdom</w:t>
            </w:r>
            <w:r>
              <w:rPr>
                <w:noProof/>
                <w:webHidden/>
              </w:rPr>
              <w:tab/>
            </w:r>
            <w:r>
              <w:rPr>
                <w:noProof/>
                <w:webHidden/>
              </w:rPr>
              <w:fldChar w:fldCharType="begin"/>
            </w:r>
            <w:r>
              <w:rPr>
                <w:noProof/>
                <w:webHidden/>
              </w:rPr>
              <w:instrText xml:space="preserve"> PAGEREF _Toc228177147 \h </w:instrText>
            </w:r>
            <w:r>
              <w:rPr>
                <w:noProof/>
                <w:webHidden/>
              </w:rPr>
            </w:r>
            <w:r>
              <w:rPr>
                <w:noProof/>
                <w:webHidden/>
              </w:rPr>
              <w:fldChar w:fldCharType="separate"/>
            </w:r>
            <w:r>
              <w:rPr>
                <w:noProof/>
                <w:webHidden/>
              </w:rPr>
              <w:t>9</w:t>
            </w:r>
            <w:r>
              <w:rPr>
                <w:noProof/>
                <w:webHidden/>
              </w:rPr>
              <w:fldChar w:fldCharType="end"/>
            </w:r>
          </w:hyperlink>
        </w:p>
        <w:p w14:paraId="3081BBC0" w14:textId="0857DECB" w:rsidR="005F14D0" w:rsidRDefault="005F14D0">
          <w:pPr>
            <w:pStyle w:val="TOC2"/>
            <w:tabs>
              <w:tab w:val="left" w:pos="880"/>
              <w:tab w:val="right" w:leader="dot" w:pos="9638"/>
            </w:tabs>
            <w:rPr>
              <w:rFonts w:asciiTheme="minorHAnsi" w:hAnsiTheme="minorHAnsi"/>
              <w:noProof/>
              <w:szCs w:val="22"/>
            </w:rPr>
          </w:pPr>
          <w:hyperlink w:anchor="_Toc228177148" w:history="1">
            <w:r w:rsidRPr="00BA3244">
              <w:rPr>
                <w:rStyle w:val="Hyperlink"/>
                <w:noProof/>
              </w:rPr>
              <w:t>5.2</w:t>
            </w:r>
            <w:r>
              <w:rPr>
                <w:rFonts w:asciiTheme="minorHAnsi" w:hAnsiTheme="minorHAnsi"/>
                <w:noProof/>
                <w:szCs w:val="22"/>
              </w:rPr>
              <w:tab/>
            </w:r>
            <w:r w:rsidRPr="00BA3244">
              <w:rPr>
                <w:rStyle w:val="Hyperlink"/>
                <w:noProof/>
              </w:rPr>
              <w:t>United States</w:t>
            </w:r>
            <w:r>
              <w:rPr>
                <w:noProof/>
                <w:webHidden/>
              </w:rPr>
              <w:tab/>
            </w:r>
            <w:r>
              <w:rPr>
                <w:noProof/>
                <w:webHidden/>
              </w:rPr>
              <w:fldChar w:fldCharType="begin"/>
            </w:r>
            <w:r>
              <w:rPr>
                <w:noProof/>
                <w:webHidden/>
              </w:rPr>
              <w:instrText xml:space="preserve"> PAGEREF _Toc228177148 \h </w:instrText>
            </w:r>
            <w:r>
              <w:rPr>
                <w:noProof/>
                <w:webHidden/>
              </w:rPr>
            </w:r>
            <w:r>
              <w:rPr>
                <w:noProof/>
                <w:webHidden/>
              </w:rPr>
              <w:fldChar w:fldCharType="separate"/>
            </w:r>
            <w:r>
              <w:rPr>
                <w:noProof/>
                <w:webHidden/>
              </w:rPr>
              <w:t>10</w:t>
            </w:r>
            <w:r>
              <w:rPr>
                <w:noProof/>
                <w:webHidden/>
              </w:rPr>
              <w:fldChar w:fldCharType="end"/>
            </w:r>
          </w:hyperlink>
        </w:p>
        <w:p w14:paraId="7C0C7915" w14:textId="6ECCA6E9" w:rsidR="005F14D0" w:rsidRDefault="005F14D0">
          <w:pPr>
            <w:pStyle w:val="TOC2"/>
            <w:tabs>
              <w:tab w:val="left" w:pos="880"/>
              <w:tab w:val="right" w:leader="dot" w:pos="9638"/>
            </w:tabs>
            <w:rPr>
              <w:rFonts w:asciiTheme="minorHAnsi" w:hAnsiTheme="minorHAnsi"/>
              <w:noProof/>
              <w:szCs w:val="22"/>
            </w:rPr>
          </w:pPr>
          <w:hyperlink w:anchor="_Toc228177149" w:history="1">
            <w:r w:rsidRPr="00BA3244">
              <w:rPr>
                <w:rStyle w:val="Hyperlink"/>
                <w:noProof/>
              </w:rPr>
              <w:t>5.3</w:t>
            </w:r>
            <w:r>
              <w:rPr>
                <w:rFonts w:asciiTheme="minorHAnsi" w:hAnsiTheme="minorHAnsi"/>
                <w:noProof/>
                <w:szCs w:val="22"/>
              </w:rPr>
              <w:tab/>
            </w:r>
            <w:r w:rsidRPr="00BA3244">
              <w:rPr>
                <w:rStyle w:val="Hyperlink"/>
                <w:noProof/>
              </w:rPr>
              <w:t>Comparative implication to JPMorgan</w:t>
            </w:r>
            <w:r>
              <w:rPr>
                <w:noProof/>
                <w:webHidden/>
              </w:rPr>
              <w:tab/>
            </w:r>
            <w:r>
              <w:rPr>
                <w:noProof/>
                <w:webHidden/>
              </w:rPr>
              <w:fldChar w:fldCharType="begin"/>
            </w:r>
            <w:r>
              <w:rPr>
                <w:noProof/>
                <w:webHidden/>
              </w:rPr>
              <w:instrText xml:space="preserve"> PAGEREF _Toc228177149 \h </w:instrText>
            </w:r>
            <w:r>
              <w:rPr>
                <w:noProof/>
                <w:webHidden/>
              </w:rPr>
            </w:r>
            <w:r>
              <w:rPr>
                <w:noProof/>
                <w:webHidden/>
              </w:rPr>
              <w:fldChar w:fldCharType="separate"/>
            </w:r>
            <w:r>
              <w:rPr>
                <w:noProof/>
                <w:webHidden/>
              </w:rPr>
              <w:t>10</w:t>
            </w:r>
            <w:r>
              <w:rPr>
                <w:noProof/>
                <w:webHidden/>
              </w:rPr>
              <w:fldChar w:fldCharType="end"/>
            </w:r>
          </w:hyperlink>
        </w:p>
        <w:p w14:paraId="058E0DA6" w14:textId="055A47EE" w:rsidR="005F14D0" w:rsidRDefault="005F14D0">
          <w:pPr>
            <w:pStyle w:val="TOC1"/>
            <w:tabs>
              <w:tab w:val="left" w:pos="440"/>
              <w:tab w:val="right" w:leader="dot" w:pos="9638"/>
            </w:tabs>
            <w:rPr>
              <w:rFonts w:asciiTheme="minorHAnsi" w:hAnsiTheme="minorHAnsi"/>
              <w:noProof/>
              <w:szCs w:val="22"/>
            </w:rPr>
          </w:pPr>
          <w:hyperlink w:anchor="_Toc228177150" w:history="1">
            <w:r w:rsidRPr="00BA3244">
              <w:rPr>
                <w:rStyle w:val="Hyperlink"/>
                <w:noProof/>
              </w:rPr>
              <w:t>6.</w:t>
            </w:r>
            <w:r>
              <w:rPr>
                <w:rFonts w:asciiTheme="minorHAnsi" w:hAnsiTheme="minorHAnsi"/>
                <w:noProof/>
                <w:szCs w:val="22"/>
              </w:rPr>
              <w:tab/>
            </w:r>
            <w:r w:rsidRPr="00BA3244">
              <w:rPr>
                <w:rStyle w:val="Hyperlink"/>
                <w:noProof/>
              </w:rPr>
              <w:t>Customer Treatment, Ethical AI, Explainability and Conduct Risk</w:t>
            </w:r>
            <w:r>
              <w:rPr>
                <w:noProof/>
                <w:webHidden/>
              </w:rPr>
              <w:tab/>
            </w:r>
            <w:r>
              <w:rPr>
                <w:noProof/>
                <w:webHidden/>
              </w:rPr>
              <w:fldChar w:fldCharType="begin"/>
            </w:r>
            <w:r>
              <w:rPr>
                <w:noProof/>
                <w:webHidden/>
              </w:rPr>
              <w:instrText xml:space="preserve"> PAGEREF _Toc228177150 \h </w:instrText>
            </w:r>
            <w:r>
              <w:rPr>
                <w:noProof/>
                <w:webHidden/>
              </w:rPr>
            </w:r>
            <w:r>
              <w:rPr>
                <w:noProof/>
                <w:webHidden/>
              </w:rPr>
              <w:fldChar w:fldCharType="separate"/>
            </w:r>
            <w:r>
              <w:rPr>
                <w:noProof/>
                <w:webHidden/>
              </w:rPr>
              <w:t>11</w:t>
            </w:r>
            <w:r>
              <w:rPr>
                <w:noProof/>
                <w:webHidden/>
              </w:rPr>
              <w:fldChar w:fldCharType="end"/>
            </w:r>
          </w:hyperlink>
        </w:p>
        <w:p w14:paraId="35AE45E3" w14:textId="7E27E1FC" w:rsidR="005F14D0" w:rsidRDefault="005F14D0">
          <w:pPr>
            <w:pStyle w:val="TOC2"/>
            <w:tabs>
              <w:tab w:val="left" w:pos="880"/>
              <w:tab w:val="right" w:leader="dot" w:pos="9638"/>
            </w:tabs>
            <w:rPr>
              <w:rFonts w:asciiTheme="minorHAnsi" w:hAnsiTheme="minorHAnsi"/>
              <w:noProof/>
              <w:szCs w:val="22"/>
            </w:rPr>
          </w:pPr>
          <w:hyperlink w:anchor="_Toc228177151" w:history="1">
            <w:r w:rsidRPr="00BA3244">
              <w:rPr>
                <w:rStyle w:val="Hyperlink"/>
                <w:noProof/>
              </w:rPr>
              <w:t>6.1</w:t>
            </w:r>
            <w:r>
              <w:rPr>
                <w:rFonts w:asciiTheme="minorHAnsi" w:hAnsiTheme="minorHAnsi"/>
                <w:noProof/>
                <w:szCs w:val="22"/>
              </w:rPr>
              <w:tab/>
            </w:r>
            <w:r w:rsidRPr="00BA3244">
              <w:rPr>
                <w:rStyle w:val="Hyperlink"/>
                <w:noProof/>
              </w:rPr>
              <w:t>Customer treatment</w:t>
            </w:r>
            <w:r>
              <w:rPr>
                <w:noProof/>
                <w:webHidden/>
              </w:rPr>
              <w:tab/>
            </w:r>
            <w:r>
              <w:rPr>
                <w:noProof/>
                <w:webHidden/>
              </w:rPr>
              <w:fldChar w:fldCharType="begin"/>
            </w:r>
            <w:r>
              <w:rPr>
                <w:noProof/>
                <w:webHidden/>
              </w:rPr>
              <w:instrText xml:space="preserve"> PAGEREF _Toc228177151 \h </w:instrText>
            </w:r>
            <w:r>
              <w:rPr>
                <w:noProof/>
                <w:webHidden/>
              </w:rPr>
            </w:r>
            <w:r>
              <w:rPr>
                <w:noProof/>
                <w:webHidden/>
              </w:rPr>
              <w:fldChar w:fldCharType="separate"/>
            </w:r>
            <w:r>
              <w:rPr>
                <w:noProof/>
                <w:webHidden/>
              </w:rPr>
              <w:t>11</w:t>
            </w:r>
            <w:r>
              <w:rPr>
                <w:noProof/>
                <w:webHidden/>
              </w:rPr>
              <w:fldChar w:fldCharType="end"/>
            </w:r>
          </w:hyperlink>
        </w:p>
        <w:p w14:paraId="79BBF239" w14:textId="60E26F8D" w:rsidR="005F14D0" w:rsidRDefault="005F14D0">
          <w:pPr>
            <w:pStyle w:val="TOC2"/>
            <w:tabs>
              <w:tab w:val="left" w:pos="880"/>
              <w:tab w:val="right" w:leader="dot" w:pos="9638"/>
            </w:tabs>
            <w:rPr>
              <w:rFonts w:asciiTheme="minorHAnsi" w:hAnsiTheme="minorHAnsi"/>
              <w:noProof/>
              <w:szCs w:val="22"/>
            </w:rPr>
          </w:pPr>
          <w:hyperlink w:anchor="_Toc228177152" w:history="1">
            <w:r w:rsidRPr="00BA3244">
              <w:rPr>
                <w:rStyle w:val="Hyperlink"/>
                <w:noProof/>
              </w:rPr>
              <w:t>6.2</w:t>
            </w:r>
            <w:r>
              <w:rPr>
                <w:rFonts w:asciiTheme="minorHAnsi" w:hAnsiTheme="minorHAnsi"/>
                <w:noProof/>
                <w:szCs w:val="22"/>
              </w:rPr>
              <w:tab/>
            </w:r>
            <w:r w:rsidRPr="00BA3244">
              <w:rPr>
                <w:rStyle w:val="Hyperlink"/>
                <w:noProof/>
              </w:rPr>
              <w:t>Explainability, contestability and human review</w:t>
            </w:r>
            <w:r>
              <w:rPr>
                <w:noProof/>
                <w:webHidden/>
              </w:rPr>
              <w:tab/>
            </w:r>
            <w:r>
              <w:rPr>
                <w:noProof/>
                <w:webHidden/>
              </w:rPr>
              <w:fldChar w:fldCharType="begin"/>
            </w:r>
            <w:r>
              <w:rPr>
                <w:noProof/>
                <w:webHidden/>
              </w:rPr>
              <w:instrText xml:space="preserve"> PAGEREF _Toc228177152 \h </w:instrText>
            </w:r>
            <w:r>
              <w:rPr>
                <w:noProof/>
                <w:webHidden/>
              </w:rPr>
            </w:r>
            <w:r>
              <w:rPr>
                <w:noProof/>
                <w:webHidden/>
              </w:rPr>
              <w:fldChar w:fldCharType="separate"/>
            </w:r>
            <w:r>
              <w:rPr>
                <w:noProof/>
                <w:webHidden/>
              </w:rPr>
              <w:t>12</w:t>
            </w:r>
            <w:r>
              <w:rPr>
                <w:noProof/>
                <w:webHidden/>
              </w:rPr>
              <w:fldChar w:fldCharType="end"/>
            </w:r>
          </w:hyperlink>
        </w:p>
        <w:p w14:paraId="3A486FF7" w14:textId="1142E388" w:rsidR="005F14D0" w:rsidRDefault="005F14D0">
          <w:pPr>
            <w:pStyle w:val="TOC2"/>
            <w:tabs>
              <w:tab w:val="left" w:pos="880"/>
              <w:tab w:val="right" w:leader="dot" w:pos="9638"/>
            </w:tabs>
            <w:rPr>
              <w:rFonts w:asciiTheme="minorHAnsi" w:hAnsiTheme="minorHAnsi"/>
              <w:noProof/>
              <w:szCs w:val="22"/>
            </w:rPr>
          </w:pPr>
          <w:hyperlink w:anchor="_Toc228177153" w:history="1">
            <w:r w:rsidRPr="00BA3244">
              <w:rPr>
                <w:rStyle w:val="Hyperlink"/>
                <w:noProof/>
              </w:rPr>
              <w:t>6.3</w:t>
            </w:r>
            <w:r>
              <w:rPr>
                <w:rFonts w:asciiTheme="minorHAnsi" w:hAnsiTheme="minorHAnsi"/>
                <w:noProof/>
                <w:szCs w:val="22"/>
              </w:rPr>
              <w:tab/>
            </w:r>
            <w:r w:rsidRPr="00BA3244">
              <w:rPr>
                <w:rStyle w:val="Hyperlink"/>
                <w:noProof/>
              </w:rPr>
              <w:t>Control outcomes and Trust</w:t>
            </w:r>
            <w:r>
              <w:rPr>
                <w:noProof/>
                <w:webHidden/>
              </w:rPr>
              <w:tab/>
            </w:r>
            <w:r>
              <w:rPr>
                <w:noProof/>
                <w:webHidden/>
              </w:rPr>
              <w:fldChar w:fldCharType="begin"/>
            </w:r>
            <w:r>
              <w:rPr>
                <w:noProof/>
                <w:webHidden/>
              </w:rPr>
              <w:instrText xml:space="preserve"> PAGEREF _Toc228177153 \h </w:instrText>
            </w:r>
            <w:r>
              <w:rPr>
                <w:noProof/>
                <w:webHidden/>
              </w:rPr>
            </w:r>
            <w:r>
              <w:rPr>
                <w:noProof/>
                <w:webHidden/>
              </w:rPr>
              <w:fldChar w:fldCharType="separate"/>
            </w:r>
            <w:r>
              <w:rPr>
                <w:noProof/>
                <w:webHidden/>
              </w:rPr>
              <w:t>13</w:t>
            </w:r>
            <w:r>
              <w:rPr>
                <w:noProof/>
                <w:webHidden/>
              </w:rPr>
              <w:fldChar w:fldCharType="end"/>
            </w:r>
          </w:hyperlink>
        </w:p>
        <w:p w14:paraId="07FC28EE" w14:textId="29A56187" w:rsidR="005F14D0" w:rsidRDefault="005F14D0">
          <w:pPr>
            <w:pStyle w:val="TOC1"/>
            <w:tabs>
              <w:tab w:val="left" w:pos="440"/>
              <w:tab w:val="right" w:leader="dot" w:pos="9638"/>
            </w:tabs>
            <w:rPr>
              <w:rFonts w:asciiTheme="minorHAnsi" w:hAnsiTheme="minorHAnsi"/>
              <w:noProof/>
              <w:szCs w:val="22"/>
            </w:rPr>
          </w:pPr>
          <w:hyperlink w:anchor="_Toc228177154" w:history="1">
            <w:r w:rsidRPr="00BA3244">
              <w:rPr>
                <w:rStyle w:val="Hyperlink"/>
                <w:noProof/>
              </w:rPr>
              <w:t>7.</w:t>
            </w:r>
            <w:r>
              <w:rPr>
                <w:rFonts w:asciiTheme="minorHAnsi" w:hAnsiTheme="minorHAnsi"/>
                <w:noProof/>
                <w:szCs w:val="22"/>
              </w:rPr>
              <w:tab/>
            </w:r>
            <w:r w:rsidRPr="00BA3244">
              <w:rPr>
                <w:rStyle w:val="Hyperlink"/>
                <w:noProof/>
              </w:rPr>
              <w:t>Recommendations and Implementation Roadmap</w:t>
            </w:r>
            <w:r>
              <w:rPr>
                <w:noProof/>
                <w:webHidden/>
              </w:rPr>
              <w:tab/>
            </w:r>
            <w:r>
              <w:rPr>
                <w:noProof/>
                <w:webHidden/>
              </w:rPr>
              <w:fldChar w:fldCharType="begin"/>
            </w:r>
            <w:r>
              <w:rPr>
                <w:noProof/>
                <w:webHidden/>
              </w:rPr>
              <w:instrText xml:space="preserve"> PAGEREF _Toc228177154 \h </w:instrText>
            </w:r>
            <w:r>
              <w:rPr>
                <w:noProof/>
                <w:webHidden/>
              </w:rPr>
            </w:r>
            <w:r>
              <w:rPr>
                <w:noProof/>
                <w:webHidden/>
              </w:rPr>
              <w:fldChar w:fldCharType="separate"/>
            </w:r>
            <w:r>
              <w:rPr>
                <w:noProof/>
                <w:webHidden/>
              </w:rPr>
              <w:t>13</w:t>
            </w:r>
            <w:r>
              <w:rPr>
                <w:noProof/>
                <w:webHidden/>
              </w:rPr>
              <w:fldChar w:fldCharType="end"/>
            </w:r>
          </w:hyperlink>
        </w:p>
        <w:p w14:paraId="6FBAEFE6" w14:textId="0720199E" w:rsidR="005F14D0" w:rsidRDefault="005F14D0">
          <w:pPr>
            <w:pStyle w:val="TOC2"/>
            <w:tabs>
              <w:tab w:val="left" w:pos="880"/>
              <w:tab w:val="right" w:leader="dot" w:pos="9638"/>
            </w:tabs>
            <w:rPr>
              <w:rFonts w:asciiTheme="minorHAnsi" w:hAnsiTheme="minorHAnsi"/>
              <w:noProof/>
              <w:szCs w:val="22"/>
            </w:rPr>
          </w:pPr>
          <w:hyperlink w:anchor="_Toc228177155" w:history="1">
            <w:r w:rsidRPr="00BA3244">
              <w:rPr>
                <w:rStyle w:val="Hyperlink"/>
                <w:noProof/>
              </w:rPr>
              <w:t>7.1</w:t>
            </w:r>
            <w:r>
              <w:rPr>
                <w:rFonts w:asciiTheme="minorHAnsi" w:hAnsiTheme="minorHAnsi"/>
                <w:noProof/>
                <w:szCs w:val="22"/>
              </w:rPr>
              <w:tab/>
            </w:r>
            <w:r w:rsidRPr="00BA3244">
              <w:rPr>
                <w:rStyle w:val="Hyperlink"/>
                <w:noProof/>
              </w:rPr>
              <w:t>Target operating model</w:t>
            </w:r>
            <w:r>
              <w:rPr>
                <w:noProof/>
                <w:webHidden/>
              </w:rPr>
              <w:tab/>
            </w:r>
            <w:r>
              <w:rPr>
                <w:noProof/>
                <w:webHidden/>
              </w:rPr>
              <w:fldChar w:fldCharType="begin"/>
            </w:r>
            <w:r>
              <w:rPr>
                <w:noProof/>
                <w:webHidden/>
              </w:rPr>
              <w:instrText xml:space="preserve"> PAGEREF _Toc228177155 \h </w:instrText>
            </w:r>
            <w:r>
              <w:rPr>
                <w:noProof/>
                <w:webHidden/>
              </w:rPr>
            </w:r>
            <w:r>
              <w:rPr>
                <w:noProof/>
                <w:webHidden/>
              </w:rPr>
              <w:fldChar w:fldCharType="separate"/>
            </w:r>
            <w:r>
              <w:rPr>
                <w:noProof/>
                <w:webHidden/>
              </w:rPr>
              <w:t>13</w:t>
            </w:r>
            <w:r>
              <w:rPr>
                <w:noProof/>
                <w:webHidden/>
              </w:rPr>
              <w:fldChar w:fldCharType="end"/>
            </w:r>
          </w:hyperlink>
        </w:p>
        <w:p w14:paraId="719248A8" w14:textId="4EFA87CC" w:rsidR="005F14D0" w:rsidRDefault="005F14D0">
          <w:pPr>
            <w:pStyle w:val="TOC2"/>
            <w:tabs>
              <w:tab w:val="left" w:pos="880"/>
              <w:tab w:val="right" w:leader="dot" w:pos="9638"/>
            </w:tabs>
            <w:rPr>
              <w:rFonts w:asciiTheme="minorHAnsi" w:hAnsiTheme="minorHAnsi"/>
              <w:noProof/>
              <w:szCs w:val="22"/>
            </w:rPr>
          </w:pPr>
          <w:hyperlink w:anchor="_Toc228177156" w:history="1">
            <w:r w:rsidRPr="00BA3244">
              <w:rPr>
                <w:rStyle w:val="Hyperlink"/>
                <w:noProof/>
              </w:rPr>
              <w:t>7.2</w:t>
            </w:r>
            <w:r>
              <w:rPr>
                <w:rFonts w:asciiTheme="minorHAnsi" w:hAnsiTheme="minorHAnsi"/>
                <w:noProof/>
                <w:szCs w:val="22"/>
              </w:rPr>
              <w:tab/>
            </w:r>
            <w:r w:rsidRPr="00BA3244">
              <w:rPr>
                <w:rStyle w:val="Hyperlink"/>
                <w:noProof/>
              </w:rPr>
              <w:t>Four-phase implementation plan</w:t>
            </w:r>
            <w:r>
              <w:rPr>
                <w:noProof/>
                <w:webHidden/>
              </w:rPr>
              <w:tab/>
            </w:r>
            <w:r>
              <w:rPr>
                <w:noProof/>
                <w:webHidden/>
              </w:rPr>
              <w:fldChar w:fldCharType="begin"/>
            </w:r>
            <w:r>
              <w:rPr>
                <w:noProof/>
                <w:webHidden/>
              </w:rPr>
              <w:instrText xml:space="preserve"> PAGEREF _Toc228177156 \h </w:instrText>
            </w:r>
            <w:r>
              <w:rPr>
                <w:noProof/>
                <w:webHidden/>
              </w:rPr>
            </w:r>
            <w:r>
              <w:rPr>
                <w:noProof/>
                <w:webHidden/>
              </w:rPr>
              <w:fldChar w:fldCharType="separate"/>
            </w:r>
            <w:r>
              <w:rPr>
                <w:noProof/>
                <w:webHidden/>
              </w:rPr>
              <w:t>14</w:t>
            </w:r>
            <w:r>
              <w:rPr>
                <w:noProof/>
                <w:webHidden/>
              </w:rPr>
              <w:fldChar w:fldCharType="end"/>
            </w:r>
          </w:hyperlink>
        </w:p>
        <w:p w14:paraId="13FA49D9" w14:textId="1DD352F8" w:rsidR="005F14D0" w:rsidRDefault="005F14D0">
          <w:pPr>
            <w:pStyle w:val="TOC2"/>
            <w:tabs>
              <w:tab w:val="left" w:pos="880"/>
              <w:tab w:val="right" w:leader="dot" w:pos="9638"/>
            </w:tabs>
            <w:rPr>
              <w:rFonts w:asciiTheme="minorHAnsi" w:hAnsiTheme="minorHAnsi"/>
              <w:noProof/>
              <w:szCs w:val="22"/>
            </w:rPr>
          </w:pPr>
          <w:hyperlink w:anchor="_Toc228177157" w:history="1">
            <w:r w:rsidRPr="00BA3244">
              <w:rPr>
                <w:rStyle w:val="Hyperlink"/>
                <w:noProof/>
              </w:rPr>
              <w:t>7.3</w:t>
            </w:r>
            <w:r>
              <w:rPr>
                <w:rFonts w:asciiTheme="minorHAnsi" w:hAnsiTheme="minorHAnsi"/>
                <w:noProof/>
                <w:szCs w:val="22"/>
              </w:rPr>
              <w:tab/>
            </w:r>
            <w:r w:rsidRPr="00BA3244">
              <w:rPr>
                <w:rStyle w:val="Hyperlink"/>
                <w:noProof/>
              </w:rPr>
              <w:t>Board dashboard and assurance model</w:t>
            </w:r>
            <w:r>
              <w:rPr>
                <w:noProof/>
                <w:webHidden/>
              </w:rPr>
              <w:tab/>
            </w:r>
            <w:r>
              <w:rPr>
                <w:noProof/>
                <w:webHidden/>
              </w:rPr>
              <w:fldChar w:fldCharType="begin"/>
            </w:r>
            <w:r>
              <w:rPr>
                <w:noProof/>
                <w:webHidden/>
              </w:rPr>
              <w:instrText xml:space="preserve"> PAGEREF _Toc228177157 \h </w:instrText>
            </w:r>
            <w:r>
              <w:rPr>
                <w:noProof/>
                <w:webHidden/>
              </w:rPr>
            </w:r>
            <w:r>
              <w:rPr>
                <w:noProof/>
                <w:webHidden/>
              </w:rPr>
              <w:fldChar w:fldCharType="separate"/>
            </w:r>
            <w:r>
              <w:rPr>
                <w:noProof/>
                <w:webHidden/>
              </w:rPr>
              <w:t>16</w:t>
            </w:r>
            <w:r>
              <w:rPr>
                <w:noProof/>
                <w:webHidden/>
              </w:rPr>
              <w:fldChar w:fldCharType="end"/>
            </w:r>
          </w:hyperlink>
        </w:p>
        <w:p w14:paraId="03EFC435" w14:textId="0097514D" w:rsidR="005F14D0" w:rsidRDefault="005F14D0">
          <w:pPr>
            <w:pStyle w:val="TOC1"/>
            <w:tabs>
              <w:tab w:val="left" w:pos="440"/>
              <w:tab w:val="right" w:leader="dot" w:pos="9638"/>
            </w:tabs>
            <w:rPr>
              <w:rFonts w:asciiTheme="minorHAnsi" w:hAnsiTheme="minorHAnsi"/>
              <w:noProof/>
              <w:szCs w:val="22"/>
            </w:rPr>
          </w:pPr>
          <w:hyperlink w:anchor="_Toc228177158" w:history="1">
            <w:r w:rsidRPr="00BA3244">
              <w:rPr>
                <w:rStyle w:val="Hyperlink"/>
                <w:noProof/>
              </w:rPr>
              <w:t>8.</w:t>
            </w:r>
            <w:r>
              <w:rPr>
                <w:rFonts w:asciiTheme="minorHAnsi" w:hAnsiTheme="minorHAnsi"/>
                <w:noProof/>
                <w:szCs w:val="22"/>
              </w:rPr>
              <w:tab/>
            </w:r>
            <w:r w:rsidRPr="00BA3244">
              <w:rPr>
                <w:rStyle w:val="Hyperlink"/>
                <w:noProof/>
              </w:rPr>
              <w:t>Conclusion</w:t>
            </w:r>
            <w:r>
              <w:rPr>
                <w:noProof/>
                <w:webHidden/>
              </w:rPr>
              <w:tab/>
            </w:r>
            <w:r>
              <w:rPr>
                <w:noProof/>
                <w:webHidden/>
              </w:rPr>
              <w:fldChar w:fldCharType="begin"/>
            </w:r>
            <w:r>
              <w:rPr>
                <w:noProof/>
                <w:webHidden/>
              </w:rPr>
              <w:instrText xml:space="preserve"> PAGEREF _Toc228177158 \h </w:instrText>
            </w:r>
            <w:r>
              <w:rPr>
                <w:noProof/>
                <w:webHidden/>
              </w:rPr>
            </w:r>
            <w:r>
              <w:rPr>
                <w:noProof/>
                <w:webHidden/>
              </w:rPr>
              <w:fldChar w:fldCharType="separate"/>
            </w:r>
            <w:r>
              <w:rPr>
                <w:noProof/>
                <w:webHidden/>
              </w:rPr>
              <w:t>18</w:t>
            </w:r>
            <w:r>
              <w:rPr>
                <w:noProof/>
                <w:webHidden/>
              </w:rPr>
              <w:fldChar w:fldCharType="end"/>
            </w:r>
          </w:hyperlink>
        </w:p>
        <w:p w14:paraId="2046C57A" w14:textId="26B8A4EC" w:rsidR="005F14D0" w:rsidRDefault="005F14D0">
          <w:pPr>
            <w:pStyle w:val="TOC1"/>
            <w:tabs>
              <w:tab w:val="left" w:pos="440"/>
              <w:tab w:val="right" w:leader="dot" w:pos="9638"/>
            </w:tabs>
            <w:rPr>
              <w:rFonts w:asciiTheme="minorHAnsi" w:hAnsiTheme="minorHAnsi"/>
              <w:noProof/>
              <w:szCs w:val="22"/>
            </w:rPr>
          </w:pPr>
          <w:hyperlink w:anchor="_Toc228177159" w:history="1">
            <w:r w:rsidRPr="00BA3244">
              <w:rPr>
                <w:rStyle w:val="Hyperlink"/>
                <w:noProof/>
              </w:rPr>
              <w:t>9.</w:t>
            </w:r>
            <w:r>
              <w:rPr>
                <w:rFonts w:asciiTheme="minorHAnsi" w:hAnsiTheme="minorHAnsi"/>
                <w:noProof/>
                <w:szCs w:val="22"/>
              </w:rPr>
              <w:tab/>
            </w:r>
            <w:r w:rsidRPr="00BA3244">
              <w:rPr>
                <w:rStyle w:val="Hyperlink"/>
                <w:noProof/>
              </w:rPr>
              <w:t>References</w:t>
            </w:r>
            <w:r>
              <w:rPr>
                <w:noProof/>
                <w:webHidden/>
              </w:rPr>
              <w:tab/>
            </w:r>
            <w:r>
              <w:rPr>
                <w:noProof/>
                <w:webHidden/>
              </w:rPr>
              <w:fldChar w:fldCharType="begin"/>
            </w:r>
            <w:r>
              <w:rPr>
                <w:noProof/>
                <w:webHidden/>
              </w:rPr>
              <w:instrText xml:space="preserve"> PAGEREF _Toc228177159 \h </w:instrText>
            </w:r>
            <w:r>
              <w:rPr>
                <w:noProof/>
                <w:webHidden/>
              </w:rPr>
            </w:r>
            <w:r>
              <w:rPr>
                <w:noProof/>
                <w:webHidden/>
              </w:rPr>
              <w:fldChar w:fldCharType="separate"/>
            </w:r>
            <w:r>
              <w:rPr>
                <w:noProof/>
                <w:webHidden/>
              </w:rPr>
              <w:t>19</w:t>
            </w:r>
            <w:r>
              <w:rPr>
                <w:noProof/>
                <w:webHidden/>
              </w:rPr>
              <w:fldChar w:fldCharType="end"/>
            </w:r>
          </w:hyperlink>
        </w:p>
        <w:p w14:paraId="5ADEA616" w14:textId="3FDB6C8B" w:rsidR="00A8155A" w:rsidRPr="005752BF" w:rsidRDefault="00A8155A" w:rsidP="00615A84">
          <w:r w:rsidRPr="005752BF">
            <w:rPr>
              <w:noProof/>
            </w:rPr>
            <w:fldChar w:fldCharType="end"/>
          </w:r>
        </w:p>
      </w:sdtContent>
    </w:sdt>
    <w:p w14:paraId="59C58054" w14:textId="743FC96B" w:rsidR="00615A84" w:rsidRDefault="00615A84" w:rsidP="00615A84">
      <w:pPr>
        <w:rPr>
          <w:b/>
        </w:rPr>
      </w:pPr>
    </w:p>
    <w:p w14:paraId="059DC3D4" w14:textId="7FF3F427" w:rsidR="00615A84" w:rsidRDefault="00615A84">
      <w:pPr>
        <w:spacing w:after="200" w:line="276" w:lineRule="auto"/>
        <w:jc w:val="left"/>
        <w:rPr>
          <w:b/>
          <w:color w:val="365F91" w:themeColor="accent1" w:themeShade="BF"/>
          <w:sz w:val="32"/>
        </w:rPr>
      </w:pPr>
      <w:r>
        <w:rPr>
          <w:b/>
        </w:rPr>
        <w:br w:type="page"/>
      </w:r>
      <w:r w:rsidR="005F14D0" w:rsidRPr="005F14D0">
        <w:rPr>
          <w:b/>
          <w:color w:val="365F91" w:themeColor="accent1" w:themeShade="BF"/>
          <w:sz w:val="32"/>
        </w:rPr>
        <w:lastRenderedPageBreak/>
        <w:t>List of Tables</w:t>
      </w:r>
    </w:p>
    <w:p w14:paraId="72FF7D76" w14:textId="0741B714" w:rsidR="005F14D0" w:rsidRDefault="005F14D0">
      <w:pPr>
        <w:pStyle w:val="TableofFigures"/>
        <w:tabs>
          <w:tab w:val="right" w:leader="dot" w:pos="9638"/>
        </w:tabs>
        <w:rPr>
          <w:noProof/>
        </w:rPr>
      </w:pPr>
      <w:r>
        <w:rPr>
          <w:rFonts w:asciiTheme="majorHAnsi" w:eastAsiaTheme="majorEastAsia" w:hAnsiTheme="majorHAnsi" w:cstheme="majorBidi"/>
          <w:bCs/>
          <w:color w:val="1F4E79"/>
          <w:sz w:val="32"/>
          <w:szCs w:val="28"/>
        </w:rPr>
        <w:fldChar w:fldCharType="begin"/>
      </w:r>
      <w:r>
        <w:rPr>
          <w:rFonts w:asciiTheme="majorHAnsi" w:eastAsiaTheme="majorEastAsia" w:hAnsiTheme="majorHAnsi" w:cstheme="majorBidi"/>
          <w:bCs/>
          <w:color w:val="1F4E79"/>
          <w:sz w:val="32"/>
          <w:szCs w:val="28"/>
        </w:rPr>
        <w:instrText xml:space="preserve"> TOC \h \z \c "Table" </w:instrText>
      </w:r>
      <w:r>
        <w:rPr>
          <w:rFonts w:asciiTheme="majorHAnsi" w:eastAsiaTheme="majorEastAsia" w:hAnsiTheme="majorHAnsi" w:cstheme="majorBidi"/>
          <w:bCs/>
          <w:color w:val="1F4E79"/>
          <w:sz w:val="32"/>
          <w:szCs w:val="28"/>
        </w:rPr>
        <w:fldChar w:fldCharType="separate"/>
      </w:r>
      <w:hyperlink w:anchor="_Toc228177160" w:history="1">
        <w:r w:rsidRPr="00246FE8">
          <w:rPr>
            <w:rStyle w:val="Hyperlink"/>
            <w:noProof/>
          </w:rPr>
          <w:t>Table 1 Differentiated AI governance by use case</w:t>
        </w:r>
        <w:r>
          <w:rPr>
            <w:noProof/>
            <w:webHidden/>
          </w:rPr>
          <w:tab/>
        </w:r>
        <w:r>
          <w:rPr>
            <w:noProof/>
            <w:webHidden/>
          </w:rPr>
          <w:fldChar w:fldCharType="begin"/>
        </w:r>
        <w:r>
          <w:rPr>
            <w:noProof/>
            <w:webHidden/>
          </w:rPr>
          <w:instrText xml:space="preserve"> PAGEREF _Toc228177160 \h </w:instrText>
        </w:r>
        <w:r>
          <w:rPr>
            <w:noProof/>
            <w:webHidden/>
          </w:rPr>
        </w:r>
        <w:r>
          <w:rPr>
            <w:noProof/>
            <w:webHidden/>
          </w:rPr>
          <w:fldChar w:fldCharType="separate"/>
        </w:r>
        <w:r>
          <w:rPr>
            <w:noProof/>
            <w:webHidden/>
          </w:rPr>
          <w:t>8</w:t>
        </w:r>
        <w:r>
          <w:rPr>
            <w:noProof/>
            <w:webHidden/>
          </w:rPr>
          <w:fldChar w:fldCharType="end"/>
        </w:r>
      </w:hyperlink>
    </w:p>
    <w:p w14:paraId="4E7D1A8B" w14:textId="6F09AD9B" w:rsidR="005F14D0" w:rsidRDefault="005F14D0">
      <w:pPr>
        <w:pStyle w:val="TableofFigures"/>
        <w:tabs>
          <w:tab w:val="right" w:leader="dot" w:pos="9638"/>
        </w:tabs>
        <w:rPr>
          <w:noProof/>
        </w:rPr>
      </w:pPr>
      <w:hyperlink w:anchor="_Toc228177161" w:history="1">
        <w:r w:rsidRPr="00246FE8">
          <w:rPr>
            <w:rStyle w:val="Hyperlink"/>
            <w:noProof/>
          </w:rPr>
          <w:t>Table 2 Named ownership matrix</w:t>
        </w:r>
        <w:r>
          <w:rPr>
            <w:noProof/>
            <w:webHidden/>
          </w:rPr>
          <w:tab/>
        </w:r>
        <w:r>
          <w:rPr>
            <w:noProof/>
            <w:webHidden/>
          </w:rPr>
          <w:fldChar w:fldCharType="begin"/>
        </w:r>
        <w:r>
          <w:rPr>
            <w:noProof/>
            <w:webHidden/>
          </w:rPr>
          <w:instrText xml:space="preserve"> PAGEREF _Toc228177161 \h </w:instrText>
        </w:r>
        <w:r>
          <w:rPr>
            <w:noProof/>
            <w:webHidden/>
          </w:rPr>
        </w:r>
        <w:r>
          <w:rPr>
            <w:noProof/>
            <w:webHidden/>
          </w:rPr>
          <w:fldChar w:fldCharType="separate"/>
        </w:r>
        <w:r>
          <w:rPr>
            <w:noProof/>
            <w:webHidden/>
          </w:rPr>
          <w:t>13</w:t>
        </w:r>
        <w:r>
          <w:rPr>
            <w:noProof/>
            <w:webHidden/>
          </w:rPr>
          <w:fldChar w:fldCharType="end"/>
        </w:r>
      </w:hyperlink>
    </w:p>
    <w:p w14:paraId="307017F2" w14:textId="280C30E9" w:rsidR="005F14D0" w:rsidRDefault="005F14D0">
      <w:pPr>
        <w:pStyle w:val="TableofFigures"/>
        <w:tabs>
          <w:tab w:val="right" w:leader="dot" w:pos="9638"/>
        </w:tabs>
        <w:rPr>
          <w:noProof/>
        </w:rPr>
      </w:pPr>
      <w:hyperlink w:anchor="_Toc228177162" w:history="1">
        <w:r w:rsidRPr="00246FE8">
          <w:rPr>
            <w:rStyle w:val="Hyperlink"/>
            <w:noProof/>
          </w:rPr>
          <w:t>Table 3 Implementation roadmap for JPMorgan Chase</w:t>
        </w:r>
        <w:r>
          <w:rPr>
            <w:noProof/>
            <w:webHidden/>
          </w:rPr>
          <w:tab/>
        </w:r>
        <w:r>
          <w:rPr>
            <w:noProof/>
            <w:webHidden/>
          </w:rPr>
          <w:fldChar w:fldCharType="begin"/>
        </w:r>
        <w:r>
          <w:rPr>
            <w:noProof/>
            <w:webHidden/>
          </w:rPr>
          <w:instrText xml:space="preserve"> PAGEREF _Toc228177162 \h </w:instrText>
        </w:r>
        <w:r>
          <w:rPr>
            <w:noProof/>
            <w:webHidden/>
          </w:rPr>
        </w:r>
        <w:r>
          <w:rPr>
            <w:noProof/>
            <w:webHidden/>
          </w:rPr>
          <w:fldChar w:fldCharType="separate"/>
        </w:r>
        <w:r>
          <w:rPr>
            <w:noProof/>
            <w:webHidden/>
          </w:rPr>
          <w:t>14</w:t>
        </w:r>
        <w:r>
          <w:rPr>
            <w:noProof/>
            <w:webHidden/>
          </w:rPr>
          <w:fldChar w:fldCharType="end"/>
        </w:r>
      </w:hyperlink>
    </w:p>
    <w:p w14:paraId="57536366" w14:textId="4269C98D" w:rsidR="005F14D0" w:rsidRDefault="005F14D0">
      <w:pPr>
        <w:pStyle w:val="TableofFigures"/>
        <w:tabs>
          <w:tab w:val="right" w:leader="dot" w:pos="9638"/>
        </w:tabs>
        <w:rPr>
          <w:noProof/>
        </w:rPr>
      </w:pPr>
      <w:hyperlink w:anchor="_Toc228177163" w:history="1">
        <w:r w:rsidRPr="00246FE8">
          <w:rPr>
            <w:rStyle w:val="Hyperlink"/>
            <w:noProof/>
          </w:rPr>
          <w:t>Table 4 Estimated implementation costs</w:t>
        </w:r>
        <w:r>
          <w:rPr>
            <w:noProof/>
            <w:webHidden/>
          </w:rPr>
          <w:tab/>
        </w:r>
        <w:r>
          <w:rPr>
            <w:noProof/>
            <w:webHidden/>
          </w:rPr>
          <w:fldChar w:fldCharType="begin"/>
        </w:r>
        <w:r>
          <w:rPr>
            <w:noProof/>
            <w:webHidden/>
          </w:rPr>
          <w:instrText xml:space="preserve"> PAGEREF _Toc228177163 \h </w:instrText>
        </w:r>
        <w:r>
          <w:rPr>
            <w:noProof/>
            <w:webHidden/>
          </w:rPr>
        </w:r>
        <w:r>
          <w:rPr>
            <w:noProof/>
            <w:webHidden/>
          </w:rPr>
          <w:fldChar w:fldCharType="separate"/>
        </w:r>
        <w:r>
          <w:rPr>
            <w:noProof/>
            <w:webHidden/>
          </w:rPr>
          <w:t>15</w:t>
        </w:r>
        <w:r>
          <w:rPr>
            <w:noProof/>
            <w:webHidden/>
          </w:rPr>
          <w:fldChar w:fldCharType="end"/>
        </w:r>
      </w:hyperlink>
    </w:p>
    <w:p w14:paraId="35191AA5" w14:textId="024C08E4" w:rsidR="005F14D0" w:rsidRDefault="005F14D0">
      <w:pPr>
        <w:pStyle w:val="TableofFigures"/>
        <w:tabs>
          <w:tab w:val="right" w:leader="dot" w:pos="9638"/>
        </w:tabs>
        <w:rPr>
          <w:noProof/>
        </w:rPr>
      </w:pPr>
      <w:hyperlink w:anchor="_Toc228177164" w:history="1">
        <w:r w:rsidRPr="00246FE8">
          <w:rPr>
            <w:rStyle w:val="Hyperlink"/>
            <w:noProof/>
          </w:rPr>
          <w:t>Table 5 Quarterly board dashboard</w:t>
        </w:r>
        <w:r>
          <w:rPr>
            <w:noProof/>
            <w:webHidden/>
          </w:rPr>
          <w:tab/>
        </w:r>
        <w:r>
          <w:rPr>
            <w:noProof/>
            <w:webHidden/>
          </w:rPr>
          <w:fldChar w:fldCharType="begin"/>
        </w:r>
        <w:r>
          <w:rPr>
            <w:noProof/>
            <w:webHidden/>
          </w:rPr>
          <w:instrText xml:space="preserve"> PAGEREF _Toc228177164 \h </w:instrText>
        </w:r>
        <w:r>
          <w:rPr>
            <w:noProof/>
            <w:webHidden/>
          </w:rPr>
        </w:r>
        <w:r>
          <w:rPr>
            <w:noProof/>
            <w:webHidden/>
          </w:rPr>
          <w:fldChar w:fldCharType="separate"/>
        </w:r>
        <w:r>
          <w:rPr>
            <w:noProof/>
            <w:webHidden/>
          </w:rPr>
          <w:t>16</w:t>
        </w:r>
        <w:r>
          <w:rPr>
            <w:noProof/>
            <w:webHidden/>
          </w:rPr>
          <w:fldChar w:fldCharType="end"/>
        </w:r>
      </w:hyperlink>
    </w:p>
    <w:p w14:paraId="4CEA7EC4" w14:textId="27103426" w:rsidR="005F14D0" w:rsidRDefault="005F14D0">
      <w:pPr>
        <w:spacing w:after="200" w:line="276" w:lineRule="auto"/>
        <w:jc w:val="left"/>
        <w:rPr>
          <w:rFonts w:asciiTheme="majorHAnsi" w:eastAsiaTheme="majorEastAsia" w:hAnsiTheme="majorHAnsi" w:cstheme="majorBidi"/>
          <w:bCs/>
          <w:color w:val="1F4E79"/>
          <w:sz w:val="32"/>
          <w:szCs w:val="28"/>
        </w:rPr>
      </w:pPr>
      <w:r>
        <w:rPr>
          <w:rFonts w:asciiTheme="majorHAnsi" w:eastAsiaTheme="majorEastAsia" w:hAnsiTheme="majorHAnsi" w:cstheme="majorBidi"/>
          <w:bCs/>
          <w:color w:val="1F4E79"/>
          <w:sz w:val="32"/>
          <w:szCs w:val="28"/>
        </w:rPr>
        <w:fldChar w:fldCharType="end"/>
      </w:r>
    </w:p>
    <w:p w14:paraId="598D9168" w14:textId="46816260" w:rsidR="005F14D0" w:rsidRDefault="005F14D0" w:rsidP="005F14D0">
      <w:pPr>
        <w:spacing w:line="264" w:lineRule="auto"/>
        <w:jc w:val="left"/>
        <w:rPr>
          <w:rFonts w:asciiTheme="majorHAnsi" w:eastAsiaTheme="majorEastAsia" w:hAnsiTheme="majorHAnsi" w:cstheme="majorBidi"/>
          <w:bCs/>
          <w:color w:val="1F4E79"/>
          <w:sz w:val="32"/>
          <w:szCs w:val="28"/>
        </w:rPr>
      </w:pPr>
      <w:r>
        <w:rPr>
          <w:rFonts w:asciiTheme="majorHAnsi" w:eastAsiaTheme="majorEastAsia" w:hAnsiTheme="majorHAnsi" w:cstheme="majorBidi"/>
          <w:bCs/>
          <w:color w:val="1F4E79"/>
          <w:sz w:val="32"/>
          <w:szCs w:val="28"/>
        </w:rPr>
        <w:br w:type="page"/>
      </w:r>
    </w:p>
    <w:p w14:paraId="0EB3307F" w14:textId="251261B6" w:rsidR="00655FE5" w:rsidRPr="009C56AE" w:rsidRDefault="00DB345A" w:rsidP="009C56AE">
      <w:pPr>
        <w:pStyle w:val="Heading1"/>
        <w:numPr>
          <w:ilvl w:val="0"/>
          <w:numId w:val="40"/>
        </w:numPr>
      </w:pPr>
      <w:bookmarkStart w:id="1" w:name="_Toc228177136"/>
      <w:r w:rsidRPr="009C56AE">
        <w:lastRenderedPageBreak/>
        <w:t>Introduction</w:t>
      </w:r>
      <w:bookmarkEnd w:id="1"/>
    </w:p>
    <w:p w14:paraId="3B5DC86C" w14:textId="66C16984" w:rsidR="00B47E9D" w:rsidRPr="005752BF" w:rsidRDefault="00B47E9D" w:rsidP="00615A84">
      <w:r w:rsidRPr="005752BF">
        <w:t>This report will look at AI risk management in JPMorgan Chase in the United Kingdom and the United States alone. The scope is very limited. It targets applications in which AI generates either direct customer effects or control implications that are material, i.e. credit underwriting, fraud detection, AML and compliance support, customer servicing, personalization, pricing-related processes, and employee productivity systems that can impact judgment or workflow. This delimitation is important since a thinly veiled paper on this subject matter soon turns into abstract reflection on innovation, trust or digital ethics. This is a more specific problem. It is the way in which a highly regulated multinational bank ought to control the use of AI in which mistakes can result in legal, supervisory, operational and conduct ramifications in a variety of jurisdictions simultaneously.</w:t>
      </w:r>
    </w:p>
    <w:p w14:paraId="17DE9C52" w14:textId="77777777" w:rsidR="00B47E9D" w:rsidRPr="005752BF" w:rsidRDefault="00B47E9D" w:rsidP="00615A84">
      <w:r w:rsidRPr="005752BF">
        <w:t>The key point is that the AI issue of JPMorgan is a governance-at-scale problem, rather than a generic trust problem. The methodology of the report is a combination of comparative regulatory analysis of the UK and U.S. with a use-case evaluation of where AI can have a material impact on customers, controls or resilience.</w:t>
      </w:r>
    </w:p>
    <w:p w14:paraId="521FBB66" w14:textId="4D6187FE" w:rsidR="00B47E9D" w:rsidRPr="009C56AE" w:rsidRDefault="00B47E9D" w:rsidP="009C56AE">
      <w:pPr>
        <w:pStyle w:val="Heading1"/>
        <w:numPr>
          <w:ilvl w:val="0"/>
          <w:numId w:val="40"/>
        </w:numPr>
      </w:pPr>
      <w:bookmarkStart w:id="2" w:name="_Toc228177137"/>
      <w:r w:rsidRPr="009C56AE">
        <w:t>Strategic and Macroeconomic Environment</w:t>
      </w:r>
      <w:bookmarkEnd w:id="2"/>
    </w:p>
    <w:p w14:paraId="26650814" w14:textId="4A863860" w:rsidR="00B47E9D" w:rsidRPr="009C56AE" w:rsidRDefault="00B47E9D" w:rsidP="009C56AE">
      <w:pPr>
        <w:pStyle w:val="Heading2"/>
        <w:numPr>
          <w:ilvl w:val="1"/>
          <w:numId w:val="40"/>
        </w:numPr>
      </w:pPr>
      <w:bookmarkStart w:id="3" w:name="_Toc228177138"/>
      <w:r w:rsidRPr="009C56AE">
        <w:t>AI as a productivity and competitive necessity</w:t>
      </w:r>
      <w:bookmarkEnd w:id="3"/>
    </w:p>
    <w:p w14:paraId="0CF3C0CF" w14:textId="1167AD90" w:rsidR="00B47E9D" w:rsidRPr="005752BF" w:rsidRDefault="00B47E9D" w:rsidP="00615A84">
      <w:r w:rsidRPr="005752BF">
        <w:t>Big banks cannot afford to avoid the use of AI since it has become a cost base of the industry and is no longer a technology theme of choice</w:t>
      </w:r>
      <w:r w:rsidR="00711293">
        <w:t xml:space="preserve"> (Biswas et al., 2020; Boobier, 2020; Christensen, 2021)</w:t>
      </w:r>
      <w:r w:rsidRPr="005752BF">
        <w:t>. According to the World Economic Forum, financial-services companies spent $35 billion on AI in 2023 and spending in banking, insurance, capital markets and payments is expected to hit $97 billion by 2027, which means that the industry is one of the largest AI investors in the world (World Economic Forum, 2025). The economic reasoning is simple macroeconomics. AI has the potential to reduce the cost of servicing, enhance fraud detection, speed up knowledge work, enhance workflow routing and facilitate faster decision-making processes at a time when digital competition, client expectations, and cost pressure are all rewarding speed and scale. A similar conclusion is arrived at by the Bank of England on the basis of public-policy concerns. It defines AI as a general-purpose technology, which has the potential to increase productivity in most industries, help sustain economic growth over the long term, and enhance decision-making and personalisation in financial services, but cautions that these advantages will require adoption without compromising financial stability (Bank of England, 2025). In the case of a bank such as JPMorgan, non-adoption is a strategic withdrawal of capabilities that are already becoming an operating advantage to competitors</w:t>
      </w:r>
      <w:r w:rsidR="0092777F">
        <w:t xml:space="preserve"> (Jameaba, 2024; Kumari et al., 2021)</w:t>
      </w:r>
      <w:r w:rsidRPr="005752BF">
        <w:t xml:space="preserve">. In the case of JPMorgan, governance capability will thus </w:t>
      </w:r>
      <w:r w:rsidRPr="005752BF">
        <w:lastRenderedPageBreak/>
        <w:t>constitute the business case for AI, as capital will be more inclined to be invested in systems that enhance efficiency without compromising control, explainability or operational resilience</w:t>
      </w:r>
      <w:r w:rsidR="00F17399">
        <w:t xml:space="preserve"> (Medina Gonzalez, 2025; Yanney, 2025; Roopram, 2025)</w:t>
      </w:r>
      <w:r w:rsidRPr="005752BF">
        <w:t>.</w:t>
      </w:r>
      <w:r w:rsidR="00F17399">
        <w:t xml:space="preserve"> </w:t>
      </w:r>
    </w:p>
    <w:p w14:paraId="7E387AFF" w14:textId="61EAEAD7" w:rsidR="00B47E9D" w:rsidRPr="009C56AE" w:rsidRDefault="00B47E9D" w:rsidP="009C56AE">
      <w:pPr>
        <w:pStyle w:val="Heading2"/>
        <w:numPr>
          <w:ilvl w:val="1"/>
          <w:numId w:val="40"/>
        </w:numPr>
      </w:pPr>
      <w:bookmarkStart w:id="4" w:name="_Toc228177139"/>
      <w:r w:rsidRPr="009C56AE">
        <w:t>Reason why the logic of move fast does not work in banking</w:t>
      </w:r>
      <w:bookmarkEnd w:id="4"/>
    </w:p>
    <w:p w14:paraId="57D37282" w14:textId="491234D4" w:rsidR="00B47E9D" w:rsidRPr="005752BF" w:rsidRDefault="00B47E9D" w:rsidP="00615A84">
      <w:r w:rsidRPr="005752BF">
        <w:t>Acceleration in the banking sector is uncontrollably irrational since mistakes are passed on to regulated decisions, customer results and prudential exposures. The Bank of England cautions that sophisticated AI systems may be dynamic and learn automatically based on new information, produce complex results and, in certain environments, become increasingly autonomous. It also determines the issues with predictability, explainability, transparency, data integrity and concentration in AI-related services, such as models provided by vendors (Bank of England, 2025). These features make it a more challenging governance issue than traditional analytics. Even a model which enhances internal efficiency at the expense of explainability or responsibility can result in financial redress, legal challenge or operational failure. The same report clearly states that there is a risk of conduct-related risks when AI is relied upon in making critical decisions and processes can be challenged and compensated. A bank which condones opaque model behavior in customer-facing or control-relevant environments is not acting in an entrepreneurial manner, it is pricing risk wrongly and confusing short-term deployment velocity with long-term strategic ability.</w:t>
      </w:r>
    </w:p>
    <w:p w14:paraId="65DCD864" w14:textId="0C402016" w:rsidR="00B47E9D" w:rsidRPr="009C56AE" w:rsidRDefault="00B47E9D" w:rsidP="009C56AE">
      <w:pPr>
        <w:pStyle w:val="Heading2"/>
        <w:numPr>
          <w:ilvl w:val="1"/>
          <w:numId w:val="40"/>
        </w:numPr>
      </w:pPr>
      <w:bookmarkStart w:id="5" w:name="_Toc228177140"/>
      <w:r w:rsidRPr="009C56AE">
        <w:t>JPMorgan-specific strategic exposure</w:t>
      </w:r>
      <w:bookmarkEnd w:id="5"/>
    </w:p>
    <w:p w14:paraId="64665522" w14:textId="712A99D2" w:rsidR="00B47E9D" w:rsidRPr="005752BF" w:rsidRDefault="00B47E9D" w:rsidP="00615A84">
      <w:r w:rsidRPr="005752BF">
        <w:t>The disclosures of JPMorgan bring the issue to the forefront and not to speculation (JPMorgan Chase &amp; Co., 2026a). The bank reports mature AI and machine-learning applications in credit, fraud and operations, increased value capture by these applications, and massive enterprise implementation using LLM Suite and more significant technology investment. It is also expanding AI into the areas of coding, marketing, pricing and personalization, expanding the productivity upside and conduct exposure (JPMorgan Chase &amp; Co., 2026b; JPMorgan Chase &amp; Co., 2026c). The strategic aspect here is that JPMorgan cannot afford not to adopt, but the extent of adoption increases the cost of bad governance since the same infrastructure that creates efficiency can equally amplify misjudgments, opaque customer outcomes and supervisory failures.</w:t>
      </w:r>
    </w:p>
    <w:p w14:paraId="44DCED44" w14:textId="06254AE8" w:rsidR="00B47E9D" w:rsidRPr="005752BF" w:rsidRDefault="00B47E9D" w:rsidP="009C56AE">
      <w:pPr>
        <w:pStyle w:val="Heading1"/>
        <w:numPr>
          <w:ilvl w:val="0"/>
          <w:numId w:val="40"/>
        </w:numPr>
      </w:pPr>
      <w:bookmarkStart w:id="6" w:name="_Toc228177141"/>
      <w:r w:rsidRPr="005752BF">
        <w:t>Enterprise AI Risk Architecture</w:t>
      </w:r>
      <w:bookmarkEnd w:id="6"/>
    </w:p>
    <w:p w14:paraId="6A872377" w14:textId="5FB76418" w:rsidR="00B47E9D" w:rsidRPr="009C56AE" w:rsidRDefault="00B47E9D" w:rsidP="009C56AE">
      <w:pPr>
        <w:pStyle w:val="Heading2"/>
        <w:numPr>
          <w:ilvl w:val="1"/>
          <w:numId w:val="40"/>
        </w:numPr>
      </w:pPr>
      <w:bookmarkStart w:id="7" w:name="_Toc228177142"/>
      <w:r w:rsidRPr="009C56AE">
        <w:t>Data governance and data lineage</w:t>
      </w:r>
      <w:bookmarkEnd w:id="7"/>
    </w:p>
    <w:p w14:paraId="5D687D4C" w14:textId="77777777" w:rsidR="00B47E9D" w:rsidRPr="005752BF" w:rsidRDefault="00B47E9D" w:rsidP="00615A84">
      <w:r w:rsidRPr="005752BF">
        <w:t xml:space="preserve">In banking, the upstream determinant of the defensibility of any AI output is data. According to the AI RMF of NIST, the characteristics of trustworthy AI should be valid and reliable, safe, secure and resilient, accountable and transparent, explainable and interpretable, privacy-enhanced, and fair, but </w:t>
      </w:r>
      <w:r w:rsidRPr="005752BF">
        <w:lastRenderedPageBreak/>
        <w:t>they should be balanced based on the context of use of the system and not in the abstract (AI, 2023). That fact is conclusive for JPMorgan since a model that has been trained on technically available data may not be trained on decision-suitable data. As soon as the bank is unable to rebuild the origin of data, the purpose of data collection, data transformation, who accessed the data, and whether the data is still appropriate to the current use case, the control failure already took place prior to the official model validation.</w:t>
      </w:r>
    </w:p>
    <w:p w14:paraId="0C9BAA20" w14:textId="77777777" w:rsidR="00B47E9D" w:rsidRPr="005752BF" w:rsidRDefault="00B47E9D" w:rsidP="00615A84">
      <w:r w:rsidRPr="005752BF">
        <w:t>The typical managerial fallacy is to believe that data that is obtained lawfully can be reused by AI. It is not the case in a bank. The legal basis, quality characteristics, and risks of bias of data used in fraud prevention, KYC, customer support, complaints handling or transaction monitoring vary. The reality of the economic world is frequently distorted by historical policy rules, manual overrides, incomplete fields or operational workarounds instead of economic reality. NIST makes it clear that the features of trustworthiness are context-dependent and that the decisions to deploy a system should be based on the relative risks, impacts, costs and benefits of the proposed use (AI, 2023). The same point is supported by Ratzan and Rahman (2024) in a banking setting, where the definition of responsible AI is based on transparent inputs, explainable outputs, and fairness aligned with the expectations of the stakeholders, organisational values and legal norms.</w:t>
      </w:r>
    </w:p>
    <w:p w14:paraId="4ADA351D" w14:textId="47348C75" w:rsidR="00B47E9D" w:rsidRPr="009C56AE" w:rsidRDefault="00B47E9D" w:rsidP="009C56AE">
      <w:pPr>
        <w:pStyle w:val="Heading2"/>
        <w:numPr>
          <w:ilvl w:val="1"/>
          <w:numId w:val="40"/>
        </w:numPr>
      </w:pPr>
      <w:bookmarkStart w:id="8" w:name="_Toc228177143"/>
      <w:r w:rsidRPr="009C56AE">
        <w:t>Model risk control and validation</w:t>
      </w:r>
      <w:bookmarkEnd w:id="8"/>
    </w:p>
    <w:p w14:paraId="303468D0" w14:textId="77777777" w:rsidR="00B47E9D" w:rsidRPr="005752BF" w:rsidRDefault="00B47E9D" w:rsidP="00615A84">
      <w:r w:rsidRPr="005752BF">
        <w:t>When data governance is considered to be the input discipline, the control spine would be model risk management. SR 11-7 is the most significant supervisory anchor to model risk in the U.S. banking sector since it characterizes model risk in terms of its consequences, as opposed to its technical form. It involves sound model development, implementation and utilization, effective independent validation and sound governance, policies and controls, all geared towards minimizing negative consequences of wrong or abused models (Board of Governors of the Federal Reserve System, 2011).</w:t>
      </w:r>
    </w:p>
    <w:p w14:paraId="65A5ADC8" w14:textId="502C08C7" w:rsidR="00B47E9D" w:rsidRPr="005752BF" w:rsidRDefault="00B47E9D" w:rsidP="00615A84">
      <w:r w:rsidRPr="005752BF">
        <w:t xml:space="preserve">The Spring 2025 Risk Perspective of the OCC states that banks are already applying AI to real-time fraud and anomaly detection, elements of credit underwriting, document extraction, personalised customer recommendations, compliance support and enterprise risk management. It also cautions that internally developed or third-party AI may result in model, cybersecurity and compliance risk (Office of the Comptroller of the Currency, 2025). The Generative AI Profile of NIST further states that generative systems create or exacerbate risks like confabulation, data leakage, failures due to poor generalisation and provenance, and that they must be governed, mapped, measured and managed throughout the lifecycle as opposed to being patched once deployed (AI, 2024). Collectively, these sources assert that it is wrong to say that a customer-service bot, an analyst copilot or a complaint-drafting assistant is merely a tool. A system that influences the way customers </w:t>
      </w:r>
      <w:r w:rsidRPr="005752BF">
        <w:lastRenderedPageBreak/>
        <w:t>are treated or how the staff judges is already in operation within the risk perimeter of the bank</w:t>
      </w:r>
      <w:r w:rsidR="001E3119">
        <w:t xml:space="preserve"> (Van Greuning &amp; Bratanovic, 2020)</w:t>
      </w:r>
      <w:r w:rsidRPr="005752BF">
        <w:t>.</w:t>
      </w:r>
    </w:p>
    <w:p w14:paraId="2008B0AB" w14:textId="77777777" w:rsidR="00B47E9D" w:rsidRPr="005752BF" w:rsidRDefault="00B47E9D" w:rsidP="00615A84">
      <w:r w:rsidRPr="005752BF">
        <w:t>This is the reason why JPMorgan must not give in to a strictly formal definition of model materiality. A chatbot that hallucinates or omits caveats or incorporates biased assumptions may cause model risk and conduct risk. Yeo et al. (2025) demonstrate explainability in finance to be a practical limitation on deployability, whereas Cosma et al. (2023) believe that unresolved model-risk issues in banking are more organisational than computational.</w:t>
      </w:r>
    </w:p>
    <w:p w14:paraId="086E4FE4" w14:textId="60C01637" w:rsidR="00B47E9D" w:rsidRPr="005752BF" w:rsidRDefault="00B47E9D" w:rsidP="009C56AE">
      <w:pPr>
        <w:pStyle w:val="Heading2"/>
        <w:numPr>
          <w:ilvl w:val="1"/>
          <w:numId w:val="40"/>
        </w:numPr>
      </w:pPr>
      <w:bookmarkStart w:id="9" w:name="_Toc228177144"/>
      <w:r w:rsidRPr="005752BF">
        <w:t>Dependency between third parties and foundations</w:t>
      </w:r>
      <w:bookmarkEnd w:id="9"/>
    </w:p>
    <w:p w14:paraId="0AFB810C" w14:textId="77777777" w:rsidR="00B47E9D" w:rsidRPr="005752BF" w:rsidRDefault="00B47E9D" w:rsidP="00615A84">
      <w:r w:rsidRPr="005752BF">
        <w:t>The third-party AI dependency is the point of innovation strategy and operational frailty. According to the 2024 report by Treasury, respondents in the financial sector are deeply worried about the risk posed by third-party AI, such as concentration, supply-chain opaqueness, lack of bargaining power over large providers and the inability to perform meaningful due diligence on complex external models (U.S. Department of the Treasury, 2024). A financial-stability viewpoint would also lead the Bank of England to the same conclusion, by noting that institutions are becoming more dependent on a handful of providers to provide vendor models, cloud services and large datasets, and that it may not be possible to quickly switch to alternative providers in the event of their failure or disruption (Bank of England, 2025).</w:t>
      </w:r>
    </w:p>
    <w:p w14:paraId="6D926B12" w14:textId="2F03ADB3" w:rsidR="00B47E9D" w:rsidRPr="005752BF" w:rsidRDefault="00B47E9D" w:rsidP="00615A84">
      <w:r w:rsidRPr="005752BF">
        <w:t>In the case of JPMorgan, vendor risk is not limited to the direct supplier, but also to subprocessors, cloud regions, model hosts, data brokers and API intermediaries. One of the validation barriers is vendor opacity. A contract failing to provide expectations of provenance, incident-notification rights, audit rights, subprocessor disclosure and exit planning is structurally weak. The Generative AI Profile of NIST clearly states that the cross-sector use of generative AI is frequently reliant on cloud-based services or foundation models and must be regulated in that way (AI, 2024</w:t>
      </w:r>
      <w:r w:rsidR="00C87041">
        <w:t>; Pokomy, 2026</w:t>
      </w:r>
      <w:r w:rsidRPr="005752BF">
        <w:t>).</w:t>
      </w:r>
    </w:p>
    <w:p w14:paraId="252276D8" w14:textId="60CB7AFA" w:rsidR="00B47E9D" w:rsidRPr="005752BF" w:rsidRDefault="00B47E9D" w:rsidP="009C56AE">
      <w:pPr>
        <w:pStyle w:val="Heading2"/>
        <w:numPr>
          <w:ilvl w:val="1"/>
          <w:numId w:val="40"/>
        </w:numPr>
      </w:pPr>
      <w:bookmarkStart w:id="10" w:name="_Toc228177145"/>
      <w:r w:rsidRPr="005752BF">
        <w:t>Use case tiered governance</w:t>
      </w:r>
      <w:bookmarkEnd w:id="10"/>
    </w:p>
    <w:p w14:paraId="36360620" w14:textId="77777777" w:rsidR="00B47E9D" w:rsidRPr="005752BF" w:rsidRDefault="00B47E9D" w:rsidP="00615A84">
      <w:r w:rsidRPr="005752BF">
        <w:t>The management issue is the differentiation of governance. It is not possible to have a single approval process for all the AI use cases since the impacts of failure are not the same. NIST AI RMF is context-sensitive, and JPMorgan is advised to categorize AI based on customer, control and supervisory impact and not on its technology label. With hundreds of live AI or ML applications and enterprise-wide access to LLM, it is governance drift at JPMorgan, at its scale. This is solved by a four-tier model which enables Tier 1 and chosen Tier 2 tools to move fast and compel Tier 3 and Tier 4 systems to follow validation, explanation, human review and reapproval disciplines. The application of all AI as the same will either slow down the adoption of low-risk systems or under-control high-impact systems as this is a management failure.</w:t>
      </w:r>
    </w:p>
    <w:p w14:paraId="58B1F151" w14:textId="61314475" w:rsidR="00655FE5" w:rsidRPr="005752BF" w:rsidRDefault="009C56AE" w:rsidP="009C56AE">
      <w:pPr>
        <w:pStyle w:val="Caption"/>
        <w:rPr>
          <w:b w:val="0"/>
        </w:rPr>
      </w:pPr>
      <w:bookmarkStart w:id="11" w:name="_Toc228177160"/>
      <w:r>
        <w:lastRenderedPageBreak/>
        <w:t xml:space="preserve">Table </w:t>
      </w:r>
      <w:r w:rsidR="00873F64">
        <w:fldChar w:fldCharType="begin"/>
      </w:r>
      <w:r w:rsidR="00873F64">
        <w:instrText xml:space="preserve"> SEQ Table \* ARABIC </w:instrText>
      </w:r>
      <w:r w:rsidR="00873F64">
        <w:fldChar w:fldCharType="separate"/>
      </w:r>
      <w:r w:rsidR="00873F64">
        <w:rPr>
          <w:noProof/>
        </w:rPr>
        <w:t>1</w:t>
      </w:r>
      <w:r w:rsidR="00873F64">
        <w:rPr>
          <w:noProof/>
        </w:rPr>
        <w:fldChar w:fldCharType="end"/>
      </w:r>
      <w:r>
        <w:t xml:space="preserve"> </w:t>
      </w:r>
      <w:r w:rsidRPr="007E41FD">
        <w:t>Differentiated AI governance by use case</w:t>
      </w:r>
      <w:bookmarkEnd w:id="11"/>
    </w:p>
    <w:tbl>
      <w:tblPr>
        <w:tblStyle w:val="TableGrid"/>
        <w:tblW w:w="0" w:type="auto"/>
        <w:jc w:val="center"/>
        <w:tblLook w:val="04A0" w:firstRow="1" w:lastRow="0" w:firstColumn="1" w:lastColumn="0" w:noHBand="0" w:noVBand="1"/>
      </w:tblPr>
      <w:tblGrid>
        <w:gridCol w:w="966"/>
        <w:gridCol w:w="2001"/>
        <w:gridCol w:w="3028"/>
        <w:gridCol w:w="3568"/>
      </w:tblGrid>
      <w:tr w:rsidR="00655FE5" w:rsidRPr="005752BF" w14:paraId="6CC94866" w14:textId="77777777" w:rsidTr="009C56AE">
        <w:trPr>
          <w:trHeight w:val="471"/>
          <w:jc w:val="center"/>
        </w:trPr>
        <w:tc>
          <w:tcPr>
            <w:tcW w:w="966" w:type="dxa"/>
            <w:shd w:val="clear" w:color="auto" w:fill="D9EAF7"/>
            <w:tcMar>
              <w:top w:w="110" w:type="dxa"/>
              <w:left w:w="120" w:type="dxa"/>
              <w:bottom w:w="110" w:type="dxa"/>
              <w:right w:w="120" w:type="dxa"/>
            </w:tcMar>
            <w:vAlign w:val="center"/>
          </w:tcPr>
          <w:p w14:paraId="3D83A278" w14:textId="77777777" w:rsidR="00655FE5" w:rsidRPr="005752BF" w:rsidRDefault="00DB345A">
            <w:pPr>
              <w:jc w:val="center"/>
              <w:rPr>
                <w:bCs/>
              </w:rPr>
            </w:pPr>
            <w:r w:rsidRPr="005752BF">
              <w:rPr>
                <w:bCs/>
                <w:color w:val="1F4E79"/>
                <w:sz w:val="20"/>
              </w:rPr>
              <w:t>Tier</w:t>
            </w:r>
          </w:p>
        </w:tc>
        <w:tc>
          <w:tcPr>
            <w:tcW w:w="2001" w:type="dxa"/>
            <w:shd w:val="clear" w:color="auto" w:fill="D9EAF7"/>
            <w:tcMar>
              <w:top w:w="110" w:type="dxa"/>
              <w:left w:w="120" w:type="dxa"/>
              <w:bottom w:w="110" w:type="dxa"/>
              <w:right w:w="120" w:type="dxa"/>
            </w:tcMar>
            <w:vAlign w:val="center"/>
          </w:tcPr>
          <w:p w14:paraId="7DFC9A99" w14:textId="77777777" w:rsidR="00655FE5" w:rsidRPr="005752BF" w:rsidRDefault="00DB345A">
            <w:pPr>
              <w:jc w:val="center"/>
              <w:rPr>
                <w:bCs/>
              </w:rPr>
            </w:pPr>
            <w:r w:rsidRPr="005752BF">
              <w:rPr>
                <w:bCs/>
                <w:color w:val="1F4E79"/>
                <w:sz w:val="20"/>
              </w:rPr>
              <w:t>Use-case class</w:t>
            </w:r>
          </w:p>
        </w:tc>
        <w:tc>
          <w:tcPr>
            <w:tcW w:w="3028" w:type="dxa"/>
            <w:shd w:val="clear" w:color="auto" w:fill="D9EAF7"/>
            <w:tcMar>
              <w:top w:w="110" w:type="dxa"/>
              <w:left w:w="120" w:type="dxa"/>
              <w:bottom w:w="110" w:type="dxa"/>
              <w:right w:w="120" w:type="dxa"/>
            </w:tcMar>
            <w:vAlign w:val="center"/>
          </w:tcPr>
          <w:p w14:paraId="5EC3EAF2" w14:textId="198B9BB6" w:rsidR="00655FE5" w:rsidRPr="005752BF" w:rsidRDefault="00692682">
            <w:pPr>
              <w:jc w:val="center"/>
              <w:rPr>
                <w:bCs/>
              </w:rPr>
            </w:pPr>
            <w:r w:rsidRPr="005752BF">
              <w:rPr>
                <w:bCs/>
                <w:color w:val="1F4E79"/>
                <w:sz w:val="20"/>
              </w:rPr>
              <w:t>E</w:t>
            </w:r>
            <w:r w:rsidR="00DB345A" w:rsidRPr="005752BF">
              <w:rPr>
                <w:bCs/>
                <w:color w:val="1F4E79"/>
                <w:sz w:val="20"/>
              </w:rPr>
              <w:t>xamples</w:t>
            </w:r>
          </w:p>
        </w:tc>
        <w:tc>
          <w:tcPr>
            <w:tcW w:w="3568" w:type="dxa"/>
            <w:shd w:val="clear" w:color="auto" w:fill="D9EAF7"/>
            <w:tcMar>
              <w:top w:w="110" w:type="dxa"/>
              <w:left w:w="120" w:type="dxa"/>
              <w:bottom w:w="110" w:type="dxa"/>
              <w:right w:w="120" w:type="dxa"/>
            </w:tcMar>
            <w:vAlign w:val="center"/>
          </w:tcPr>
          <w:p w14:paraId="1D19406D" w14:textId="77777777" w:rsidR="00655FE5" w:rsidRPr="005752BF" w:rsidRDefault="00DB345A">
            <w:pPr>
              <w:jc w:val="center"/>
              <w:rPr>
                <w:bCs/>
              </w:rPr>
            </w:pPr>
            <w:r w:rsidRPr="005752BF">
              <w:rPr>
                <w:bCs/>
                <w:color w:val="1F4E79"/>
                <w:sz w:val="20"/>
              </w:rPr>
              <w:t>Minimum control standard</w:t>
            </w:r>
          </w:p>
        </w:tc>
      </w:tr>
      <w:tr w:rsidR="00655FE5" w:rsidRPr="005752BF" w14:paraId="5CB451DA" w14:textId="77777777" w:rsidTr="009C56AE">
        <w:trPr>
          <w:trHeight w:val="617"/>
          <w:jc w:val="center"/>
        </w:trPr>
        <w:tc>
          <w:tcPr>
            <w:tcW w:w="966" w:type="dxa"/>
            <w:tcMar>
              <w:top w:w="120" w:type="dxa"/>
              <w:left w:w="120" w:type="dxa"/>
              <w:bottom w:w="120" w:type="dxa"/>
              <w:right w:w="120" w:type="dxa"/>
            </w:tcMar>
            <w:vAlign w:val="center"/>
          </w:tcPr>
          <w:p w14:paraId="00EB50BE" w14:textId="77777777" w:rsidR="00655FE5" w:rsidRPr="005752BF" w:rsidRDefault="00DB345A">
            <w:pPr>
              <w:spacing w:line="252" w:lineRule="auto"/>
              <w:jc w:val="center"/>
              <w:rPr>
                <w:bCs/>
              </w:rPr>
            </w:pPr>
            <w:r w:rsidRPr="005752BF">
              <w:rPr>
                <w:bCs/>
                <w:sz w:val="19"/>
              </w:rPr>
              <w:t>Tier 1</w:t>
            </w:r>
          </w:p>
        </w:tc>
        <w:tc>
          <w:tcPr>
            <w:tcW w:w="2001" w:type="dxa"/>
            <w:tcMar>
              <w:top w:w="120" w:type="dxa"/>
              <w:left w:w="120" w:type="dxa"/>
              <w:bottom w:w="120" w:type="dxa"/>
              <w:right w:w="120" w:type="dxa"/>
            </w:tcMar>
            <w:vAlign w:val="center"/>
          </w:tcPr>
          <w:p w14:paraId="5E853AD9" w14:textId="77777777" w:rsidR="00655FE5" w:rsidRPr="005752BF" w:rsidRDefault="00DB345A">
            <w:pPr>
              <w:spacing w:line="252" w:lineRule="auto"/>
              <w:rPr>
                <w:bCs/>
              </w:rPr>
            </w:pPr>
            <w:r w:rsidRPr="005752BF">
              <w:rPr>
                <w:bCs/>
                <w:sz w:val="19"/>
              </w:rPr>
              <w:t>Internal productivity and drafting support</w:t>
            </w:r>
          </w:p>
        </w:tc>
        <w:tc>
          <w:tcPr>
            <w:tcW w:w="3028" w:type="dxa"/>
            <w:tcMar>
              <w:top w:w="120" w:type="dxa"/>
              <w:left w:w="120" w:type="dxa"/>
              <w:bottom w:w="120" w:type="dxa"/>
              <w:right w:w="120" w:type="dxa"/>
            </w:tcMar>
            <w:vAlign w:val="center"/>
          </w:tcPr>
          <w:p w14:paraId="382F8F05" w14:textId="77777777" w:rsidR="00655FE5" w:rsidRPr="005752BF" w:rsidRDefault="00DB345A">
            <w:pPr>
              <w:spacing w:line="252" w:lineRule="auto"/>
              <w:rPr>
                <w:bCs/>
              </w:rPr>
            </w:pPr>
            <w:r w:rsidRPr="005752BF">
              <w:rPr>
                <w:bCs/>
                <w:sz w:val="19"/>
              </w:rPr>
              <w:t>Note summarisation, coding assistance, internal search</w:t>
            </w:r>
          </w:p>
        </w:tc>
        <w:tc>
          <w:tcPr>
            <w:tcW w:w="3568" w:type="dxa"/>
            <w:tcMar>
              <w:top w:w="120" w:type="dxa"/>
              <w:left w:w="120" w:type="dxa"/>
              <w:bottom w:w="120" w:type="dxa"/>
              <w:right w:w="120" w:type="dxa"/>
            </w:tcMar>
            <w:vAlign w:val="center"/>
          </w:tcPr>
          <w:p w14:paraId="138E7F3F" w14:textId="77777777" w:rsidR="00655FE5" w:rsidRPr="005752BF" w:rsidRDefault="00DB345A">
            <w:pPr>
              <w:spacing w:line="252" w:lineRule="auto"/>
              <w:rPr>
                <w:bCs/>
              </w:rPr>
            </w:pPr>
            <w:r w:rsidRPr="005752BF">
              <w:rPr>
                <w:bCs/>
                <w:sz w:val="19"/>
              </w:rPr>
              <w:t>Approved platform, restricted data access, logging, periodic review</w:t>
            </w:r>
          </w:p>
        </w:tc>
      </w:tr>
      <w:tr w:rsidR="00655FE5" w:rsidRPr="005752BF" w14:paraId="4ACCE914" w14:textId="77777777" w:rsidTr="009C56AE">
        <w:trPr>
          <w:trHeight w:val="926"/>
          <w:jc w:val="center"/>
        </w:trPr>
        <w:tc>
          <w:tcPr>
            <w:tcW w:w="966" w:type="dxa"/>
            <w:tcMar>
              <w:top w:w="120" w:type="dxa"/>
              <w:left w:w="120" w:type="dxa"/>
              <w:bottom w:w="120" w:type="dxa"/>
              <w:right w:w="120" w:type="dxa"/>
            </w:tcMar>
            <w:vAlign w:val="center"/>
          </w:tcPr>
          <w:p w14:paraId="0CB4FA5B" w14:textId="77777777" w:rsidR="00655FE5" w:rsidRPr="005752BF" w:rsidRDefault="00DB345A">
            <w:pPr>
              <w:spacing w:line="252" w:lineRule="auto"/>
              <w:jc w:val="center"/>
              <w:rPr>
                <w:bCs/>
              </w:rPr>
            </w:pPr>
            <w:r w:rsidRPr="005752BF">
              <w:rPr>
                <w:bCs/>
                <w:sz w:val="19"/>
              </w:rPr>
              <w:t>Tier 2</w:t>
            </w:r>
          </w:p>
        </w:tc>
        <w:tc>
          <w:tcPr>
            <w:tcW w:w="2001" w:type="dxa"/>
            <w:tcMar>
              <w:top w:w="120" w:type="dxa"/>
              <w:left w:w="120" w:type="dxa"/>
              <w:bottom w:w="120" w:type="dxa"/>
              <w:right w:w="120" w:type="dxa"/>
            </w:tcMar>
            <w:vAlign w:val="center"/>
          </w:tcPr>
          <w:p w14:paraId="15F52697" w14:textId="77777777" w:rsidR="00655FE5" w:rsidRPr="005752BF" w:rsidRDefault="00DB345A">
            <w:pPr>
              <w:spacing w:line="252" w:lineRule="auto"/>
              <w:rPr>
                <w:bCs/>
              </w:rPr>
            </w:pPr>
            <w:r w:rsidRPr="005752BF">
              <w:rPr>
                <w:bCs/>
                <w:sz w:val="19"/>
              </w:rPr>
              <w:t>Operational support with limited customer effect</w:t>
            </w:r>
          </w:p>
        </w:tc>
        <w:tc>
          <w:tcPr>
            <w:tcW w:w="3028" w:type="dxa"/>
            <w:tcMar>
              <w:top w:w="120" w:type="dxa"/>
              <w:left w:w="120" w:type="dxa"/>
              <w:bottom w:w="120" w:type="dxa"/>
              <w:right w:w="120" w:type="dxa"/>
            </w:tcMar>
            <w:vAlign w:val="center"/>
          </w:tcPr>
          <w:p w14:paraId="78D624CD" w14:textId="77777777" w:rsidR="00655FE5" w:rsidRPr="005752BF" w:rsidRDefault="00DB345A">
            <w:pPr>
              <w:spacing w:line="252" w:lineRule="auto"/>
              <w:rPr>
                <w:bCs/>
              </w:rPr>
            </w:pPr>
            <w:r w:rsidRPr="005752BF">
              <w:rPr>
                <w:bCs/>
                <w:sz w:val="19"/>
              </w:rPr>
              <w:t>Workflow routing, document extraction, analyst support</w:t>
            </w:r>
          </w:p>
        </w:tc>
        <w:tc>
          <w:tcPr>
            <w:tcW w:w="3568" w:type="dxa"/>
            <w:tcMar>
              <w:top w:w="120" w:type="dxa"/>
              <w:left w:w="120" w:type="dxa"/>
              <w:bottom w:w="120" w:type="dxa"/>
              <w:right w:w="120" w:type="dxa"/>
            </w:tcMar>
            <w:vAlign w:val="center"/>
          </w:tcPr>
          <w:p w14:paraId="4A4EC448" w14:textId="77777777" w:rsidR="00655FE5" w:rsidRPr="005752BF" w:rsidRDefault="00DB345A">
            <w:pPr>
              <w:spacing w:line="252" w:lineRule="auto"/>
              <w:rPr>
                <w:bCs/>
              </w:rPr>
            </w:pPr>
            <w:r w:rsidRPr="005752BF">
              <w:rPr>
                <w:bCs/>
                <w:sz w:val="19"/>
              </w:rPr>
              <w:t>Named owner, performance monitoring, fallback procedures, change control</w:t>
            </w:r>
          </w:p>
        </w:tc>
      </w:tr>
      <w:tr w:rsidR="00655FE5" w:rsidRPr="005752BF" w14:paraId="1504C6C0" w14:textId="77777777" w:rsidTr="009C56AE">
        <w:trPr>
          <w:trHeight w:val="926"/>
          <w:jc w:val="center"/>
        </w:trPr>
        <w:tc>
          <w:tcPr>
            <w:tcW w:w="966" w:type="dxa"/>
            <w:tcMar>
              <w:top w:w="120" w:type="dxa"/>
              <w:left w:w="120" w:type="dxa"/>
              <w:bottom w:w="120" w:type="dxa"/>
              <w:right w:w="120" w:type="dxa"/>
            </w:tcMar>
            <w:vAlign w:val="center"/>
          </w:tcPr>
          <w:p w14:paraId="321685D3" w14:textId="77777777" w:rsidR="00655FE5" w:rsidRPr="005752BF" w:rsidRDefault="00DB345A">
            <w:pPr>
              <w:spacing w:line="252" w:lineRule="auto"/>
              <w:jc w:val="center"/>
              <w:rPr>
                <w:bCs/>
              </w:rPr>
            </w:pPr>
            <w:r w:rsidRPr="005752BF">
              <w:rPr>
                <w:bCs/>
                <w:sz w:val="19"/>
              </w:rPr>
              <w:t>Tier 3</w:t>
            </w:r>
          </w:p>
        </w:tc>
        <w:tc>
          <w:tcPr>
            <w:tcW w:w="2001" w:type="dxa"/>
            <w:tcMar>
              <w:top w:w="120" w:type="dxa"/>
              <w:left w:w="120" w:type="dxa"/>
              <w:bottom w:w="120" w:type="dxa"/>
              <w:right w:w="120" w:type="dxa"/>
            </w:tcMar>
            <w:vAlign w:val="center"/>
          </w:tcPr>
          <w:p w14:paraId="2518B629" w14:textId="77777777" w:rsidR="00655FE5" w:rsidRPr="005752BF" w:rsidRDefault="00DB345A">
            <w:pPr>
              <w:spacing w:line="252" w:lineRule="auto"/>
              <w:rPr>
                <w:bCs/>
              </w:rPr>
            </w:pPr>
            <w:r w:rsidRPr="005752BF">
              <w:rPr>
                <w:bCs/>
                <w:sz w:val="19"/>
              </w:rPr>
              <w:t>Customer-affecting advisory or service outputs</w:t>
            </w:r>
          </w:p>
        </w:tc>
        <w:tc>
          <w:tcPr>
            <w:tcW w:w="3028" w:type="dxa"/>
            <w:tcMar>
              <w:top w:w="120" w:type="dxa"/>
              <w:left w:w="120" w:type="dxa"/>
              <w:bottom w:w="120" w:type="dxa"/>
              <w:right w:w="120" w:type="dxa"/>
            </w:tcMar>
            <w:vAlign w:val="center"/>
          </w:tcPr>
          <w:p w14:paraId="401119D0" w14:textId="77777777" w:rsidR="00655FE5" w:rsidRPr="005752BF" w:rsidRDefault="00DB345A">
            <w:pPr>
              <w:spacing w:line="252" w:lineRule="auto"/>
              <w:rPr>
                <w:bCs/>
              </w:rPr>
            </w:pPr>
            <w:r w:rsidRPr="005752BF">
              <w:rPr>
                <w:bCs/>
                <w:sz w:val="19"/>
              </w:rPr>
              <w:t>Service chat assistance, complaint drafting, personalised offers</w:t>
            </w:r>
          </w:p>
        </w:tc>
        <w:tc>
          <w:tcPr>
            <w:tcW w:w="3568" w:type="dxa"/>
            <w:tcMar>
              <w:top w:w="120" w:type="dxa"/>
              <w:left w:w="120" w:type="dxa"/>
              <w:bottom w:w="120" w:type="dxa"/>
              <w:right w:w="120" w:type="dxa"/>
            </w:tcMar>
            <w:vAlign w:val="center"/>
          </w:tcPr>
          <w:p w14:paraId="6B180F03" w14:textId="77777777" w:rsidR="00655FE5" w:rsidRPr="005752BF" w:rsidRDefault="00DB345A">
            <w:pPr>
              <w:spacing w:line="252" w:lineRule="auto"/>
              <w:rPr>
                <w:bCs/>
              </w:rPr>
            </w:pPr>
            <w:r w:rsidRPr="005752BF">
              <w:rPr>
                <w:bCs/>
                <w:sz w:val="19"/>
              </w:rPr>
              <w:t>Validation, QA sampling, explanation standards, complaint escalation routes</w:t>
            </w:r>
          </w:p>
        </w:tc>
      </w:tr>
      <w:tr w:rsidR="00655FE5" w:rsidRPr="005752BF" w14:paraId="57A0B758" w14:textId="77777777" w:rsidTr="009C56AE">
        <w:trPr>
          <w:trHeight w:val="926"/>
          <w:jc w:val="center"/>
        </w:trPr>
        <w:tc>
          <w:tcPr>
            <w:tcW w:w="966" w:type="dxa"/>
            <w:tcMar>
              <w:top w:w="120" w:type="dxa"/>
              <w:left w:w="120" w:type="dxa"/>
              <w:bottom w:w="120" w:type="dxa"/>
              <w:right w:w="120" w:type="dxa"/>
            </w:tcMar>
            <w:vAlign w:val="center"/>
          </w:tcPr>
          <w:p w14:paraId="73497383" w14:textId="77777777" w:rsidR="00655FE5" w:rsidRPr="005752BF" w:rsidRDefault="00DB345A">
            <w:pPr>
              <w:spacing w:line="252" w:lineRule="auto"/>
              <w:jc w:val="center"/>
              <w:rPr>
                <w:bCs/>
              </w:rPr>
            </w:pPr>
            <w:r w:rsidRPr="005752BF">
              <w:rPr>
                <w:bCs/>
                <w:sz w:val="19"/>
              </w:rPr>
              <w:t>Tier 4</w:t>
            </w:r>
          </w:p>
        </w:tc>
        <w:tc>
          <w:tcPr>
            <w:tcW w:w="2001" w:type="dxa"/>
            <w:tcMar>
              <w:top w:w="120" w:type="dxa"/>
              <w:left w:w="120" w:type="dxa"/>
              <w:bottom w:w="120" w:type="dxa"/>
              <w:right w:w="120" w:type="dxa"/>
            </w:tcMar>
            <w:vAlign w:val="center"/>
          </w:tcPr>
          <w:p w14:paraId="63E15888" w14:textId="77777777" w:rsidR="00655FE5" w:rsidRPr="005752BF" w:rsidRDefault="00DB345A">
            <w:pPr>
              <w:spacing w:line="252" w:lineRule="auto"/>
              <w:rPr>
                <w:bCs/>
              </w:rPr>
            </w:pPr>
            <w:r w:rsidRPr="005752BF">
              <w:rPr>
                <w:bCs/>
                <w:sz w:val="19"/>
              </w:rPr>
              <w:t>High-impact decision systems</w:t>
            </w:r>
          </w:p>
        </w:tc>
        <w:tc>
          <w:tcPr>
            <w:tcW w:w="3028" w:type="dxa"/>
            <w:tcMar>
              <w:top w:w="120" w:type="dxa"/>
              <w:left w:w="120" w:type="dxa"/>
              <w:bottom w:w="120" w:type="dxa"/>
              <w:right w:w="120" w:type="dxa"/>
            </w:tcMar>
            <w:vAlign w:val="center"/>
          </w:tcPr>
          <w:p w14:paraId="570E41A1" w14:textId="77777777" w:rsidR="00655FE5" w:rsidRPr="005752BF" w:rsidRDefault="00DB345A">
            <w:pPr>
              <w:spacing w:line="252" w:lineRule="auto"/>
              <w:rPr>
                <w:bCs/>
              </w:rPr>
            </w:pPr>
            <w:r w:rsidRPr="005752BF">
              <w:rPr>
                <w:bCs/>
                <w:sz w:val="19"/>
              </w:rPr>
              <w:t>Credit, fraud blocks, surveillance, pricing, account access, compliance escalation</w:t>
            </w:r>
          </w:p>
        </w:tc>
        <w:tc>
          <w:tcPr>
            <w:tcW w:w="3568" w:type="dxa"/>
            <w:tcMar>
              <w:top w:w="120" w:type="dxa"/>
              <w:left w:w="120" w:type="dxa"/>
              <w:bottom w:w="120" w:type="dxa"/>
              <w:right w:w="120" w:type="dxa"/>
            </w:tcMar>
            <w:vAlign w:val="center"/>
          </w:tcPr>
          <w:p w14:paraId="58F8B0BA" w14:textId="77777777" w:rsidR="00655FE5" w:rsidRPr="005752BF" w:rsidRDefault="00DB345A">
            <w:pPr>
              <w:spacing w:line="252" w:lineRule="auto"/>
              <w:rPr>
                <w:bCs/>
              </w:rPr>
            </w:pPr>
            <w:r w:rsidRPr="005752BF">
              <w:rPr>
                <w:bCs/>
                <w:sz w:val="19"/>
              </w:rPr>
              <w:t>Independent validation, human review, override governance, incident playbooks, periodic reapproval</w:t>
            </w:r>
          </w:p>
        </w:tc>
      </w:tr>
    </w:tbl>
    <w:p w14:paraId="4BA69AC3" w14:textId="4E182640" w:rsidR="00655FE5" w:rsidRPr="009C56AE" w:rsidRDefault="00DB345A" w:rsidP="009C56AE">
      <w:pPr>
        <w:pStyle w:val="Heading1"/>
        <w:numPr>
          <w:ilvl w:val="0"/>
          <w:numId w:val="40"/>
        </w:numPr>
      </w:pPr>
      <w:bookmarkStart w:id="12" w:name="_Toc228177146"/>
      <w:r w:rsidRPr="009C56AE">
        <w:t>UK-U.S. Regulatory and Supervisory Analysis</w:t>
      </w:r>
      <w:bookmarkEnd w:id="12"/>
    </w:p>
    <w:p w14:paraId="518C04FA" w14:textId="0F804397" w:rsidR="00655FE5" w:rsidRPr="009C56AE" w:rsidRDefault="00DB345A" w:rsidP="009C56AE">
      <w:pPr>
        <w:pStyle w:val="Heading2"/>
        <w:numPr>
          <w:ilvl w:val="1"/>
          <w:numId w:val="40"/>
        </w:numPr>
      </w:pPr>
      <w:bookmarkStart w:id="13" w:name="_Toc228177147"/>
      <w:r w:rsidRPr="009C56AE">
        <w:t>United Kingdom</w:t>
      </w:r>
      <w:bookmarkEnd w:id="13"/>
    </w:p>
    <w:p w14:paraId="79A6C970" w14:textId="77777777" w:rsidR="00B47E9D" w:rsidRPr="005752BF" w:rsidRDefault="00B47E9D" w:rsidP="00615A84">
      <w:r w:rsidRPr="005752BF">
        <w:t>The UK is a principles-based jurisdiction for AI in financial services, but that is not to be confused with softness. The FCA has now made it clear that it has no intention of implementing additional AI-specific regulation, but will use the current frameworks to address most of the risks posed by AI. It also re-focuses firms on the current requirements like Consumer Duty and senior-management responsibility in the SM&amp;CR (Authority, 2025). This is in line with the broader AI model of the UK government, which is outlined in its 2023 white paper, which is based on five cross-sector principles, including safety, security and robustness, transparency and explainability, fairness, accountability and governance, and contestability and redress (Charlesworth et al., 2023). The appeal of that strategy is that it maintains flexibility and does not entrap regulation in a rapidly-evolving technology. It has a weakness of flexibility that transfers interpretive burden to firms.</w:t>
      </w:r>
    </w:p>
    <w:p w14:paraId="0E8AC666" w14:textId="7DB47EEA" w:rsidR="00B47E9D" w:rsidRPr="005752BF" w:rsidRDefault="00B47E9D" w:rsidP="00615A84">
      <w:r w:rsidRPr="005752BF">
        <w:t>Instead of being eliminated with the Data (Use and Access) Act 2025, that burden was added</w:t>
      </w:r>
      <w:r w:rsidR="00215498">
        <w:t xml:space="preserve"> (Chubaka et al., 2025</w:t>
      </w:r>
      <w:r w:rsidR="009A28D8">
        <w:t xml:space="preserve">; </w:t>
      </w:r>
      <w:r w:rsidR="009A28D8" w:rsidRPr="003143F1">
        <w:t>Marton</w:t>
      </w:r>
      <w:r w:rsidR="009A28D8">
        <w:t xml:space="preserve"> &amp;</w:t>
      </w:r>
      <w:r w:rsidR="009A28D8" w:rsidRPr="003143F1">
        <w:t xml:space="preserve"> Szent‐Iványi</w:t>
      </w:r>
      <w:r w:rsidR="009A28D8">
        <w:t>, 2025</w:t>
      </w:r>
      <w:r w:rsidR="00215498">
        <w:t>)</w:t>
      </w:r>
      <w:r w:rsidRPr="005752BF">
        <w:t xml:space="preserve">. An explanation of UK automated decision-making by the old shorthand of Article 22 alone would still be provided in a report. The Act provides a more liberal regime for purely automated decisions that have legal or other similarly important consequences, but only where there are safeguards, such as the provision of information about significant decisions, representations and challenge, and the provision of human intervention. It also involves having a significant human engagement in which decisions are rethought (Lloyd, 2025). The </w:t>
      </w:r>
      <w:r w:rsidRPr="005752BF">
        <w:lastRenderedPageBreak/>
        <w:t>legal issue is whether the safeguards are real, i.e. whether challenge routes are effective in practice, whether information is sufficiently specific to be contestable, and whether human review is effective in practice and not merely nominal</w:t>
      </w:r>
      <w:r w:rsidR="005E261F">
        <w:t xml:space="preserve"> (Hodgson, 2019; Cate, 2016)</w:t>
      </w:r>
      <w:r w:rsidRPr="005752BF">
        <w:t>.</w:t>
      </w:r>
    </w:p>
    <w:p w14:paraId="7CEA0281" w14:textId="1F896C1A" w:rsidR="00B47E9D" w:rsidRPr="005752BF" w:rsidRDefault="00B47E9D" w:rsidP="00816817">
      <w:pPr>
        <w:pStyle w:val="Heading2"/>
        <w:numPr>
          <w:ilvl w:val="1"/>
          <w:numId w:val="40"/>
        </w:numPr>
      </w:pPr>
      <w:bookmarkStart w:id="14" w:name="_Toc228177148"/>
      <w:r w:rsidRPr="005752BF">
        <w:t>United States</w:t>
      </w:r>
      <w:bookmarkEnd w:id="14"/>
    </w:p>
    <w:p w14:paraId="386F0BB2" w14:textId="1859741C" w:rsidR="00B47E9D" w:rsidRPr="005752BF" w:rsidRDefault="00B47E9D" w:rsidP="00615A84">
      <w:r w:rsidRPr="005752BF">
        <w:t>The U.S. system is not empty, as fragmentation is not to be confused with regulatory emptiness</w:t>
      </w:r>
      <w:r w:rsidR="00B97425">
        <w:t xml:space="preserve"> (Lehmann, 2017)</w:t>
      </w:r>
      <w:r w:rsidRPr="005752BF">
        <w:t>. No single economy-wide federal law on AI that serves as an omnibus banking AI law exists. But the pragmatic regime is dense. The NIST AI RMF is cross-sectoral and voluntary, yet it has gained power due to the need of institutions to have a shared governance vocabulary in the face of inconsistent legal and supervisory touchpoints (AI, 2023). Simultaneously, banking organisations are still under strong expectations under SR 11-7, prudential supervision, consumer-protection regulations and third-party risk management. The U.S. predicament is thus one of congruency.</w:t>
      </w:r>
    </w:p>
    <w:p w14:paraId="5839D30D" w14:textId="3888C411" w:rsidR="00CB4922" w:rsidRPr="005752BF" w:rsidRDefault="00B47E9D" w:rsidP="00615A84">
      <w:r w:rsidRPr="005752BF">
        <w:t>The intersection is most evident where AI is involved with customer outcomes. According to CFPB Circular 2022-03, even creditors who rely on complex or black-box algorithms have to give certain reasons as to why they took adverse action under ECOA and Regulation B</w:t>
      </w:r>
      <w:r w:rsidR="00B97425">
        <w:t xml:space="preserve"> (Griffith, 2023; Packin &amp; Lev-Aretz, 2024)</w:t>
      </w:r>
      <w:r w:rsidRPr="005752BF">
        <w:t xml:space="preserve">. The technology used does not dilute the requirement (Consumer Financial Protection Bureau, 2022). This is important as it transforms explainability from an ethical ideal to a design constraint that is legal. When a bank is not able to state the reason as to why credit was not given or a limit decreased, it is not just that it has a problem with communications. </w:t>
      </w:r>
      <w:r w:rsidR="00CB4922" w:rsidRPr="005752BF">
        <w:t>It suffers compliance problem. The same is repeated on the supervisory side in the OCC Spring 2025 Risk Perspective, which says that AI is already used to detect fraud, in underwriting factors, to assist compliance and tailored recommendations, and warns that internal and third-party AI may create model, cybersecurity and compliance risks (Office of the Comptroller of the Currency, 2025). The Treasury 2024 report offers the strategic layer that highlights the need to focus on interagency coordination, review compliance before deployment, and focus more on third-party concentration, explainability and resilience (U.S. Department of the Treasury, 2024).</w:t>
      </w:r>
    </w:p>
    <w:p w14:paraId="3D628F5C" w14:textId="1FE1E2C6" w:rsidR="00CB4922" w:rsidRPr="005752BF" w:rsidRDefault="00816817" w:rsidP="00816817">
      <w:pPr>
        <w:pStyle w:val="Heading2"/>
        <w:numPr>
          <w:ilvl w:val="1"/>
          <w:numId w:val="40"/>
        </w:numPr>
      </w:pPr>
      <w:bookmarkStart w:id="15" w:name="_Toc228177149"/>
      <w:r>
        <w:t>C</w:t>
      </w:r>
      <w:r w:rsidR="00CB4922" w:rsidRPr="005752BF">
        <w:t>omparative implication to JPMorgan</w:t>
      </w:r>
      <w:bookmarkEnd w:id="15"/>
    </w:p>
    <w:p w14:paraId="33438997" w14:textId="09229D02" w:rsidR="00B47E9D" w:rsidRPr="005752BF" w:rsidRDefault="00CB4922" w:rsidP="00615A84">
      <w:r w:rsidRPr="005752BF">
        <w:t>The point that makes the difference is that fragmentation does not decrease burden, but increases the cost of inconsistency. The UK requests JPMorgan to work in a principles-based, outcomes-driven regime in which AI should be safe, responsible, transparent enough to be put into context, and challengeable when there are material impacts.</w:t>
      </w:r>
      <w:r w:rsidR="00B47E9D" w:rsidRPr="005752BF">
        <w:t xml:space="preserve"> The U.S. requests the bank to fulfill a more intricate supervisory mosaic in which model risk, consumer protection, adverse-action disclosure, cyber resilience and third-party oversight overlap without a single statute. These regimes vary structurally, but operate operationally in the same way in requiring evidence that the bank is aware of where AI </w:t>
      </w:r>
      <w:r w:rsidR="00B47E9D" w:rsidRPr="005752BF">
        <w:lastRenderedPageBreak/>
        <w:t>is applied, what data it relies on, what controls are in place, when human oversight is required, and how harms or disagreements can be escalated.</w:t>
      </w:r>
    </w:p>
    <w:p w14:paraId="41023761" w14:textId="77777777" w:rsidR="00B47E9D" w:rsidRPr="005752BF" w:rsidRDefault="00B47E9D" w:rsidP="00615A84">
      <w:r w:rsidRPr="005752BF">
        <w:t>It is here that the Institutional Theory comes in handy and is not superfluous. The supervisors and law are sources of coercive pressure. Standards like the NIST AI RMF are sources of normative pressure, as well as new responsible-AI expectations in financial services. Mimetic pressure is created by peer institutions creating formal AI governance infrastructures since unregulated AI is becoming less and less prudent and more innovative (DiMaggio and Powell, 2000; Papagiannidis et al., 2025). These pressures are not going to give the same rules, but they are going to drive JPMorgan towards one enterprise control model. The jurisdiction-by-jurisdiction improvisation would be inferior since it would result in duplication, drift in definition and accountability loopholes. It is impossible to have a global bank with one loosely regulated AI stack in the U.S. and another, more regimented, stack in the UK without increasing the complexity of operations and regulatory risk.</w:t>
      </w:r>
    </w:p>
    <w:p w14:paraId="0D134FB2" w14:textId="77777777" w:rsidR="00B47E9D" w:rsidRPr="005752BF" w:rsidRDefault="00B47E9D" w:rsidP="00615A84">
      <w:r w:rsidRPr="005752BF">
        <w:t>The logical reaction is consequently a solitary enterprise AI control architecture with local legal overlays. Some of the common layer should consist of inventory, tiering, validation standards, third-party review, human-oversight triggers, incident management and board reporting. Jurisdiction-specific needs should then be covered by local overlays, such as UK protections against important automated decisions and U.S. adverse-action-explanation obligations. JPMorgan requires a single plausible system that is able to absorb regulatory variation without losing its consistency.</w:t>
      </w:r>
    </w:p>
    <w:p w14:paraId="38E50FC5" w14:textId="2FD6BF7C" w:rsidR="00B47E9D" w:rsidRPr="005752BF" w:rsidRDefault="00B47E9D" w:rsidP="00816817">
      <w:pPr>
        <w:pStyle w:val="Heading1"/>
        <w:numPr>
          <w:ilvl w:val="0"/>
          <w:numId w:val="40"/>
        </w:numPr>
      </w:pPr>
      <w:bookmarkStart w:id="16" w:name="_Toc228177150"/>
      <w:r w:rsidRPr="005752BF">
        <w:t>Customer Treatment, Ethical AI, Explainability and Conduct Risk</w:t>
      </w:r>
      <w:bookmarkEnd w:id="16"/>
    </w:p>
    <w:p w14:paraId="469AC392" w14:textId="024911C5" w:rsidR="00B47E9D" w:rsidRPr="005752BF" w:rsidRDefault="00615A84" w:rsidP="00816817">
      <w:pPr>
        <w:pStyle w:val="Heading2"/>
        <w:numPr>
          <w:ilvl w:val="1"/>
          <w:numId w:val="40"/>
        </w:numPr>
      </w:pPr>
      <w:bookmarkStart w:id="17" w:name="_Toc228177151"/>
      <w:r>
        <w:t>C</w:t>
      </w:r>
      <w:r w:rsidR="00B47E9D" w:rsidRPr="005752BF">
        <w:t xml:space="preserve">ustomer </w:t>
      </w:r>
      <w:r>
        <w:t>treatment</w:t>
      </w:r>
      <w:bookmarkEnd w:id="17"/>
    </w:p>
    <w:p w14:paraId="3A4D8B0F" w14:textId="6B6822A3" w:rsidR="00B47E9D" w:rsidRPr="005752BF" w:rsidRDefault="00B47E9D" w:rsidP="00615A84">
      <w:r w:rsidRPr="005752BF">
        <w:t xml:space="preserve">Ethical AI in banking is not a values agenda in itself, but a matter of designing systems that impact customers in a manner that ensures results are equitable, understandable, challengeable and accountable. In banking, customer harm occurs at the interface of an AI output being transformed into an action that alters a customer’s access, price, priority or treatment. The apparent risk, in credit underwriting, is not just bias, in the statistical sense, but denial or repricing, which cannot be explained in terms that can be comprehended by a customer, regulator or complaints investigator. The trade-off in the context of fraud controls is the same but even sharper. JPMorgan notes that more powerful models have been used to detect suspicious logins, more risky transactions in the Chase app and a 21% annual decrease in fraud and scam claim rates across payment options (JPMorgan Chase &amp; Co., 2026c). That demonstrates the positive aspect of AI. It also demonstrates the points of damage, as the same control logic that minimizes scams may incorrectly block valid </w:t>
      </w:r>
      <w:r w:rsidRPr="005752BF">
        <w:lastRenderedPageBreak/>
        <w:t>payments, or slow down urgent transactions or cause repeated friction to genuine customers. Other comparable risks are in complaints triage, transaction monitoring, personalization, pricing and customer-service escalation. A misclassified model of complaints that can slow justifiable resolution can be created by the model. A personalization engine may turn out to be covert segmentation. A monitoring tool can generate too many false positives and turn them into customer friction.</w:t>
      </w:r>
    </w:p>
    <w:p w14:paraId="4BDCA22E" w14:textId="77777777" w:rsidR="00B47E9D" w:rsidRPr="005752BF" w:rsidRDefault="00B47E9D" w:rsidP="00615A84">
      <w:r w:rsidRPr="005752BF">
        <w:t>Yeo et al. (2025) demonstrate that explainability in finance is a feasible adoption limit, rather than a cosmetic addition, and the CFPB is clear that a creditor cannot count on a complicated model if it cannot offer particular and correct justifications for adverse action (Consumer Financial Protection Bureau, 2022). The fact that unjust algorithmic recommendations can lead managers to discriminatory decisions without increased feelings of guilt only exacerbates the danger, as demonstrated by Ghasemaghaei and Kordzadeh (2024). Even a statistically powerful model may not be commercially usable, however, when the bank is unable to explain, challenge or defend the result it obtains.</w:t>
      </w:r>
    </w:p>
    <w:p w14:paraId="6A468F7B" w14:textId="59C1A65B" w:rsidR="00B47E9D" w:rsidRPr="005752BF" w:rsidRDefault="00B47E9D" w:rsidP="00816817">
      <w:pPr>
        <w:pStyle w:val="Heading2"/>
        <w:numPr>
          <w:ilvl w:val="1"/>
          <w:numId w:val="40"/>
        </w:numPr>
      </w:pPr>
      <w:bookmarkStart w:id="18" w:name="_Toc228177152"/>
      <w:r w:rsidRPr="005752BF">
        <w:t>Explainability, contestability and human review</w:t>
      </w:r>
      <w:bookmarkEnd w:id="18"/>
    </w:p>
    <w:p w14:paraId="2FFB5A8B" w14:textId="77777777" w:rsidR="00B47E9D" w:rsidRPr="005752BF" w:rsidRDefault="00B47E9D" w:rsidP="00615A84">
      <w:r w:rsidRPr="005752BF">
        <w:t>Contestability is not a PR-accessory. It is the process that makes AI-enabled conduct failures become solidified into customer harm. The UK stance is now more operational and transparent than most of the drafts acknowledge. In certain instances, only automated significant decisions are allowed to be made under a more permissive regime by the Data (Use and Access) Act 2025, but only under the conditions of safeguards such as information rights, the right to make representations, the right to challenge, and the right to obtain human intervention (Lloyd, 2025). ICO advice on how to explain the decisions made with AI sharpens the practical need even more. It claims to assist organisations in explaining AI-assisted decisions to the individuals that the decisions impact, and emphasizes that the main goal of explanation is to justify a specific outcome to the individual whose interests are involved (Kazim and Koshiyama, 2020).</w:t>
      </w:r>
    </w:p>
    <w:p w14:paraId="58CD5FCF" w14:textId="77777777" w:rsidR="00B47E9D" w:rsidRPr="005752BF" w:rsidRDefault="00B47E9D" w:rsidP="00615A84">
      <w:r w:rsidRPr="005752BF">
        <w:t xml:space="preserve">The U.S. arrives at the same destination, by another path. The CFPB Circular 2022-03 clarifies that the requirements of adverse-action notice apply to all credit decisions irrespective of the technology applied (Consumer Financial Protection Bureau, 2022). The credit is not the only logical connotation. In case a customer is denied access to credit, account access or a time-sensitive payment due to AI-assisted screening, the bank must have an avenue that generates a rationale, a challenge process and, where necessary, a human decision-maker with the power to reverse the decision. Guidance on automated decision-making by the ICO also makes a distinction between meaningful human involvement and nominal review. Banking trust is, however, not created through warm messaging but rather through effective dispute resolution. A bank that is unable to re-examine its </w:t>
      </w:r>
      <w:r w:rsidRPr="005752BF">
        <w:lastRenderedPageBreak/>
        <w:t>own AI-assisted decisions cannot be trusted in any sense of the word in its operations, no matter how it talks about its brand language.</w:t>
      </w:r>
    </w:p>
    <w:p w14:paraId="59E175D1" w14:textId="022656D9" w:rsidR="00B47E9D" w:rsidRPr="005752BF" w:rsidRDefault="00B47E9D" w:rsidP="00816817">
      <w:pPr>
        <w:pStyle w:val="Heading2"/>
        <w:numPr>
          <w:ilvl w:val="1"/>
          <w:numId w:val="40"/>
        </w:numPr>
      </w:pPr>
      <w:bookmarkStart w:id="19" w:name="_Toc228177153"/>
      <w:r w:rsidRPr="005752BF">
        <w:t>Control outcomes and Trust</w:t>
      </w:r>
      <w:bookmarkEnd w:id="19"/>
    </w:p>
    <w:p w14:paraId="3971C92A" w14:textId="5728E0FE" w:rsidR="00B47E9D" w:rsidRPr="005752BF" w:rsidRDefault="00B47E9D" w:rsidP="00615A84">
      <w:r w:rsidRPr="005752BF">
        <w:t>The working controls have the output of trust as seen through the stakeholder lens. Customers desire just treatment and legitimate redress. Regulators desire paperwork, records and responsible proprietors. Investors desire AI usage that is disciplined so as to prevent unnecessary incidents. When there is a suspicion that there is something wrong with model outputs, employees desire to have clear routes of escalation and authority limits. The alignment of these interests is in governance (Freeman, 2010). This is the reason why the trust debate ought to be re-packaged as customer-outcome design and control architecture. Durongkadej et al. (2024) discover that the short-term cumulative loss of the abnormal return in AI incidents in banks and financial-services companies is on average 21.04%, and that there are lower operating cash flows. The 2025 survey by McKinsey also reveals that organisations that realise greater value with AI are also more inclined to redesign workflows, enhance governance and incorporate human-in-the-loop validation (Singla et al., 2025</w:t>
      </w:r>
      <w:r w:rsidR="00321FCE">
        <w:t>; Torre t al., 2025; Dai &amp; Swaminathan, 2026</w:t>
      </w:r>
      <w:r w:rsidRPr="005752BF">
        <w:t>). It is trust, then, which is left when governance is put to the test.</w:t>
      </w:r>
    </w:p>
    <w:p w14:paraId="5D3F1BDC" w14:textId="3944BC93" w:rsidR="00B47E9D" w:rsidRPr="005752BF" w:rsidRDefault="00B47E9D" w:rsidP="00816817">
      <w:pPr>
        <w:pStyle w:val="Heading1"/>
        <w:numPr>
          <w:ilvl w:val="0"/>
          <w:numId w:val="40"/>
        </w:numPr>
      </w:pPr>
      <w:bookmarkStart w:id="20" w:name="_Toc228177154"/>
      <w:r w:rsidRPr="005752BF">
        <w:t>Recommendations and Implementation Roadmap</w:t>
      </w:r>
      <w:bookmarkEnd w:id="20"/>
    </w:p>
    <w:p w14:paraId="591CAB53" w14:textId="169D945E" w:rsidR="00B47E9D" w:rsidRPr="005752BF" w:rsidRDefault="00B47E9D" w:rsidP="00816817">
      <w:pPr>
        <w:pStyle w:val="Heading2"/>
        <w:numPr>
          <w:ilvl w:val="1"/>
          <w:numId w:val="40"/>
        </w:numPr>
      </w:pPr>
      <w:bookmarkStart w:id="21" w:name="_Toc228177155"/>
      <w:r w:rsidRPr="005752BF">
        <w:t>Target operating model</w:t>
      </w:r>
      <w:bookmarkEnd w:id="21"/>
    </w:p>
    <w:p w14:paraId="3BE57847" w14:textId="77777777" w:rsidR="00B47E9D" w:rsidRPr="005752BF" w:rsidRDefault="00B47E9D" w:rsidP="00615A84">
      <w:r w:rsidRPr="005752BF">
        <w:t>JPMorgan needs to implement a centralised standards-and-oversight but federated-execution operating model. The Enterprise AI Control Tower with the Chief Risk Officer as the chairperson and formally linked to Technology, Data, Compliance, Legal, Cybersecurity, Procurement and the key business lines should be located at the centre. In the case of JPMorgan, decentralised experimentation, in the absence of a shared control structure, is a false economy. The company has already hired 200,000 employees to use LLM Suite, there are already over 500 AI and ML applications in production, and it continues to invest heavily in AI, data and engineering capacity (JPMorgan Chase &amp; Co., 2025; JPMorgan Chase and Co., 2026b). The local speed through fragmentation of governance would merely result in inconsistency across the enterprise.</w:t>
      </w:r>
    </w:p>
    <w:p w14:paraId="6D440F8F" w14:textId="09491110" w:rsidR="00B47E9D" w:rsidRPr="005752BF" w:rsidRDefault="00B47E9D" w:rsidP="00615A84">
      <w:r w:rsidRPr="005752BF">
        <w:t>There should be seven minimum requirements for the Control Tower. To start with, a required AI inventory of all business lines, with a unique identifier, owner responsible, business purpose, data dependencies, vendor dependencies and tier classification of each system</w:t>
      </w:r>
      <w:r w:rsidR="00493C97">
        <w:t xml:space="preserve"> (Sarioguz, 2025)</w:t>
      </w:r>
      <w:r w:rsidRPr="005752BF">
        <w:t xml:space="preserve">. Second, a tiered use-case taxonomy so that low-risk drafting assistance is not subject to regulation as though it were a credit model, and high-impact systems are not smuggled through light-touch </w:t>
      </w:r>
      <w:r w:rsidRPr="005752BF">
        <w:lastRenderedPageBreak/>
        <w:t>approval. Third, all Tier 3 and Tier 4 systems need to be independently validated. Fourth, obligatory human inspection of outputs that have a material impact on customers and clear guidelines on when human intervention is necessary. Fifth, enhanced procurement requirements for third-party and foundation-model providers, such as provenance requirements, subprocessor mapping, incident notification, audit rights and exit planning. Sixth, model cards and system documentation that are standardised. Seventh, logging prompts, outputs, overrides and incidents at an enterprise level. This is the least architecture that can be scaled safely.</w:t>
      </w:r>
    </w:p>
    <w:p w14:paraId="6715E3FF" w14:textId="778267DA" w:rsidR="00B47E9D" w:rsidRPr="005752BF" w:rsidRDefault="00B47E9D" w:rsidP="00615A84">
      <w:r w:rsidRPr="005752BF">
        <w:t>The ownership needs to be explicit in order to transform the target operating model into an executable model instead of an aspirational one. The AI Control Tower must establish standards, make exceptions and report to the Board Risk Committee, but delivery should not be dispersed across the three lines of defence and the major control functions in a way that accountability is evident at the use-case level, as opposed to being dissolved in central oversight</w:t>
      </w:r>
      <w:r w:rsidR="00493C97">
        <w:t xml:space="preserve"> (Falco et al., 2021; Locke &amp; Bird, 2020)</w:t>
      </w:r>
      <w:r w:rsidRPr="005752BF">
        <w:t>.</w:t>
      </w:r>
    </w:p>
    <w:p w14:paraId="23A6F6BA" w14:textId="15B18D59" w:rsidR="00C84BB3" w:rsidRPr="005752BF" w:rsidRDefault="00816817" w:rsidP="00816817">
      <w:pPr>
        <w:pStyle w:val="Caption"/>
        <w:rPr>
          <w:bCs w:val="0"/>
          <w:lang w:val="en-AU"/>
        </w:rPr>
      </w:pPr>
      <w:bookmarkStart w:id="22" w:name="_Toc228177161"/>
      <w:r>
        <w:t xml:space="preserve">Table </w:t>
      </w:r>
      <w:r w:rsidR="00873F64">
        <w:fldChar w:fldCharType="begin"/>
      </w:r>
      <w:r w:rsidR="00873F64">
        <w:instrText xml:space="preserve"> SEQ Table \* ARABIC </w:instrText>
      </w:r>
      <w:r w:rsidR="00873F64">
        <w:fldChar w:fldCharType="separate"/>
      </w:r>
      <w:r w:rsidR="00873F64">
        <w:rPr>
          <w:noProof/>
        </w:rPr>
        <w:t>2</w:t>
      </w:r>
      <w:r w:rsidR="00873F64">
        <w:rPr>
          <w:noProof/>
        </w:rPr>
        <w:fldChar w:fldCharType="end"/>
      </w:r>
      <w:r w:rsidRPr="008A14FB">
        <w:t xml:space="preserve"> Named ownership matrix</w:t>
      </w:r>
      <w:bookmarkEnd w:id="22"/>
    </w:p>
    <w:tbl>
      <w:tblPr>
        <w:tblStyle w:val="TableGrid"/>
        <w:tblW w:w="0" w:type="auto"/>
        <w:tblLook w:val="04A0" w:firstRow="1" w:lastRow="0" w:firstColumn="1" w:lastColumn="0" w:noHBand="0" w:noVBand="1"/>
      </w:tblPr>
      <w:tblGrid>
        <w:gridCol w:w="2545"/>
        <w:gridCol w:w="3837"/>
        <w:gridCol w:w="3256"/>
      </w:tblGrid>
      <w:tr w:rsidR="00C84BB3" w:rsidRPr="005752BF" w14:paraId="556DB06E" w14:textId="77777777" w:rsidTr="00816817">
        <w:tc>
          <w:tcPr>
            <w:tcW w:w="0" w:type="auto"/>
            <w:shd w:val="clear" w:color="auto" w:fill="C6D9F1" w:themeFill="text2" w:themeFillTint="33"/>
            <w:hideMark/>
          </w:tcPr>
          <w:p w14:paraId="5753F0E5" w14:textId="77777777" w:rsidR="00C84BB3" w:rsidRPr="00816817" w:rsidRDefault="00C84BB3" w:rsidP="00C84BB3">
            <w:pPr>
              <w:spacing w:line="276" w:lineRule="auto"/>
              <w:rPr>
                <w:b/>
                <w:bCs/>
                <w:color w:val="365F91" w:themeColor="accent1" w:themeShade="BF"/>
                <w:lang w:val="en-AU"/>
              </w:rPr>
            </w:pPr>
            <w:r w:rsidRPr="00816817">
              <w:rPr>
                <w:b/>
                <w:bCs/>
                <w:color w:val="365F91" w:themeColor="accent1" w:themeShade="BF"/>
                <w:lang w:val="en-AU"/>
              </w:rPr>
              <w:t>Role</w:t>
            </w:r>
          </w:p>
        </w:tc>
        <w:tc>
          <w:tcPr>
            <w:tcW w:w="0" w:type="auto"/>
            <w:shd w:val="clear" w:color="auto" w:fill="C6D9F1" w:themeFill="text2" w:themeFillTint="33"/>
            <w:hideMark/>
          </w:tcPr>
          <w:p w14:paraId="4A4D6B4A" w14:textId="77777777" w:rsidR="00C84BB3" w:rsidRPr="00816817" w:rsidRDefault="00C84BB3" w:rsidP="00C84BB3">
            <w:pPr>
              <w:spacing w:line="276" w:lineRule="auto"/>
              <w:rPr>
                <w:b/>
                <w:bCs/>
                <w:color w:val="365F91" w:themeColor="accent1" w:themeShade="BF"/>
                <w:lang w:val="en-AU"/>
              </w:rPr>
            </w:pPr>
            <w:r w:rsidRPr="00816817">
              <w:rPr>
                <w:b/>
                <w:bCs/>
                <w:color w:val="365F91" w:themeColor="accent1" w:themeShade="BF"/>
                <w:lang w:val="en-AU"/>
              </w:rPr>
              <w:t>Primary responsibility</w:t>
            </w:r>
          </w:p>
        </w:tc>
        <w:tc>
          <w:tcPr>
            <w:tcW w:w="0" w:type="auto"/>
            <w:shd w:val="clear" w:color="auto" w:fill="C6D9F1" w:themeFill="text2" w:themeFillTint="33"/>
            <w:hideMark/>
          </w:tcPr>
          <w:p w14:paraId="1719D784" w14:textId="77777777" w:rsidR="00C84BB3" w:rsidRPr="00816817" w:rsidRDefault="00C84BB3" w:rsidP="00C84BB3">
            <w:pPr>
              <w:spacing w:line="276" w:lineRule="auto"/>
              <w:rPr>
                <w:b/>
                <w:bCs/>
                <w:color w:val="365F91" w:themeColor="accent1" w:themeShade="BF"/>
                <w:lang w:val="en-AU"/>
              </w:rPr>
            </w:pPr>
            <w:r w:rsidRPr="00816817">
              <w:rPr>
                <w:b/>
                <w:bCs/>
                <w:color w:val="365F91" w:themeColor="accent1" w:themeShade="BF"/>
                <w:lang w:val="en-AU"/>
              </w:rPr>
              <w:t>Core outputs</w:t>
            </w:r>
          </w:p>
        </w:tc>
      </w:tr>
      <w:tr w:rsidR="00C84BB3" w:rsidRPr="005752BF" w14:paraId="47164D8B" w14:textId="77777777" w:rsidTr="007E2ECB">
        <w:tc>
          <w:tcPr>
            <w:tcW w:w="0" w:type="auto"/>
            <w:hideMark/>
          </w:tcPr>
          <w:p w14:paraId="6C163EC1" w14:textId="77777777" w:rsidR="00C84BB3" w:rsidRPr="005752BF" w:rsidRDefault="00C84BB3" w:rsidP="00C84BB3">
            <w:pPr>
              <w:spacing w:line="276" w:lineRule="auto"/>
              <w:rPr>
                <w:bCs/>
                <w:lang w:val="en-AU"/>
              </w:rPr>
            </w:pPr>
            <w:r w:rsidRPr="005752BF">
              <w:rPr>
                <w:bCs/>
                <w:lang w:val="en-AU"/>
              </w:rPr>
              <w:t>Chief Risk Officer, Chair of AI Control Tower</w:t>
            </w:r>
          </w:p>
        </w:tc>
        <w:tc>
          <w:tcPr>
            <w:tcW w:w="0" w:type="auto"/>
            <w:hideMark/>
          </w:tcPr>
          <w:p w14:paraId="2C72674D" w14:textId="77777777" w:rsidR="00C84BB3" w:rsidRPr="005752BF" w:rsidRDefault="00C84BB3" w:rsidP="00C84BB3">
            <w:pPr>
              <w:spacing w:line="276" w:lineRule="auto"/>
              <w:rPr>
                <w:bCs/>
                <w:lang w:val="en-AU"/>
              </w:rPr>
            </w:pPr>
            <w:r w:rsidRPr="005752BF">
              <w:rPr>
                <w:bCs/>
                <w:lang w:val="en-AU"/>
              </w:rPr>
              <w:t>Enterprise AI risk policy, escalation, risk appetite, board reporting</w:t>
            </w:r>
          </w:p>
        </w:tc>
        <w:tc>
          <w:tcPr>
            <w:tcW w:w="0" w:type="auto"/>
            <w:hideMark/>
          </w:tcPr>
          <w:p w14:paraId="3BF1D21C" w14:textId="77777777" w:rsidR="00C84BB3" w:rsidRPr="005752BF" w:rsidRDefault="00C84BB3" w:rsidP="00C84BB3">
            <w:pPr>
              <w:spacing w:line="276" w:lineRule="auto"/>
              <w:rPr>
                <w:bCs/>
                <w:lang w:val="en-AU"/>
              </w:rPr>
            </w:pPr>
            <w:r w:rsidRPr="005752BF">
              <w:rPr>
                <w:bCs/>
                <w:lang w:val="en-AU"/>
              </w:rPr>
              <w:t>Quarterly AI risk pack, approval of Tier 4 exceptions, incident escalation</w:t>
            </w:r>
          </w:p>
        </w:tc>
      </w:tr>
      <w:tr w:rsidR="00C84BB3" w:rsidRPr="005752BF" w14:paraId="430CAB73" w14:textId="77777777" w:rsidTr="007E2ECB">
        <w:tc>
          <w:tcPr>
            <w:tcW w:w="0" w:type="auto"/>
            <w:hideMark/>
          </w:tcPr>
          <w:p w14:paraId="3DA9B160" w14:textId="77777777" w:rsidR="00C84BB3" w:rsidRPr="005752BF" w:rsidRDefault="00C84BB3" w:rsidP="00C84BB3">
            <w:pPr>
              <w:spacing w:line="276" w:lineRule="auto"/>
              <w:rPr>
                <w:bCs/>
                <w:lang w:val="en-AU"/>
              </w:rPr>
            </w:pPr>
            <w:r w:rsidRPr="005752BF">
              <w:rPr>
                <w:bCs/>
                <w:lang w:val="en-AU"/>
              </w:rPr>
              <w:t>Chief Data Officer</w:t>
            </w:r>
          </w:p>
        </w:tc>
        <w:tc>
          <w:tcPr>
            <w:tcW w:w="0" w:type="auto"/>
            <w:hideMark/>
          </w:tcPr>
          <w:p w14:paraId="32068E96" w14:textId="77777777" w:rsidR="00C84BB3" w:rsidRPr="005752BF" w:rsidRDefault="00C84BB3" w:rsidP="00C84BB3">
            <w:pPr>
              <w:spacing w:line="276" w:lineRule="auto"/>
              <w:rPr>
                <w:bCs/>
                <w:lang w:val="en-AU"/>
              </w:rPr>
            </w:pPr>
            <w:r w:rsidRPr="005752BF">
              <w:rPr>
                <w:bCs/>
                <w:lang w:val="en-AU"/>
              </w:rPr>
              <w:t>Data lineage, quality standards, retention, access governance, cross-border data mapping</w:t>
            </w:r>
          </w:p>
        </w:tc>
        <w:tc>
          <w:tcPr>
            <w:tcW w:w="0" w:type="auto"/>
            <w:hideMark/>
          </w:tcPr>
          <w:p w14:paraId="4098DABF" w14:textId="77777777" w:rsidR="00C84BB3" w:rsidRPr="005752BF" w:rsidRDefault="00C84BB3" w:rsidP="00C84BB3">
            <w:pPr>
              <w:spacing w:line="276" w:lineRule="auto"/>
              <w:rPr>
                <w:bCs/>
                <w:lang w:val="en-AU"/>
              </w:rPr>
            </w:pPr>
            <w:r w:rsidRPr="005752BF">
              <w:rPr>
                <w:bCs/>
                <w:lang w:val="en-AU"/>
              </w:rPr>
              <w:t>Data-control standards, lineage assurance, data-quality dashboards</w:t>
            </w:r>
          </w:p>
        </w:tc>
      </w:tr>
      <w:tr w:rsidR="00C84BB3" w:rsidRPr="005752BF" w14:paraId="7EB2F528" w14:textId="77777777" w:rsidTr="007E2ECB">
        <w:tc>
          <w:tcPr>
            <w:tcW w:w="0" w:type="auto"/>
            <w:hideMark/>
          </w:tcPr>
          <w:p w14:paraId="581A415A" w14:textId="77777777" w:rsidR="00C84BB3" w:rsidRPr="005752BF" w:rsidRDefault="00C84BB3" w:rsidP="00C84BB3">
            <w:pPr>
              <w:spacing w:line="276" w:lineRule="auto"/>
              <w:rPr>
                <w:bCs/>
                <w:lang w:val="en-AU"/>
              </w:rPr>
            </w:pPr>
            <w:r w:rsidRPr="005752BF">
              <w:rPr>
                <w:bCs/>
                <w:lang w:val="en-AU"/>
              </w:rPr>
              <w:t>CIO/CTO</w:t>
            </w:r>
          </w:p>
        </w:tc>
        <w:tc>
          <w:tcPr>
            <w:tcW w:w="0" w:type="auto"/>
            <w:hideMark/>
          </w:tcPr>
          <w:p w14:paraId="024A0D17" w14:textId="77777777" w:rsidR="00C84BB3" w:rsidRPr="005752BF" w:rsidRDefault="00C84BB3" w:rsidP="00C84BB3">
            <w:pPr>
              <w:spacing w:line="276" w:lineRule="auto"/>
              <w:rPr>
                <w:bCs/>
                <w:lang w:val="en-AU"/>
              </w:rPr>
            </w:pPr>
            <w:r w:rsidRPr="005752BF">
              <w:rPr>
                <w:bCs/>
                <w:lang w:val="en-AU"/>
              </w:rPr>
              <w:t>Platform controls, model deployment standards, logging, security architecture</w:t>
            </w:r>
          </w:p>
        </w:tc>
        <w:tc>
          <w:tcPr>
            <w:tcW w:w="0" w:type="auto"/>
            <w:hideMark/>
          </w:tcPr>
          <w:p w14:paraId="6DE4D457" w14:textId="77777777" w:rsidR="00C84BB3" w:rsidRPr="005752BF" w:rsidRDefault="00C84BB3" w:rsidP="00C84BB3">
            <w:pPr>
              <w:spacing w:line="276" w:lineRule="auto"/>
              <w:rPr>
                <w:bCs/>
                <w:lang w:val="en-AU"/>
              </w:rPr>
            </w:pPr>
            <w:r w:rsidRPr="005752BF">
              <w:rPr>
                <w:bCs/>
                <w:lang w:val="en-AU"/>
              </w:rPr>
              <w:t>Approved platforms, release controls, audit logs, environment segregation</w:t>
            </w:r>
          </w:p>
        </w:tc>
      </w:tr>
      <w:tr w:rsidR="00C84BB3" w:rsidRPr="005752BF" w14:paraId="05D2FDA4" w14:textId="77777777" w:rsidTr="007E2ECB">
        <w:tc>
          <w:tcPr>
            <w:tcW w:w="0" w:type="auto"/>
            <w:hideMark/>
          </w:tcPr>
          <w:p w14:paraId="3273F180" w14:textId="77777777" w:rsidR="00C84BB3" w:rsidRPr="005752BF" w:rsidRDefault="00C84BB3" w:rsidP="00C84BB3">
            <w:pPr>
              <w:spacing w:line="276" w:lineRule="auto"/>
              <w:rPr>
                <w:bCs/>
                <w:lang w:val="en-AU"/>
              </w:rPr>
            </w:pPr>
            <w:r w:rsidRPr="005752BF">
              <w:rPr>
                <w:bCs/>
                <w:lang w:val="en-AU"/>
              </w:rPr>
              <w:t>Chief Compliance Officer / General Counsel</w:t>
            </w:r>
          </w:p>
        </w:tc>
        <w:tc>
          <w:tcPr>
            <w:tcW w:w="0" w:type="auto"/>
            <w:hideMark/>
          </w:tcPr>
          <w:p w14:paraId="2504799E" w14:textId="77777777" w:rsidR="00C84BB3" w:rsidRPr="005752BF" w:rsidRDefault="00C84BB3" w:rsidP="00C84BB3">
            <w:pPr>
              <w:spacing w:line="276" w:lineRule="auto"/>
              <w:rPr>
                <w:bCs/>
                <w:lang w:val="en-AU"/>
              </w:rPr>
            </w:pPr>
            <w:r w:rsidRPr="005752BF">
              <w:rPr>
                <w:bCs/>
                <w:lang w:val="en-AU"/>
              </w:rPr>
              <w:t>UK-U.S. regulatory overlays, consumer-protection review, documentation standards</w:t>
            </w:r>
          </w:p>
        </w:tc>
        <w:tc>
          <w:tcPr>
            <w:tcW w:w="0" w:type="auto"/>
            <w:hideMark/>
          </w:tcPr>
          <w:p w14:paraId="37BA6C21" w14:textId="77777777" w:rsidR="00C84BB3" w:rsidRPr="005752BF" w:rsidRDefault="00C84BB3" w:rsidP="00C84BB3">
            <w:pPr>
              <w:spacing w:line="276" w:lineRule="auto"/>
              <w:rPr>
                <w:bCs/>
                <w:lang w:val="en-AU"/>
              </w:rPr>
            </w:pPr>
            <w:r w:rsidRPr="005752BF">
              <w:rPr>
                <w:bCs/>
                <w:lang w:val="en-AU"/>
              </w:rPr>
              <w:t>Regulatory mapping, customer-outcome review, legal escalation</w:t>
            </w:r>
          </w:p>
        </w:tc>
      </w:tr>
      <w:tr w:rsidR="00C84BB3" w:rsidRPr="005752BF" w14:paraId="08D19499" w14:textId="77777777" w:rsidTr="007E2ECB">
        <w:tc>
          <w:tcPr>
            <w:tcW w:w="0" w:type="auto"/>
            <w:hideMark/>
          </w:tcPr>
          <w:p w14:paraId="0A593348" w14:textId="77777777" w:rsidR="00C84BB3" w:rsidRPr="005752BF" w:rsidRDefault="00C84BB3" w:rsidP="00C84BB3">
            <w:pPr>
              <w:spacing w:line="276" w:lineRule="auto"/>
              <w:rPr>
                <w:bCs/>
                <w:lang w:val="en-AU"/>
              </w:rPr>
            </w:pPr>
            <w:r w:rsidRPr="005752BF">
              <w:rPr>
                <w:bCs/>
                <w:lang w:val="en-AU"/>
              </w:rPr>
              <w:t>Chief Procurement Officer / Third-Party Risk Lead</w:t>
            </w:r>
          </w:p>
        </w:tc>
        <w:tc>
          <w:tcPr>
            <w:tcW w:w="0" w:type="auto"/>
            <w:hideMark/>
          </w:tcPr>
          <w:p w14:paraId="1B10F533" w14:textId="77777777" w:rsidR="00C84BB3" w:rsidRPr="005752BF" w:rsidRDefault="00C84BB3" w:rsidP="00C84BB3">
            <w:pPr>
              <w:spacing w:line="276" w:lineRule="auto"/>
              <w:rPr>
                <w:bCs/>
                <w:lang w:val="en-AU"/>
              </w:rPr>
            </w:pPr>
            <w:r w:rsidRPr="005752BF">
              <w:rPr>
                <w:bCs/>
                <w:lang w:val="en-AU"/>
              </w:rPr>
              <w:t>Vendor due diligence, audit rights, subcontractor transparency, exit planning</w:t>
            </w:r>
          </w:p>
        </w:tc>
        <w:tc>
          <w:tcPr>
            <w:tcW w:w="0" w:type="auto"/>
            <w:hideMark/>
          </w:tcPr>
          <w:p w14:paraId="749B6729" w14:textId="77777777" w:rsidR="00C84BB3" w:rsidRPr="005752BF" w:rsidRDefault="00C84BB3" w:rsidP="00C84BB3">
            <w:pPr>
              <w:spacing w:line="276" w:lineRule="auto"/>
              <w:rPr>
                <w:bCs/>
                <w:lang w:val="en-AU"/>
              </w:rPr>
            </w:pPr>
            <w:r w:rsidRPr="005752BF">
              <w:rPr>
                <w:bCs/>
                <w:lang w:val="en-AU"/>
              </w:rPr>
              <w:t>Approved supplier list, vendor risk reviews, contract standards</w:t>
            </w:r>
          </w:p>
        </w:tc>
      </w:tr>
      <w:tr w:rsidR="00C84BB3" w:rsidRPr="005752BF" w14:paraId="1D098C32" w14:textId="77777777" w:rsidTr="007E2ECB">
        <w:tc>
          <w:tcPr>
            <w:tcW w:w="0" w:type="auto"/>
            <w:hideMark/>
          </w:tcPr>
          <w:p w14:paraId="6B3E5911" w14:textId="77777777" w:rsidR="00C84BB3" w:rsidRPr="005752BF" w:rsidRDefault="00C84BB3" w:rsidP="00C84BB3">
            <w:pPr>
              <w:spacing w:line="276" w:lineRule="auto"/>
              <w:rPr>
                <w:bCs/>
                <w:lang w:val="en-AU"/>
              </w:rPr>
            </w:pPr>
            <w:r w:rsidRPr="005752BF">
              <w:rPr>
                <w:bCs/>
                <w:lang w:val="en-AU"/>
              </w:rPr>
              <w:t>Business-line CEOs / Product owners</w:t>
            </w:r>
          </w:p>
        </w:tc>
        <w:tc>
          <w:tcPr>
            <w:tcW w:w="0" w:type="auto"/>
            <w:hideMark/>
          </w:tcPr>
          <w:p w14:paraId="51EBD6D0" w14:textId="77777777" w:rsidR="00C84BB3" w:rsidRPr="005752BF" w:rsidRDefault="00C84BB3" w:rsidP="00C84BB3">
            <w:pPr>
              <w:spacing w:line="276" w:lineRule="auto"/>
              <w:rPr>
                <w:bCs/>
                <w:lang w:val="en-AU"/>
              </w:rPr>
            </w:pPr>
            <w:r w:rsidRPr="005752BF">
              <w:rPr>
                <w:bCs/>
                <w:lang w:val="en-AU"/>
              </w:rPr>
              <w:t>First-line ownership of use case, outcomes, overrides, challenge routes</w:t>
            </w:r>
          </w:p>
        </w:tc>
        <w:tc>
          <w:tcPr>
            <w:tcW w:w="0" w:type="auto"/>
            <w:hideMark/>
          </w:tcPr>
          <w:p w14:paraId="5F9CCA4B" w14:textId="77777777" w:rsidR="00C84BB3" w:rsidRPr="005752BF" w:rsidRDefault="00C84BB3" w:rsidP="00C84BB3">
            <w:pPr>
              <w:spacing w:line="276" w:lineRule="auto"/>
              <w:rPr>
                <w:bCs/>
                <w:lang w:val="en-AU"/>
              </w:rPr>
            </w:pPr>
            <w:r w:rsidRPr="005752BF">
              <w:rPr>
                <w:bCs/>
                <w:lang w:val="en-AU"/>
              </w:rPr>
              <w:t>Named accountable owners, use-case attestations, remediation actions</w:t>
            </w:r>
          </w:p>
        </w:tc>
      </w:tr>
      <w:tr w:rsidR="00C84BB3" w:rsidRPr="005752BF" w14:paraId="7CBE8AC0" w14:textId="77777777" w:rsidTr="007E2ECB">
        <w:tc>
          <w:tcPr>
            <w:tcW w:w="0" w:type="auto"/>
            <w:hideMark/>
          </w:tcPr>
          <w:p w14:paraId="125411B0" w14:textId="77777777" w:rsidR="00C84BB3" w:rsidRPr="005752BF" w:rsidRDefault="00C84BB3" w:rsidP="00C84BB3">
            <w:pPr>
              <w:spacing w:line="276" w:lineRule="auto"/>
              <w:rPr>
                <w:bCs/>
                <w:lang w:val="en-AU"/>
              </w:rPr>
            </w:pPr>
            <w:r w:rsidRPr="005752BF">
              <w:rPr>
                <w:bCs/>
                <w:lang w:val="en-AU"/>
              </w:rPr>
              <w:t>Internal Audit</w:t>
            </w:r>
          </w:p>
        </w:tc>
        <w:tc>
          <w:tcPr>
            <w:tcW w:w="0" w:type="auto"/>
            <w:hideMark/>
          </w:tcPr>
          <w:p w14:paraId="3E375744" w14:textId="77777777" w:rsidR="00C84BB3" w:rsidRPr="005752BF" w:rsidRDefault="00C84BB3" w:rsidP="00C84BB3">
            <w:pPr>
              <w:spacing w:line="276" w:lineRule="auto"/>
              <w:rPr>
                <w:bCs/>
                <w:lang w:val="en-AU"/>
              </w:rPr>
            </w:pPr>
            <w:r w:rsidRPr="005752BF">
              <w:rPr>
                <w:bCs/>
                <w:lang w:val="en-AU"/>
              </w:rPr>
              <w:t>Independent third-line assurance</w:t>
            </w:r>
          </w:p>
        </w:tc>
        <w:tc>
          <w:tcPr>
            <w:tcW w:w="0" w:type="auto"/>
            <w:hideMark/>
          </w:tcPr>
          <w:p w14:paraId="6C1BACBC" w14:textId="77777777" w:rsidR="00C84BB3" w:rsidRPr="005752BF" w:rsidRDefault="00C84BB3" w:rsidP="00C84BB3">
            <w:pPr>
              <w:spacing w:line="276" w:lineRule="auto"/>
              <w:rPr>
                <w:bCs/>
                <w:lang w:val="en-AU"/>
              </w:rPr>
            </w:pPr>
            <w:r w:rsidRPr="005752BF">
              <w:rPr>
                <w:bCs/>
                <w:lang w:val="en-AU"/>
              </w:rPr>
              <w:t>Annual assurance reviews, control-effectiveness testing</w:t>
            </w:r>
          </w:p>
        </w:tc>
      </w:tr>
    </w:tbl>
    <w:p w14:paraId="76744519" w14:textId="77777777" w:rsidR="00C84BB3" w:rsidRPr="005752BF" w:rsidRDefault="00C84BB3">
      <w:pPr>
        <w:rPr>
          <w:bCs/>
          <w:lang w:val="en-AU"/>
        </w:rPr>
      </w:pPr>
    </w:p>
    <w:p w14:paraId="158A56AE" w14:textId="56A5F2B9" w:rsidR="00655FE5" w:rsidRPr="005752BF" w:rsidRDefault="00DB345A" w:rsidP="00816817">
      <w:pPr>
        <w:pStyle w:val="Heading2"/>
        <w:numPr>
          <w:ilvl w:val="1"/>
          <w:numId w:val="40"/>
        </w:numPr>
      </w:pPr>
      <w:bookmarkStart w:id="23" w:name="_Toc228177156"/>
      <w:r w:rsidRPr="005752BF">
        <w:t>Four-phase implementation plan</w:t>
      </w:r>
      <w:bookmarkEnd w:id="23"/>
    </w:p>
    <w:p w14:paraId="7B82C153" w14:textId="3E23A3C6" w:rsidR="00680795" w:rsidRPr="005752BF" w:rsidRDefault="00680795">
      <w:pPr>
        <w:rPr>
          <w:bCs/>
        </w:rPr>
      </w:pPr>
      <w:r w:rsidRPr="005752BF">
        <w:rPr>
          <w:bCs/>
        </w:rPr>
        <w:t xml:space="preserve">Numerous companies are trying to compose elaborate approval policies when they are not even aware of where AI is being implemented. That is backwards. JPMorgan ought to roll out the </w:t>
      </w:r>
      <w:r w:rsidRPr="005752BF">
        <w:rPr>
          <w:bCs/>
        </w:rPr>
        <w:lastRenderedPageBreak/>
        <w:t>programme in such a way that visibility precedes design, design precedes scale and live assurance precedes strategic expansion</w:t>
      </w:r>
      <w:r w:rsidR="008A535A">
        <w:rPr>
          <w:bCs/>
        </w:rPr>
        <w:t xml:space="preserve"> (Danzer, 2023)</w:t>
      </w:r>
      <w:r w:rsidRPr="005752BF">
        <w:rPr>
          <w:bCs/>
        </w:rPr>
        <w:t>. It ought to also enforce strict gating policies. No new Tier 4 deployment is permitted to be put into operation before Phase 2 controls are in operation and no extension of Tier 3 or Tier 4 use cases are permitted to be put into operation before Phase 3 proves that controls are functioning in production and not just on paper. The McKinsey 2025 survey comes in handy in this case since it indicates that organisations that reap more value of AI are more likely to redesign workflow, develop and monitor KPIs, and place senior leaders at the helm of governance and include human-in-the-loop validation in business processes (Singla et al., 2025). The scaling firms are the successful ones who are not the ones that have the loosest controls. It is they who have more disciplined operation.</w:t>
      </w:r>
    </w:p>
    <w:p w14:paraId="6DF64E88" w14:textId="7BBFEBDA" w:rsidR="00655FE5" w:rsidRPr="005752BF" w:rsidRDefault="00816817" w:rsidP="00816817">
      <w:pPr>
        <w:pStyle w:val="Caption"/>
        <w:rPr>
          <w:b w:val="0"/>
        </w:rPr>
      </w:pPr>
      <w:bookmarkStart w:id="24" w:name="_Toc228177162"/>
      <w:r>
        <w:t xml:space="preserve">Table </w:t>
      </w:r>
      <w:r w:rsidR="00873F64">
        <w:fldChar w:fldCharType="begin"/>
      </w:r>
      <w:r w:rsidR="00873F64">
        <w:instrText xml:space="preserve"> SEQ Table \* ARABIC </w:instrText>
      </w:r>
      <w:r w:rsidR="00873F64">
        <w:fldChar w:fldCharType="separate"/>
      </w:r>
      <w:r w:rsidR="00873F64">
        <w:rPr>
          <w:noProof/>
        </w:rPr>
        <w:t>3</w:t>
      </w:r>
      <w:r w:rsidR="00873F64">
        <w:rPr>
          <w:noProof/>
        </w:rPr>
        <w:fldChar w:fldCharType="end"/>
      </w:r>
      <w:r>
        <w:t xml:space="preserve"> </w:t>
      </w:r>
      <w:r w:rsidRPr="00E72E26">
        <w:t>Implementation roadmap for JPMorgan Chase</w:t>
      </w:r>
      <w:bookmarkEnd w:id="24"/>
    </w:p>
    <w:tbl>
      <w:tblPr>
        <w:tblStyle w:val="TableGrid"/>
        <w:tblW w:w="0" w:type="auto"/>
        <w:jc w:val="center"/>
        <w:tblLook w:val="04A0" w:firstRow="1" w:lastRow="0" w:firstColumn="1" w:lastColumn="0" w:noHBand="0" w:noVBand="1"/>
      </w:tblPr>
      <w:tblGrid>
        <w:gridCol w:w="1532"/>
        <w:gridCol w:w="922"/>
        <w:gridCol w:w="1350"/>
        <w:gridCol w:w="3189"/>
        <w:gridCol w:w="2645"/>
      </w:tblGrid>
      <w:tr w:rsidR="00655FE5" w:rsidRPr="00816817" w14:paraId="51CC5E6D" w14:textId="77777777" w:rsidTr="00873F64">
        <w:trPr>
          <w:jc w:val="center"/>
        </w:trPr>
        <w:tc>
          <w:tcPr>
            <w:tcW w:w="1539" w:type="dxa"/>
            <w:shd w:val="clear" w:color="auto" w:fill="D9EAF7"/>
            <w:tcMar>
              <w:top w:w="110" w:type="dxa"/>
              <w:left w:w="100" w:type="dxa"/>
              <w:bottom w:w="110" w:type="dxa"/>
              <w:right w:w="100" w:type="dxa"/>
            </w:tcMar>
            <w:vAlign w:val="center"/>
          </w:tcPr>
          <w:p w14:paraId="1D2FA0AF" w14:textId="77777777" w:rsidR="00655FE5" w:rsidRPr="00816817" w:rsidRDefault="00DB345A">
            <w:pPr>
              <w:jc w:val="center"/>
              <w:rPr>
                <w:bCs/>
                <w:szCs w:val="22"/>
              </w:rPr>
            </w:pPr>
            <w:r w:rsidRPr="00816817">
              <w:rPr>
                <w:bCs/>
                <w:color w:val="1F4E79"/>
                <w:szCs w:val="22"/>
              </w:rPr>
              <w:t>Phase</w:t>
            </w:r>
          </w:p>
        </w:tc>
        <w:tc>
          <w:tcPr>
            <w:tcW w:w="922" w:type="dxa"/>
            <w:shd w:val="clear" w:color="auto" w:fill="D9EAF7"/>
            <w:tcMar>
              <w:top w:w="110" w:type="dxa"/>
              <w:left w:w="100" w:type="dxa"/>
              <w:bottom w:w="110" w:type="dxa"/>
              <w:right w:w="100" w:type="dxa"/>
            </w:tcMar>
            <w:vAlign w:val="center"/>
          </w:tcPr>
          <w:p w14:paraId="473414FE" w14:textId="77777777" w:rsidR="00655FE5" w:rsidRPr="00816817" w:rsidRDefault="00DB345A">
            <w:pPr>
              <w:jc w:val="center"/>
              <w:rPr>
                <w:bCs/>
                <w:szCs w:val="22"/>
              </w:rPr>
            </w:pPr>
            <w:r w:rsidRPr="00816817">
              <w:rPr>
                <w:bCs/>
                <w:color w:val="1F4E79"/>
                <w:szCs w:val="22"/>
              </w:rPr>
              <w:t>Timing</w:t>
            </w:r>
          </w:p>
        </w:tc>
        <w:tc>
          <w:tcPr>
            <w:tcW w:w="1350" w:type="dxa"/>
            <w:shd w:val="clear" w:color="auto" w:fill="D9EAF7"/>
            <w:tcMar>
              <w:top w:w="110" w:type="dxa"/>
              <w:left w:w="100" w:type="dxa"/>
              <w:bottom w:w="110" w:type="dxa"/>
              <w:right w:w="100" w:type="dxa"/>
            </w:tcMar>
            <w:vAlign w:val="center"/>
          </w:tcPr>
          <w:p w14:paraId="34162FB0" w14:textId="77777777" w:rsidR="00655FE5" w:rsidRPr="00816817" w:rsidRDefault="00DB345A">
            <w:pPr>
              <w:jc w:val="center"/>
              <w:rPr>
                <w:bCs/>
                <w:szCs w:val="22"/>
              </w:rPr>
            </w:pPr>
            <w:r w:rsidRPr="00816817">
              <w:rPr>
                <w:bCs/>
                <w:color w:val="1F4E79"/>
                <w:szCs w:val="22"/>
              </w:rPr>
              <w:t>Core workstream</w:t>
            </w:r>
          </w:p>
        </w:tc>
        <w:tc>
          <w:tcPr>
            <w:tcW w:w="3309" w:type="dxa"/>
            <w:shd w:val="clear" w:color="auto" w:fill="D9EAF7"/>
            <w:tcMar>
              <w:top w:w="110" w:type="dxa"/>
              <w:left w:w="100" w:type="dxa"/>
              <w:bottom w:w="110" w:type="dxa"/>
              <w:right w:w="100" w:type="dxa"/>
            </w:tcMar>
            <w:vAlign w:val="center"/>
          </w:tcPr>
          <w:p w14:paraId="52303D7E" w14:textId="77777777" w:rsidR="00655FE5" w:rsidRPr="00816817" w:rsidRDefault="00DB345A">
            <w:pPr>
              <w:jc w:val="center"/>
              <w:rPr>
                <w:bCs/>
                <w:szCs w:val="22"/>
              </w:rPr>
            </w:pPr>
            <w:r w:rsidRPr="00816817">
              <w:rPr>
                <w:bCs/>
                <w:color w:val="1F4E79"/>
                <w:szCs w:val="22"/>
              </w:rPr>
              <w:t>Deliverables and control intent</w:t>
            </w:r>
          </w:p>
        </w:tc>
        <w:tc>
          <w:tcPr>
            <w:tcW w:w="2728" w:type="dxa"/>
            <w:shd w:val="clear" w:color="auto" w:fill="D9EAF7"/>
            <w:tcMar>
              <w:top w:w="110" w:type="dxa"/>
              <w:left w:w="100" w:type="dxa"/>
              <w:bottom w:w="110" w:type="dxa"/>
              <w:right w:w="100" w:type="dxa"/>
            </w:tcMar>
            <w:vAlign w:val="center"/>
          </w:tcPr>
          <w:p w14:paraId="1FB3DA59" w14:textId="77777777" w:rsidR="00655FE5" w:rsidRPr="00816817" w:rsidRDefault="00DB345A">
            <w:pPr>
              <w:jc w:val="center"/>
              <w:rPr>
                <w:bCs/>
                <w:szCs w:val="22"/>
              </w:rPr>
            </w:pPr>
            <w:r w:rsidRPr="00816817">
              <w:rPr>
                <w:bCs/>
                <w:color w:val="1F4E79"/>
                <w:szCs w:val="22"/>
              </w:rPr>
              <w:t>KPI</w:t>
            </w:r>
          </w:p>
        </w:tc>
      </w:tr>
      <w:tr w:rsidR="00655FE5" w:rsidRPr="00816817" w14:paraId="3F5DB6B1" w14:textId="77777777" w:rsidTr="00873F64">
        <w:trPr>
          <w:jc w:val="center"/>
        </w:trPr>
        <w:tc>
          <w:tcPr>
            <w:tcW w:w="1539" w:type="dxa"/>
            <w:tcMar>
              <w:top w:w="120" w:type="dxa"/>
              <w:left w:w="100" w:type="dxa"/>
              <w:bottom w:w="120" w:type="dxa"/>
              <w:right w:w="100" w:type="dxa"/>
            </w:tcMar>
            <w:vAlign w:val="center"/>
          </w:tcPr>
          <w:p w14:paraId="284F4A20" w14:textId="77777777" w:rsidR="00655FE5" w:rsidRPr="00816817" w:rsidRDefault="00DB345A">
            <w:pPr>
              <w:rPr>
                <w:bCs/>
                <w:szCs w:val="22"/>
              </w:rPr>
            </w:pPr>
            <w:r w:rsidRPr="00816817">
              <w:rPr>
                <w:bCs/>
                <w:szCs w:val="22"/>
              </w:rPr>
              <w:t>Phase 1: Inventory and risk classification</w:t>
            </w:r>
          </w:p>
        </w:tc>
        <w:tc>
          <w:tcPr>
            <w:tcW w:w="922" w:type="dxa"/>
            <w:tcMar>
              <w:top w:w="120" w:type="dxa"/>
              <w:left w:w="100" w:type="dxa"/>
              <w:bottom w:w="120" w:type="dxa"/>
              <w:right w:w="100" w:type="dxa"/>
            </w:tcMar>
            <w:vAlign w:val="center"/>
          </w:tcPr>
          <w:p w14:paraId="04DB6EE4" w14:textId="77777777" w:rsidR="00655FE5" w:rsidRPr="00816817" w:rsidRDefault="00DB345A">
            <w:pPr>
              <w:jc w:val="center"/>
              <w:rPr>
                <w:bCs/>
                <w:szCs w:val="22"/>
              </w:rPr>
            </w:pPr>
            <w:r w:rsidRPr="00816817">
              <w:rPr>
                <w:bCs/>
                <w:szCs w:val="22"/>
              </w:rPr>
              <w:t>Months 1-3</w:t>
            </w:r>
          </w:p>
        </w:tc>
        <w:tc>
          <w:tcPr>
            <w:tcW w:w="1350" w:type="dxa"/>
            <w:tcMar>
              <w:top w:w="120" w:type="dxa"/>
              <w:left w:w="100" w:type="dxa"/>
              <w:bottom w:w="120" w:type="dxa"/>
              <w:right w:w="100" w:type="dxa"/>
            </w:tcMar>
            <w:vAlign w:val="center"/>
          </w:tcPr>
          <w:p w14:paraId="7139DC52" w14:textId="77777777" w:rsidR="00655FE5" w:rsidRPr="00816817" w:rsidRDefault="00DB345A">
            <w:pPr>
              <w:rPr>
                <w:bCs/>
                <w:szCs w:val="22"/>
              </w:rPr>
            </w:pPr>
            <w:r w:rsidRPr="00816817">
              <w:rPr>
                <w:bCs/>
                <w:szCs w:val="22"/>
              </w:rPr>
              <w:t>Visibility and ownership</w:t>
            </w:r>
          </w:p>
        </w:tc>
        <w:tc>
          <w:tcPr>
            <w:tcW w:w="3309" w:type="dxa"/>
            <w:tcMar>
              <w:top w:w="120" w:type="dxa"/>
              <w:left w:w="100" w:type="dxa"/>
              <w:bottom w:w="120" w:type="dxa"/>
              <w:right w:w="100" w:type="dxa"/>
            </w:tcMar>
            <w:vAlign w:val="center"/>
          </w:tcPr>
          <w:p w14:paraId="53C6182B" w14:textId="77777777" w:rsidR="00655FE5" w:rsidRPr="00816817" w:rsidRDefault="00DB345A">
            <w:pPr>
              <w:rPr>
                <w:bCs/>
                <w:szCs w:val="22"/>
              </w:rPr>
            </w:pPr>
            <w:r w:rsidRPr="00816817">
              <w:rPr>
                <w:bCs/>
                <w:szCs w:val="22"/>
              </w:rPr>
              <w:t>Map every AI/ML system across credit, fraud, service, compliance, surveillance and internal productivity; assign business owner, risk owner, data owner and tier</w:t>
            </w:r>
          </w:p>
        </w:tc>
        <w:tc>
          <w:tcPr>
            <w:tcW w:w="2728" w:type="dxa"/>
            <w:tcMar>
              <w:top w:w="120" w:type="dxa"/>
              <w:left w:w="100" w:type="dxa"/>
              <w:bottom w:w="120" w:type="dxa"/>
              <w:right w:w="100" w:type="dxa"/>
            </w:tcMar>
            <w:vAlign w:val="center"/>
          </w:tcPr>
          <w:p w14:paraId="719A167D" w14:textId="77777777" w:rsidR="00655FE5" w:rsidRPr="00816817" w:rsidRDefault="00DB345A">
            <w:pPr>
              <w:rPr>
                <w:bCs/>
                <w:szCs w:val="22"/>
              </w:rPr>
            </w:pPr>
            <w:r w:rsidRPr="00816817">
              <w:rPr>
                <w:bCs/>
                <w:szCs w:val="22"/>
              </w:rPr>
              <w:t>100% inventory completion; 100% of Tier 3 and Tier 4 systems with named accountable owners</w:t>
            </w:r>
          </w:p>
        </w:tc>
      </w:tr>
      <w:tr w:rsidR="00655FE5" w:rsidRPr="00816817" w14:paraId="4D31728E" w14:textId="77777777" w:rsidTr="00873F64">
        <w:trPr>
          <w:jc w:val="center"/>
        </w:trPr>
        <w:tc>
          <w:tcPr>
            <w:tcW w:w="1539" w:type="dxa"/>
            <w:tcMar>
              <w:top w:w="120" w:type="dxa"/>
              <w:left w:w="100" w:type="dxa"/>
              <w:bottom w:w="120" w:type="dxa"/>
              <w:right w:w="100" w:type="dxa"/>
            </w:tcMar>
            <w:vAlign w:val="center"/>
          </w:tcPr>
          <w:p w14:paraId="093672C1" w14:textId="77777777" w:rsidR="00655FE5" w:rsidRPr="00816817" w:rsidRDefault="00DB345A">
            <w:pPr>
              <w:rPr>
                <w:bCs/>
                <w:szCs w:val="22"/>
              </w:rPr>
            </w:pPr>
            <w:r w:rsidRPr="00816817">
              <w:rPr>
                <w:bCs/>
                <w:szCs w:val="22"/>
              </w:rPr>
              <w:t>Phase 2: Control design and approval standards</w:t>
            </w:r>
          </w:p>
        </w:tc>
        <w:tc>
          <w:tcPr>
            <w:tcW w:w="922" w:type="dxa"/>
            <w:tcMar>
              <w:top w:w="120" w:type="dxa"/>
              <w:left w:w="100" w:type="dxa"/>
              <w:bottom w:w="120" w:type="dxa"/>
              <w:right w:w="100" w:type="dxa"/>
            </w:tcMar>
            <w:vAlign w:val="center"/>
          </w:tcPr>
          <w:p w14:paraId="08DD1069" w14:textId="77777777" w:rsidR="00655FE5" w:rsidRPr="00816817" w:rsidRDefault="00DB345A">
            <w:pPr>
              <w:jc w:val="center"/>
              <w:rPr>
                <w:bCs/>
                <w:szCs w:val="22"/>
              </w:rPr>
            </w:pPr>
            <w:r w:rsidRPr="00816817">
              <w:rPr>
                <w:bCs/>
                <w:szCs w:val="22"/>
              </w:rPr>
              <w:t>Months 4-9</w:t>
            </w:r>
          </w:p>
        </w:tc>
        <w:tc>
          <w:tcPr>
            <w:tcW w:w="1350" w:type="dxa"/>
            <w:tcMar>
              <w:top w:w="120" w:type="dxa"/>
              <w:left w:w="100" w:type="dxa"/>
              <w:bottom w:w="120" w:type="dxa"/>
              <w:right w:w="100" w:type="dxa"/>
            </w:tcMar>
            <w:vAlign w:val="center"/>
          </w:tcPr>
          <w:p w14:paraId="23CB4BC3" w14:textId="77777777" w:rsidR="00655FE5" w:rsidRPr="00816817" w:rsidRDefault="00DB345A">
            <w:pPr>
              <w:rPr>
                <w:bCs/>
                <w:szCs w:val="22"/>
              </w:rPr>
            </w:pPr>
            <w:r w:rsidRPr="00816817">
              <w:rPr>
                <w:bCs/>
                <w:szCs w:val="22"/>
              </w:rPr>
              <w:t>Control architecture</w:t>
            </w:r>
          </w:p>
        </w:tc>
        <w:tc>
          <w:tcPr>
            <w:tcW w:w="3309" w:type="dxa"/>
            <w:tcMar>
              <w:top w:w="120" w:type="dxa"/>
              <w:left w:w="100" w:type="dxa"/>
              <w:bottom w:w="120" w:type="dxa"/>
              <w:right w:w="100" w:type="dxa"/>
            </w:tcMar>
            <w:vAlign w:val="center"/>
          </w:tcPr>
          <w:p w14:paraId="4926337C" w14:textId="77777777" w:rsidR="00655FE5" w:rsidRPr="00816817" w:rsidRDefault="00DB345A">
            <w:pPr>
              <w:rPr>
                <w:bCs/>
                <w:szCs w:val="22"/>
              </w:rPr>
            </w:pPr>
            <w:r w:rsidRPr="00816817">
              <w:rPr>
                <w:bCs/>
                <w:szCs w:val="22"/>
              </w:rPr>
              <w:t>Define validation requirements, human-oversight triggers, incident thresholds, change-control rules, vendor review requirements, documentation templates and release gates</w:t>
            </w:r>
          </w:p>
        </w:tc>
        <w:tc>
          <w:tcPr>
            <w:tcW w:w="2728" w:type="dxa"/>
            <w:tcMar>
              <w:top w:w="120" w:type="dxa"/>
              <w:left w:w="100" w:type="dxa"/>
              <w:bottom w:w="120" w:type="dxa"/>
              <w:right w:w="100" w:type="dxa"/>
            </w:tcMar>
            <w:vAlign w:val="center"/>
          </w:tcPr>
          <w:p w14:paraId="5991E600" w14:textId="77777777" w:rsidR="00655FE5" w:rsidRPr="00816817" w:rsidRDefault="00DB345A">
            <w:pPr>
              <w:rPr>
                <w:bCs/>
                <w:szCs w:val="22"/>
              </w:rPr>
            </w:pPr>
            <w:r w:rsidRPr="00816817">
              <w:rPr>
                <w:bCs/>
                <w:szCs w:val="22"/>
              </w:rPr>
              <w:t>No unapproved external-model deployment; all Tier 4 systems independently validated before release</w:t>
            </w:r>
          </w:p>
        </w:tc>
      </w:tr>
      <w:tr w:rsidR="00655FE5" w:rsidRPr="00816817" w14:paraId="6154F212" w14:textId="77777777" w:rsidTr="00873F64">
        <w:trPr>
          <w:jc w:val="center"/>
        </w:trPr>
        <w:tc>
          <w:tcPr>
            <w:tcW w:w="1539" w:type="dxa"/>
            <w:tcMar>
              <w:top w:w="120" w:type="dxa"/>
              <w:left w:w="100" w:type="dxa"/>
              <w:bottom w:w="120" w:type="dxa"/>
              <w:right w:w="100" w:type="dxa"/>
            </w:tcMar>
            <w:vAlign w:val="center"/>
          </w:tcPr>
          <w:p w14:paraId="7D048248" w14:textId="77777777" w:rsidR="00655FE5" w:rsidRPr="00816817" w:rsidRDefault="00DB345A">
            <w:pPr>
              <w:rPr>
                <w:bCs/>
                <w:szCs w:val="22"/>
              </w:rPr>
            </w:pPr>
            <w:r w:rsidRPr="00816817">
              <w:rPr>
                <w:bCs/>
                <w:szCs w:val="22"/>
              </w:rPr>
              <w:t>Phase 3: Assurance and stress testing</w:t>
            </w:r>
          </w:p>
        </w:tc>
        <w:tc>
          <w:tcPr>
            <w:tcW w:w="922" w:type="dxa"/>
            <w:tcMar>
              <w:top w:w="120" w:type="dxa"/>
              <w:left w:w="100" w:type="dxa"/>
              <w:bottom w:w="120" w:type="dxa"/>
              <w:right w:w="100" w:type="dxa"/>
            </w:tcMar>
            <w:vAlign w:val="center"/>
          </w:tcPr>
          <w:p w14:paraId="3106F60C" w14:textId="77777777" w:rsidR="00655FE5" w:rsidRPr="00816817" w:rsidRDefault="00DB345A">
            <w:pPr>
              <w:jc w:val="center"/>
              <w:rPr>
                <w:bCs/>
                <w:szCs w:val="22"/>
              </w:rPr>
            </w:pPr>
            <w:r w:rsidRPr="00816817">
              <w:rPr>
                <w:bCs/>
                <w:szCs w:val="22"/>
              </w:rPr>
              <w:t>Months 10-15</w:t>
            </w:r>
          </w:p>
        </w:tc>
        <w:tc>
          <w:tcPr>
            <w:tcW w:w="1350" w:type="dxa"/>
            <w:tcMar>
              <w:top w:w="120" w:type="dxa"/>
              <w:left w:w="100" w:type="dxa"/>
              <w:bottom w:w="120" w:type="dxa"/>
              <w:right w:w="100" w:type="dxa"/>
            </w:tcMar>
            <w:vAlign w:val="center"/>
          </w:tcPr>
          <w:p w14:paraId="731A07CB" w14:textId="77777777" w:rsidR="00655FE5" w:rsidRPr="00816817" w:rsidRDefault="00DB345A">
            <w:pPr>
              <w:rPr>
                <w:bCs/>
                <w:szCs w:val="22"/>
              </w:rPr>
            </w:pPr>
            <w:r w:rsidRPr="00816817">
              <w:rPr>
                <w:bCs/>
                <w:szCs w:val="22"/>
              </w:rPr>
              <w:t>Proof under live conditions</w:t>
            </w:r>
          </w:p>
        </w:tc>
        <w:tc>
          <w:tcPr>
            <w:tcW w:w="3309" w:type="dxa"/>
            <w:tcMar>
              <w:top w:w="120" w:type="dxa"/>
              <w:left w:w="100" w:type="dxa"/>
              <w:bottom w:w="120" w:type="dxa"/>
              <w:right w:w="100" w:type="dxa"/>
            </w:tcMar>
            <w:vAlign w:val="center"/>
          </w:tcPr>
          <w:p w14:paraId="48A9E3FE" w14:textId="77777777" w:rsidR="00655FE5" w:rsidRPr="00816817" w:rsidRDefault="00DB345A">
            <w:pPr>
              <w:rPr>
                <w:bCs/>
                <w:szCs w:val="22"/>
              </w:rPr>
            </w:pPr>
            <w:r w:rsidRPr="00816817">
              <w:rPr>
                <w:bCs/>
                <w:szCs w:val="22"/>
              </w:rPr>
              <w:t>Run drift monitoring, bias testing, scenario analysis, override-quality reviews, red-team testing and incident drills; test dispute-resolution routes</w:t>
            </w:r>
          </w:p>
        </w:tc>
        <w:tc>
          <w:tcPr>
            <w:tcW w:w="2728" w:type="dxa"/>
            <w:tcMar>
              <w:top w:w="120" w:type="dxa"/>
              <w:left w:w="100" w:type="dxa"/>
              <w:bottom w:w="120" w:type="dxa"/>
              <w:right w:w="100" w:type="dxa"/>
            </w:tcMar>
            <w:vAlign w:val="center"/>
          </w:tcPr>
          <w:p w14:paraId="389C5AD2" w14:textId="77777777" w:rsidR="00655FE5" w:rsidRPr="00816817" w:rsidRDefault="00DB345A">
            <w:pPr>
              <w:rPr>
                <w:bCs/>
                <w:szCs w:val="22"/>
              </w:rPr>
            </w:pPr>
            <w:r w:rsidRPr="00816817">
              <w:rPr>
                <w:bCs/>
                <w:szCs w:val="22"/>
              </w:rPr>
              <w:t>Remediation plan within 30 days of every material breach; reduction in unexplained override variance; zero repeat critical incidents</w:t>
            </w:r>
          </w:p>
        </w:tc>
      </w:tr>
      <w:tr w:rsidR="00655FE5" w:rsidRPr="00816817" w14:paraId="415DCF99" w14:textId="77777777" w:rsidTr="00873F64">
        <w:trPr>
          <w:jc w:val="center"/>
        </w:trPr>
        <w:tc>
          <w:tcPr>
            <w:tcW w:w="1539" w:type="dxa"/>
            <w:tcMar>
              <w:top w:w="120" w:type="dxa"/>
              <w:left w:w="100" w:type="dxa"/>
              <w:bottom w:w="120" w:type="dxa"/>
              <w:right w:w="100" w:type="dxa"/>
            </w:tcMar>
            <w:vAlign w:val="center"/>
          </w:tcPr>
          <w:p w14:paraId="12D776D5" w14:textId="77777777" w:rsidR="00655FE5" w:rsidRPr="00816817" w:rsidRDefault="00DB345A">
            <w:pPr>
              <w:rPr>
                <w:bCs/>
                <w:szCs w:val="22"/>
              </w:rPr>
            </w:pPr>
            <w:r w:rsidRPr="00816817">
              <w:rPr>
                <w:bCs/>
                <w:szCs w:val="22"/>
              </w:rPr>
              <w:lastRenderedPageBreak/>
              <w:t>Phase 4: Strategic scaling</w:t>
            </w:r>
          </w:p>
        </w:tc>
        <w:tc>
          <w:tcPr>
            <w:tcW w:w="922" w:type="dxa"/>
            <w:tcMar>
              <w:top w:w="120" w:type="dxa"/>
              <w:left w:w="100" w:type="dxa"/>
              <w:bottom w:w="120" w:type="dxa"/>
              <w:right w:w="100" w:type="dxa"/>
            </w:tcMar>
            <w:vAlign w:val="center"/>
          </w:tcPr>
          <w:p w14:paraId="6EF67822" w14:textId="77777777" w:rsidR="00655FE5" w:rsidRPr="00816817" w:rsidRDefault="00DB345A">
            <w:pPr>
              <w:jc w:val="center"/>
              <w:rPr>
                <w:bCs/>
                <w:szCs w:val="22"/>
              </w:rPr>
            </w:pPr>
            <w:r w:rsidRPr="00816817">
              <w:rPr>
                <w:bCs/>
                <w:szCs w:val="22"/>
              </w:rPr>
              <w:t>Months 16-24</w:t>
            </w:r>
          </w:p>
        </w:tc>
        <w:tc>
          <w:tcPr>
            <w:tcW w:w="1350" w:type="dxa"/>
            <w:tcMar>
              <w:top w:w="120" w:type="dxa"/>
              <w:left w:w="100" w:type="dxa"/>
              <w:bottom w:w="120" w:type="dxa"/>
              <w:right w:w="100" w:type="dxa"/>
            </w:tcMar>
            <w:vAlign w:val="center"/>
          </w:tcPr>
          <w:p w14:paraId="006B9762" w14:textId="77777777" w:rsidR="00655FE5" w:rsidRPr="00816817" w:rsidRDefault="00DB345A">
            <w:pPr>
              <w:rPr>
                <w:bCs/>
                <w:szCs w:val="22"/>
              </w:rPr>
            </w:pPr>
            <w:r w:rsidRPr="00816817">
              <w:rPr>
                <w:bCs/>
                <w:szCs w:val="22"/>
              </w:rPr>
              <w:t>Controlled expansion</w:t>
            </w:r>
          </w:p>
        </w:tc>
        <w:tc>
          <w:tcPr>
            <w:tcW w:w="3309" w:type="dxa"/>
            <w:tcMar>
              <w:top w:w="120" w:type="dxa"/>
              <w:left w:w="100" w:type="dxa"/>
              <w:bottom w:w="120" w:type="dxa"/>
              <w:right w:w="100" w:type="dxa"/>
            </w:tcMar>
            <w:vAlign w:val="center"/>
          </w:tcPr>
          <w:p w14:paraId="3A9B34C9" w14:textId="77777777" w:rsidR="00655FE5" w:rsidRPr="00816817" w:rsidRDefault="00DB345A">
            <w:pPr>
              <w:rPr>
                <w:bCs/>
                <w:szCs w:val="22"/>
              </w:rPr>
            </w:pPr>
            <w:r w:rsidRPr="00816817">
              <w:rPr>
                <w:bCs/>
                <w:szCs w:val="22"/>
              </w:rPr>
              <w:t>Scale Tier 1 and selected Tier 2 use cases; expand Tier 3 and Tier 4 only where monitoring, challenge routes and assurance results meet thresholds</w:t>
            </w:r>
          </w:p>
        </w:tc>
        <w:tc>
          <w:tcPr>
            <w:tcW w:w="2728" w:type="dxa"/>
            <w:tcMar>
              <w:top w:w="120" w:type="dxa"/>
              <w:left w:w="100" w:type="dxa"/>
              <w:bottom w:w="120" w:type="dxa"/>
              <w:right w:w="100" w:type="dxa"/>
            </w:tcMar>
            <w:vAlign w:val="center"/>
          </w:tcPr>
          <w:p w14:paraId="6F44E6F9" w14:textId="77777777" w:rsidR="00655FE5" w:rsidRPr="00816817" w:rsidRDefault="00DB345A">
            <w:pPr>
              <w:rPr>
                <w:bCs/>
                <w:szCs w:val="22"/>
              </w:rPr>
            </w:pPr>
            <w:r w:rsidRPr="00816817">
              <w:rPr>
                <w:bCs/>
                <w:szCs w:val="22"/>
              </w:rPr>
              <w:t>Efficiency gains in target workflows without increase in substantiated customer-harm incidents or regulatory breaches</w:t>
            </w:r>
          </w:p>
        </w:tc>
      </w:tr>
    </w:tbl>
    <w:p w14:paraId="4BF7D8AB" w14:textId="3AAA38A4" w:rsidR="006C0733" w:rsidRPr="005752BF" w:rsidRDefault="006C0733" w:rsidP="006C0733">
      <w:pPr>
        <w:rPr>
          <w:bCs/>
        </w:rPr>
      </w:pPr>
      <w:r w:rsidRPr="005752BF">
        <w:rPr>
          <w:bCs/>
        </w:rPr>
        <w:t xml:space="preserve">The periods 1-4 are to be viewed as gates and not calendar milestones. The growth of Tier 3 and Tier 4 use cases should thus be based on the monitoring outcomes, challenge-route performance and incident performance instead of internal passion. The programme can only be successful when the rate of deployment is subject to control readiness. </w:t>
      </w:r>
    </w:p>
    <w:p w14:paraId="77576ED8" w14:textId="77777777" w:rsidR="006C0733" w:rsidRPr="005752BF" w:rsidRDefault="006C0733" w:rsidP="006C0733">
      <w:pPr>
        <w:rPr>
          <w:bCs/>
        </w:rPr>
      </w:pPr>
      <w:r w:rsidRPr="005752BF">
        <w:rPr>
          <w:bCs/>
        </w:rPr>
        <w:t>The 24-month AI-governance programme is estimated to cost between US 55 million and US 80 million (excluding wider AI product-development expenditure). That includes inventory tooling, validation capacity, monitoring infrastructure, third party due diligence, training, red-team testing and independent assurance. This is sufficiently large to be a formal budget sponsorship, called owners and quarterly benefits tracking, in the case of a bank of the size of JPMorgan.</w:t>
      </w:r>
    </w:p>
    <w:p w14:paraId="2C1F181B" w14:textId="61EB2D22" w:rsidR="0000494E" w:rsidRPr="005752BF" w:rsidRDefault="00816817" w:rsidP="00816817">
      <w:pPr>
        <w:pStyle w:val="Caption"/>
        <w:rPr>
          <w:bCs w:val="0"/>
          <w:lang w:val="en-AU"/>
        </w:rPr>
      </w:pPr>
      <w:bookmarkStart w:id="25" w:name="_Toc228177163"/>
      <w:r>
        <w:t xml:space="preserve">Table </w:t>
      </w:r>
      <w:r w:rsidR="00873F64">
        <w:fldChar w:fldCharType="begin"/>
      </w:r>
      <w:r w:rsidR="00873F64">
        <w:instrText xml:space="preserve"> SEQ Table \* ARABIC </w:instrText>
      </w:r>
      <w:r w:rsidR="00873F64">
        <w:fldChar w:fldCharType="separate"/>
      </w:r>
      <w:r w:rsidR="00873F64">
        <w:rPr>
          <w:noProof/>
        </w:rPr>
        <w:t>4</w:t>
      </w:r>
      <w:r w:rsidR="00873F64">
        <w:rPr>
          <w:noProof/>
        </w:rPr>
        <w:fldChar w:fldCharType="end"/>
      </w:r>
      <w:r>
        <w:t xml:space="preserve"> </w:t>
      </w:r>
      <w:r w:rsidRPr="00181528">
        <w:t>Estimated implementation costs</w:t>
      </w:r>
      <w:bookmarkEnd w:id="25"/>
    </w:p>
    <w:tbl>
      <w:tblPr>
        <w:tblStyle w:val="TableGrid"/>
        <w:tblW w:w="0" w:type="auto"/>
        <w:tblLook w:val="04A0" w:firstRow="1" w:lastRow="0" w:firstColumn="1" w:lastColumn="0" w:noHBand="0" w:noVBand="1"/>
      </w:tblPr>
      <w:tblGrid>
        <w:gridCol w:w="1047"/>
        <w:gridCol w:w="7054"/>
        <w:gridCol w:w="1537"/>
      </w:tblGrid>
      <w:tr w:rsidR="0000494E" w:rsidRPr="005752BF" w14:paraId="3237F148" w14:textId="77777777" w:rsidTr="00873F64">
        <w:tc>
          <w:tcPr>
            <w:tcW w:w="0" w:type="auto"/>
            <w:shd w:val="clear" w:color="auto" w:fill="C6D9F1" w:themeFill="text2" w:themeFillTint="33"/>
            <w:hideMark/>
          </w:tcPr>
          <w:p w14:paraId="3FEC8C6A" w14:textId="77777777" w:rsidR="0000494E" w:rsidRPr="00873F64" w:rsidRDefault="0000494E" w:rsidP="0000494E">
            <w:pPr>
              <w:spacing w:line="276" w:lineRule="auto"/>
              <w:rPr>
                <w:bCs/>
                <w:color w:val="365F91" w:themeColor="accent1" w:themeShade="BF"/>
                <w:lang w:val="en-AU"/>
              </w:rPr>
            </w:pPr>
            <w:r w:rsidRPr="00873F64">
              <w:rPr>
                <w:bCs/>
                <w:color w:val="365F91" w:themeColor="accent1" w:themeShade="BF"/>
                <w:lang w:val="en-AU"/>
              </w:rPr>
              <w:t>Phase</w:t>
            </w:r>
          </w:p>
        </w:tc>
        <w:tc>
          <w:tcPr>
            <w:tcW w:w="0" w:type="auto"/>
            <w:shd w:val="clear" w:color="auto" w:fill="C6D9F1" w:themeFill="text2" w:themeFillTint="33"/>
            <w:hideMark/>
          </w:tcPr>
          <w:p w14:paraId="70D398B8" w14:textId="77777777" w:rsidR="0000494E" w:rsidRPr="00873F64" w:rsidRDefault="0000494E" w:rsidP="0000494E">
            <w:pPr>
              <w:spacing w:line="276" w:lineRule="auto"/>
              <w:rPr>
                <w:bCs/>
                <w:color w:val="365F91" w:themeColor="accent1" w:themeShade="BF"/>
                <w:lang w:val="en-AU"/>
              </w:rPr>
            </w:pPr>
            <w:r w:rsidRPr="00873F64">
              <w:rPr>
                <w:bCs/>
                <w:color w:val="365F91" w:themeColor="accent1" w:themeShade="BF"/>
                <w:lang w:val="en-AU"/>
              </w:rPr>
              <w:t>Main cost drivers</w:t>
            </w:r>
          </w:p>
        </w:tc>
        <w:tc>
          <w:tcPr>
            <w:tcW w:w="0" w:type="auto"/>
            <w:shd w:val="clear" w:color="auto" w:fill="C6D9F1" w:themeFill="text2" w:themeFillTint="33"/>
            <w:hideMark/>
          </w:tcPr>
          <w:p w14:paraId="0096BF5D" w14:textId="77777777" w:rsidR="0000494E" w:rsidRPr="00873F64" w:rsidRDefault="0000494E" w:rsidP="0000494E">
            <w:pPr>
              <w:spacing w:line="276" w:lineRule="auto"/>
              <w:rPr>
                <w:bCs/>
                <w:color w:val="365F91" w:themeColor="accent1" w:themeShade="BF"/>
                <w:lang w:val="en-AU"/>
              </w:rPr>
            </w:pPr>
            <w:r w:rsidRPr="00873F64">
              <w:rPr>
                <w:bCs/>
                <w:color w:val="365F91" w:themeColor="accent1" w:themeShade="BF"/>
                <w:lang w:val="en-AU"/>
              </w:rPr>
              <w:t>Indicative cost</w:t>
            </w:r>
          </w:p>
        </w:tc>
      </w:tr>
      <w:tr w:rsidR="0000494E" w:rsidRPr="005752BF" w14:paraId="3BC34F55" w14:textId="77777777" w:rsidTr="007E2ECB">
        <w:tc>
          <w:tcPr>
            <w:tcW w:w="0" w:type="auto"/>
            <w:hideMark/>
          </w:tcPr>
          <w:p w14:paraId="27302E3A" w14:textId="174CD421" w:rsidR="0000494E" w:rsidRPr="005752BF" w:rsidRDefault="0000494E" w:rsidP="0000494E">
            <w:pPr>
              <w:spacing w:line="276" w:lineRule="auto"/>
              <w:rPr>
                <w:bCs/>
                <w:lang w:val="en-AU"/>
              </w:rPr>
            </w:pPr>
            <w:r w:rsidRPr="005752BF">
              <w:rPr>
                <w:bCs/>
                <w:lang w:val="en-AU"/>
              </w:rPr>
              <w:t xml:space="preserve">Phase 1: </w:t>
            </w:r>
            <w:r w:rsidR="00C2498A" w:rsidRPr="005752BF">
              <w:rPr>
                <w:bCs/>
                <w:lang w:val="en-AU"/>
              </w:rPr>
              <w:t xml:space="preserve"> </w:t>
            </w:r>
          </w:p>
        </w:tc>
        <w:tc>
          <w:tcPr>
            <w:tcW w:w="0" w:type="auto"/>
            <w:hideMark/>
          </w:tcPr>
          <w:p w14:paraId="7E6A2897" w14:textId="77777777" w:rsidR="0000494E" w:rsidRPr="005752BF" w:rsidRDefault="0000494E" w:rsidP="0000494E">
            <w:pPr>
              <w:spacing w:line="276" w:lineRule="auto"/>
              <w:rPr>
                <w:bCs/>
                <w:lang w:val="en-AU"/>
              </w:rPr>
            </w:pPr>
            <w:r w:rsidRPr="005752BF">
              <w:rPr>
                <w:bCs/>
                <w:lang w:val="en-AU"/>
              </w:rPr>
              <w:t>inventory tooling, data mapping, use-case discovery, owner assignment</w:t>
            </w:r>
          </w:p>
        </w:tc>
        <w:tc>
          <w:tcPr>
            <w:tcW w:w="0" w:type="auto"/>
            <w:hideMark/>
          </w:tcPr>
          <w:p w14:paraId="49A43648" w14:textId="77777777" w:rsidR="0000494E" w:rsidRPr="005752BF" w:rsidRDefault="0000494E" w:rsidP="0000494E">
            <w:pPr>
              <w:spacing w:line="276" w:lineRule="auto"/>
              <w:rPr>
                <w:bCs/>
                <w:lang w:val="en-AU"/>
              </w:rPr>
            </w:pPr>
            <w:r w:rsidRPr="005752BF">
              <w:rPr>
                <w:bCs/>
                <w:lang w:val="en-AU"/>
              </w:rPr>
              <w:t>US$6m-10m</w:t>
            </w:r>
          </w:p>
        </w:tc>
      </w:tr>
      <w:tr w:rsidR="0000494E" w:rsidRPr="005752BF" w14:paraId="3D808890" w14:textId="77777777" w:rsidTr="007E2ECB">
        <w:tc>
          <w:tcPr>
            <w:tcW w:w="0" w:type="auto"/>
            <w:hideMark/>
          </w:tcPr>
          <w:p w14:paraId="4EC74E4A" w14:textId="25192D56" w:rsidR="0000494E" w:rsidRPr="005752BF" w:rsidRDefault="0000494E" w:rsidP="0000494E">
            <w:pPr>
              <w:spacing w:line="276" w:lineRule="auto"/>
              <w:rPr>
                <w:bCs/>
                <w:lang w:val="en-AU"/>
              </w:rPr>
            </w:pPr>
            <w:r w:rsidRPr="005752BF">
              <w:rPr>
                <w:bCs/>
                <w:lang w:val="en-AU"/>
              </w:rPr>
              <w:t xml:space="preserve">Phase 2: </w:t>
            </w:r>
            <w:r w:rsidR="00C2498A" w:rsidRPr="005752BF">
              <w:rPr>
                <w:bCs/>
                <w:lang w:val="en-AU"/>
              </w:rPr>
              <w:t xml:space="preserve"> </w:t>
            </w:r>
          </w:p>
        </w:tc>
        <w:tc>
          <w:tcPr>
            <w:tcW w:w="0" w:type="auto"/>
            <w:hideMark/>
          </w:tcPr>
          <w:p w14:paraId="4F1341A0" w14:textId="77777777" w:rsidR="0000494E" w:rsidRPr="005752BF" w:rsidRDefault="0000494E" w:rsidP="0000494E">
            <w:pPr>
              <w:spacing w:line="276" w:lineRule="auto"/>
              <w:rPr>
                <w:bCs/>
                <w:lang w:val="en-AU"/>
              </w:rPr>
            </w:pPr>
            <w:r w:rsidRPr="005752BF">
              <w:rPr>
                <w:bCs/>
                <w:lang w:val="en-AU"/>
              </w:rPr>
              <w:t>validation tooling, policy drafting, documentation templates, vendor due diligence</w:t>
            </w:r>
          </w:p>
        </w:tc>
        <w:tc>
          <w:tcPr>
            <w:tcW w:w="0" w:type="auto"/>
            <w:hideMark/>
          </w:tcPr>
          <w:p w14:paraId="30C981AD" w14:textId="77777777" w:rsidR="0000494E" w:rsidRPr="005752BF" w:rsidRDefault="0000494E" w:rsidP="0000494E">
            <w:pPr>
              <w:spacing w:line="276" w:lineRule="auto"/>
              <w:rPr>
                <w:bCs/>
                <w:lang w:val="en-AU"/>
              </w:rPr>
            </w:pPr>
            <w:r w:rsidRPr="005752BF">
              <w:rPr>
                <w:bCs/>
                <w:lang w:val="en-AU"/>
              </w:rPr>
              <w:t>US$18m-28m</w:t>
            </w:r>
          </w:p>
        </w:tc>
      </w:tr>
      <w:tr w:rsidR="0000494E" w:rsidRPr="005752BF" w14:paraId="06C535D0" w14:textId="77777777" w:rsidTr="007E2ECB">
        <w:tc>
          <w:tcPr>
            <w:tcW w:w="0" w:type="auto"/>
            <w:hideMark/>
          </w:tcPr>
          <w:p w14:paraId="0703D76E" w14:textId="0F21990E" w:rsidR="0000494E" w:rsidRPr="005752BF" w:rsidRDefault="0000494E" w:rsidP="0000494E">
            <w:pPr>
              <w:spacing w:line="276" w:lineRule="auto"/>
              <w:rPr>
                <w:bCs/>
                <w:lang w:val="en-AU"/>
              </w:rPr>
            </w:pPr>
            <w:r w:rsidRPr="005752BF">
              <w:rPr>
                <w:bCs/>
                <w:lang w:val="en-AU"/>
              </w:rPr>
              <w:t xml:space="preserve">Phase 3: </w:t>
            </w:r>
            <w:r w:rsidR="00C2498A" w:rsidRPr="005752BF">
              <w:rPr>
                <w:bCs/>
                <w:lang w:val="en-AU"/>
              </w:rPr>
              <w:t xml:space="preserve"> </w:t>
            </w:r>
          </w:p>
        </w:tc>
        <w:tc>
          <w:tcPr>
            <w:tcW w:w="0" w:type="auto"/>
            <w:hideMark/>
          </w:tcPr>
          <w:p w14:paraId="396C45A4" w14:textId="77777777" w:rsidR="0000494E" w:rsidRPr="005752BF" w:rsidRDefault="0000494E" w:rsidP="0000494E">
            <w:pPr>
              <w:spacing w:line="276" w:lineRule="auto"/>
              <w:rPr>
                <w:bCs/>
                <w:lang w:val="en-AU"/>
              </w:rPr>
            </w:pPr>
            <w:r w:rsidRPr="005752BF">
              <w:rPr>
                <w:bCs/>
                <w:lang w:val="en-AU"/>
              </w:rPr>
              <w:t>drift monitoring, red teaming, bias testing, scenario analysis, internal assurance</w:t>
            </w:r>
          </w:p>
        </w:tc>
        <w:tc>
          <w:tcPr>
            <w:tcW w:w="0" w:type="auto"/>
            <w:hideMark/>
          </w:tcPr>
          <w:p w14:paraId="09B884A4" w14:textId="77777777" w:rsidR="0000494E" w:rsidRPr="005752BF" w:rsidRDefault="0000494E" w:rsidP="0000494E">
            <w:pPr>
              <w:spacing w:line="276" w:lineRule="auto"/>
              <w:rPr>
                <w:bCs/>
                <w:lang w:val="en-AU"/>
              </w:rPr>
            </w:pPr>
            <w:r w:rsidRPr="005752BF">
              <w:rPr>
                <w:bCs/>
                <w:lang w:val="en-AU"/>
              </w:rPr>
              <w:t>US$15m-22m</w:t>
            </w:r>
          </w:p>
        </w:tc>
      </w:tr>
      <w:tr w:rsidR="0000494E" w:rsidRPr="005752BF" w14:paraId="6AE14372" w14:textId="77777777" w:rsidTr="007E2ECB">
        <w:tc>
          <w:tcPr>
            <w:tcW w:w="0" w:type="auto"/>
            <w:hideMark/>
          </w:tcPr>
          <w:p w14:paraId="56AE22CF" w14:textId="78B8FC20" w:rsidR="0000494E" w:rsidRPr="005752BF" w:rsidRDefault="0000494E" w:rsidP="0000494E">
            <w:pPr>
              <w:spacing w:line="276" w:lineRule="auto"/>
              <w:rPr>
                <w:bCs/>
                <w:lang w:val="en-AU"/>
              </w:rPr>
            </w:pPr>
            <w:r w:rsidRPr="005752BF">
              <w:rPr>
                <w:bCs/>
                <w:lang w:val="en-AU"/>
              </w:rPr>
              <w:t xml:space="preserve">Phase 4: </w:t>
            </w:r>
            <w:r w:rsidR="00C2498A" w:rsidRPr="005752BF">
              <w:rPr>
                <w:bCs/>
                <w:lang w:val="en-AU"/>
              </w:rPr>
              <w:t xml:space="preserve"> </w:t>
            </w:r>
          </w:p>
        </w:tc>
        <w:tc>
          <w:tcPr>
            <w:tcW w:w="0" w:type="auto"/>
            <w:hideMark/>
          </w:tcPr>
          <w:p w14:paraId="717A4C84" w14:textId="77777777" w:rsidR="0000494E" w:rsidRPr="005752BF" w:rsidRDefault="0000494E" w:rsidP="0000494E">
            <w:pPr>
              <w:spacing w:line="276" w:lineRule="auto"/>
              <w:rPr>
                <w:bCs/>
                <w:lang w:val="en-AU"/>
              </w:rPr>
            </w:pPr>
            <w:r w:rsidRPr="005752BF">
              <w:rPr>
                <w:bCs/>
                <w:lang w:val="en-AU"/>
              </w:rPr>
              <w:t>training, workflow redesign, controlled scale-up, external assurance support</w:t>
            </w:r>
          </w:p>
        </w:tc>
        <w:tc>
          <w:tcPr>
            <w:tcW w:w="0" w:type="auto"/>
            <w:hideMark/>
          </w:tcPr>
          <w:p w14:paraId="7BD664AD" w14:textId="77777777" w:rsidR="0000494E" w:rsidRPr="005752BF" w:rsidRDefault="0000494E" w:rsidP="0000494E">
            <w:pPr>
              <w:spacing w:line="276" w:lineRule="auto"/>
              <w:rPr>
                <w:bCs/>
                <w:lang w:val="en-AU"/>
              </w:rPr>
            </w:pPr>
            <w:r w:rsidRPr="005752BF">
              <w:rPr>
                <w:bCs/>
                <w:lang w:val="en-AU"/>
              </w:rPr>
              <w:t>US$16m-20m</w:t>
            </w:r>
          </w:p>
        </w:tc>
      </w:tr>
      <w:tr w:rsidR="0000494E" w:rsidRPr="005752BF" w14:paraId="29344B37" w14:textId="77777777" w:rsidTr="007E2ECB">
        <w:tc>
          <w:tcPr>
            <w:tcW w:w="0" w:type="auto"/>
            <w:hideMark/>
          </w:tcPr>
          <w:p w14:paraId="5EE55D54" w14:textId="77777777" w:rsidR="0000494E" w:rsidRPr="005752BF" w:rsidRDefault="0000494E" w:rsidP="0000494E">
            <w:pPr>
              <w:spacing w:line="276" w:lineRule="auto"/>
              <w:rPr>
                <w:bCs/>
                <w:lang w:val="en-AU"/>
              </w:rPr>
            </w:pPr>
            <w:r w:rsidRPr="005752BF">
              <w:rPr>
                <w:bCs/>
                <w:lang w:val="en-AU"/>
              </w:rPr>
              <w:t>Total</w:t>
            </w:r>
          </w:p>
        </w:tc>
        <w:tc>
          <w:tcPr>
            <w:tcW w:w="0" w:type="auto"/>
            <w:hideMark/>
          </w:tcPr>
          <w:p w14:paraId="203A5588" w14:textId="77777777" w:rsidR="0000494E" w:rsidRPr="005752BF" w:rsidRDefault="0000494E" w:rsidP="0000494E">
            <w:pPr>
              <w:spacing w:line="276" w:lineRule="auto"/>
              <w:rPr>
                <w:bCs/>
                <w:lang w:val="en-AU"/>
              </w:rPr>
            </w:pPr>
            <w:r w:rsidRPr="005752BF">
              <w:rPr>
                <w:bCs/>
                <w:lang w:val="en-AU"/>
              </w:rPr>
              <w:t>24-month governance programme</w:t>
            </w:r>
          </w:p>
        </w:tc>
        <w:tc>
          <w:tcPr>
            <w:tcW w:w="0" w:type="auto"/>
            <w:hideMark/>
          </w:tcPr>
          <w:p w14:paraId="78EFF91A" w14:textId="77777777" w:rsidR="0000494E" w:rsidRPr="005752BF" w:rsidRDefault="0000494E" w:rsidP="0000494E">
            <w:pPr>
              <w:spacing w:line="276" w:lineRule="auto"/>
              <w:rPr>
                <w:bCs/>
                <w:lang w:val="en-AU"/>
              </w:rPr>
            </w:pPr>
            <w:r w:rsidRPr="005752BF">
              <w:rPr>
                <w:bCs/>
                <w:lang w:val="en-AU"/>
              </w:rPr>
              <w:t>US$55m-80m</w:t>
            </w:r>
          </w:p>
        </w:tc>
      </w:tr>
    </w:tbl>
    <w:p w14:paraId="1361FD9E" w14:textId="77777777" w:rsidR="0000494E" w:rsidRPr="005752BF" w:rsidRDefault="0000494E">
      <w:pPr>
        <w:rPr>
          <w:bCs/>
        </w:rPr>
      </w:pPr>
    </w:p>
    <w:p w14:paraId="4DBEC048" w14:textId="7CCB9931" w:rsidR="00655FE5" w:rsidRPr="005752BF" w:rsidRDefault="00DB345A" w:rsidP="00873F64">
      <w:pPr>
        <w:pStyle w:val="Heading2"/>
        <w:numPr>
          <w:ilvl w:val="1"/>
          <w:numId w:val="40"/>
        </w:numPr>
      </w:pPr>
      <w:bookmarkStart w:id="26" w:name="_Toc228177157"/>
      <w:r w:rsidRPr="005752BF">
        <w:t xml:space="preserve">Board </w:t>
      </w:r>
      <w:r w:rsidRPr="00615A84">
        <w:t>dashboard</w:t>
      </w:r>
      <w:r w:rsidRPr="005752BF">
        <w:t xml:space="preserve"> and assurance model</w:t>
      </w:r>
      <w:bookmarkEnd w:id="26"/>
    </w:p>
    <w:p w14:paraId="64248F46" w14:textId="77777777" w:rsidR="00F74314" w:rsidRPr="005752BF" w:rsidRDefault="00F74314" w:rsidP="00615A84">
      <w:r w:rsidRPr="005752BF">
        <w:t xml:space="preserve">Vanity measures like prompts created, pilots launched or employees testing chatbots should not be reported to the board. They are measures of activities, not measures of control. Board reporting on a quarterly basis should rather concentrate on the completeness of the control architecture, the increasing number of exceptions and the accelerating customer or supervisory exposure that is exceeding the ability of the management to contain it. The board must at least view the inventory coverage, validation exceptions, model-drift violations, override rates and override quality, number </w:t>
      </w:r>
      <w:r w:rsidRPr="005752BF">
        <w:lastRenderedPageBreak/>
        <w:t>of incidents by tier, a third-party dependency map, complaints associated with AI-assisted processes, negative customer-outcome reviews, and regulatory findings and remediation status. This is what enables the board to determine whether the deployment rate is in line with the control preparedness as opposed to internal motivation.</w:t>
      </w:r>
    </w:p>
    <w:p w14:paraId="167C9CE9" w14:textId="6CBD6A8A" w:rsidR="00655FE5" w:rsidRPr="005752BF" w:rsidRDefault="00873F64" w:rsidP="00873F64">
      <w:pPr>
        <w:pStyle w:val="Caption"/>
        <w:rPr>
          <w:b w:val="0"/>
        </w:rPr>
      </w:pPr>
      <w:bookmarkStart w:id="27" w:name="_Toc228177164"/>
      <w:r>
        <w:t xml:space="preserve">Table </w:t>
      </w:r>
      <w:r>
        <w:fldChar w:fldCharType="begin"/>
      </w:r>
      <w:r>
        <w:instrText xml:space="preserve"> SEQ Table \* ARABIC </w:instrText>
      </w:r>
      <w:r>
        <w:fldChar w:fldCharType="separate"/>
      </w:r>
      <w:r>
        <w:rPr>
          <w:noProof/>
        </w:rPr>
        <w:t>5</w:t>
      </w:r>
      <w:r>
        <w:rPr>
          <w:noProof/>
        </w:rPr>
        <w:fldChar w:fldCharType="end"/>
      </w:r>
      <w:r>
        <w:t xml:space="preserve"> </w:t>
      </w:r>
      <w:r w:rsidRPr="000F39CC">
        <w:t>Quarterly board dashboard</w:t>
      </w:r>
      <w:bookmarkEnd w:id="27"/>
    </w:p>
    <w:tbl>
      <w:tblPr>
        <w:tblStyle w:val="TableGrid"/>
        <w:tblW w:w="0" w:type="auto"/>
        <w:jc w:val="center"/>
        <w:tblLook w:val="04A0" w:firstRow="1" w:lastRow="0" w:firstColumn="1" w:lastColumn="0" w:noHBand="0" w:noVBand="1"/>
      </w:tblPr>
      <w:tblGrid>
        <w:gridCol w:w="3120"/>
        <w:gridCol w:w="6518"/>
      </w:tblGrid>
      <w:tr w:rsidR="00655FE5" w:rsidRPr="00873F64" w14:paraId="1AB45309" w14:textId="77777777" w:rsidTr="0032084A">
        <w:trPr>
          <w:jc w:val="center"/>
        </w:trPr>
        <w:tc>
          <w:tcPr>
            <w:tcW w:w="3205" w:type="dxa"/>
            <w:shd w:val="clear" w:color="auto" w:fill="D9EAF7"/>
            <w:tcMar>
              <w:top w:w="110" w:type="dxa"/>
              <w:left w:w="110" w:type="dxa"/>
              <w:bottom w:w="110" w:type="dxa"/>
              <w:right w:w="110" w:type="dxa"/>
            </w:tcMar>
            <w:vAlign w:val="center"/>
          </w:tcPr>
          <w:p w14:paraId="459C5A01" w14:textId="77777777" w:rsidR="00655FE5" w:rsidRPr="00873F64" w:rsidRDefault="00DB345A">
            <w:pPr>
              <w:jc w:val="center"/>
              <w:rPr>
                <w:bCs/>
                <w:szCs w:val="22"/>
              </w:rPr>
            </w:pPr>
            <w:r w:rsidRPr="00873F64">
              <w:rPr>
                <w:bCs/>
                <w:color w:val="1F4E79"/>
                <w:szCs w:val="22"/>
              </w:rPr>
              <w:t>Dashboard item</w:t>
            </w:r>
          </w:p>
        </w:tc>
        <w:tc>
          <w:tcPr>
            <w:tcW w:w="6764" w:type="dxa"/>
            <w:shd w:val="clear" w:color="auto" w:fill="D9EAF7"/>
            <w:tcMar>
              <w:top w:w="110" w:type="dxa"/>
              <w:left w:w="110" w:type="dxa"/>
              <w:bottom w:w="110" w:type="dxa"/>
              <w:right w:w="110" w:type="dxa"/>
            </w:tcMar>
            <w:vAlign w:val="center"/>
          </w:tcPr>
          <w:p w14:paraId="1A35BD85" w14:textId="77777777" w:rsidR="00655FE5" w:rsidRPr="00873F64" w:rsidRDefault="00DB345A">
            <w:pPr>
              <w:jc w:val="center"/>
              <w:rPr>
                <w:bCs/>
                <w:szCs w:val="22"/>
              </w:rPr>
            </w:pPr>
            <w:r w:rsidRPr="00873F64">
              <w:rPr>
                <w:bCs/>
                <w:color w:val="1F4E79"/>
                <w:szCs w:val="22"/>
              </w:rPr>
              <w:t>Why the board should care</w:t>
            </w:r>
          </w:p>
        </w:tc>
      </w:tr>
      <w:tr w:rsidR="00655FE5" w:rsidRPr="00873F64" w14:paraId="4A3CBFDE" w14:textId="77777777" w:rsidTr="0032084A">
        <w:trPr>
          <w:jc w:val="center"/>
        </w:trPr>
        <w:tc>
          <w:tcPr>
            <w:tcW w:w="3205" w:type="dxa"/>
            <w:tcMar>
              <w:top w:w="110" w:type="dxa"/>
              <w:left w:w="110" w:type="dxa"/>
              <w:bottom w:w="110" w:type="dxa"/>
              <w:right w:w="110" w:type="dxa"/>
            </w:tcMar>
            <w:vAlign w:val="center"/>
          </w:tcPr>
          <w:p w14:paraId="12E25132" w14:textId="77777777" w:rsidR="00655FE5" w:rsidRPr="00873F64" w:rsidRDefault="00DB345A">
            <w:pPr>
              <w:rPr>
                <w:bCs/>
                <w:szCs w:val="22"/>
              </w:rPr>
            </w:pPr>
            <w:r w:rsidRPr="00873F64">
              <w:rPr>
                <w:bCs/>
                <w:szCs w:val="22"/>
              </w:rPr>
              <w:t>Inventory coverage</w:t>
            </w:r>
          </w:p>
        </w:tc>
        <w:tc>
          <w:tcPr>
            <w:tcW w:w="6764" w:type="dxa"/>
            <w:tcMar>
              <w:top w:w="110" w:type="dxa"/>
              <w:left w:w="110" w:type="dxa"/>
              <w:bottom w:w="110" w:type="dxa"/>
              <w:right w:w="110" w:type="dxa"/>
            </w:tcMar>
            <w:vAlign w:val="center"/>
          </w:tcPr>
          <w:p w14:paraId="0F51A53D" w14:textId="77777777" w:rsidR="00655FE5" w:rsidRPr="00873F64" w:rsidRDefault="00DB345A">
            <w:pPr>
              <w:rPr>
                <w:bCs/>
                <w:szCs w:val="22"/>
              </w:rPr>
            </w:pPr>
            <w:r w:rsidRPr="00873F64">
              <w:rPr>
                <w:bCs/>
                <w:szCs w:val="22"/>
              </w:rPr>
              <w:t>Shows whether the bank actually knows where AI is operating</w:t>
            </w:r>
          </w:p>
        </w:tc>
      </w:tr>
      <w:tr w:rsidR="00655FE5" w:rsidRPr="00873F64" w14:paraId="4694D70F" w14:textId="77777777" w:rsidTr="0032084A">
        <w:trPr>
          <w:jc w:val="center"/>
        </w:trPr>
        <w:tc>
          <w:tcPr>
            <w:tcW w:w="3205" w:type="dxa"/>
            <w:tcMar>
              <w:top w:w="110" w:type="dxa"/>
              <w:left w:w="110" w:type="dxa"/>
              <w:bottom w:w="110" w:type="dxa"/>
              <w:right w:w="110" w:type="dxa"/>
            </w:tcMar>
            <w:vAlign w:val="center"/>
          </w:tcPr>
          <w:p w14:paraId="17999605" w14:textId="77777777" w:rsidR="00655FE5" w:rsidRPr="00873F64" w:rsidRDefault="00DB345A">
            <w:pPr>
              <w:rPr>
                <w:bCs/>
                <w:szCs w:val="22"/>
              </w:rPr>
            </w:pPr>
            <w:r w:rsidRPr="00873F64">
              <w:rPr>
                <w:bCs/>
                <w:szCs w:val="22"/>
              </w:rPr>
              <w:t>Validation exceptions</w:t>
            </w:r>
          </w:p>
        </w:tc>
        <w:tc>
          <w:tcPr>
            <w:tcW w:w="6764" w:type="dxa"/>
            <w:tcMar>
              <w:top w:w="110" w:type="dxa"/>
              <w:left w:w="110" w:type="dxa"/>
              <w:bottom w:w="110" w:type="dxa"/>
              <w:right w:w="110" w:type="dxa"/>
            </w:tcMar>
            <w:vAlign w:val="center"/>
          </w:tcPr>
          <w:p w14:paraId="7A1D06A5" w14:textId="77777777" w:rsidR="00655FE5" w:rsidRPr="00873F64" w:rsidRDefault="00DB345A">
            <w:pPr>
              <w:rPr>
                <w:bCs/>
                <w:szCs w:val="22"/>
              </w:rPr>
            </w:pPr>
            <w:r w:rsidRPr="00873F64">
              <w:rPr>
                <w:bCs/>
                <w:szCs w:val="22"/>
              </w:rPr>
              <w:t>Reveals where deployment is outrunning control readiness</w:t>
            </w:r>
          </w:p>
        </w:tc>
      </w:tr>
      <w:tr w:rsidR="00655FE5" w:rsidRPr="00873F64" w14:paraId="1D40A7FC" w14:textId="77777777" w:rsidTr="0032084A">
        <w:trPr>
          <w:jc w:val="center"/>
        </w:trPr>
        <w:tc>
          <w:tcPr>
            <w:tcW w:w="3205" w:type="dxa"/>
            <w:tcMar>
              <w:top w:w="110" w:type="dxa"/>
              <w:left w:w="110" w:type="dxa"/>
              <w:bottom w:w="110" w:type="dxa"/>
              <w:right w:w="110" w:type="dxa"/>
            </w:tcMar>
            <w:vAlign w:val="center"/>
          </w:tcPr>
          <w:p w14:paraId="570B42AC" w14:textId="77777777" w:rsidR="00655FE5" w:rsidRPr="00873F64" w:rsidRDefault="00DB345A">
            <w:pPr>
              <w:rPr>
                <w:bCs/>
                <w:szCs w:val="22"/>
              </w:rPr>
            </w:pPr>
            <w:r w:rsidRPr="00873F64">
              <w:rPr>
                <w:bCs/>
                <w:szCs w:val="22"/>
              </w:rPr>
              <w:t>Model-drift breaches</w:t>
            </w:r>
          </w:p>
        </w:tc>
        <w:tc>
          <w:tcPr>
            <w:tcW w:w="6764" w:type="dxa"/>
            <w:tcMar>
              <w:top w:w="110" w:type="dxa"/>
              <w:left w:w="110" w:type="dxa"/>
              <w:bottom w:w="110" w:type="dxa"/>
              <w:right w:w="110" w:type="dxa"/>
            </w:tcMar>
            <w:vAlign w:val="center"/>
          </w:tcPr>
          <w:p w14:paraId="6609B3B9" w14:textId="77777777" w:rsidR="00655FE5" w:rsidRPr="00873F64" w:rsidRDefault="00DB345A">
            <w:pPr>
              <w:rPr>
                <w:bCs/>
                <w:szCs w:val="22"/>
              </w:rPr>
            </w:pPr>
            <w:r w:rsidRPr="00873F64">
              <w:rPr>
                <w:bCs/>
                <w:szCs w:val="22"/>
              </w:rPr>
              <w:t>Indicates when live behaviour is diverging from validated expectations</w:t>
            </w:r>
          </w:p>
        </w:tc>
      </w:tr>
      <w:tr w:rsidR="00655FE5" w:rsidRPr="00873F64" w14:paraId="4E1FE38C" w14:textId="77777777" w:rsidTr="0032084A">
        <w:trPr>
          <w:jc w:val="center"/>
        </w:trPr>
        <w:tc>
          <w:tcPr>
            <w:tcW w:w="3205" w:type="dxa"/>
            <w:tcMar>
              <w:top w:w="110" w:type="dxa"/>
              <w:left w:w="110" w:type="dxa"/>
              <w:bottom w:w="110" w:type="dxa"/>
              <w:right w:w="110" w:type="dxa"/>
            </w:tcMar>
            <w:vAlign w:val="center"/>
          </w:tcPr>
          <w:p w14:paraId="547937FA" w14:textId="77777777" w:rsidR="00655FE5" w:rsidRPr="00873F64" w:rsidRDefault="00DB345A">
            <w:pPr>
              <w:rPr>
                <w:bCs/>
                <w:szCs w:val="22"/>
              </w:rPr>
            </w:pPr>
            <w:r w:rsidRPr="00873F64">
              <w:rPr>
                <w:bCs/>
                <w:szCs w:val="22"/>
              </w:rPr>
              <w:t>Override rates and override quality</w:t>
            </w:r>
          </w:p>
        </w:tc>
        <w:tc>
          <w:tcPr>
            <w:tcW w:w="6764" w:type="dxa"/>
            <w:tcMar>
              <w:top w:w="110" w:type="dxa"/>
              <w:left w:w="110" w:type="dxa"/>
              <w:bottom w:w="110" w:type="dxa"/>
              <w:right w:w="110" w:type="dxa"/>
            </w:tcMar>
            <w:vAlign w:val="center"/>
          </w:tcPr>
          <w:p w14:paraId="49654BF5" w14:textId="77777777" w:rsidR="00655FE5" w:rsidRPr="00873F64" w:rsidRDefault="00DB345A">
            <w:pPr>
              <w:rPr>
                <w:bCs/>
                <w:szCs w:val="22"/>
              </w:rPr>
            </w:pPr>
            <w:r w:rsidRPr="00873F64">
              <w:rPr>
                <w:bCs/>
                <w:szCs w:val="22"/>
              </w:rPr>
              <w:t>Shows whether staff judgment is compensating for weak models</w:t>
            </w:r>
          </w:p>
        </w:tc>
      </w:tr>
      <w:tr w:rsidR="00655FE5" w:rsidRPr="00873F64" w14:paraId="099B7026" w14:textId="77777777" w:rsidTr="0032084A">
        <w:trPr>
          <w:jc w:val="center"/>
        </w:trPr>
        <w:tc>
          <w:tcPr>
            <w:tcW w:w="3205" w:type="dxa"/>
            <w:tcMar>
              <w:top w:w="110" w:type="dxa"/>
              <w:left w:w="110" w:type="dxa"/>
              <w:bottom w:w="110" w:type="dxa"/>
              <w:right w:w="110" w:type="dxa"/>
            </w:tcMar>
            <w:vAlign w:val="center"/>
          </w:tcPr>
          <w:p w14:paraId="38696121" w14:textId="77777777" w:rsidR="00655FE5" w:rsidRPr="00873F64" w:rsidRDefault="00DB345A">
            <w:pPr>
              <w:rPr>
                <w:bCs/>
                <w:szCs w:val="22"/>
              </w:rPr>
            </w:pPr>
            <w:r w:rsidRPr="00873F64">
              <w:rPr>
                <w:bCs/>
                <w:szCs w:val="22"/>
              </w:rPr>
              <w:t>Incident counts by tier</w:t>
            </w:r>
          </w:p>
        </w:tc>
        <w:tc>
          <w:tcPr>
            <w:tcW w:w="6764" w:type="dxa"/>
            <w:tcMar>
              <w:top w:w="110" w:type="dxa"/>
              <w:left w:w="110" w:type="dxa"/>
              <w:bottom w:w="110" w:type="dxa"/>
              <w:right w:w="110" w:type="dxa"/>
            </w:tcMar>
            <w:vAlign w:val="center"/>
          </w:tcPr>
          <w:p w14:paraId="3DBFFEB6" w14:textId="77777777" w:rsidR="00655FE5" w:rsidRPr="00873F64" w:rsidRDefault="00DB345A">
            <w:pPr>
              <w:rPr>
                <w:bCs/>
                <w:szCs w:val="22"/>
              </w:rPr>
            </w:pPr>
            <w:r w:rsidRPr="00873F64">
              <w:rPr>
                <w:bCs/>
                <w:szCs w:val="22"/>
              </w:rPr>
              <w:t>Distinguishes nuisance errors from material customer or regulatory events</w:t>
            </w:r>
          </w:p>
        </w:tc>
      </w:tr>
      <w:tr w:rsidR="00655FE5" w:rsidRPr="00873F64" w14:paraId="33573CF6" w14:textId="77777777" w:rsidTr="0032084A">
        <w:trPr>
          <w:jc w:val="center"/>
        </w:trPr>
        <w:tc>
          <w:tcPr>
            <w:tcW w:w="3205" w:type="dxa"/>
            <w:tcMar>
              <w:top w:w="110" w:type="dxa"/>
              <w:left w:w="110" w:type="dxa"/>
              <w:bottom w:w="110" w:type="dxa"/>
              <w:right w:w="110" w:type="dxa"/>
            </w:tcMar>
            <w:vAlign w:val="center"/>
          </w:tcPr>
          <w:p w14:paraId="2B2A2817" w14:textId="77777777" w:rsidR="00655FE5" w:rsidRPr="00873F64" w:rsidRDefault="00DB345A">
            <w:pPr>
              <w:rPr>
                <w:bCs/>
                <w:szCs w:val="22"/>
              </w:rPr>
            </w:pPr>
            <w:r w:rsidRPr="00873F64">
              <w:rPr>
                <w:bCs/>
                <w:szCs w:val="22"/>
              </w:rPr>
              <w:t>Third-party dependency map</w:t>
            </w:r>
          </w:p>
        </w:tc>
        <w:tc>
          <w:tcPr>
            <w:tcW w:w="6764" w:type="dxa"/>
            <w:tcMar>
              <w:top w:w="110" w:type="dxa"/>
              <w:left w:w="110" w:type="dxa"/>
              <w:bottom w:w="110" w:type="dxa"/>
              <w:right w:w="110" w:type="dxa"/>
            </w:tcMar>
            <w:vAlign w:val="center"/>
          </w:tcPr>
          <w:p w14:paraId="0B50BC5F" w14:textId="77777777" w:rsidR="00655FE5" w:rsidRPr="00873F64" w:rsidRDefault="00DB345A">
            <w:pPr>
              <w:rPr>
                <w:bCs/>
                <w:szCs w:val="22"/>
              </w:rPr>
            </w:pPr>
            <w:r w:rsidRPr="00873F64">
              <w:rPr>
                <w:bCs/>
                <w:szCs w:val="22"/>
              </w:rPr>
              <w:t>Identifies concentration and substitution risk across providers</w:t>
            </w:r>
          </w:p>
        </w:tc>
      </w:tr>
      <w:tr w:rsidR="00655FE5" w:rsidRPr="00873F64" w14:paraId="7626222D" w14:textId="77777777" w:rsidTr="0032084A">
        <w:trPr>
          <w:jc w:val="center"/>
        </w:trPr>
        <w:tc>
          <w:tcPr>
            <w:tcW w:w="3205" w:type="dxa"/>
            <w:tcMar>
              <w:top w:w="110" w:type="dxa"/>
              <w:left w:w="110" w:type="dxa"/>
              <w:bottom w:w="110" w:type="dxa"/>
              <w:right w:w="110" w:type="dxa"/>
            </w:tcMar>
            <w:vAlign w:val="center"/>
          </w:tcPr>
          <w:p w14:paraId="34CA88E7" w14:textId="77777777" w:rsidR="00655FE5" w:rsidRPr="00873F64" w:rsidRDefault="00DB345A">
            <w:pPr>
              <w:rPr>
                <w:bCs/>
                <w:szCs w:val="22"/>
              </w:rPr>
            </w:pPr>
            <w:r w:rsidRPr="00873F64">
              <w:rPr>
                <w:bCs/>
                <w:szCs w:val="22"/>
              </w:rPr>
              <w:t>Complaints linked to AI-assisted processes</w:t>
            </w:r>
          </w:p>
        </w:tc>
        <w:tc>
          <w:tcPr>
            <w:tcW w:w="6764" w:type="dxa"/>
            <w:tcMar>
              <w:top w:w="110" w:type="dxa"/>
              <w:left w:w="110" w:type="dxa"/>
              <w:bottom w:w="110" w:type="dxa"/>
              <w:right w:w="110" w:type="dxa"/>
            </w:tcMar>
            <w:vAlign w:val="center"/>
          </w:tcPr>
          <w:p w14:paraId="58F2D019" w14:textId="77777777" w:rsidR="00655FE5" w:rsidRPr="00873F64" w:rsidRDefault="00DB345A">
            <w:pPr>
              <w:rPr>
                <w:bCs/>
                <w:szCs w:val="22"/>
              </w:rPr>
            </w:pPr>
            <w:r w:rsidRPr="00873F64">
              <w:rPr>
                <w:bCs/>
                <w:szCs w:val="22"/>
              </w:rPr>
              <w:t>Converts ethics language into observable conduct outcomes</w:t>
            </w:r>
          </w:p>
        </w:tc>
      </w:tr>
      <w:tr w:rsidR="00655FE5" w:rsidRPr="00873F64" w14:paraId="169435F7" w14:textId="77777777" w:rsidTr="0032084A">
        <w:trPr>
          <w:jc w:val="center"/>
        </w:trPr>
        <w:tc>
          <w:tcPr>
            <w:tcW w:w="3205" w:type="dxa"/>
            <w:tcMar>
              <w:top w:w="110" w:type="dxa"/>
              <w:left w:w="110" w:type="dxa"/>
              <w:bottom w:w="110" w:type="dxa"/>
              <w:right w:w="110" w:type="dxa"/>
            </w:tcMar>
            <w:vAlign w:val="center"/>
          </w:tcPr>
          <w:p w14:paraId="2FFA030C" w14:textId="77777777" w:rsidR="00655FE5" w:rsidRPr="00873F64" w:rsidRDefault="00DB345A">
            <w:pPr>
              <w:rPr>
                <w:bCs/>
                <w:szCs w:val="22"/>
              </w:rPr>
            </w:pPr>
            <w:r w:rsidRPr="00873F64">
              <w:rPr>
                <w:bCs/>
                <w:szCs w:val="22"/>
              </w:rPr>
              <w:t>Adverse customer-outcome reviews</w:t>
            </w:r>
          </w:p>
        </w:tc>
        <w:tc>
          <w:tcPr>
            <w:tcW w:w="6764" w:type="dxa"/>
            <w:tcMar>
              <w:top w:w="110" w:type="dxa"/>
              <w:left w:w="110" w:type="dxa"/>
              <w:bottom w:w="110" w:type="dxa"/>
              <w:right w:w="110" w:type="dxa"/>
            </w:tcMar>
            <w:vAlign w:val="center"/>
          </w:tcPr>
          <w:p w14:paraId="2553B003" w14:textId="77777777" w:rsidR="00655FE5" w:rsidRPr="00873F64" w:rsidRDefault="00DB345A">
            <w:pPr>
              <w:rPr>
                <w:bCs/>
                <w:szCs w:val="22"/>
              </w:rPr>
            </w:pPr>
            <w:r w:rsidRPr="00873F64">
              <w:rPr>
                <w:bCs/>
                <w:szCs w:val="22"/>
              </w:rPr>
              <w:t>Tests whether decisions remain defensible in practice</w:t>
            </w:r>
          </w:p>
        </w:tc>
      </w:tr>
      <w:tr w:rsidR="00655FE5" w:rsidRPr="00873F64" w14:paraId="441D3964" w14:textId="77777777" w:rsidTr="0032084A">
        <w:trPr>
          <w:jc w:val="center"/>
        </w:trPr>
        <w:tc>
          <w:tcPr>
            <w:tcW w:w="3205" w:type="dxa"/>
            <w:tcMar>
              <w:top w:w="110" w:type="dxa"/>
              <w:left w:w="110" w:type="dxa"/>
              <w:bottom w:w="110" w:type="dxa"/>
              <w:right w:w="110" w:type="dxa"/>
            </w:tcMar>
            <w:vAlign w:val="center"/>
          </w:tcPr>
          <w:p w14:paraId="4EE6F429" w14:textId="77777777" w:rsidR="00655FE5" w:rsidRPr="00873F64" w:rsidRDefault="00DB345A">
            <w:pPr>
              <w:rPr>
                <w:bCs/>
                <w:szCs w:val="22"/>
              </w:rPr>
            </w:pPr>
            <w:r w:rsidRPr="00873F64">
              <w:rPr>
                <w:bCs/>
                <w:szCs w:val="22"/>
              </w:rPr>
              <w:t>Regulatory findings and remediation status</w:t>
            </w:r>
          </w:p>
        </w:tc>
        <w:tc>
          <w:tcPr>
            <w:tcW w:w="6764" w:type="dxa"/>
            <w:tcMar>
              <w:top w:w="110" w:type="dxa"/>
              <w:left w:w="110" w:type="dxa"/>
              <w:bottom w:w="110" w:type="dxa"/>
              <w:right w:w="110" w:type="dxa"/>
            </w:tcMar>
            <w:vAlign w:val="center"/>
          </w:tcPr>
          <w:p w14:paraId="0D31A1EA" w14:textId="77777777" w:rsidR="00655FE5" w:rsidRPr="00873F64" w:rsidRDefault="00DB345A">
            <w:pPr>
              <w:rPr>
                <w:bCs/>
                <w:szCs w:val="22"/>
              </w:rPr>
            </w:pPr>
            <w:r w:rsidRPr="00873F64">
              <w:rPr>
                <w:bCs/>
                <w:szCs w:val="22"/>
              </w:rPr>
              <w:t>Shows whether supervisory concern is accumulating or being closed out</w:t>
            </w:r>
          </w:p>
        </w:tc>
      </w:tr>
    </w:tbl>
    <w:p w14:paraId="41B251FF" w14:textId="5369C4C3" w:rsidR="0032084A" w:rsidRPr="005752BF" w:rsidRDefault="0032084A" w:rsidP="00615A84">
      <w:r w:rsidRPr="005752BF">
        <w:t xml:space="preserve">The assurance model must be placed directly within the three lines of defence. The first line owns the use case and its results. The second line tests design, validation, vendor-risk and compliance assumptions. The third line is Internal Audit, which checks that the reported controls are functioning as intended. Here is the point of application of the Resource-Based View. The ability to govern AI becomes a strategic resource as it enables the bank to scale Tier 1 and Tier 2 tools more quickly, with less debate over ownership, and fewer pockets of uncontrolled experimentation, and to reduce the downside in Tier 3 and Tier 4 systems where failure is more costly (Barney, 2000; Xia et al., </w:t>
      </w:r>
      <w:r w:rsidRPr="005752BF">
        <w:lastRenderedPageBreak/>
        <w:t>2026). AI-enabled productivity is, in that regard, not the foe of good governance. It is the state that enables productivity to accrue without becoming conduct and resilience breakdowns.</w:t>
      </w:r>
    </w:p>
    <w:p w14:paraId="7100724F" w14:textId="23550168" w:rsidR="0032084A" w:rsidRPr="005752BF" w:rsidRDefault="0032084A" w:rsidP="00873F64">
      <w:pPr>
        <w:pStyle w:val="Heading1"/>
        <w:numPr>
          <w:ilvl w:val="0"/>
          <w:numId w:val="40"/>
        </w:numPr>
      </w:pPr>
      <w:bookmarkStart w:id="28" w:name="_Toc228177158"/>
      <w:r w:rsidRPr="005752BF">
        <w:t>Conclusion</w:t>
      </w:r>
      <w:bookmarkEnd w:id="28"/>
      <w:r w:rsidRPr="005752BF">
        <w:t xml:space="preserve"> </w:t>
      </w:r>
    </w:p>
    <w:p w14:paraId="392E3643" w14:textId="77777777" w:rsidR="0032084A" w:rsidRPr="005752BF" w:rsidRDefault="0032084A" w:rsidP="00615A84">
      <w:r w:rsidRPr="005752BF">
        <w:t>JPMorgan should control AI as a bank-wide control architecture issue. Its size, the regulatory exposure and deployment that have taken place in credit, fraud, personalization, customer service and internal workflows dictate that the central management challenge now is governance differentiation, including the understanding of which systems can be moved quickly, which systems need more validation, and which systems must be kept closely contestable because they influence customer outcomes or supervisory exposure. The appropriate strategic reaction is to isolate low-risk productivity tools from customer-impacting and high-impact decision systems and to regulate them with significantly different data controls, validation, explanation, human review and incident response thresholds.</w:t>
      </w:r>
    </w:p>
    <w:p w14:paraId="69A4B5FF" w14:textId="77777777" w:rsidR="00873F64" w:rsidRDefault="003466F9" w:rsidP="00615A84">
      <w:pPr>
        <w:pStyle w:val="Heading1"/>
      </w:pPr>
      <w:r w:rsidRPr="005752BF">
        <w:t xml:space="preserve"> </w:t>
      </w:r>
    </w:p>
    <w:p w14:paraId="2863A278" w14:textId="77777777" w:rsidR="00873F64" w:rsidRDefault="00873F64">
      <w:pPr>
        <w:spacing w:line="264" w:lineRule="auto"/>
        <w:jc w:val="left"/>
        <w:rPr>
          <w:rFonts w:eastAsiaTheme="majorEastAsia" w:cstheme="majorBidi"/>
          <w:b/>
          <w:color w:val="365F91" w:themeColor="accent1" w:themeShade="BF"/>
          <w:sz w:val="32"/>
          <w:szCs w:val="36"/>
        </w:rPr>
      </w:pPr>
      <w:r>
        <w:br w:type="page"/>
      </w:r>
    </w:p>
    <w:p w14:paraId="0090FC8C" w14:textId="590DAECF" w:rsidR="00655FE5" w:rsidRPr="005752BF" w:rsidRDefault="00705D06" w:rsidP="00873F64">
      <w:pPr>
        <w:pStyle w:val="Heading1"/>
        <w:numPr>
          <w:ilvl w:val="0"/>
          <w:numId w:val="40"/>
        </w:numPr>
      </w:pPr>
      <w:bookmarkStart w:id="29" w:name="_Toc228177159"/>
      <w:r w:rsidRPr="00615A84">
        <w:lastRenderedPageBreak/>
        <w:t>References</w:t>
      </w:r>
      <w:bookmarkEnd w:id="29"/>
    </w:p>
    <w:p w14:paraId="01F2A594" w14:textId="38619909" w:rsidR="005F09B5" w:rsidRPr="005752BF" w:rsidRDefault="00873F64" w:rsidP="005F14D0">
      <w:pPr>
        <w:pStyle w:val="ListParagraph"/>
        <w:numPr>
          <w:ilvl w:val="0"/>
          <w:numId w:val="47"/>
        </w:numPr>
        <w:spacing w:after="160"/>
      </w:pPr>
      <w:r>
        <w:t>AI, N.</w:t>
      </w:r>
      <w:r w:rsidR="005F09B5" w:rsidRPr="005752BF">
        <w:t xml:space="preserve"> </w:t>
      </w:r>
      <w:r>
        <w:t>(</w:t>
      </w:r>
      <w:r w:rsidR="005F09B5" w:rsidRPr="005752BF">
        <w:t>2023</w:t>
      </w:r>
      <w:r>
        <w:t>)</w:t>
      </w:r>
      <w:r w:rsidR="005F09B5" w:rsidRPr="005752BF">
        <w:t>. Artificial intelligence risk management framework (AI RMF 1.0). </w:t>
      </w:r>
      <w:r w:rsidR="005F09B5" w:rsidRPr="005F14D0">
        <w:rPr>
          <w:i/>
          <w:iCs/>
        </w:rPr>
        <w:t>URL: https://nvlpubs. nist. gov/nistpubs/ai/nist. ai</w:t>
      </w:r>
      <w:r w:rsidR="005F09B5" w:rsidRPr="005752BF">
        <w:t>, pp.100-1.</w:t>
      </w:r>
    </w:p>
    <w:p w14:paraId="54C6CB59" w14:textId="476F11F6" w:rsidR="005F09B5" w:rsidRPr="005752BF" w:rsidRDefault="005F14D0" w:rsidP="005F14D0">
      <w:pPr>
        <w:pStyle w:val="ListParagraph"/>
        <w:numPr>
          <w:ilvl w:val="0"/>
          <w:numId w:val="47"/>
        </w:numPr>
        <w:spacing w:after="160"/>
      </w:pPr>
      <w:r>
        <w:t>AI, N. (</w:t>
      </w:r>
      <w:r w:rsidR="005F09B5" w:rsidRPr="005752BF">
        <w:t>2024</w:t>
      </w:r>
      <w:r>
        <w:t>)</w:t>
      </w:r>
      <w:r w:rsidR="005F09B5" w:rsidRPr="005752BF">
        <w:t>. Artificial intelligence risk management framework: Generative artificial intelligence profile. </w:t>
      </w:r>
      <w:r w:rsidR="005F09B5" w:rsidRPr="005F14D0">
        <w:rPr>
          <w:i/>
          <w:iCs/>
        </w:rPr>
        <w:t>NIST Trustworthy and Responsible AI Gaithersburg, MD, USA</w:t>
      </w:r>
      <w:r w:rsidR="005F09B5" w:rsidRPr="005752BF">
        <w:t>.</w:t>
      </w:r>
    </w:p>
    <w:p w14:paraId="6973F218" w14:textId="185C005B" w:rsidR="005F09B5" w:rsidRPr="005752BF" w:rsidRDefault="005F14D0" w:rsidP="005F14D0">
      <w:pPr>
        <w:pStyle w:val="ListParagraph"/>
        <w:numPr>
          <w:ilvl w:val="0"/>
          <w:numId w:val="47"/>
        </w:numPr>
        <w:spacing w:after="160"/>
      </w:pPr>
      <w:r>
        <w:t>Authority, F.C. (</w:t>
      </w:r>
      <w:r w:rsidR="005F09B5" w:rsidRPr="005752BF">
        <w:t>2025</w:t>
      </w:r>
      <w:r>
        <w:t>)</w:t>
      </w:r>
      <w:r w:rsidR="005F09B5" w:rsidRPr="005752BF">
        <w:t>. AI and the FCA: Our Approach. </w:t>
      </w:r>
      <w:r w:rsidR="005F09B5" w:rsidRPr="005F14D0">
        <w:rPr>
          <w:i/>
          <w:iCs/>
        </w:rPr>
        <w:t>Financial Conduct Authority (FCA): London, UK</w:t>
      </w:r>
      <w:r w:rsidR="005F09B5" w:rsidRPr="005752BF">
        <w:t>.</w:t>
      </w:r>
    </w:p>
    <w:p w14:paraId="201B6E9E" w14:textId="77777777" w:rsidR="005F09B5" w:rsidRPr="005752BF" w:rsidRDefault="005F09B5" w:rsidP="005F14D0">
      <w:pPr>
        <w:pStyle w:val="ListParagraph"/>
        <w:numPr>
          <w:ilvl w:val="0"/>
          <w:numId w:val="47"/>
        </w:numPr>
        <w:spacing w:after="160"/>
      </w:pPr>
      <w:r w:rsidRPr="005752BF">
        <w:t xml:space="preserve">Bank of England. (2025). </w:t>
      </w:r>
      <w:r w:rsidRPr="005F14D0">
        <w:rPr>
          <w:i/>
        </w:rPr>
        <w:t>Financial Stability in Focus: Artificial intelligence in the financial system</w:t>
      </w:r>
      <w:r w:rsidRPr="005752BF">
        <w:t xml:space="preserve">. Bank of England. </w:t>
      </w:r>
      <w:hyperlink r:id="rId11" w:history="1">
        <w:r w:rsidRPr="005F14D0">
          <w:rPr>
            <w:rStyle w:val="Hyperlink"/>
            <w:bCs/>
          </w:rPr>
          <w:t>https://www.bankofengland.co.uk/financial-stability-in-focus/2025/april-2025</w:t>
        </w:r>
      </w:hyperlink>
    </w:p>
    <w:p w14:paraId="576F6C74" w14:textId="63E34E67" w:rsidR="005F09B5" w:rsidRPr="005752BF" w:rsidRDefault="005F14D0" w:rsidP="005F14D0">
      <w:pPr>
        <w:pStyle w:val="ListParagraph"/>
        <w:numPr>
          <w:ilvl w:val="0"/>
          <w:numId w:val="47"/>
        </w:numPr>
        <w:spacing w:after="160"/>
      </w:pPr>
      <w:r>
        <w:t>Barney, J.B. (</w:t>
      </w:r>
      <w:r w:rsidR="005F09B5" w:rsidRPr="005752BF">
        <w:t>2000</w:t>
      </w:r>
      <w:r>
        <w:t>)</w:t>
      </w:r>
      <w:r w:rsidR="005F09B5" w:rsidRPr="005752BF">
        <w:t>. Firm resources and sustained competitive advantage.</w:t>
      </w:r>
    </w:p>
    <w:p w14:paraId="2938BC7B" w14:textId="64FFA52F" w:rsidR="00711293" w:rsidRDefault="00711293" w:rsidP="005F14D0">
      <w:pPr>
        <w:pStyle w:val="ListParagraph"/>
        <w:numPr>
          <w:ilvl w:val="0"/>
          <w:numId w:val="47"/>
        </w:numPr>
        <w:spacing w:after="160"/>
      </w:pPr>
      <w:r w:rsidRPr="00711293">
        <w:t xml:space="preserve">Biswas, S., Carson, B., Chung, V., Singh, S. and </w:t>
      </w:r>
      <w:r w:rsidR="005F14D0">
        <w:t>Thomas, R. (</w:t>
      </w:r>
      <w:r w:rsidRPr="00711293">
        <w:t>2020</w:t>
      </w:r>
      <w:r w:rsidR="005F14D0">
        <w:t>)</w:t>
      </w:r>
      <w:r w:rsidRPr="00711293">
        <w:t>. AI-bank of the future: Can banks meet the AI challenge. </w:t>
      </w:r>
      <w:r w:rsidRPr="005F14D0">
        <w:rPr>
          <w:i/>
          <w:iCs/>
        </w:rPr>
        <w:t>New York: McKinsey &amp; Company</w:t>
      </w:r>
      <w:r w:rsidRPr="00711293">
        <w:t>, p.28.</w:t>
      </w:r>
    </w:p>
    <w:p w14:paraId="68A07BCD" w14:textId="6FCD1202" w:rsidR="005F09B5" w:rsidRPr="005752BF" w:rsidRDefault="005F09B5" w:rsidP="005F14D0">
      <w:pPr>
        <w:pStyle w:val="ListParagraph"/>
        <w:numPr>
          <w:ilvl w:val="0"/>
          <w:numId w:val="47"/>
        </w:numPr>
        <w:spacing w:after="160"/>
      </w:pPr>
      <w:r w:rsidRPr="005752BF">
        <w:t xml:space="preserve">Board of Governors of the Federal Reserve System. (2011). </w:t>
      </w:r>
      <w:r w:rsidRPr="005F14D0">
        <w:rPr>
          <w:i/>
        </w:rPr>
        <w:t>Supervisory guidance on model risk management (SR 11-7)</w:t>
      </w:r>
      <w:r w:rsidRPr="005752BF">
        <w:t>. Board of Governors of the Federal Reserve System. https://www.federalreserve.gov/supervisionreg/srletters/sr1107a1.pdf</w:t>
      </w:r>
    </w:p>
    <w:p w14:paraId="0CFB0059" w14:textId="12522505" w:rsidR="00711293" w:rsidRDefault="005F14D0" w:rsidP="005F14D0">
      <w:pPr>
        <w:pStyle w:val="ListParagraph"/>
        <w:numPr>
          <w:ilvl w:val="0"/>
          <w:numId w:val="47"/>
        </w:numPr>
        <w:spacing w:after="160"/>
      </w:pPr>
      <w:r>
        <w:t>Boobier, T. (</w:t>
      </w:r>
      <w:r w:rsidR="00711293" w:rsidRPr="00711293">
        <w:t>2020</w:t>
      </w:r>
      <w:r>
        <w:t>)</w:t>
      </w:r>
      <w:r w:rsidR="00711293" w:rsidRPr="00711293">
        <w:t>. </w:t>
      </w:r>
      <w:r w:rsidR="00711293" w:rsidRPr="005F14D0">
        <w:rPr>
          <w:i/>
          <w:iCs/>
        </w:rPr>
        <w:t>AI and the Future of Banking</w:t>
      </w:r>
      <w:r w:rsidR="00711293" w:rsidRPr="00711293">
        <w:t>. John Wiley &amp; Sons.</w:t>
      </w:r>
    </w:p>
    <w:p w14:paraId="6FBA4342" w14:textId="4CF1C6B4" w:rsidR="005F09B5" w:rsidRDefault="005F14D0" w:rsidP="005F14D0">
      <w:pPr>
        <w:pStyle w:val="ListParagraph"/>
        <w:numPr>
          <w:ilvl w:val="0"/>
          <w:numId w:val="47"/>
        </w:numPr>
        <w:spacing w:after="160"/>
      </w:pPr>
      <w:r>
        <w:t>Cate, F.H. (</w:t>
      </w:r>
      <w:r w:rsidR="005F09B5" w:rsidRPr="002835DB">
        <w:t>2016</w:t>
      </w:r>
      <w:r>
        <w:t>)</w:t>
      </w:r>
      <w:r w:rsidR="005F09B5" w:rsidRPr="002835DB">
        <w:t>. The failure of fair information practice principles. In </w:t>
      </w:r>
      <w:r w:rsidR="005F09B5" w:rsidRPr="005F14D0">
        <w:rPr>
          <w:i/>
          <w:iCs/>
        </w:rPr>
        <w:t>Consumer Protection in the Age of the'Information Economy'</w:t>
      </w:r>
      <w:r w:rsidR="005F09B5" w:rsidRPr="002835DB">
        <w:t> (pp. 341-377). Routledge.</w:t>
      </w:r>
    </w:p>
    <w:p w14:paraId="64A6D21F" w14:textId="7247120E" w:rsidR="00711293" w:rsidRDefault="005F14D0" w:rsidP="005F14D0">
      <w:pPr>
        <w:pStyle w:val="ListParagraph"/>
        <w:numPr>
          <w:ilvl w:val="0"/>
          <w:numId w:val="47"/>
        </w:numPr>
        <w:spacing w:after="160"/>
      </w:pPr>
      <w:r>
        <w:t>Christensen, J. (</w:t>
      </w:r>
      <w:r w:rsidR="00711293" w:rsidRPr="00711293">
        <w:t>2021</w:t>
      </w:r>
      <w:r>
        <w:t>)</w:t>
      </w:r>
      <w:r w:rsidR="00711293" w:rsidRPr="00711293">
        <w:t>. AI in financial services. In </w:t>
      </w:r>
      <w:r w:rsidR="00711293" w:rsidRPr="005F14D0">
        <w:rPr>
          <w:i/>
          <w:iCs/>
        </w:rPr>
        <w:t>Demystifying AI for the Enterprise</w:t>
      </w:r>
      <w:r w:rsidR="00711293" w:rsidRPr="00711293">
        <w:t> (pp. 149-192). Productivity Press.</w:t>
      </w:r>
    </w:p>
    <w:p w14:paraId="57B3285F" w14:textId="1657EFD9" w:rsidR="005F09B5" w:rsidRDefault="005F09B5" w:rsidP="005F14D0">
      <w:pPr>
        <w:pStyle w:val="ListParagraph"/>
        <w:numPr>
          <w:ilvl w:val="0"/>
          <w:numId w:val="47"/>
        </w:numPr>
        <w:spacing w:after="160"/>
      </w:pPr>
      <w:r w:rsidRPr="00597DA0">
        <w:t>Chubaka, B., Manar</w:t>
      </w:r>
      <w:r w:rsidR="005F14D0">
        <w:t>y, C., Mohr, A. and Wilson, S. (</w:t>
      </w:r>
      <w:r w:rsidRPr="00597DA0">
        <w:t>2025</w:t>
      </w:r>
      <w:r w:rsidR="005F14D0">
        <w:t>)</w:t>
      </w:r>
      <w:r w:rsidRPr="00597DA0">
        <w:t>. Reducing Administrative Burdens For Families in Need 2024-2025: Capstone Final Report.</w:t>
      </w:r>
    </w:p>
    <w:p w14:paraId="0F20A5D9" w14:textId="37AE815A" w:rsidR="005F09B5" w:rsidRPr="005752BF" w:rsidRDefault="005F09B5" w:rsidP="005F14D0">
      <w:pPr>
        <w:pStyle w:val="ListParagraph"/>
        <w:numPr>
          <w:ilvl w:val="0"/>
          <w:numId w:val="47"/>
        </w:numPr>
        <w:spacing w:after="160"/>
      </w:pPr>
      <w:r w:rsidRPr="005752BF">
        <w:t xml:space="preserve">Consumer Financial Protection Bureau. (2022). </w:t>
      </w:r>
      <w:r w:rsidRPr="005F14D0">
        <w:rPr>
          <w:i/>
        </w:rPr>
        <w:t>Consumer Financial Protection Circular 2022-03: Adverse action notification requirements in connection with credit decisions based on complex algorithms</w:t>
      </w:r>
      <w:r w:rsidRPr="005752BF">
        <w:t xml:space="preserve">. CFPB. </w:t>
      </w:r>
      <w:hyperlink r:id="rId12" w:history="1">
        <w:r w:rsidR="005F14D0" w:rsidRPr="00C414FE">
          <w:rPr>
            <w:rStyle w:val="Hyperlink"/>
          </w:rPr>
          <w:t>https://www.consumerfinance.gov/compliance/circulars/circular-2022-03-adverse-action-notification-requirements-in-connection-with-credit-decisions-based-on-complex-algorithms</w:t>
        </w:r>
      </w:hyperlink>
      <w:r w:rsidR="005F14D0">
        <w:t xml:space="preserve"> </w:t>
      </w:r>
    </w:p>
    <w:p w14:paraId="7287276F" w14:textId="591793CA" w:rsidR="005F09B5" w:rsidRPr="005752BF" w:rsidRDefault="005F09B5" w:rsidP="005F14D0">
      <w:pPr>
        <w:pStyle w:val="ListParagraph"/>
        <w:numPr>
          <w:ilvl w:val="0"/>
          <w:numId w:val="47"/>
        </w:numPr>
        <w:spacing w:after="160"/>
      </w:pPr>
      <w:r w:rsidRPr="005752BF">
        <w:t xml:space="preserve">Cosma, </w:t>
      </w:r>
      <w:r w:rsidR="005F14D0">
        <w:t>S., Rimo, G. and Torluccio, G. (</w:t>
      </w:r>
      <w:r w:rsidRPr="005752BF">
        <w:t>2023</w:t>
      </w:r>
      <w:r w:rsidR="005F14D0">
        <w:t>)</w:t>
      </w:r>
      <w:r w:rsidRPr="005752BF">
        <w:t>. Knowledge mapping of model risk in banking. </w:t>
      </w:r>
      <w:r w:rsidRPr="005F14D0">
        <w:rPr>
          <w:i/>
          <w:iCs/>
        </w:rPr>
        <w:t>International Review of Financial Analysis</w:t>
      </w:r>
      <w:r w:rsidRPr="005752BF">
        <w:t>, </w:t>
      </w:r>
      <w:r w:rsidRPr="005F14D0">
        <w:rPr>
          <w:i/>
          <w:iCs/>
        </w:rPr>
        <w:t>89</w:t>
      </w:r>
      <w:r w:rsidRPr="005752BF">
        <w:t>, p.102800.</w:t>
      </w:r>
    </w:p>
    <w:p w14:paraId="4600B09B" w14:textId="3A9E3CB3" w:rsidR="005F09B5" w:rsidRPr="005752BF" w:rsidRDefault="005F09B5" w:rsidP="005F14D0">
      <w:pPr>
        <w:pStyle w:val="ListParagraph"/>
        <w:numPr>
          <w:ilvl w:val="0"/>
          <w:numId w:val="47"/>
        </w:numPr>
        <w:spacing w:after="160"/>
      </w:pPr>
      <w:r w:rsidRPr="005752BF">
        <w:t>Charlesworth, A., Fotheringham, K., Gavaghan, C., Sanche</w:t>
      </w:r>
      <w:r w:rsidR="005F14D0">
        <w:t>z-Graells, A. and Torrible, C. (</w:t>
      </w:r>
      <w:r w:rsidRPr="005752BF">
        <w:t>2023</w:t>
      </w:r>
      <w:r w:rsidR="005F14D0">
        <w:t>)</w:t>
      </w:r>
      <w:r w:rsidRPr="005752BF">
        <w:t>. Response to the UK’s March 2023 White Paper ‘A Pro-innovation Approach to AI Regulation’.</w:t>
      </w:r>
    </w:p>
    <w:p w14:paraId="2383F7B6" w14:textId="58885E96" w:rsidR="005F09B5" w:rsidRDefault="005F14D0" w:rsidP="005F14D0">
      <w:pPr>
        <w:pStyle w:val="ListParagraph"/>
        <w:numPr>
          <w:ilvl w:val="0"/>
          <w:numId w:val="47"/>
        </w:numPr>
        <w:spacing w:after="160"/>
      </w:pPr>
      <w:r>
        <w:t>Dai, T. and Swaminathan, J.M. (</w:t>
      </w:r>
      <w:r w:rsidR="005F09B5" w:rsidRPr="00C90D32">
        <w:t>2026</w:t>
      </w:r>
      <w:r>
        <w:t>)</w:t>
      </w:r>
      <w:r w:rsidR="005F09B5" w:rsidRPr="00C90D32">
        <w:t>. Artificial Intelligence and Operations: A Foundational Framework of Emerging Research and Practice. Production and Operations Management.</w:t>
      </w:r>
    </w:p>
    <w:p w14:paraId="30CFE717" w14:textId="353F5CB0" w:rsidR="000D63C3" w:rsidRDefault="005F14D0" w:rsidP="005F14D0">
      <w:pPr>
        <w:pStyle w:val="ListParagraph"/>
        <w:numPr>
          <w:ilvl w:val="0"/>
          <w:numId w:val="47"/>
        </w:numPr>
        <w:spacing w:after="160"/>
      </w:pPr>
      <w:r>
        <w:lastRenderedPageBreak/>
        <w:t>Danzer, C.B. (</w:t>
      </w:r>
      <w:r w:rsidR="000D63C3" w:rsidRPr="000D63C3">
        <w:t>2023</w:t>
      </w:r>
      <w:r>
        <w:t>)</w:t>
      </w:r>
      <w:r w:rsidR="000D63C3" w:rsidRPr="000D63C3">
        <w:t>. </w:t>
      </w:r>
      <w:r w:rsidR="000D63C3" w:rsidRPr="005F14D0">
        <w:rPr>
          <w:i/>
          <w:iCs/>
        </w:rPr>
        <w:t>The Acquisition of JP Morgan &amp; Co. Inc. by Chase Manhattan Corporation in Year 2000-What were the Key Drivers, Challenges, and Outcomes of the Post-Merger Integration Process afteR JP Morgan &amp; Co. Inc. and Chase Manhattan Corporation Merged, and how Did this Merger Affect the Financial Services Industry?</w:t>
      </w:r>
      <w:r w:rsidR="000D63C3" w:rsidRPr="000D63C3">
        <w:t> (Master's thesis, Universidade NOVA de Lisboa (Portugal)).</w:t>
      </w:r>
    </w:p>
    <w:p w14:paraId="18C2CCF3" w14:textId="712039CB" w:rsidR="005F09B5" w:rsidRPr="005752BF" w:rsidRDefault="005F09B5" w:rsidP="005F14D0">
      <w:pPr>
        <w:pStyle w:val="ListParagraph"/>
        <w:numPr>
          <w:ilvl w:val="0"/>
          <w:numId w:val="47"/>
        </w:numPr>
        <w:spacing w:after="160"/>
      </w:pPr>
      <w:r w:rsidRPr="005752BF">
        <w:t>D</w:t>
      </w:r>
      <w:r w:rsidR="005F14D0">
        <w:t>iMaggio, P.J. and Powell, W.W. (</w:t>
      </w:r>
      <w:r w:rsidRPr="005752BF">
        <w:t>2000</w:t>
      </w:r>
      <w:r w:rsidR="005F14D0">
        <w:t>)</w:t>
      </w:r>
      <w:r w:rsidRPr="005752BF">
        <w:t>. The iron cage revisited institutional isomorphism and collective rationality in organizational fields.</w:t>
      </w:r>
    </w:p>
    <w:p w14:paraId="043D32DD" w14:textId="230A5741" w:rsidR="005F09B5" w:rsidRPr="005752BF" w:rsidRDefault="005F09B5" w:rsidP="005F14D0">
      <w:pPr>
        <w:pStyle w:val="ListParagraph"/>
        <w:numPr>
          <w:ilvl w:val="0"/>
          <w:numId w:val="47"/>
        </w:numPr>
        <w:spacing w:after="160"/>
      </w:pPr>
      <w:r w:rsidRPr="005752BF">
        <w:t>Durongka</w:t>
      </w:r>
      <w:r w:rsidR="005F14D0">
        <w:t>dej, I., Hu, W. and Wang, H.E. (</w:t>
      </w:r>
      <w:r w:rsidRPr="005752BF">
        <w:t>2024</w:t>
      </w:r>
      <w:r w:rsidR="005F14D0">
        <w:t>)</w:t>
      </w:r>
      <w:r w:rsidRPr="005752BF">
        <w:t>. How artificial intelligence incidents affect banks and financial services firms? A study of five firms. </w:t>
      </w:r>
      <w:r w:rsidRPr="005F14D0">
        <w:rPr>
          <w:i/>
          <w:iCs/>
        </w:rPr>
        <w:t>Finance Research Letters</w:t>
      </w:r>
      <w:r w:rsidRPr="005752BF">
        <w:t>, </w:t>
      </w:r>
      <w:r w:rsidRPr="005F14D0">
        <w:rPr>
          <w:i/>
          <w:iCs/>
        </w:rPr>
        <w:t>70</w:t>
      </w:r>
      <w:r w:rsidRPr="005752BF">
        <w:t>, p.106279.</w:t>
      </w:r>
    </w:p>
    <w:p w14:paraId="3AD4FEAF" w14:textId="30021FFC" w:rsidR="005F09B5" w:rsidRDefault="005F09B5" w:rsidP="005F14D0">
      <w:pPr>
        <w:pStyle w:val="ListParagraph"/>
        <w:numPr>
          <w:ilvl w:val="0"/>
          <w:numId w:val="47"/>
        </w:numPr>
        <w:spacing w:after="160"/>
      </w:pPr>
      <w:r w:rsidRPr="004D15B9">
        <w:t>Falco, G., Shneiderman, B., Badger, J., Carrier, R., Dahbura, A., Danks, D., Eling, M., Goodloe, A., Gupta, J., Hart, C</w:t>
      </w:r>
      <w:r w:rsidR="005F14D0">
        <w:t>. and Jirotka, M. (</w:t>
      </w:r>
      <w:r w:rsidRPr="004D15B9">
        <w:t>2021</w:t>
      </w:r>
      <w:r w:rsidR="005F14D0">
        <w:t>)</w:t>
      </w:r>
      <w:r w:rsidRPr="004D15B9">
        <w:t>. Governing AI safety through independent audits. </w:t>
      </w:r>
      <w:r w:rsidRPr="005F14D0">
        <w:rPr>
          <w:i/>
          <w:iCs/>
        </w:rPr>
        <w:t>Nature Machine Intelligence</w:t>
      </w:r>
      <w:r w:rsidRPr="004D15B9">
        <w:t>, </w:t>
      </w:r>
      <w:r w:rsidRPr="005F14D0">
        <w:rPr>
          <w:i/>
          <w:iCs/>
        </w:rPr>
        <w:t>3</w:t>
      </w:r>
      <w:r w:rsidRPr="004D15B9">
        <w:t>(7), pp.566-571.</w:t>
      </w:r>
    </w:p>
    <w:p w14:paraId="183B5479" w14:textId="7CA83B44" w:rsidR="005F09B5" w:rsidRPr="005752BF" w:rsidRDefault="005F14D0" w:rsidP="005F14D0">
      <w:pPr>
        <w:pStyle w:val="ListParagraph"/>
        <w:numPr>
          <w:ilvl w:val="0"/>
          <w:numId w:val="47"/>
        </w:numPr>
        <w:spacing w:after="160"/>
      </w:pPr>
      <w:r>
        <w:t>Freeman, R.E. (</w:t>
      </w:r>
      <w:r w:rsidR="005F09B5" w:rsidRPr="005752BF">
        <w:t>2010</w:t>
      </w:r>
      <w:r>
        <w:t>)</w:t>
      </w:r>
      <w:r w:rsidR="005F09B5" w:rsidRPr="005752BF">
        <w:t>. </w:t>
      </w:r>
      <w:r w:rsidR="005F09B5" w:rsidRPr="005F14D0">
        <w:rPr>
          <w:i/>
          <w:iCs/>
        </w:rPr>
        <w:t>Strategic management: A stakeholder approach</w:t>
      </w:r>
      <w:r w:rsidR="005F09B5" w:rsidRPr="005752BF">
        <w:t>. Cambridge university press.</w:t>
      </w:r>
    </w:p>
    <w:p w14:paraId="372451B7" w14:textId="3D39127C" w:rsidR="005F09B5" w:rsidRPr="005752BF" w:rsidRDefault="005F09B5" w:rsidP="005F14D0">
      <w:pPr>
        <w:pStyle w:val="ListParagraph"/>
        <w:numPr>
          <w:ilvl w:val="0"/>
          <w:numId w:val="47"/>
        </w:numPr>
        <w:spacing w:after="160"/>
      </w:pPr>
      <w:r w:rsidRPr="005752BF">
        <w:t>Ghas</w:t>
      </w:r>
      <w:r w:rsidR="005F14D0">
        <w:t>emaghaei, M. and Kordzadeh, N. (</w:t>
      </w:r>
      <w:r w:rsidRPr="005752BF">
        <w:t>2024</w:t>
      </w:r>
      <w:r w:rsidR="005F14D0">
        <w:t>)</w:t>
      </w:r>
      <w:r w:rsidRPr="005752BF">
        <w:t>. Understanding how algorithmic injustice leads to making discriminatory decisions: An obedience to authority perspective. </w:t>
      </w:r>
      <w:r w:rsidRPr="005F14D0">
        <w:rPr>
          <w:i/>
          <w:iCs/>
        </w:rPr>
        <w:t>Information &amp; Management</w:t>
      </w:r>
      <w:r w:rsidRPr="005752BF">
        <w:t>, </w:t>
      </w:r>
      <w:r w:rsidRPr="005F14D0">
        <w:rPr>
          <w:i/>
          <w:iCs/>
        </w:rPr>
        <w:t>61</w:t>
      </w:r>
      <w:r w:rsidRPr="005752BF">
        <w:t>(2), p.103921.</w:t>
      </w:r>
    </w:p>
    <w:p w14:paraId="73CC49FE" w14:textId="1167B5BC" w:rsidR="007746B4" w:rsidRDefault="005F14D0" w:rsidP="005F14D0">
      <w:pPr>
        <w:pStyle w:val="ListParagraph"/>
        <w:numPr>
          <w:ilvl w:val="0"/>
          <w:numId w:val="47"/>
        </w:numPr>
        <w:spacing w:after="160"/>
      </w:pPr>
      <w:r>
        <w:t>Griffith, M.A. (</w:t>
      </w:r>
      <w:r w:rsidR="007746B4" w:rsidRPr="007746B4">
        <w:t>2023</w:t>
      </w:r>
      <w:r>
        <w:t>)</w:t>
      </w:r>
      <w:r w:rsidR="007746B4" w:rsidRPr="007746B4">
        <w:t>. AI lending and the ECOA: Avoiding accidental discrimination. </w:t>
      </w:r>
      <w:r w:rsidR="007746B4" w:rsidRPr="005F14D0">
        <w:rPr>
          <w:i/>
          <w:iCs/>
        </w:rPr>
        <w:t>NC Bank. Inst.</w:t>
      </w:r>
      <w:r w:rsidR="007746B4" w:rsidRPr="007746B4">
        <w:t>, </w:t>
      </w:r>
      <w:r w:rsidR="007746B4" w:rsidRPr="005F14D0">
        <w:rPr>
          <w:i/>
          <w:iCs/>
        </w:rPr>
        <w:t>27</w:t>
      </w:r>
      <w:r w:rsidR="007746B4" w:rsidRPr="007746B4">
        <w:t>, p.349.</w:t>
      </w:r>
    </w:p>
    <w:p w14:paraId="075FB652" w14:textId="41C67DB7" w:rsidR="005F09B5" w:rsidRDefault="005F14D0" w:rsidP="005F14D0">
      <w:pPr>
        <w:pStyle w:val="ListParagraph"/>
        <w:numPr>
          <w:ilvl w:val="0"/>
          <w:numId w:val="47"/>
        </w:numPr>
        <w:spacing w:after="160"/>
      </w:pPr>
      <w:r>
        <w:t>Hodgson, J. (</w:t>
      </w:r>
      <w:r w:rsidR="005F09B5" w:rsidRPr="002835DB">
        <w:t>2019</w:t>
      </w:r>
      <w:r>
        <w:t>)</w:t>
      </w:r>
      <w:r w:rsidR="005F09B5" w:rsidRPr="002835DB">
        <w:t>. The challenge of universal norms: Securing effective defence rights across different jurisdictions and legal cultures. </w:t>
      </w:r>
      <w:r w:rsidR="005F09B5" w:rsidRPr="005F14D0">
        <w:rPr>
          <w:i/>
          <w:iCs/>
        </w:rPr>
        <w:t>Journal of Law and Society</w:t>
      </w:r>
      <w:r w:rsidR="005F09B5" w:rsidRPr="002835DB">
        <w:t>, </w:t>
      </w:r>
      <w:r w:rsidR="005F09B5" w:rsidRPr="005F14D0">
        <w:rPr>
          <w:i/>
          <w:iCs/>
        </w:rPr>
        <w:t>46</w:t>
      </w:r>
      <w:r w:rsidR="005F09B5" w:rsidRPr="002835DB">
        <w:t>, pp.S95-S114.</w:t>
      </w:r>
    </w:p>
    <w:p w14:paraId="7400E180" w14:textId="04971E73" w:rsidR="00A80EE6" w:rsidRDefault="005F14D0" w:rsidP="005F14D0">
      <w:pPr>
        <w:pStyle w:val="ListParagraph"/>
        <w:numPr>
          <w:ilvl w:val="0"/>
          <w:numId w:val="47"/>
        </w:numPr>
        <w:spacing w:after="160"/>
      </w:pPr>
      <w:r>
        <w:t xml:space="preserve">Jameaba, M.S. ( </w:t>
      </w:r>
      <w:r w:rsidR="00A80EE6" w:rsidRPr="00A80EE6">
        <w:t>2024</w:t>
      </w:r>
      <w:r>
        <w:t>)</w:t>
      </w:r>
      <w:r w:rsidR="00A80EE6" w:rsidRPr="00A80EE6">
        <w:t>. Digitalization, emerging technologies, and financial stability: challenges and opportunities for the Indonesian banking sector and beyond. </w:t>
      </w:r>
      <w:r w:rsidR="00A80EE6" w:rsidRPr="005F14D0">
        <w:rPr>
          <w:i/>
          <w:iCs/>
        </w:rPr>
        <w:t>Emerging Technologies, and Financial Stability: Challenges and Opportunities for the Indonesian Banking Sector and Beyond (April 26, 2024)</w:t>
      </w:r>
      <w:r w:rsidR="00A80EE6" w:rsidRPr="00A80EE6">
        <w:t>.</w:t>
      </w:r>
    </w:p>
    <w:p w14:paraId="7DE21D49" w14:textId="42814355" w:rsidR="005F09B5" w:rsidRPr="005752BF" w:rsidRDefault="005F09B5" w:rsidP="005F14D0">
      <w:pPr>
        <w:pStyle w:val="ListParagraph"/>
        <w:numPr>
          <w:ilvl w:val="0"/>
          <w:numId w:val="47"/>
        </w:numPr>
        <w:spacing w:after="160"/>
      </w:pPr>
      <w:r w:rsidRPr="005752BF">
        <w:t xml:space="preserve">JPMorgan Chase &amp; Co. (2025). </w:t>
      </w:r>
      <w:r w:rsidRPr="005F14D0">
        <w:rPr>
          <w:i/>
        </w:rPr>
        <w:t>Trending at JPMorganChase’s 10th Annual Innovation Week</w:t>
      </w:r>
      <w:r w:rsidRPr="005752BF">
        <w:t xml:space="preserve">. JPMorgan Chase &amp; Co. </w:t>
      </w:r>
      <w:hyperlink r:id="rId13" w:history="1">
        <w:r w:rsidRPr="005F14D0">
          <w:rPr>
            <w:rStyle w:val="Hyperlink"/>
            <w:bCs/>
          </w:rPr>
          <w:t>https://www.jpmorganchase.com/about/technology/blog/innovation-week25</w:t>
        </w:r>
      </w:hyperlink>
    </w:p>
    <w:p w14:paraId="668A6DE2" w14:textId="5EC667A9" w:rsidR="005F09B5" w:rsidRPr="005752BF" w:rsidRDefault="005F09B5" w:rsidP="005F14D0">
      <w:pPr>
        <w:pStyle w:val="ListParagraph"/>
        <w:numPr>
          <w:ilvl w:val="0"/>
          <w:numId w:val="47"/>
        </w:numPr>
        <w:spacing w:after="160"/>
      </w:pPr>
      <w:r w:rsidRPr="005752BF">
        <w:t xml:space="preserve">JPMorgan Chase &amp; Co. (2026a). </w:t>
      </w:r>
      <w:r w:rsidRPr="005F14D0">
        <w:rPr>
          <w:i/>
        </w:rPr>
        <w:t>Annual report 2025</w:t>
      </w:r>
      <w:r w:rsidRPr="005752BF">
        <w:t xml:space="preserve">. JPMorgan Chase &amp; Co.  </w:t>
      </w:r>
      <w:hyperlink r:id="rId14" w:history="1">
        <w:r w:rsidR="005F14D0" w:rsidRPr="00C414FE">
          <w:rPr>
            <w:rStyle w:val="Hyperlink"/>
          </w:rPr>
          <w:t>https://www.jpmorganchase.com/ir/annual-report</w:t>
        </w:r>
      </w:hyperlink>
      <w:r w:rsidR="005F14D0">
        <w:t xml:space="preserve"> </w:t>
      </w:r>
    </w:p>
    <w:p w14:paraId="67A65463" w14:textId="0125DAD9" w:rsidR="005F09B5" w:rsidRPr="005752BF" w:rsidRDefault="005F09B5" w:rsidP="005F14D0">
      <w:pPr>
        <w:pStyle w:val="ListParagraph"/>
        <w:numPr>
          <w:ilvl w:val="0"/>
          <w:numId w:val="47"/>
        </w:numPr>
        <w:spacing w:after="160"/>
      </w:pPr>
      <w:r w:rsidRPr="005752BF">
        <w:t xml:space="preserve">JPMorgan Chase &amp; Co. (2026b). </w:t>
      </w:r>
      <w:r w:rsidRPr="005F14D0">
        <w:rPr>
          <w:i/>
        </w:rPr>
        <w:t>Future-Proofing the Company and Our Operations</w:t>
      </w:r>
      <w:r w:rsidRPr="005752BF">
        <w:t xml:space="preserve">. JPMorgan Chase &amp; Co. </w:t>
      </w:r>
      <w:hyperlink r:id="rId15" w:history="1">
        <w:r w:rsidR="005F14D0" w:rsidRPr="00C414FE">
          <w:rPr>
            <w:rStyle w:val="Hyperlink"/>
          </w:rPr>
          <w:t>https://www.jpmorganchase.com/content/dam/jpmc/jpmorgan-</w:t>
        </w:r>
        <w:r w:rsidR="005F14D0" w:rsidRPr="00C414FE">
          <w:rPr>
            <w:rStyle w:val="Hyperlink"/>
          </w:rPr>
          <w:lastRenderedPageBreak/>
          <w:t>chase-and-co/investor-relations/documents/line-of-business-ceo-letters-to-shareholders-2024.pdf</w:t>
        </w:r>
      </w:hyperlink>
      <w:r w:rsidR="005F14D0">
        <w:t xml:space="preserve"> </w:t>
      </w:r>
    </w:p>
    <w:p w14:paraId="73003945" w14:textId="00871ECD" w:rsidR="005F09B5" w:rsidRPr="005752BF" w:rsidRDefault="005F09B5" w:rsidP="005F14D0">
      <w:pPr>
        <w:pStyle w:val="ListParagraph"/>
        <w:numPr>
          <w:ilvl w:val="0"/>
          <w:numId w:val="47"/>
        </w:numPr>
        <w:spacing w:after="160"/>
      </w:pPr>
      <w:r w:rsidRPr="005752BF">
        <w:t xml:space="preserve">JPMorgan Chase &amp; Co. (2026c). </w:t>
      </w:r>
      <w:r w:rsidRPr="005F14D0">
        <w:rPr>
          <w:i/>
        </w:rPr>
        <w:t>2026 Company Update Transcript – Firm Overview</w:t>
      </w:r>
      <w:r w:rsidRPr="005752BF">
        <w:t xml:space="preserve">. JPMorgan Chase &amp; Co. </w:t>
      </w:r>
      <w:hyperlink r:id="rId16" w:history="1">
        <w:r w:rsidR="005F14D0" w:rsidRPr="00C414FE">
          <w:rPr>
            <w:rStyle w:val="Hyperlink"/>
          </w:rPr>
          <w:t>https://www.jpmorganchase.com/content/dam/jpmc/jpmorgan-chase-and-co/investor-relations/documents/2026-company-updates/company-update-firm-overview-transcript.pdf</w:t>
        </w:r>
      </w:hyperlink>
      <w:r w:rsidR="005F14D0">
        <w:t xml:space="preserve"> </w:t>
      </w:r>
    </w:p>
    <w:p w14:paraId="6AA20E11" w14:textId="183EDC95" w:rsidR="005F09B5" w:rsidRPr="005752BF" w:rsidRDefault="005F14D0" w:rsidP="005F14D0">
      <w:pPr>
        <w:pStyle w:val="ListParagraph"/>
        <w:numPr>
          <w:ilvl w:val="0"/>
          <w:numId w:val="47"/>
        </w:numPr>
        <w:spacing w:after="160"/>
      </w:pPr>
      <w:r>
        <w:t>Kazim, E. and Koshiyama, A. (</w:t>
      </w:r>
      <w:r w:rsidR="005F09B5" w:rsidRPr="005752BF">
        <w:t>2020</w:t>
      </w:r>
      <w:r>
        <w:t>)</w:t>
      </w:r>
      <w:r w:rsidR="005F09B5" w:rsidRPr="005752BF">
        <w:t>. Explaining decisions made with AI: a review of the co-badged guidance by the ICO and the Turing Institute. </w:t>
      </w:r>
      <w:r w:rsidR="005F09B5" w:rsidRPr="005F14D0">
        <w:rPr>
          <w:i/>
          <w:iCs/>
        </w:rPr>
        <w:t>Available at SSRN 3656269</w:t>
      </w:r>
      <w:r w:rsidR="005F09B5" w:rsidRPr="005752BF">
        <w:t>.</w:t>
      </w:r>
    </w:p>
    <w:p w14:paraId="26E56110" w14:textId="6F457D6A" w:rsidR="00A80EE6" w:rsidRDefault="00A80EE6" w:rsidP="005F14D0">
      <w:pPr>
        <w:pStyle w:val="ListParagraph"/>
        <w:numPr>
          <w:ilvl w:val="0"/>
          <w:numId w:val="47"/>
        </w:numPr>
        <w:spacing w:after="160"/>
      </w:pPr>
      <w:r w:rsidRPr="00A80EE6">
        <w:t>Kuma</w:t>
      </w:r>
      <w:r w:rsidR="005F14D0">
        <w:t>ri, B., Kaur, J. and Swami, S. (</w:t>
      </w:r>
      <w:r w:rsidRPr="00A80EE6">
        <w:t>2021</w:t>
      </w:r>
      <w:r w:rsidR="005F14D0">
        <w:t>)</w:t>
      </w:r>
      <w:r w:rsidRPr="00A80EE6">
        <w:t>. System dynamics approach for adoption of artificial intelligence in finance. In </w:t>
      </w:r>
      <w:r w:rsidRPr="005F14D0">
        <w:rPr>
          <w:i/>
          <w:iCs/>
        </w:rPr>
        <w:t>Advances in Systems Engineering: Select Proceedings of NSC 2019</w:t>
      </w:r>
      <w:r w:rsidRPr="00A80EE6">
        <w:t> (pp. 555-575). Singapore: Springer Singapore.</w:t>
      </w:r>
    </w:p>
    <w:p w14:paraId="284A114A" w14:textId="6C8406FE" w:rsidR="00CE0739" w:rsidRDefault="005F14D0" w:rsidP="005F14D0">
      <w:pPr>
        <w:pStyle w:val="ListParagraph"/>
        <w:numPr>
          <w:ilvl w:val="0"/>
          <w:numId w:val="47"/>
        </w:numPr>
        <w:spacing w:after="160"/>
      </w:pPr>
      <w:r>
        <w:t>Lehmann, M. (</w:t>
      </w:r>
      <w:r w:rsidR="00CE0739" w:rsidRPr="00CE0739">
        <w:t>2017</w:t>
      </w:r>
      <w:r>
        <w:t>)</w:t>
      </w:r>
      <w:r w:rsidR="00CE0739" w:rsidRPr="00CE0739">
        <w:t>. Legal fragmentation, extraterritoriality and uncertainty in global financial regulation. </w:t>
      </w:r>
      <w:r w:rsidR="00CE0739" w:rsidRPr="005F14D0">
        <w:rPr>
          <w:i/>
          <w:iCs/>
        </w:rPr>
        <w:t>Oxford Journal of Legal Studies</w:t>
      </w:r>
      <w:r w:rsidR="00CE0739" w:rsidRPr="00CE0739">
        <w:t>, </w:t>
      </w:r>
      <w:r w:rsidR="00CE0739" w:rsidRPr="005F14D0">
        <w:rPr>
          <w:i/>
          <w:iCs/>
        </w:rPr>
        <w:t>37</w:t>
      </w:r>
      <w:r w:rsidR="00CE0739" w:rsidRPr="00CE0739">
        <w:t>(2), pp.406-434.</w:t>
      </w:r>
    </w:p>
    <w:p w14:paraId="660281B5" w14:textId="5DC5F24C" w:rsidR="005F09B5" w:rsidRPr="005752BF" w:rsidRDefault="005F14D0" w:rsidP="005F14D0">
      <w:pPr>
        <w:pStyle w:val="ListParagraph"/>
        <w:numPr>
          <w:ilvl w:val="0"/>
          <w:numId w:val="47"/>
        </w:numPr>
        <w:spacing w:after="160"/>
      </w:pPr>
      <w:r>
        <w:t>Lloyd, I. (</w:t>
      </w:r>
      <w:r w:rsidR="005F09B5" w:rsidRPr="005752BF">
        <w:t>2025</w:t>
      </w:r>
      <w:r>
        <w:t>)</w:t>
      </w:r>
      <w:r w:rsidR="005F09B5" w:rsidRPr="005752BF">
        <w:t>. UK: The Data (Use and Access) Act 2025—Data Protection and More. </w:t>
      </w:r>
      <w:r w:rsidR="005F09B5" w:rsidRPr="005F14D0">
        <w:rPr>
          <w:i/>
          <w:iCs/>
        </w:rPr>
        <w:t>Computer Law Review International</w:t>
      </w:r>
      <w:r w:rsidR="005F09B5" w:rsidRPr="005752BF">
        <w:t>, </w:t>
      </w:r>
      <w:r w:rsidR="005F09B5" w:rsidRPr="005F14D0">
        <w:rPr>
          <w:i/>
          <w:iCs/>
        </w:rPr>
        <w:t>26</w:t>
      </w:r>
      <w:r w:rsidR="005F09B5" w:rsidRPr="005752BF">
        <w:t>(3), pp.111-115.</w:t>
      </w:r>
    </w:p>
    <w:p w14:paraId="0936ED4D" w14:textId="4396D3DF" w:rsidR="005F09B5" w:rsidRDefault="005F14D0" w:rsidP="005F14D0">
      <w:pPr>
        <w:pStyle w:val="ListParagraph"/>
        <w:numPr>
          <w:ilvl w:val="0"/>
          <w:numId w:val="47"/>
        </w:numPr>
        <w:spacing w:after="160"/>
      </w:pPr>
      <w:r>
        <w:t>Locke, N. and Bird, H. (</w:t>
      </w:r>
      <w:r w:rsidR="005F09B5" w:rsidRPr="000504F5">
        <w:t>2020</w:t>
      </w:r>
      <w:r>
        <w:t>)</w:t>
      </w:r>
      <w:r w:rsidR="005F09B5" w:rsidRPr="000504F5">
        <w:t>. Perspectives on the current and imagined role of artificial intelligence and technology in corporate governance practice and regulation. </w:t>
      </w:r>
      <w:r w:rsidR="005F09B5" w:rsidRPr="005F14D0">
        <w:rPr>
          <w:i/>
          <w:iCs/>
        </w:rPr>
        <w:t>Perspectives on the Current and Imagined Role of Artificial Intelligence and Technology in Corporate Governance Practice and Regulation (February 9, 2020). Australian Journal of Corporate Law</w:t>
      </w:r>
      <w:r w:rsidR="005F09B5" w:rsidRPr="000504F5">
        <w:t>.</w:t>
      </w:r>
    </w:p>
    <w:p w14:paraId="1B3A4FB5" w14:textId="43088E3F" w:rsidR="005F09B5" w:rsidRDefault="005F09B5" w:rsidP="005F14D0">
      <w:pPr>
        <w:pStyle w:val="ListParagraph"/>
        <w:numPr>
          <w:ilvl w:val="0"/>
          <w:numId w:val="47"/>
        </w:numPr>
        <w:spacing w:after="160"/>
      </w:pPr>
      <w:r w:rsidRPr="003143F1">
        <w:t>M</w:t>
      </w:r>
      <w:r w:rsidR="005F14D0">
        <w:t>arton, P. and Szent</w:t>
      </w:r>
      <w:r w:rsidR="005F14D0" w:rsidRPr="005F14D0">
        <w:rPr>
          <w:rFonts w:ascii="Cambria Math" w:hAnsi="Cambria Math" w:cs="Cambria Math"/>
        </w:rPr>
        <w:t>‐</w:t>
      </w:r>
      <w:r w:rsidR="005F14D0">
        <w:t>Iv</w:t>
      </w:r>
      <w:r w:rsidR="005F14D0" w:rsidRPr="005F14D0">
        <w:rPr>
          <w:rFonts w:cs="Arial"/>
        </w:rPr>
        <w:t>á</w:t>
      </w:r>
      <w:r w:rsidR="005F14D0">
        <w:t>nyi, B. (</w:t>
      </w:r>
      <w:r w:rsidRPr="003143F1">
        <w:t>2025</w:t>
      </w:r>
      <w:r w:rsidR="005F14D0">
        <w:t>)</w:t>
      </w:r>
      <w:r w:rsidRPr="003143F1">
        <w:t>. Minding the Gaps: Solidaristic Transfers and Burden</w:t>
      </w:r>
      <w:r w:rsidRPr="005F14D0">
        <w:rPr>
          <w:rFonts w:ascii="Cambria Math" w:hAnsi="Cambria Math" w:cs="Cambria Math"/>
        </w:rPr>
        <w:t>‐</w:t>
      </w:r>
      <w:r w:rsidRPr="003143F1">
        <w:t>Sharing in the European Union and Its Member States' Pandemic Response. </w:t>
      </w:r>
      <w:r w:rsidRPr="005F14D0">
        <w:rPr>
          <w:i/>
          <w:iCs/>
        </w:rPr>
        <w:t>JCMS: Journal of Common Market Studies</w:t>
      </w:r>
      <w:r w:rsidRPr="003143F1">
        <w:t>, </w:t>
      </w:r>
      <w:r w:rsidRPr="005F14D0">
        <w:rPr>
          <w:i/>
          <w:iCs/>
        </w:rPr>
        <w:t>63</w:t>
      </w:r>
      <w:r w:rsidRPr="003143F1">
        <w:t>(6), pp.1966-1983.</w:t>
      </w:r>
    </w:p>
    <w:p w14:paraId="27109717" w14:textId="02BD472E" w:rsidR="005F09B5" w:rsidRDefault="005F14D0" w:rsidP="005F14D0">
      <w:pPr>
        <w:pStyle w:val="ListParagraph"/>
        <w:numPr>
          <w:ilvl w:val="0"/>
          <w:numId w:val="47"/>
        </w:numPr>
        <w:spacing w:after="160"/>
      </w:pPr>
      <w:r>
        <w:t>Medina Gonzalez, J.J. (</w:t>
      </w:r>
      <w:r w:rsidR="005F09B5" w:rsidRPr="00225E5E">
        <w:t>2025</w:t>
      </w:r>
      <w:r>
        <w:t>)</w:t>
      </w:r>
      <w:r w:rsidR="005F09B5" w:rsidRPr="00225E5E">
        <w:t>. The AI Imperative: Reshaping Global Investment Banking in the Decade Ahead. </w:t>
      </w:r>
      <w:r w:rsidR="005F09B5" w:rsidRPr="005F14D0">
        <w:rPr>
          <w:i/>
          <w:iCs/>
        </w:rPr>
        <w:t>Available at SSRN 5272841</w:t>
      </w:r>
      <w:r w:rsidR="005F09B5" w:rsidRPr="00225E5E">
        <w:t>.</w:t>
      </w:r>
    </w:p>
    <w:p w14:paraId="42811A02" w14:textId="01D20ED8" w:rsidR="005F09B5" w:rsidRPr="005752BF" w:rsidRDefault="005F09B5" w:rsidP="005F14D0">
      <w:pPr>
        <w:pStyle w:val="ListParagraph"/>
        <w:numPr>
          <w:ilvl w:val="0"/>
          <w:numId w:val="47"/>
        </w:numPr>
        <w:spacing w:after="160"/>
      </w:pPr>
      <w:r w:rsidRPr="005752BF">
        <w:t xml:space="preserve">Office of the Comptroller of the Currency. (2025). </w:t>
      </w:r>
      <w:r w:rsidRPr="005F14D0">
        <w:rPr>
          <w:i/>
        </w:rPr>
        <w:t>Semiannual Risk Perspective: Spring 2025</w:t>
      </w:r>
      <w:r w:rsidRPr="005752BF">
        <w:t xml:space="preserve">. OCC. </w:t>
      </w:r>
      <w:hyperlink r:id="rId17" w:history="1">
        <w:r w:rsidR="005F14D0" w:rsidRPr="00C414FE">
          <w:rPr>
            <w:rStyle w:val="Hyperlink"/>
          </w:rPr>
          <w:t>https://www.occ.gov/publications-and-resources/publications/semiannual-risk-perspective/files/pub-semiannual-risk-perspective-spring-2025.pdf</w:t>
        </w:r>
      </w:hyperlink>
      <w:r w:rsidR="005F14D0">
        <w:t xml:space="preserve"> </w:t>
      </w:r>
    </w:p>
    <w:p w14:paraId="615ADAB6" w14:textId="56438A91" w:rsidR="007746B4" w:rsidRDefault="007746B4" w:rsidP="005F14D0">
      <w:pPr>
        <w:pStyle w:val="ListParagraph"/>
        <w:numPr>
          <w:ilvl w:val="0"/>
          <w:numId w:val="47"/>
        </w:numPr>
        <w:spacing w:after="160"/>
      </w:pPr>
      <w:r w:rsidRPr="007746B4">
        <w:t>Packin, N.G. a</w:t>
      </w:r>
      <w:r w:rsidR="005F14D0">
        <w:t>nd Lev</w:t>
      </w:r>
      <w:r w:rsidR="005F14D0" w:rsidRPr="005F14D0">
        <w:rPr>
          <w:rFonts w:ascii="Cambria Math" w:hAnsi="Cambria Math" w:cs="Cambria Math"/>
        </w:rPr>
        <w:t>‐</w:t>
      </w:r>
      <w:r w:rsidR="005F14D0">
        <w:t>Aretz, Y. (</w:t>
      </w:r>
      <w:r w:rsidRPr="007746B4">
        <w:t>2024</w:t>
      </w:r>
      <w:r w:rsidR="005F14D0">
        <w:t>)</w:t>
      </w:r>
      <w:r w:rsidRPr="007746B4">
        <w:t>. Decentralized credit scoring: Black box 3.0. </w:t>
      </w:r>
      <w:r w:rsidRPr="005F14D0">
        <w:rPr>
          <w:i/>
          <w:iCs/>
        </w:rPr>
        <w:t>American Business Law Journal</w:t>
      </w:r>
      <w:r w:rsidRPr="007746B4">
        <w:t>, </w:t>
      </w:r>
      <w:r w:rsidRPr="005F14D0">
        <w:rPr>
          <w:i/>
          <w:iCs/>
        </w:rPr>
        <w:t>61</w:t>
      </w:r>
      <w:r w:rsidRPr="007746B4">
        <w:t>(2), pp.91-111.</w:t>
      </w:r>
    </w:p>
    <w:p w14:paraId="6DCF9198" w14:textId="7486A100" w:rsidR="005F09B5" w:rsidRPr="005752BF" w:rsidRDefault="005F09B5" w:rsidP="005F14D0">
      <w:pPr>
        <w:pStyle w:val="ListParagraph"/>
        <w:numPr>
          <w:ilvl w:val="0"/>
          <w:numId w:val="47"/>
        </w:numPr>
        <w:spacing w:after="160"/>
      </w:pPr>
      <w:r w:rsidRPr="005752BF">
        <w:t xml:space="preserve">Papagiannidis, </w:t>
      </w:r>
      <w:r w:rsidR="005F14D0">
        <w:t>E., Mikalef, P. and Conboy, K. (</w:t>
      </w:r>
      <w:r w:rsidRPr="005752BF">
        <w:t>2025</w:t>
      </w:r>
      <w:r w:rsidR="005F14D0">
        <w:t>)</w:t>
      </w:r>
      <w:r w:rsidRPr="005752BF">
        <w:t>. Responsible artificial intelligence governance: A review and research framework. </w:t>
      </w:r>
      <w:r w:rsidRPr="005F14D0">
        <w:rPr>
          <w:i/>
          <w:iCs/>
        </w:rPr>
        <w:t>The Journal of Strategic Information Systems</w:t>
      </w:r>
      <w:r w:rsidRPr="005752BF">
        <w:t>, </w:t>
      </w:r>
      <w:r w:rsidRPr="005F14D0">
        <w:rPr>
          <w:i/>
          <w:iCs/>
        </w:rPr>
        <w:t>34</w:t>
      </w:r>
      <w:r w:rsidRPr="005752BF">
        <w:t>(2), p.101885.</w:t>
      </w:r>
    </w:p>
    <w:p w14:paraId="4F117060" w14:textId="5E8E7030" w:rsidR="005F09B5" w:rsidRDefault="005F14D0" w:rsidP="005F14D0">
      <w:pPr>
        <w:pStyle w:val="ListParagraph"/>
        <w:numPr>
          <w:ilvl w:val="0"/>
          <w:numId w:val="47"/>
        </w:numPr>
        <w:spacing w:after="160"/>
      </w:pPr>
      <w:r>
        <w:lastRenderedPageBreak/>
        <w:t>Pokorny, L. (</w:t>
      </w:r>
      <w:r w:rsidR="005F09B5" w:rsidRPr="00580623">
        <w:t>2026</w:t>
      </w:r>
      <w:r>
        <w:t>)</w:t>
      </w:r>
      <w:r w:rsidR="005F09B5" w:rsidRPr="00580623">
        <w:t>. Optimizing AI-Driven Anomaly Detection and Automated Response Orchestration for Multi-Sector Cyber Defense: A Comparative Framework for Military, Critical Infrastructure, Corporate, and Financial Systems.</w:t>
      </w:r>
    </w:p>
    <w:p w14:paraId="6B10EBF6" w14:textId="1DF7CF63" w:rsidR="005F09B5" w:rsidRPr="005752BF" w:rsidRDefault="005F14D0" w:rsidP="005F14D0">
      <w:pPr>
        <w:pStyle w:val="ListParagraph"/>
        <w:numPr>
          <w:ilvl w:val="0"/>
          <w:numId w:val="47"/>
        </w:numPr>
        <w:spacing w:after="160"/>
      </w:pPr>
      <w:r>
        <w:t>Ratzan, J. and Rahman, N. (</w:t>
      </w:r>
      <w:r w:rsidR="005F09B5" w:rsidRPr="005752BF">
        <w:t>2024</w:t>
      </w:r>
      <w:r>
        <w:t>)</w:t>
      </w:r>
      <w:r w:rsidR="005F09B5" w:rsidRPr="005752BF">
        <w:t>. Measuring responsible artificial intelligence (RAI) in banking: a valid and reliable instrument. </w:t>
      </w:r>
      <w:r w:rsidR="005F09B5" w:rsidRPr="005F14D0">
        <w:rPr>
          <w:i/>
          <w:iCs/>
        </w:rPr>
        <w:t>AI and Ethics</w:t>
      </w:r>
      <w:r w:rsidR="005F09B5" w:rsidRPr="005752BF">
        <w:t>, </w:t>
      </w:r>
      <w:r w:rsidR="005F09B5" w:rsidRPr="005F14D0">
        <w:rPr>
          <w:i/>
          <w:iCs/>
        </w:rPr>
        <w:t>4</w:t>
      </w:r>
      <w:r w:rsidR="005F09B5" w:rsidRPr="005752BF">
        <w:t>(4), pp.1279-1297.</w:t>
      </w:r>
    </w:p>
    <w:p w14:paraId="03393B73" w14:textId="3796EB7D" w:rsidR="005F09B5" w:rsidRDefault="005F14D0" w:rsidP="005F14D0">
      <w:pPr>
        <w:pStyle w:val="ListParagraph"/>
        <w:numPr>
          <w:ilvl w:val="0"/>
          <w:numId w:val="47"/>
        </w:numPr>
        <w:spacing w:after="160"/>
      </w:pPr>
      <w:r>
        <w:t>Roopram, S. (</w:t>
      </w:r>
      <w:r w:rsidR="005F09B5" w:rsidRPr="00166DA1">
        <w:t>2025</w:t>
      </w:r>
      <w:r>
        <w:t>)</w:t>
      </w:r>
      <w:r w:rsidR="005F09B5" w:rsidRPr="00166DA1">
        <w:t>. Strategic Leadership for Digital Resilience: Developing a Human–AI Synergy Model for Risk-Intensive Industries in Emerging Economies. </w:t>
      </w:r>
      <w:r w:rsidR="005F09B5" w:rsidRPr="005F14D0">
        <w:rPr>
          <w:i/>
          <w:iCs/>
        </w:rPr>
        <w:t>Doctorate in Business Leadership &amp; Management</w:t>
      </w:r>
      <w:r w:rsidR="005F09B5" w:rsidRPr="00166DA1">
        <w:t>.</w:t>
      </w:r>
    </w:p>
    <w:p w14:paraId="45AA60A7" w14:textId="49C1A16A" w:rsidR="005F09B5" w:rsidRDefault="005F14D0" w:rsidP="005F14D0">
      <w:pPr>
        <w:pStyle w:val="ListParagraph"/>
        <w:numPr>
          <w:ilvl w:val="0"/>
          <w:numId w:val="47"/>
        </w:numPr>
        <w:spacing w:after="160"/>
      </w:pPr>
      <w:r>
        <w:t>Sarioguz, O. (</w:t>
      </w:r>
      <w:r w:rsidR="005F09B5" w:rsidRPr="00B35608">
        <w:t>2025</w:t>
      </w:r>
      <w:r>
        <w:t>)</w:t>
      </w:r>
      <w:r w:rsidR="005F09B5" w:rsidRPr="00B35608">
        <w:t>. Enhancing supply chain visibility through generative AI and intelligent control tower systems. </w:t>
      </w:r>
      <w:r w:rsidR="005F09B5" w:rsidRPr="005F14D0">
        <w:rPr>
          <w:i/>
          <w:iCs/>
        </w:rPr>
        <w:t>International Journal of Science and Research Archive</w:t>
      </w:r>
      <w:r w:rsidR="005F09B5" w:rsidRPr="00B35608">
        <w:t>, </w:t>
      </w:r>
      <w:r w:rsidR="005F09B5" w:rsidRPr="005F14D0">
        <w:rPr>
          <w:i/>
          <w:iCs/>
        </w:rPr>
        <w:t>15</w:t>
      </w:r>
      <w:r w:rsidR="005F09B5" w:rsidRPr="00B35608">
        <w:t>(3), pp.1568-1581.</w:t>
      </w:r>
    </w:p>
    <w:p w14:paraId="344AB126" w14:textId="038F57AE" w:rsidR="005F09B5" w:rsidRPr="005752BF" w:rsidRDefault="005F09B5" w:rsidP="005F14D0">
      <w:pPr>
        <w:pStyle w:val="ListParagraph"/>
        <w:numPr>
          <w:ilvl w:val="0"/>
          <w:numId w:val="47"/>
        </w:numPr>
        <w:spacing w:after="160"/>
      </w:pPr>
      <w:r w:rsidRPr="005752BF">
        <w:t xml:space="preserve">Singla, A., Sukharevsky, A., </w:t>
      </w:r>
      <w:r w:rsidR="005F14D0">
        <w:t>Yee, L., Chui, M. and Hall, B. (</w:t>
      </w:r>
      <w:r w:rsidRPr="005752BF">
        <w:t>2025</w:t>
      </w:r>
      <w:r w:rsidR="005F14D0">
        <w:t>)</w:t>
      </w:r>
      <w:r w:rsidRPr="005752BF">
        <w:t>. The state of AI. </w:t>
      </w:r>
      <w:r w:rsidRPr="005F14D0">
        <w:rPr>
          <w:i/>
          <w:iCs/>
        </w:rPr>
        <w:t>How Organizations are Rewiring to Capture Value. Publisher: McKinsey</w:t>
      </w:r>
      <w:r w:rsidRPr="005752BF">
        <w:t>.</w:t>
      </w:r>
    </w:p>
    <w:p w14:paraId="307ADE6A" w14:textId="410EAB25" w:rsidR="005F09B5" w:rsidRDefault="005F09B5" w:rsidP="005F14D0">
      <w:pPr>
        <w:pStyle w:val="ListParagraph"/>
        <w:numPr>
          <w:ilvl w:val="0"/>
          <w:numId w:val="47"/>
        </w:numPr>
        <w:spacing w:after="160"/>
      </w:pPr>
      <w:r w:rsidRPr="000273D5">
        <w:t xml:space="preserve">Torre, F., Hägertz Engstam, L., </w:t>
      </w:r>
      <w:r w:rsidR="005F14D0">
        <w:t>Teigland, R. and Shekshnia, S. (</w:t>
      </w:r>
      <w:r w:rsidRPr="000273D5">
        <w:t>2025</w:t>
      </w:r>
      <w:r w:rsidR="005F14D0">
        <w:t>)</w:t>
      </w:r>
      <w:r w:rsidRPr="000273D5">
        <w:t>. AI Strategy, Leadership, Talent and Workforce, and Transformation. In </w:t>
      </w:r>
      <w:r w:rsidRPr="005F14D0">
        <w:rPr>
          <w:i/>
          <w:iCs/>
        </w:rPr>
        <w:t>AI Leadership for Corporate Boards: Leading Responsible AI for Value Creation</w:t>
      </w:r>
      <w:r w:rsidRPr="000273D5">
        <w:t> (pp. 15-50). Cham: Springer Nature Switzerland.</w:t>
      </w:r>
    </w:p>
    <w:p w14:paraId="74B359A7" w14:textId="1D896964" w:rsidR="005F09B5" w:rsidRPr="005752BF" w:rsidRDefault="005F09B5" w:rsidP="005F14D0">
      <w:pPr>
        <w:pStyle w:val="ListParagraph"/>
        <w:numPr>
          <w:ilvl w:val="0"/>
          <w:numId w:val="47"/>
        </w:numPr>
        <w:spacing w:after="160"/>
      </w:pPr>
      <w:r w:rsidRPr="005752BF">
        <w:t xml:space="preserve">U.S. Department of the Treasury. (2024). </w:t>
      </w:r>
      <w:r w:rsidRPr="005F14D0">
        <w:rPr>
          <w:i/>
        </w:rPr>
        <w:t>Artificial intelligence in financial services</w:t>
      </w:r>
      <w:r w:rsidRPr="005752BF">
        <w:t xml:space="preserve">. U.S. Department of the Treasury. </w:t>
      </w:r>
      <w:hyperlink r:id="rId18" w:history="1">
        <w:r w:rsidR="005F14D0" w:rsidRPr="00C414FE">
          <w:rPr>
            <w:rStyle w:val="Hyperlink"/>
          </w:rPr>
          <w:t>https://home.treasury.gov/system/files/136/Artificial-Intelligence-in-Financial-Services.pdf</w:t>
        </w:r>
      </w:hyperlink>
      <w:r w:rsidR="005F14D0">
        <w:t xml:space="preserve"> </w:t>
      </w:r>
    </w:p>
    <w:p w14:paraId="1F835102" w14:textId="06EC0580" w:rsidR="005F09B5" w:rsidRDefault="005F09B5" w:rsidP="005F14D0">
      <w:pPr>
        <w:pStyle w:val="ListParagraph"/>
        <w:numPr>
          <w:ilvl w:val="0"/>
          <w:numId w:val="47"/>
        </w:numPr>
        <w:spacing w:after="160"/>
      </w:pPr>
      <w:r w:rsidRPr="00580623">
        <w:t>Van Gre</w:t>
      </w:r>
      <w:r w:rsidR="005F14D0">
        <w:t>uning, H. and Bratanovic, S.B. (</w:t>
      </w:r>
      <w:r w:rsidRPr="00580623">
        <w:t>2020</w:t>
      </w:r>
      <w:r w:rsidR="005F14D0">
        <w:t>)</w:t>
      </w:r>
      <w:r w:rsidRPr="00580623">
        <w:t>. </w:t>
      </w:r>
      <w:r w:rsidRPr="005F14D0">
        <w:rPr>
          <w:i/>
          <w:iCs/>
        </w:rPr>
        <w:t>Analyzing banking risk: a framework for assessing corporate governance and risk management</w:t>
      </w:r>
      <w:r w:rsidRPr="00580623">
        <w:t>. World Bank Publications.</w:t>
      </w:r>
    </w:p>
    <w:p w14:paraId="0BC77E97" w14:textId="7D4E5660" w:rsidR="005F09B5" w:rsidRPr="005752BF" w:rsidRDefault="005F09B5" w:rsidP="005F14D0">
      <w:pPr>
        <w:pStyle w:val="ListParagraph"/>
        <w:numPr>
          <w:ilvl w:val="0"/>
          <w:numId w:val="47"/>
        </w:numPr>
        <w:spacing w:after="160"/>
      </w:pPr>
      <w:r w:rsidRPr="005752BF">
        <w:t xml:space="preserve">World Economic Forum. (2025). </w:t>
      </w:r>
      <w:r w:rsidRPr="005F14D0">
        <w:rPr>
          <w:i/>
        </w:rPr>
        <w:t>Artificial intelligence in financial services</w:t>
      </w:r>
      <w:r w:rsidRPr="005752BF">
        <w:t xml:space="preserve">. World Economic Forum. </w:t>
      </w:r>
      <w:hyperlink r:id="rId19" w:history="1">
        <w:r w:rsidR="005F14D0" w:rsidRPr="00C414FE">
          <w:rPr>
            <w:rStyle w:val="Hyperlink"/>
          </w:rPr>
          <w:t>https://reports.weforum.org/docs/WEF_Artificial_Intelligence_in_Financial_Services_2025.pdf</w:t>
        </w:r>
      </w:hyperlink>
      <w:r w:rsidR="005F14D0">
        <w:t xml:space="preserve"> </w:t>
      </w:r>
    </w:p>
    <w:p w14:paraId="7F50178E" w14:textId="10BF9322" w:rsidR="005F09B5" w:rsidRPr="005752BF" w:rsidRDefault="005F09B5" w:rsidP="005F14D0">
      <w:pPr>
        <w:pStyle w:val="ListParagraph"/>
        <w:numPr>
          <w:ilvl w:val="0"/>
          <w:numId w:val="47"/>
        </w:numPr>
        <w:spacing w:after="160"/>
      </w:pPr>
      <w:r w:rsidRPr="005752BF">
        <w:t>Xia, H., Chen, H</w:t>
      </w:r>
      <w:r w:rsidR="005F14D0">
        <w:t>., Zhang, J.Z. and Kamal, M.M. (</w:t>
      </w:r>
      <w:r w:rsidRPr="005752BF">
        <w:t>2026</w:t>
      </w:r>
      <w:r w:rsidR="005F14D0">
        <w:t>)</w:t>
      </w:r>
      <w:r w:rsidRPr="005752BF">
        <w:t>. Exploring the impact of responsible AI governance on corporate performance: A quasi-natural experiment. </w:t>
      </w:r>
      <w:r w:rsidRPr="005F14D0">
        <w:rPr>
          <w:i/>
          <w:iCs/>
        </w:rPr>
        <w:t>Technological Forecasting and Social Change</w:t>
      </w:r>
      <w:r w:rsidRPr="005752BF">
        <w:t>, </w:t>
      </w:r>
      <w:r w:rsidRPr="005F14D0">
        <w:rPr>
          <w:i/>
          <w:iCs/>
        </w:rPr>
        <w:t>223</w:t>
      </w:r>
      <w:r w:rsidRPr="005752BF">
        <w:t>, p.124425.</w:t>
      </w:r>
    </w:p>
    <w:p w14:paraId="3EA4A556" w14:textId="68A1D08E" w:rsidR="005F09B5" w:rsidRDefault="005F14D0" w:rsidP="005F14D0">
      <w:pPr>
        <w:pStyle w:val="ListParagraph"/>
        <w:numPr>
          <w:ilvl w:val="0"/>
          <w:numId w:val="47"/>
        </w:numPr>
        <w:spacing w:after="160"/>
      </w:pPr>
      <w:r>
        <w:t>Yanney, A.A.S. (</w:t>
      </w:r>
      <w:r w:rsidR="005F09B5" w:rsidRPr="00083C5D">
        <w:t>2025</w:t>
      </w:r>
      <w:r>
        <w:t>)</w:t>
      </w:r>
      <w:r w:rsidR="005F09B5" w:rsidRPr="00083C5D">
        <w:t>. Redefining corporate financial governance through AI-Powered predictive models for global business risk management. </w:t>
      </w:r>
      <w:r w:rsidR="005F09B5" w:rsidRPr="005F14D0">
        <w:rPr>
          <w:i/>
          <w:iCs/>
        </w:rPr>
        <w:t>International Journal of Research Publication and Reviews</w:t>
      </w:r>
      <w:r w:rsidR="005F09B5" w:rsidRPr="00083C5D">
        <w:t>, </w:t>
      </w:r>
      <w:r w:rsidR="005F09B5" w:rsidRPr="005F14D0">
        <w:rPr>
          <w:i/>
          <w:iCs/>
        </w:rPr>
        <w:t>2</w:t>
      </w:r>
      <w:r w:rsidR="005F09B5" w:rsidRPr="00083C5D">
        <w:t>(6), pp.25-49.</w:t>
      </w:r>
    </w:p>
    <w:p w14:paraId="4D67ACBB" w14:textId="02B2565F" w:rsidR="005F09B5" w:rsidRPr="005752BF" w:rsidRDefault="005F09B5" w:rsidP="005F14D0">
      <w:pPr>
        <w:pStyle w:val="ListParagraph"/>
        <w:numPr>
          <w:ilvl w:val="0"/>
          <w:numId w:val="47"/>
        </w:numPr>
        <w:spacing w:after="160"/>
      </w:pPr>
      <w:r w:rsidRPr="005752BF">
        <w:t xml:space="preserve">Yeo, W.J., Van Der Heever, W., Mao, R., Cambria, E., </w:t>
      </w:r>
      <w:r w:rsidR="005F14D0">
        <w:t>Satapathy, R. and Mengaldo, G. (</w:t>
      </w:r>
      <w:r w:rsidRPr="005752BF">
        <w:t>2025</w:t>
      </w:r>
      <w:r w:rsidR="005F14D0">
        <w:t>)</w:t>
      </w:r>
      <w:r w:rsidRPr="005752BF">
        <w:t>. A comprehensive review on financial explainable AI. </w:t>
      </w:r>
      <w:r w:rsidRPr="005F14D0">
        <w:rPr>
          <w:i/>
          <w:iCs/>
        </w:rPr>
        <w:t>Artificial Intelligence Review</w:t>
      </w:r>
      <w:r w:rsidRPr="005752BF">
        <w:t>, </w:t>
      </w:r>
      <w:r w:rsidRPr="005F14D0">
        <w:rPr>
          <w:i/>
          <w:iCs/>
        </w:rPr>
        <w:t>58</w:t>
      </w:r>
      <w:r w:rsidRPr="005752BF">
        <w:t>(6), p.189.</w:t>
      </w:r>
    </w:p>
    <w:p w14:paraId="3CADF3D2" w14:textId="77777777" w:rsidR="00763D38" w:rsidRPr="005752BF" w:rsidRDefault="00763D38" w:rsidP="00615A84"/>
    <w:p w14:paraId="322E14EF" w14:textId="77777777" w:rsidR="0032084A" w:rsidRPr="005752BF" w:rsidRDefault="0032084A" w:rsidP="00615A84"/>
    <w:p w14:paraId="2CE5E8F8" w14:textId="77777777" w:rsidR="0032084A" w:rsidRPr="005752BF" w:rsidRDefault="0032084A" w:rsidP="00615A84"/>
    <w:p w14:paraId="5B85AB0E" w14:textId="455016C4" w:rsidR="00655FE5" w:rsidRPr="005752BF" w:rsidRDefault="00655FE5" w:rsidP="00615A84"/>
    <w:sectPr w:rsidR="00655FE5" w:rsidRPr="005752BF" w:rsidSect="00C10EEC">
      <w:headerReference w:type="default" r:id="rId20"/>
      <w:footerReference w:type="default" r:id="rId21"/>
      <w:pgSz w:w="12240" w:h="15840"/>
      <w:pgMar w:top="1224" w:right="1296" w:bottom="1080" w:left="1296"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947DF" w14:textId="77777777" w:rsidR="006001B3" w:rsidRDefault="006001B3">
      <w:pPr>
        <w:spacing w:after="0" w:line="240" w:lineRule="auto"/>
      </w:pPr>
      <w:r>
        <w:separator/>
      </w:r>
    </w:p>
  </w:endnote>
  <w:endnote w:type="continuationSeparator" w:id="0">
    <w:p w14:paraId="520598AE" w14:textId="77777777" w:rsidR="006001B3" w:rsidRDefault="0060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FD956" w14:textId="3163BD15" w:rsidR="00655FE5" w:rsidRDefault="00655F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94AF5" w14:textId="77777777" w:rsidR="006001B3" w:rsidRDefault="006001B3">
      <w:pPr>
        <w:spacing w:after="0" w:line="240" w:lineRule="auto"/>
      </w:pPr>
      <w:r>
        <w:separator/>
      </w:r>
    </w:p>
  </w:footnote>
  <w:footnote w:type="continuationSeparator" w:id="0">
    <w:p w14:paraId="281C0217" w14:textId="77777777" w:rsidR="006001B3" w:rsidRDefault="00600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17438"/>
      <w:docPartObj>
        <w:docPartGallery w:val="Page Numbers (Top of Page)"/>
        <w:docPartUnique/>
      </w:docPartObj>
    </w:sdtPr>
    <w:sdtEndPr>
      <w:rPr>
        <w:noProof/>
      </w:rPr>
    </w:sdtEndPr>
    <w:sdtContent>
      <w:p w14:paraId="3F54713C" w14:textId="5B0BE303" w:rsidR="005F14D0" w:rsidRDefault="005F14D0">
        <w:pPr>
          <w:pStyle w:val="Header"/>
        </w:pPr>
        <w:r>
          <w:fldChar w:fldCharType="begin"/>
        </w:r>
        <w:r>
          <w:instrText xml:space="preserve"> PAGE   \* MERGEFORMAT </w:instrText>
        </w:r>
        <w:r>
          <w:fldChar w:fldCharType="separate"/>
        </w:r>
        <w:r>
          <w:rPr>
            <w:noProof/>
          </w:rPr>
          <w:t>21</w:t>
        </w:r>
        <w:r>
          <w:rPr>
            <w:noProof/>
          </w:rPr>
          <w:fldChar w:fldCharType="end"/>
        </w:r>
      </w:p>
    </w:sdtContent>
  </w:sdt>
  <w:p w14:paraId="706EED99" w14:textId="65AB8CDF" w:rsidR="00655FE5" w:rsidRDefault="00655F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6137BE"/>
    <w:multiLevelType w:val="hybridMultilevel"/>
    <w:tmpl w:val="77209E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4F269E"/>
    <w:multiLevelType w:val="hybridMultilevel"/>
    <w:tmpl w:val="B40A8E8E"/>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A44FE0"/>
    <w:multiLevelType w:val="hybridMultilevel"/>
    <w:tmpl w:val="FEF00C5A"/>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73387A"/>
    <w:multiLevelType w:val="hybridMultilevel"/>
    <w:tmpl w:val="BC687844"/>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C265D9"/>
    <w:multiLevelType w:val="multilevel"/>
    <w:tmpl w:val="2864E9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5971C4"/>
    <w:multiLevelType w:val="hybridMultilevel"/>
    <w:tmpl w:val="DD6E554C"/>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D75D3F"/>
    <w:multiLevelType w:val="hybridMultilevel"/>
    <w:tmpl w:val="F8BCD8CA"/>
    <w:lvl w:ilvl="0" w:tplc="E7C4E126">
      <w:numFmt w:val="bullet"/>
      <w:lvlText w:val="•"/>
      <w:lvlJc w:val="left"/>
      <w:pPr>
        <w:ind w:left="1080" w:hanging="360"/>
      </w:pPr>
      <w:rPr>
        <w:rFonts w:ascii="Aptos" w:eastAsiaTheme="minorEastAsia" w:hAnsi="Aptos" w:cstheme="minorBidi"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6240BCF"/>
    <w:multiLevelType w:val="hybridMultilevel"/>
    <w:tmpl w:val="7E96E88E"/>
    <w:lvl w:ilvl="0" w:tplc="E7C4E126">
      <w:numFmt w:val="bullet"/>
      <w:lvlText w:val="•"/>
      <w:lvlJc w:val="left"/>
      <w:pPr>
        <w:ind w:left="1080" w:hanging="360"/>
      </w:pPr>
      <w:rPr>
        <w:rFonts w:ascii="Aptos" w:eastAsiaTheme="minorEastAsia" w:hAnsi="Aptos" w:cstheme="minorBidi"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C995B77"/>
    <w:multiLevelType w:val="hybridMultilevel"/>
    <w:tmpl w:val="5118604A"/>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C5354C"/>
    <w:multiLevelType w:val="hybridMultilevel"/>
    <w:tmpl w:val="0936C604"/>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4674C6"/>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21BC59C6"/>
    <w:multiLevelType w:val="hybridMultilevel"/>
    <w:tmpl w:val="A19C4F60"/>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246D41"/>
    <w:multiLevelType w:val="hybridMultilevel"/>
    <w:tmpl w:val="44D64E06"/>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5512E5"/>
    <w:multiLevelType w:val="hybridMultilevel"/>
    <w:tmpl w:val="29725DDA"/>
    <w:lvl w:ilvl="0" w:tplc="7C240288">
      <w:numFmt w:val="bullet"/>
      <w:lvlText w:val="•"/>
      <w:lvlJc w:val="left"/>
      <w:pPr>
        <w:ind w:left="1080" w:hanging="360"/>
      </w:pPr>
      <w:rPr>
        <w:rFonts w:ascii="Aptos" w:eastAsiaTheme="minorEastAsia"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BA341AB"/>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2EE41B28"/>
    <w:multiLevelType w:val="hybridMultilevel"/>
    <w:tmpl w:val="19D8EE78"/>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1735D1"/>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375E5F87"/>
    <w:multiLevelType w:val="hybridMultilevel"/>
    <w:tmpl w:val="FB7A2AE6"/>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C12A35"/>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39B6334F"/>
    <w:multiLevelType w:val="hybridMultilevel"/>
    <w:tmpl w:val="106674F4"/>
    <w:lvl w:ilvl="0" w:tplc="E7C4E126">
      <w:numFmt w:val="bullet"/>
      <w:lvlText w:val="•"/>
      <w:lvlJc w:val="left"/>
      <w:pPr>
        <w:ind w:left="1080" w:hanging="360"/>
      </w:pPr>
      <w:rPr>
        <w:rFonts w:ascii="Aptos" w:eastAsiaTheme="minorEastAsia" w:hAnsi="Aptos" w:cstheme="minorBidi"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D024751"/>
    <w:multiLevelType w:val="hybridMultilevel"/>
    <w:tmpl w:val="43FC8D1E"/>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E7245F"/>
    <w:multiLevelType w:val="hybridMultilevel"/>
    <w:tmpl w:val="F7229776"/>
    <w:lvl w:ilvl="0" w:tplc="7C240288">
      <w:numFmt w:val="bullet"/>
      <w:lvlText w:val="•"/>
      <w:lvlJc w:val="left"/>
      <w:pPr>
        <w:ind w:left="1080" w:hanging="360"/>
      </w:pPr>
      <w:rPr>
        <w:rFonts w:ascii="Aptos" w:eastAsiaTheme="minorEastAsia"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8D733F7"/>
    <w:multiLevelType w:val="hybridMultilevel"/>
    <w:tmpl w:val="839A3D48"/>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535326"/>
    <w:multiLevelType w:val="hybridMultilevel"/>
    <w:tmpl w:val="36E8C904"/>
    <w:lvl w:ilvl="0" w:tplc="E7C4E126">
      <w:numFmt w:val="bullet"/>
      <w:lvlText w:val="•"/>
      <w:lvlJc w:val="left"/>
      <w:pPr>
        <w:ind w:left="1080" w:hanging="360"/>
      </w:pPr>
      <w:rPr>
        <w:rFonts w:ascii="Aptos" w:eastAsiaTheme="minorEastAsia" w:hAnsi="Aptos" w:cstheme="minorBidi"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D3A747B"/>
    <w:multiLevelType w:val="hybridMultilevel"/>
    <w:tmpl w:val="870A1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1A0E15"/>
    <w:multiLevelType w:val="hybridMultilevel"/>
    <w:tmpl w:val="CA78009A"/>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F175CB"/>
    <w:multiLevelType w:val="hybridMultilevel"/>
    <w:tmpl w:val="B7FAAB5E"/>
    <w:lvl w:ilvl="0" w:tplc="E7C4E126">
      <w:numFmt w:val="bullet"/>
      <w:lvlText w:val="•"/>
      <w:lvlJc w:val="left"/>
      <w:pPr>
        <w:ind w:left="720" w:hanging="360"/>
      </w:pPr>
      <w:rPr>
        <w:rFonts w:ascii="Aptos" w:eastAsiaTheme="minorEastAsia" w:hAnsi="Aptos" w:cstheme="minorBidi"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207272"/>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7" w15:restartNumberingAfterBreak="0">
    <w:nsid w:val="5B063F9B"/>
    <w:multiLevelType w:val="multilevel"/>
    <w:tmpl w:val="C596BA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0A6A97"/>
    <w:multiLevelType w:val="hybridMultilevel"/>
    <w:tmpl w:val="F9303516"/>
    <w:lvl w:ilvl="0" w:tplc="7C240288">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146AFF"/>
    <w:multiLevelType w:val="multilevel"/>
    <w:tmpl w:val="345AC9A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0" w15:restartNumberingAfterBreak="0">
    <w:nsid w:val="698B59D8"/>
    <w:multiLevelType w:val="hybridMultilevel"/>
    <w:tmpl w:val="34AC3C4E"/>
    <w:lvl w:ilvl="0" w:tplc="E02EE6AE">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D51815"/>
    <w:multiLevelType w:val="hybridMultilevel"/>
    <w:tmpl w:val="343A2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063E7A"/>
    <w:multiLevelType w:val="hybridMultilevel"/>
    <w:tmpl w:val="0E5C59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8C319E"/>
    <w:multiLevelType w:val="hybridMultilevel"/>
    <w:tmpl w:val="76B203E8"/>
    <w:lvl w:ilvl="0" w:tplc="7C240288">
      <w:numFmt w:val="bullet"/>
      <w:lvlText w:val="•"/>
      <w:lvlJc w:val="left"/>
      <w:pPr>
        <w:ind w:left="1080" w:hanging="360"/>
      </w:pPr>
      <w:rPr>
        <w:rFonts w:ascii="Aptos" w:eastAsiaTheme="minorEastAsia"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1F5127D"/>
    <w:multiLevelType w:val="multilevel"/>
    <w:tmpl w:val="CF5A31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337C0A"/>
    <w:multiLevelType w:val="multilevel"/>
    <w:tmpl w:val="A1C6C0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ED1C21"/>
    <w:multiLevelType w:val="multilevel"/>
    <w:tmpl w:val="8E68AC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0764925">
    <w:abstractNumId w:val="8"/>
  </w:num>
  <w:num w:numId="2" w16cid:durableId="1913084152">
    <w:abstractNumId w:val="6"/>
  </w:num>
  <w:num w:numId="3" w16cid:durableId="344094369">
    <w:abstractNumId w:val="5"/>
  </w:num>
  <w:num w:numId="4" w16cid:durableId="463038653">
    <w:abstractNumId w:val="4"/>
  </w:num>
  <w:num w:numId="5" w16cid:durableId="1348486377">
    <w:abstractNumId w:val="7"/>
  </w:num>
  <w:num w:numId="6" w16cid:durableId="834540878">
    <w:abstractNumId w:val="3"/>
  </w:num>
  <w:num w:numId="7" w16cid:durableId="1282498285">
    <w:abstractNumId w:val="2"/>
  </w:num>
  <w:num w:numId="8" w16cid:durableId="1253127673">
    <w:abstractNumId w:val="1"/>
  </w:num>
  <w:num w:numId="9" w16cid:durableId="1962030070">
    <w:abstractNumId w:val="0"/>
  </w:num>
  <w:num w:numId="10" w16cid:durableId="56517443">
    <w:abstractNumId w:val="45"/>
  </w:num>
  <w:num w:numId="11" w16cid:durableId="1954944081">
    <w:abstractNumId w:val="37"/>
  </w:num>
  <w:num w:numId="12" w16cid:durableId="1608806799">
    <w:abstractNumId w:val="46"/>
  </w:num>
  <w:num w:numId="13" w16cid:durableId="120880918">
    <w:abstractNumId w:val="44"/>
  </w:num>
  <w:num w:numId="14" w16cid:durableId="843011995">
    <w:abstractNumId w:val="13"/>
  </w:num>
  <w:num w:numId="15" w16cid:durableId="1487743697">
    <w:abstractNumId w:val="41"/>
  </w:num>
  <w:num w:numId="16" w16cid:durableId="138696163">
    <w:abstractNumId w:val="17"/>
  </w:num>
  <w:num w:numId="17" w16cid:durableId="1844277709">
    <w:abstractNumId w:val="22"/>
  </w:num>
  <w:num w:numId="18" w16cid:durableId="111363413">
    <w:abstractNumId w:val="20"/>
  </w:num>
  <w:num w:numId="19" w16cid:durableId="1633057266">
    <w:abstractNumId w:val="18"/>
  </w:num>
  <w:num w:numId="20" w16cid:durableId="361319535">
    <w:abstractNumId w:val="10"/>
  </w:num>
  <w:num w:numId="21" w16cid:durableId="434331789">
    <w:abstractNumId w:val="40"/>
  </w:num>
  <w:num w:numId="22" w16cid:durableId="557132173">
    <w:abstractNumId w:val="29"/>
  </w:num>
  <w:num w:numId="23" w16cid:durableId="807237394">
    <w:abstractNumId w:val="34"/>
  </w:num>
  <w:num w:numId="24" w16cid:durableId="805397318">
    <w:abstractNumId w:val="30"/>
  </w:num>
  <w:num w:numId="25" w16cid:durableId="1203635610">
    <w:abstractNumId w:val="16"/>
  </w:num>
  <w:num w:numId="26" w16cid:durableId="342629497">
    <w:abstractNumId w:val="12"/>
  </w:num>
  <w:num w:numId="27" w16cid:durableId="764113100">
    <w:abstractNumId w:val="26"/>
  </w:num>
  <w:num w:numId="28" w16cid:durableId="326514548">
    <w:abstractNumId w:val="21"/>
  </w:num>
  <w:num w:numId="29" w16cid:durableId="747339761">
    <w:abstractNumId w:val="32"/>
  </w:num>
  <w:num w:numId="30" w16cid:durableId="1833792662">
    <w:abstractNumId w:val="15"/>
  </w:num>
  <w:num w:numId="31" w16cid:durableId="1064067399">
    <w:abstractNumId w:val="28"/>
  </w:num>
  <w:num w:numId="32" w16cid:durableId="1218123928">
    <w:abstractNumId w:val="43"/>
  </w:num>
  <w:num w:numId="33" w16cid:durableId="2129543423">
    <w:abstractNumId w:val="24"/>
  </w:num>
  <w:num w:numId="34" w16cid:durableId="2012833331">
    <w:abstractNumId w:val="11"/>
  </w:num>
  <w:num w:numId="35" w16cid:durableId="138572557">
    <w:abstractNumId w:val="14"/>
  </w:num>
  <w:num w:numId="36" w16cid:durableId="622615417">
    <w:abstractNumId w:val="38"/>
  </w:num>
  <w:num w:numId="37" w16cid:durableId="502934427">
    <w:abstractNumId w:val="35"/>
  </w:num>
  <w:num w:numId="38" w16cid:durableId="1795901245">
    <w:abstractNumId w:val="31"/>
  </w:num>
  <w:num w:numId="39" w16cid:durableId="1650016018">
    <w:abstractNumId w:val="9"/>
  </w:num>
  <w:num w:numId="40" w16cid:durableId="397897576">
    <w:abstractNumId w:val="36"/>
  </w:num>
  <w:num w:numId="41" w16cid:durableId="445471117">
    <w:abstractNumId w:val="33"/>
  </w:num>
  <w:num w:numId="42" w16cid:durableId="1106534320">
    <w:abstractNumId w:val="19"/>
  </w:num>
  <w:num w:numId="43" w16cid:durableId="1302805078">
    <w:abstractNumId w:val="39"/>
  </w:num>
  <w:num w:numId="44" w16cid:durableId="398527391">
    <w:abstractNumId w:val="27"/>
  </w:num>
  <w:num w:numId="45" w16cid:durableId="37439568">
    <w:abstractNumId w:val="23"/>
  </w:num>
  <w:num w:numId="46" w16cid:durableId="762577995">
    <w:abstractNumId w:val="25"/>
  </w:num>
  <w:num w:numId="47" w16cid:durableId="105318816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08DC"/>
    <w:rsid w:val="0000494E"/>
    <w:rsid w:val="00034616"/>
    <w:rsid w:val="000359E7"/>
    <w:rsid w:val="000406BC"/>
    <w:rsid w:val="0004170D"/>
    <w:rsid w:val="00044897"/>
    <w:rsid w:val="0006063C"/>
    <w:rsid w:val="000951A2"/>
    <w:rsid w:val="00095953"/>
    <w:rsid w:val="000D63C3"/>
    <w:rsid w:val="000F1CD6"/>
    <w:rsid w:val="001332BA"/>
    <w:rsid w:val="001405B9"/>
    <w:rsid w:val="001478C3"/>
    <w:rsid w:val="00150095"/>
    <w:rsid w:val="0015074B"/>
    <w:rsid w:val="00156AE1"/>
    <w:rsid w:val="0016299B"/>
    <w:rsid w:val="00166187"/>
    <w:rsid w:val="001700CF"/>
    <w:rsid w:val="00181E97"/>
    <w:rsid w:val="001A5BEE"/>
    <w:rsid w:val="001B0B5F"/>
    <w:rsid w:val="001B6D24"/>
    <w:rsid w:val="001C64FA"/>
    <w:rsid w:val="001D23A2"/>
    <w:rsid w:val="001D3EB5"/>
    <w:rsid w:val="001E3119"/>
    <w:rsid w:val="00213FBE"/>
    <w:rsid w:val="00215498"/>
    <w:rsid w:val="00215BB9"/>
    <w:rsid w:val="00220886"/>
    <w:rsid w:val="00247C52"/>
    <w:rsid w:val="00264048"/>
    <w:rsid w:val="002703B3"/>
    <w:rsid w:val="0028117A"/>
    <w:rsid w:val="0029577D"/>
    <w:rsid w:val="0029639D"/>
    <w:rsid w:val="00297E51"/>
    <w:rsid w:val="002C24CD"/>
    <w:rsid w:val="002C3708"/>
    <w:rsid w:val="002D1215"/>
    <w:rsid w:val="002D2A4A"/>
    <w:rsid w:val="002D401F"/>
    <w:rsid w:val="002E27B9"/>
    <w:rsid w:val="002E343B"/>
    <w:rsid w:val="003071EB"/>
    <w:rsid w:val="00313FC6"/>
    <w:rsid w:val="0032084A"/>
    <w:rsid w:val="00321FCE"/>
    <w:rsid w:val="00326F90"/>
    <w:rsid w:val="00342BC8"/>
    <w:rsid w:val="003466F9"/>
    <w:rsid w:val="00350D94"/>
    <w:rsid w:val="00360F95"/>
    <w:rsid w:val="00372ABC"/>
    <w:rsid w:val="00375153"/>
    <w:rsid w:val="00386244"/>
    <w:rsid w:val="003970FD"/>
    <w:rsid w:val="003B562A"/>
    <w:rsid w:val="003C0094"/>
    <w:rsid w:val="003E7FB8"/>
    <w:rsid w:val="003F25F7"/>
    <w:rsid w:val="00401ECF"/>
    <w:rsid w:val="00402FE5"/>
    <w:rsid w:val="0040692B"/>
    <w:rsid w:val="004115C7"/>
    <w:rsid w:val="0041383D"/>
    <w:rsid w:val="00415AF9"/>
    <w:rsid w:val="00422759"/>
    <w:rsid w:val="0042730C"/>
    <w:rsid w:val="0043664B"/>
    <w:rsid w:val="004454D0"/>
    <w:rsid w:val="00447A50"/>
    <w:rsid w:val="0045266A"/>
    <w:rsid w:val="004547F5"/>
    <w:rsid w:val="00471A05"/>
    <w:rsid w:val="00491415"/>
    <w:rsid w:val="0049195F"/>
    <w:rsid w:val="00493C97"/>
    <w:rsid w:val="004963D3"/>
    <w:rsid w:val="00496EB8"/>
    <w:rsid w:val="004B29B2"/>
    <w:rsid w:val="004B2DA5"/>
    <w:rsid w:val="004B4FF6"/>
    <w:rsid w:val="004C5945"/>
    <w:rsid w:val="004D382B"/>
    <w:rsid w:val="004F2D23"/>
    <w:rsid w:val="004F456F"/>
    <w:rsid w:val="00500B91"/>
    <w:rsid w:val="00501284"/>
    <w:rsid w:val="005143B9"/>
    <w:rsid w:val="0051536C"/>
    <w:rsid w:val="005228F5"/>
    <w:rsid w:val="00537DD3"/>
    <w:rsid w:val="00546550"/>
    <w:rsid w:val="005516A1"/>
    <w:rsid w:val="00552C15"/>
    <w:rsid w:val="00564049"/>
    <w:rsid w:val="005752BF"/>
    <w:rsid w:val="00575854"/>
    <w:rsid w:val="0057592F"/>
    <w:rsid w:val="00575D13"/>
    <w:rsid w:val="0058017C"/>
    <w:rsid w:val="00585CF8"/>
    <w:rsid w:val="005A0AA9"/>
    <w:rsid w:val="005C321A"/>
    <w:rsid w:val="005C346D"/>
    <w:rsid w:val="005D180B"/>
    <w:rsid w:val="005E261F"/>
    <w:rsid w:val="005F09B5"/>
    <w:rsid w:val="005F14D0"/>
    <w:rsid w:val="005F5285"/>
    <w:rsid w:val="006001B3"/>
    <w:rsid w:val="006013BB"/>
    <w:rsid w:val="00601DB4"/>
    <w:rsid w:val="006066F3"/>
    <w:rsid w:val="0061109A"/>
    <w:rsid w:val="00615A84"/>
    <w:rsid w:val="00624B5E"/>
    <w:rsid w:val="00655FE5"/>
    <w:rsid w:val="00670DD7"/>
    <w:rsid w:val="00671B04"/>
    <w:rsid w:val="00680795"/>
    <w:rsid w:val="00692682"/>
    <w:rsid w:val="006A4EC8"/>
    <w:rsid w:val="006B7B04"/>
    <w:rsid w:val="006C0733"/>
    <w:rsid w:val="006C5471"/>
    <w:rsid w:val="006C6AA7"/>
    <w:rsid w:val="006D1955"/>
    <w:rsid w:val="006F56DE"/>
    <w:rsid w:val="00703275"/>
    <w:rsid w:val="00705D06"/>
    <w:rsid w:val="00711293"/>
    <w:rsid w:val="00712F03"/>
    <w:rsid w:val="00744FE2"/>
    <w:rsid w:val="00756388"/>
    <w:rsid w:val="00756617"/>
    <w:rsid w:val="00763D38"/>
    <w:rsid w:val="00765DFA"/>
    <w:rsid w:val="007746B4"/>
    <w:rsid w:val="00774706"/>
    <w:rsid w:val="0078499E"/>
    <w:rsid w:val="0079575D"/>
    <w:rsid w:val="007A6E51"/>
    <w:rsid w:val="007B0522"/>
    <w:rsid w:val="007B1A62"/>
    <w:rsid w:val="007B1CAE"/>
    <w:rsid w:val="007B533C"/>
    <w:rsid w:val="007B53B8"/>
    <w:rsid w:val="007C6CAE"/>
    <w:rsid w:val="007C7291"/>
    <w:rsid w:val="007D1AC5"/>
    <w:rsid w:val="007E2ECB"/>
    <w:rsid w:val="007E513D"/>
    <w:rsid w:val="008000F6"/>
    <w:rsid w:val="0080655E"/>
    <w:rsid w:val="008072AE"/>
    <w:rsid w:val="00816817"/>
    <w:rsid w:val="0082124C"/>
    <w:rsid w:val="008245DB"/>
    <w:rsid w:val="00837BAD"/>
    <w:rsid w:val="00845DDC"/>
    <w:rsid w:val="0084622D"/>
    <w:rsid w:val="00856D58"/>
    <w:rsid w:val="008729B0"/>
    <w:rsid w:val="00873F64"/>
    <w:rsid w:val="00890238"/>
    <w:rsid w:val="00890E64"/>
    <w:rsid w:val="00895128"/>
    <w:rsid w:val="008A0BCB"/>
    <w:rsid w:val="008A4031"/>
    <w:rsid w:val="008A535A"/>
    <w:rsid w:val="008A5755"/>
    <w:rsid w:val="008B3821"/>
    <w:rsid w:val="008B4B9B"/>
    <w:rsid w:val="008C1CCF"/>
    <w:rsid w:val="008D052C"/>
    <w:rsid w:val="008D5E74"/>
    <w:rsid w:val="008E2C66"/>
    <w:rsid w:val="008E75E6"/>
    <w:rsid w:val="008E79A3"/>
    <w:rsid w:val="008F6794"/>
    <w:rsid w:val="008F7B37"/>
    <w:rsid w:val="0090605E"/>
    <w:rsid w:val="0092777F"/>
    <w:rsid w:val="009413D5"/>
    <w:rsid w:val="00941E64"/>
    <w:rsid w:val="00942B26"/>
    <w:rsid w:val="00955652"/>
    <w:rsid w:val="00975EC8"/>
    <w:rsid w:val="009760AF"/>
    <w:rsid w:val="00991309"/>
    <w:rsid w:val="009A28D8"/>
    <w:rsid w:val="009A4371"/>
    <w:rsid w:val="009C56AE"/>
    <w:rsid w:val="009E0D0F"/>
    <w:rsid w:val="00A07B13"/>
    <w:rsid w:val="00A2697B"/>
    <w:rsid w:val="00A66DE4"/>
    <w:rsid w:val="00A80EE6"/>
    <w:rsid w:val="00A8155A"/>
    <w:rsid w:val="00A90340"/>
    <w:rsid w:val="00A9768C"/>
    <w:rsid w:val="00AA1D8D"/>
    <w:rsid w:val="00AA4944"/>
    <w:rsid w:val="00AA7487"/>
    <w:rsid w:val="00AB3CE2"/>
    <w:rsid w:val="00AB6254"/>
    <w:rsid w:val="00AC288B"/>
    <w:rsid w:val="00AD2AB8"/>
    <w:rsid w:val="00AD36A6"/>
    <w:rsid w:val="00AE3968"/>
    <w:rsid w:val="00AE742F"/>
    <w:rsid w:val="00B22A18"/>
    <w:rsid w:val="00B231CD"/>
    <w:rsid w:val="00B2329F"/>
    <w:rsid w:val="00B319ED"/>
    <w:rsid w:val="00B345E4"/>
    <w:rsid w:val="00B41B28"/>
    <w:rsid w:val="00B47730"/>
    <w:rsid w:val="00B47E9D"/>
    <w:rsid w:val="00B5217F"/>
    <w:rsid w:val="00B569BB"/>
    <w:rsid w:val="00B605A8"/>
    <w:rsid w:val="00B7445C"/>
    <w:rsid w:val="00B82381"/>
    <w:rsid w:val="00B95C38"/>
    <w:rsid w:val="00B95E95"/>
    <w:rsid w:val="00B97425"/>
    <w:rsid w:val="00BB2A3C"/>
    <w:rsid w:val="00BF264F"/>
    <w:rsid w:val="00C0102F"/>
    <w:rsid w:val="00C017AD"/>
    <w:rsid w:val="00C02263"/>
    <w:rsid w:val="00C10EEC"/>
    <w:rsid w:val="00C2498A"/>
    <w:rsid w:val="00C35426"/>
    <w:rsid w:val="00C4413D"/>
    <w:rsid w:val="00C51D09"/>
    <w:rsid w:val="00C51E9D"/>
    <w:rsid w:val="00C7077F"/>
    <w:rsid w:val="00C738D8"/>
    <w:rsid w:val="00C84BB3"/>
    <w:rsid w:val="00C87041"/>
    <w:rsid w:val="00C87E57"/>
    <w:rsid w:val="00CA5743"/>
    <w:rsid w:val="00CA678B"/>
    <w:rsid w:val="00CB0664"/>
    <w:rsid w:val="00CB4922"/>
    <w:rsid w:val="00CB7E39"/>
    <w:rsid w:val="00CC6DB6"/>
    <w:rsid w:val="00CE0739"/>
    <w:rsid w:val="00CE1E2B"/>
    <w:rsid w:val="00D1637C"/>
    <w:rsid w:val="00D44A6B"/>
    <w:rsid w:val="00D4719E"/>
    <w:rsid w:val="00D611B7"/>
    <w:rsid w:val="00D62636"/>
    <w:rsid w:val="00D71DBB"/>
    <w:rsid w:val="00D81E40"/>
    <w:rsid w:val="00D875CE"/>
    <w:rsid w:val="00D95273"/>
    <w:rsid w:val="00D964CA"/>
    <w:rsid w:val="00DA58B6"/>
    <w:rsid w:val="00DA6FAF"/>
    <w:rsid w:val="00DB345A"/>
    <w:rsid w:val="00DE2643"/>
    <w:rsid w:val="00DE33C3"/>
    <w:rsid w:val="00DF54FE"/>
    <w:rsid w:val="00E24F3B"/>
    <w:rsid w:val="00E25F1E"/>
    <w:rsid w:val="00E26AB1"/>
    <w:rsid w:val="00E66273"/>
    <w:rsid w:val="00E80320"/>
    <w:rsid w:val="00E821A1"/>
    <w:rsid w:val="00E866DA"/>
    <w:rsid w:val="00E8698A"/>
    <w:rsid w:val="00E8748C"/>
    <w:rsid w:val="00E87E2A"/>
    <w:rsid w:val="00E927C6"/>
    <w:rsid w:val="00E972E7"/>
    <w:rsid w:val="00EA4A55"/>
    <w:rsid w:val="00EE7427"/>
    <w:rsid w:val="00EF4511"/>
    <w:rsid w:val="00F17399"/>
    <w:rsid w:val="00F215A1"/>
    <w:rsid w:val="00F22F46"/>
    <w:rsid w:val="00F40340"/>
    <w:rsid w:val="00F4175E"/>
    <w:rsid w:val="00F52541"/>
    <w:rsid w:val="00F57CE6"/>
    <w:rsid w:val="00F65006"/>
    <w:rsid w:val="00F71A28"/>
    <w:rsid w:val="00F74314"/>
    <w:rsid w:val="00F903DF"/>
    <w:rsid w:val="00FA7437"/>
    <w:rsid w:val="00FB3161"/>
    <w:rsid w:val="00FC693F"/>
    <w:rsid w:val="00FD1FB9"/>
    <w:rsid w:val="00FD2694"/>
    <w:rsid w:val="00FD6F25"/>
    <w:rsid w:val="00FE0DFE"/>
    <w:rsid w:val="00FE19F3"/>
    <w:rsid w:val="00FE4B72"/>
    <w:rsid w:val="00FE7C22"/>
    <w:rsid w:val="00FF38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6AE"/>
    <w:pPr>
      <w:spacing w:line="360" w:lineRule="auto"/>
      <w:jc w:val="both"/>
    </w:pPr>
    <w:rPr>
      <w:rFonts w:ascii="Arial" w:hAnsi="Arial"/>
      <w:sz w:val="22"/>
    </w:rPr>
  </w:style>
  <w:style w:type="paragraph" w:styleId="Heading1">
    <w:name w:val="heading 1"/>
    <w:basedOn w:val="Normal"/>
    <w:next w:val="Normal"/>
    <w:link w:val="Heading1Char"/>
    <w:uiPriority w:val="9"/>
    <w:qFormat/>
    <w:rsid w:val="009C56AE"/>
    <w:pPr>
      <w:keepNext/>
      <w:keepLines/>
      <w:pBdr>
        <w:bottom w:val="single" w:sz="4" w:space="1" w:color="4F81BD" w:themeColor="accent1"/>
      </w:pBdr>
      <w:spacing w:before="400" w:after="40"/>
      <w:outlineLvl w:val="0"/>
    </w:pPr>
    <w:rPr>
      <w:rFonts w:eastAsiaTheme="majorEastAsia" w:cstheme="majorBidi"/>
      <w:b/>
      <w:color w:val="365F91" w:themeColor="accent1" w:themeShade="BF"/>
      <w:sz w:val="32"/>
      <w:szCs w:val="36"/>
    </w:rPr>
  </w:style>
  <w:style w:type="paragraph" w:styleId="Heading2">
    <w:name w:val="heading 2"/>
    <w:basedOn w:val="Normal"/>
    <w:next w:val="Normal"/>
    <w:link w:val="Heading2Char"/>
    <w:uiPriority w:val="9"/>
    <w:unhideWhenUsed/>
    <w:qFormat/>
    <w:rsid w:val="009C56AE"/>
    <w:pPr>
      <w:keepNext/>
      <w:keepLines/>
      <w:spacing w:before="160" w:after="0"/>
      <w:outlineLvl w:val="1"/>
    </w:pPr>
    <w:rPr>
      <w:rFonts w:eastAsiaTheme="majorEastAsia" w:cstheme="majorBidi"/>
      <w:b/>
      <w:color w:val="365F91" w:themeColor="accent1" w:themeShade="BF"/>
      <w:sz w:val="28"/>
      <w:szCs w:val="28"/>
    </w:rPr>
  </w:style>
  <w:style w:type="paragraph" w:styleId="Heading3">
    <w:name w:val="heading 3"/>
    <w:basedOn w:val="Normal"/>
    <w:next w:val="Normal"/>
    <w:link w:val="Heading3Char"/>
    <w:uiPriority w:val="9"/>
    <w:unhideWhenUsed/>
    <w:qFormat/>
    <w:rsid w:val="009C56A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C56A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C56AE"/>
    <w:pPr>
      <w:keepNext/>
      <w:keepLines/>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9C56A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C56A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C56A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C56A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9C56AE"/>
    <w:pPr>
      <w:spacing w:after="0" w:line="240" w:lineRule="auto"/>
    </w:pPr>
  </w:style>
  <w:style w:type="character" w:customStyle="1" w:styleId="Heading1Char">
    <w:name w:val="Heading 1 Char"/>
    <w:basedOn w:val="DefaultParagraphFont"/>
    <w:link w:val="Heading1"/>
    <w:uiPriority w:val="9"/>
    <w:rsid w:val="009C56AE"/>
    <w:rPr>
      <w:rFonts w:ascii="Arial" w:eastAsiaTheme="majorEastAsia" w:hAnsi="Arial" w:cstheme="majorBidi"/>
      <w:b/>
      <w:color w:val="365F91" w:themeColor="accent1" w:themeShade="BF"/>
      <w:sz w:val="32"/>
      <w:szCs w:val="36"/>
    </w:rPr>
  </w:style>
  <w:style w:type="character" w:customStyle="1" w:styleId="Heading2Char">
    <w:name w:val="Heading 2 Char"/>
    <w:basedOn w:val="DefaultParagraphFont"/>
    <w:link w:val="Heading2"/>
    <w:uiPriority w:val="9"/>
    <w:rsid w:val="009C56AE"/>
    <w:rPr>
      <w:rFonts w:ascii="Arial" w:eastAsiaTheme="majorEastAsia" w:hAnsi="Arial" w:cstheme="majorBidi"/>
      <w:b/>
      <w:color w:val="365F91" w:themeColor="accent1" w:themeShade="BF"/>
      <w:sz w:val="28"/>
      <w:szCs w:val="28"/>
    </w:rPr>
  </w:style>
  <w:style w:type="character" w:customStyle="1" w:styleId="Heading3Char">
    <w:name w:val="Heading 3 Char"/>
    <w:basedOn w:val="DefaultParagraphFont"/>
    <w:link w:val="Heading3"/>
    <w:uiPriority w:val="9"/>
    <w:rsid w:val="009C56AE"/>
    <w:rPr>
      <w:rFonts w:asciiTheme="majorHAnsi" w:eastAsiaTheme="majorEastAsia" w:hAnsiTheme="majorHAnsi" w:cstheme="majorBidi"/>
      <w:color w:val="404040" w:themeColor="text1" w:themeTint="BF"/>
      <w:sz w:val="26"/>
      <w:szCs w:val="26"/>
    </w:rPr>
  </w:style>
  <w:style w:type="paragraph" w:styleId="Title">
    <w:name w:val="Title"/>
    <w:basedOn w:val="Normal"/>
    <w:next w:val="Normal"/>
    <w:link w:val="TitleChar"/>
    <w:uiPriority w:val="10"/>
    <w:qFormat/>
    <w:rsid w:val="009C56AE"/>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9C56AE"/>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9C56A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C56AE"/>
    <w:rPr>
      <w:rFonts w:asciiTheme="majorHAnsi" w:eastAsiaTheme="majorEastAsia" w:hAnsiTheme="majorHAnsi" w:cstheme="majorBidi"/>
      <w:color w:val="404040" w:themeColor="text1" w:themeTint="BF"/>
      <w:sz w:val="30"/>
      <w:szCs w:val="30"/>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9C56A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C56AE"/>
    <w:rPr>
      <w:i/>
      <w:iCs/>
    </w:rPr>
  </w:style>
  <w:style w:type="character" w:customStyle="1" w:styleId="Heading4Char">
    <w:name w:val="Heading 4 Char"/>
    <w:basedOn w:val="DefaultParagraphFont"/>
    <w:link w:val="Heading4"/>
    <w:uiPriority w:val="9"/>
    <w:semiHidden/>
    <w:rsid w:val="009C56A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C56A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C56A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C56A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C56A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C56A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9C56AE"/>
    <w:pPr>
      <w:spacing w:line="240" w:lineRule="auto"/>
    </w:pPr>
    <w:rPr>
      <w:b/>
      <w:bCs/>
      <w:color w:val="404040" w:themeColor="text1" w:themeTint="BF"/>
      <w:sz w:val="20"/>
      <w:szCs w:val="20"/>
    </w:rPr>
  </w:style>
  <w:style w:type="character" w:styleId="Strong">
    <w:name w:val="Strong"/>
    <w:basedOn w:val="DefaultParagraphFont"/>
    <w:uiPriority w:val="22"/>
    <w:qFormat/>
    <w:rsid w:val="009C56AE"/>
    <w:rPr>
      <w:b/>
      <w:bCs/>
    </w:rPr>
  </w:style>
  <w:style w:type="character" w:styleId="Emphasis">
    <w:name w:val="Emphasis"/>
    <w:basedOn w:val="DefaultParagraphFont"/>
    <w:uiPriority w:val="20"/>
    <w:qFormat/>
    <w:rsid w:val="009C56AE"/>
    <w:rPr>
      <w:i/>
      <w:iCs/>
    </w:rPr>
  </w:style>
  <w:style w:type="paragraph" w:styleId="IntenseQuote">
    <w:name w:val="Intense Quote"/>
    <w:basedOn w:val="Normal"/>
    <w:next w:val="Normal"/>
    <w:link w:val="IntenseQuoteChar"/>
    <w:uiPriority w:val="30"/>
    <w:qFormat/>
    <w:rsid w:val="009C56AE"/>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9C56AE"/>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9C56AE"/>
    <w:rPr>
      <w:i/>
      <w:iCs/>
      <w:color w:val="595959" w:themeColor="text1" w:themeTint="A6"/>
    </w:rPr>
  </w:style>
  <w:style w:type="character" w:styleId="IntenseEmphasis">
    <w:name w:val="Intense Emphasis"/>
    <w:basedOn w:val="DefaultParagraphFont"/>
    <w:uiPriority w:val="21"/>
    <w:qFormat/>
    <w:rsid w:val="009C56AE"/>
    <w:rPr>
      <w:b/>
      <w:bCs/>
      <w:i/>
      <w:iCs/>
    </w:rPr>
  </w:style>
  <w:style w:type="character" w:styleId="SubtleReference">
    <w:name w:val="Subtle Reference"/>
    <w:basedOn w:val="DefaultParagraphFont"/>
    <w:uiPriority w:val="31"/>
    <w:qFormat/>
    <w:rsid w:val="009C56AE"/>
    <w:rPr>
      <w:smallCaps/>
      <w:color w:val="404040" w:themeColor="text1" w:themeTint="BF"/>
    </w:rPr>
  </w:style>
  <w:style w:type="character" w:styleId="IntenseReference">
    <w:name w:val="Intense Reference"/>
    <w:basedOn w:val="DefaultParagraphFont"/>
    <w:uiPriority w:val="32"/>
    <w:qFormat/>
    <w:rsid w:val="009C56AE"/>
    <w:rPr>
      <w:b/>
      <w:bCs/>
      <w:smallCaps/>
      <w:u w:val="single"/>
    </w:rPr>
  </w:style>
  <w:style w:type="character" w:styleId="BookTitle">
    <w:name w:val="Book Title"/>
    <w:basedOn w:val="DefaultParagraphFont"/>
    <w:uiPriority w:val="33"/>
    <w:qFormat/>
    <w:rsid w:val="009C56AE"/>
    <w:rPr>
      <w:b/>
      <w:bCs/>
      <w:smallCaps/>
    </w:rPr>
  </w:style>
  <w:style w:type="paragraph" w:styleId="TOCHeading">
    <w:name w:val="TOC Heading"/>
    <w:basedOn w:val="Heading1"/>
    <w:next w:val="Normal"/>
    <w:uiPriority w:val="39"/>
    <w:unhideWhenUsed/>
    <w:qFormat/>
    <w:rsid w:val="009C56AE"/>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Line">
    <w:name w:val="TitleLine"/>
    <w:rPr>
      <w:rFonts w:ascii="Aptos Display" w:eastAsia="Aptos Display" w:hAnsi="Aptos Display"/>
      <w:b/>
      <w:color w:val="1F4E79"/>
      <w:sz w:val="52"/>
    </w:rPr>
  </w:style>
  <w:style w:type="paragraph" w:customStyle="1" w:styleId="SubtitleLine">
    <w:name w:val="SubtitleLine"/>
    <w:pPr>
      <w:spacing w:after="160"/>
    </w:pPr>
    <w:rPr>
      <w:rFonts w:ascii="Aptos" w:eastAsia="Aptos" w:hAnsi="Aptos"/>
      <w:color w:val="595959"/>
      <w:sz w:val="26"/>
    </w:rPr>
  </w:style>
  <w:style w:type="paragraph" w:customStyle="1" w:styleId="SmallCapsMeta">
    <w:name w:val="SmallCapsMeta"/>
    <w:pPr>
      <w:spacing w:after="60"/>
    </w:pPr>
    <w:rPr>
      <w:rFonts w:ascii="Aptos" w:eastAsia="Aptos" w:hAnsi="Aptos"/>
      <w:caps/>
      <w:color w:val="595959"/>
      <w:sz w:val="19"/>
    </w:rPr>
  </w:style>
  <w:style w:type="paragraph" w:customStyle="1" w:styleId="RefEntry">
    <w:name w:val="RefEntry"/>
    <w:pPr>
      <w:spacing w:after="60"/>
      <w:ind w:left="360" w:hanging="360"/>
    </w:pPr>
    <w:rPr>
      <w:rFonts w:ascii="Aptos" w:eastAsia="Aptos" w:hAnsi="Aptos"/>
    </w:rPr>
  </w:style>
  <w:style w:type="character" w:styleId="Hyperlink">
    <w:name w:val="Hyperlink"/>
    <w:basedOn w:val="DefaultParagraphFont"/>
    <w:uiPriority w:val="99"/>
    <w:unhideWhenUsed/>
    <w:rsid w:val="002C3708"/>
    <w:rPr>
      <w:color w:val="0000FF" w:themeColor="hyperlink"/>
      <w:u w:val="single"/>
    </w:rPr>
  </w:style>
  <w:style w:type="character" w:customStyle="1" w:styleId="UnresolvedMention1">
    <w:name w:val="Unresolved Mention1"/>
    <w:basedOn w:val="DefaultParagraphFont"/>
    <w:uiPriority w:val="99"/>
    <w:semiHidden/>
    <w:unhideWhenUsed/>
    <w:rsid w:val="002C3708"/>
    <w:rPr>
      <w:color w:val="605E5C"/>
      <w:shd w:val="clear" w:color="auto" w:fill="E1DFDD"/>
    </w:rPr>
  </w:style>
  <w:style w:type="paragraph" w:styleId="TOC1">
    <w:name w:val="toc 1"/>
    <w:basedOn w:val="Normal"/>
    <w:next w:val="Normal"/>
    <w:autoRedefine/>
    <w:uiPriority w:val="39"/>
    <w:unhideWhenUsed/>
    <w:rsid w:val="00A8155A"/>
    <w:pPr>
      <w:spacing w:after="100"/>
    </w:pPr>
  </w:style>
  <w:style w:type="paragraph" w:styleId="TOC2">
    <w:name w:val="toc 2"/>
    <w:basedOn w:val="Normal"/>
    <w:next w:val="Normal"/>
    <w:autoRedefine/>
    <w:uiPriority w:val="39"/>
    <w:unhideWhenUsed/>
    <w:rsid w:val="00A8155A"/>
    <w:pPr>
      <w:spacing w:after="100"/>
      <w:ind w:left="220"/>
    </w:pPr>
  </w:style>
  <w:style w:type="paragraph" w:styleId="TOC3">
    <w:name w:val="toc 3"/>
    <w:basedOn w:val="Normal"/>
    <w:next w:val="Normal"/>
    <w:autoRedefine/>
    <w:uiPriority w:val="39"/>
    <w:unhideWhenUsed/>
    <w:rsid w:val="00A8155A"/>
    <w:pPr>
      <w:spacing w:after="100"/>
      <w:ind w:left="440"/>
    </w:pPr>
  </w:style>
  <w:style w:type="paragraph" w:styleId="BalloonText">
    <w:name w:val="Balloon Text"/>
    <w:basedOn w:val="Normal"/>
    <w:link w:val="BalloonTextChar"/>
    <w:uiPriority w:val="99"/>
    <w:semiHidden/>
    <w:unhideWhenUsed/>
    <w:rsid w:val="00763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D38"/>
    <w:rPr>
      <w:rFonts w:ascii="Tahoma" w:eastAsia="Aptos" w:hAnsi="Tahoma" w:cs="Tahoma"/>
      <w:sz w:val="16"/>
      <w:szCs w:val="16"/>
    </w:rPr>
  </w:style>
  <w:style w:type="paragraph" w:customStyle="1" w:styleId="References">
    <w:name w:val="References"/>
    <w:link w:val="ReferencesChar"/>
    <w:rsid w:val="00763D38"/>
    <w:pPr>
      <w:spacing w:after="100" w:line="240" w:lineRule="auto"/>
      <w:ind w:left="360" w:hanging="360"/>
    </w:pPr>
    <w:rPr>
      <w:rFonts w:ascii="Aptos" w:hAnsi="Aptos"/>
      <w:sz w:val="18"/>
    </w:rPr>
  </w:style>
  <w:style w:type="paragraph" w:customStyle="1" w:styleId="BMCBody">
    <w:name w:val="BMC Body"/>
    <w:rsid w:val="00763D38"/>
    <w:pPr>
      <w:spacing w:after="30" w:line="228" w:lineRule="auto"/>
    </w:pPr>
    <w:rPr>
      <w:rFonts w:ascii="Aptos" w:hAnsi="Aptos"/>
      <w:sz w:val="14"/>
    </w:rPr>
  </w:style>
  <w:style w:type="paragraph" w:customStyle="1" w:styleId="BMCHeading">
    <w:name w:val="BMC Heading"/>
    <w:rsid w:val="00763D38"/>
    <w:rPr>
      <w:rFonts w:ascii="Aptos Display" w:hAnsi="Aptos Display"/>
      <w:b/>
      <w:color w:val="FFFFFF"/>
      <w:sz w:val="17"/>
    </w:rPr>
  </w:style>
  <w:style w:type="paragraph" w:customStyle="1" w:styleId="SmallNote">
    <w:name w:val="Small Note"/>
    <w:rsid w:val="00763D38"/>
    <w:pPr>
      <w:spacing w:after="60"/>
    </w:pPr>
    <w:rPr>
      <w:rFonts w:ascii="Aptos" w:hAnsi="Aptos"/>
      <w:sz w:val="16"/>
    </w:rPr>
  </w:style>
  <w:style w:type="character" w:customStyle="1" w:styleId="ReferencesChar">
    <w:name w:val="References Char"/>
    <w:basedOn w:val="DefaultParagraphFont"/>
    <w:link w:val="References"/>
    <w:rsid w:val="00763D38"/>
    <w:rPr>
      <w:rFonts w:ascii="Aptos" w:hAnsi="Aptos"/>
      <w:sz w:val="18"/>
    </w:rPr>
  </w:style>
  <w:style w:type="paragraph" w:styleId="NormalWeb">
    <w:name w:val="Normal (Web)"/>
    <w:basedOn w:val="Normal"/>
    <w:uiPriority w:val="99"/>
    <w:semiHidden/>
    <w:unhideWhenUsed/>
    <w:rsid w:val="00B47E9D"/>
    <w:pPr>
      <w:spacing w:before="100" w:beforeAutospacing="1" w:after="100" w:afterAutospacing="1" w:line="240" w:lineRule="auto"/>
    </w:pPr>
    <w:rPr>
      <w:rFonts w:eastAsia="Times New Roman" w:cs="Times New Roman"/>
      <w:szCs w:val="24"/>
    </w:rPr>
  </w:style>
  <w:style w:type="character" w:customStyle="1" w:styleId="NoSpacingChar">
    <w:name w:val="No Spacing Char"/>
    <w:basedOn w:val="DefaultParagraphFont"/>
    <w:link w:val="NoSpacing"/>
    <w:uiPriority w:val="1"/>
    <w:rsid w:val="009C56AE"/>
  </w:style>
  <w:style w:type="paragraph" w:styleId="TableofFigures">
    <w:name w:val="table of figures"/>
    <w:basedOn w:val="Normal"/>
    <w:next w:val="Normal"/>
    <w:uiPriority w:val="99"/>
    <w:unhideWhenUsed/>
    <w:rsid w:val="005F14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99302">
      <w:bodyDiv w:val="1"/>
      <w:marLeft w:val="0"/>
      <w:marRight w:val="0"/>
      <w:marTop w:val="0"/>
      <w:marBottom w:val="0"/>
      <w:divBdr>
        <w:top w:val="none" w:sz="0" w:space="0" w:color="auto"/>
        <w:left w:val="none" w:sz="0" w:space="0" w:color="auto"/>
        <w:bottom w:val="none" w:sz="0" w:space="0" w:color="auto"/>
        <w:right w:val="none" w:sz="0" w:space="0" w:color="auto"/>
      </w:divBdr>
    </w:div>
    <w:div w:id="163012958">
      <w:bodyDiv w:val="1"/>
      <w:marLeft w:val="0"/>
      <w:marRight w:val="0"/>
      <w:marTop w:val="0"/>
      <w:marBottom w:val="0"/>
      <w:divBdr>
        <w:top w:val="none" w:sz="0" w:space="0" w:color="auto"/>
        <w:left w:val="none" w:sz="0" w:space="0" w:color="auto"/>
        <w:bottom w:val="none" w:sz="0" w:space="0" w:color="auto"/>
        <w:right w:val="none" w:sz="0" w:space="0" w:color="auto"/>
      </w:divBdr>
    </w:div>
    <w:div w:id="340475220">
      <w:bodyDiv w:val="1"/>
      <w:marLeft w:val="0"/>
      <w:marRight w:val="0"/>
      <w:marTop w:val="0"/>
      <w:marBottom w:val="0"/>
      <w:divBdr>
        <w:top w:val="none" w:sz="0" w:space="0" w:color="auto"/>
        <w:left w:val="none" w:sz="0" w:space="0" w:color="auto"/>
        <w:bottom w:val="none" w:sz="0" w:space="0" w:color="auto"/>
        <w:right w:val="none" w:sz="0" w:space="0" w:color="auto"/>
      </w:divBdr>
    </w:div>
    <w:div w:id="938490974">
      <w:bodyDiv w:val="1"/>
      <w:marLeft w:val="0"/>
      <w:marRight w:val="0"/>
      <w:marTop w:val="0"/>
      <w:marBottom w:val="0"/>
      <w:divBdr>
        <w:top w:val="none" w:sz="0" w:space="0" w:color="auto"/>
        <w:left w:val="none" w:sz="0" w:space="0" w:color="auto"/>
        <w:bottom w:val="none" w:sz="0" w:space="0" w:color="auto"/>
        <w:right w:val="none" w:sz="0" w:space="0" w:color="auto"/>
      </w:divBdr>
    </w:div>
    <w:div w:id="1730029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pmorganchase.com/about/technology/blog/innovation-week25" TargetMode="External"/><Relationship Id="rId18" Type="http://schemas.openxmlformats.org/officeDocument/2006/relationships/hyperlink" Target="https://home.treasury.gov/system/files/136/Artificial-Intelligence-in-Financial-Services.pdf"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nsumerfinance.gov/compliance/circulars/circular-2022-03-adverse-action-notification-requirements-in-connection-with-credit-decisions-based-on-complex-algorithms" TargetMode="External"/><Relationship Id="rId17" Type="http://schemas.openxmlformats.org/officeDocument/2006/relationships/hyperlink" Target="https://www.occ.gov/publications-and-resources/publications/semiannual-risk-perspective/files/pub-semiannual-risk-perspective-spring-2025.pdf" TargetMode="External"/><Relationship Id="rId2" Type="http://schemas.openxmlformats.org/officeDocument/2006/relationships/customXml" Target="../customXml/item2.xml"/><Relationship Id="rId16" Type="http://schemas.openxmlformats.org/officeDocument/2006/relationships/hyperlink" Target="https://www.jpmorganchase.com/content/dam/jpmc/jpmorgan-chase-and-co/investor-relations/documents/2026-company-updates/company-update-firm-overview-transcript.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nkofengland.co.uk/financial-stability-in-focus/2025/april-202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jpmorganchase.com/content/dam/jpmc/jpmorgan-chase-and-co/investor-relations/documents/line-of-business-ceo-letters-to-shareholders-2024.pdf"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reports.weforum.org/docs/WEF_Artificial_Intelligence_in_Financial_Services_2025.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pmorganchase.com/ir/annual-repor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E75901C9D74BC2A5E6AFE181978A82"/>
        <w:category>
          <w:name w:val="General"/>
          <w:gallery w:val="placeholder"/>
        </w:category>
        <w:types>
          <w:type w:val="bbPlcHdr"/>
        </w:types>
        <w:behaviors>
          <w:behavior w:val="content"/>
        </w:behaviors>
        <w:guid w:val="{5C4EBB03-119C-4A0F-B334-5FA9B74ED416}"/>
      </w:docPartPr>
      <w:docPartBody>
        <w:p w:rsidR="00117324" w:rsidRDefault="001547F1" w:rsidP="001547F1">
          <w:pPr>
            <w:pStyle w:val="EFE75901C9D74BC2A5E6AFE181978A82"/>
          </w:pPr>
          <w:r>
            <w:rPr>
              <w:rFonts w:asciiTheme="majorHAnsi" w:eastAsiaTheme="majorEastAsia" w:hAnsiTheme="majorHAnsi" w:cstheme="majorBidi"/>
              <w:caps/>
              <w:color w:val="156082" w:themeColor="accent1"/>
              <w:sz w:val="80"/>
              <w:szCs w:val="80"/>
            </w:rPr>
            <w:t>[Document title]</w:t>
          </w:r>
        </w:p>
      </w:docPartBody>
    </w:docPart>
    <w:docPart>
      <w:docPartPr>
        <w:name w:val="AE473271457D49F280E6D89A92CD30C8"/>
        <w:category>
          <w:name w:val="General"/>
          <w:gallery w:val="placeholder"/>
        </w:category>
        <w:types>
          <w:type w:val="bbPlcHdr"/>
        </w:types>
        <w:behaviors>
          <w:behavior w:val="content"/>
        </w:behaviors>
        <w:guid w:val="{45FAA1C6-3471-4376-8268-FCC5F4D5ADC9}"/>
      </w:docPartPr>
      <w:docPartBody>
        <w:p w:rsidR="00117324" w:rsidRDefault="001547F1" w:rsidP="001547F1">
          <w:pPr>
            <w:pStyle w:val="AE473271457D49F280E6D89A92CD30C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F1"/>
    <w:rsid w:val="0004186D"/>
    <w:rsid w:val="00117324"/>
    <w:rsid w:val="001547F1"/>
    <w:rsid w:val="003D14B7"/>
    <w:rsid w:val="00552C15"/>
    <w:rsid w:val="00704B76"/>
    <w:rsid w:val="008A4031"/>
    <w:rsid w:val="008F7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E75901C9D74BC2A5E6AFE181978A82">
    <w:name w:val="EFE75901C9D74BC2A5E6AFE181978A82"/>
    <w:rsid w:val="001547F1"/>
  </w:style>
  <w:style w:type="paragraph" w:customStyle="1" w:styleId="AE473271457D49F280E6D89A92CD30C8">
    <w:name w:val="AE473271457D49F280E6D89A92CD30C8"/>
    <w:rsid w:val="001547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E1D9D3-65B5-4902-8180-B8005F440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7794</Words>
  <Characters>44429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UK-U.S. Strategic Advisory report for jpmorgan chaSe &amp; Co.</dc:title>
  <dc:subject>GLOBAL BUSINESS CHALLENGES [BMMB7006]                                                                  MOHD RAVISH [2523743]</dc:subject>
  <dc:creator/>
  <cp:keywords/>
  <cp:lastModifiedBy/>
  <cp:revision>1</cp:revision>
  <dcterms:created xsi:type="dcterms:W3CDTF">2026-04-27T13:00:00Z</dcterms:created>
  <dcterms:modified xsi:type="dcterms:W3CDTF">2026-04-27T13:00:00Z</dcterms:modified>
  <cp:category/>
</cp:coreProperties>
</file>