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F1E0A" w14:textId="0461D1D8" w:rsidR="00211318" w:rsidRDefault="00AC0F0B">
      <w:r>
        <w:t>Social Constructionism does not have one definitive meaning, it is however</w:t>
      </w:r>
      <w:r w:rsidR="00974708">
        <w:t>,</w:t>
      </w:r>
      <w:r w:rsidR="00022F46">
        <w:t xml:space="preserve"> considered</w:t>
      </w:r>
      <w:r>
        <w:t xml:space="preserve"> a radical view of how the world is seen by individuals. This essay will describe different elements of social constructionism, looking into the history of </w:t>
      </w:r>
      <w:r w:rsidR="00C84A43">
        <w:t>how this theory was established,</w:t>
      </w:r>
      <w:r>
        <w:t xml:space="preserve"> including the Enlightenment, </w:t>
      </w:r>
      <w:r w:rsidR="00974708">
        <w:t>M</w:t>
      </w:r>
      <w:r>
        <w:t xml:space="preserve">odernism and </w:t>
      </w:r>
      <w:r w:rsidR="00974708">
        <w:t>P</w:t>
      </w:r>
      <w:r>
        <w:t>ost</w:t>
      </w:r>
      <w:r w:rsidR="00974708">
        <w:t>m</w:t>
      </w:r>
      <w:r>
        <w:t xml:space="preserve">odernism. This essay will make the connection between </w:t>
      </w:r>
      <w:r w:rsidR="00022F46">
        <w:t>s</w:t>
      </w:r>
      <w:r>
        <w:t xml:space="preserve">ocial constructionism and </w:t>
      </w:r>
      <w:r w:rsidR="00022F46">
        <w:t>social p</w:t>
      </w:r>
      <w:r>
        <w:t xml:space="preserve">sychology by </w:t>
      </w:r>
      <w:r w:rsidR="008261B0">
        <w:t>looking</w:t>
      </w:r>
      <w:r>
        <w:t xml:space="preserve"> </w:t>
      </w:r>
      <w:r w:rsidR="008261B0">
        <w:t>at an individual’s</w:t>
      </w:r>
      <w:r>
        <w:t xml:space="preserve"> identity</w:t>
      </w:r>
      <w:r w:rsidR="00974708">
        <w:t xml:space="preserve"> </w:t>
      </w:r>
      <w:r>
        <w:t xml:space="preserve">and </w:t>
      </w:r>
      <w:r w:rsidR="00974708">
        <w:t xml:space="preserve">also </w:t>
      </w:r>
      <w:r>
        <w:t xml:space="preserve">exploring gender and sexuality and their </w:t>
      </w:r>
      <w:r w:rsidR="00974708">
        <w:t>importance</w:t>
      </w:r>
      <w:r>
        <w:t xml:space="preserve"> within social constructionism today. </w:t>
      </w:r>
    </w:p>
    <w:p w14:paraId="1DB060BE" w14:textId="3430E043" w:rsidR="00AC0F0B" w:rsidRDefault="00AC0F0B">
      <w:r>
        <w:tab/>
      </w:r>
      <w:r w:rsidR="00536B56">
        <w:t xml:space="preserve">Social constructionism has many descriptions, which gives the </w:t>
      </w:r>
      <w:r w:rsidR="00C84A43">
        <w:t>impression</w:t>
      </w:r>
      <w:r w:rsidR="00536B56">
        <w:t xml:space="preserve"> that there are multiple attitudes as to what constitutes this theory, social constructionism is a theory that is set out like a construction of a building for example, there are multiple angles, which participate in the theory which make it very complex, but once understood, a very simple theory to understand. Vivien Burr (2003) attempts to deconstruct the theory by calling social constructionism an ‘alternative approach to the study of human beings as social animals’</w:t>
      </w:r>
      <w:r w:rsidR="003F3F46">
        <w:t xml:space="preserve"> which has five underpinning approaches which include ‘critical psychology, discursive psychology, discourse analysis, deconstruction and poststructuralism’. All of these approaches combined, make up Social constructionism</w:t>
      </w:r>
      <w:r w:rsidR="008261B0">
        <w:t xml:space="preserve">. </w:t>
      </w:r>
      <w:r w:rsidR="00863E05">
        <w:t>Burr (2003) explains that social constructionism insists that we take a critical stance towards the way that we understand the world, which includes ourselves, our own perceptions and our own reality. Social Constructionism cautions us to be suspicious of our own assumptions whilst looking at ho</w:t>
      </w:r>
      <w:r w:rsidR="00E55A61">
        <w:t>w</w:t>
      </w:r>
      <w:r w:rsidR="00863E05">
        <w:t xml:space="preserve"> the world appears to be, like that of a magic trick for example. </w:t>
      </w:r>
      <w:proofErr w:type="spellStart"/>
      <w:r w:rsidR="00974708">
        <w:t>Gergen</w:t>
      </w:r>
      <w:proofErr w:type="spellEnd"/>
      <w:r w:rsidR="00974708">
        <w:t xml:space="preserve"> (2015) suggests </w:t>
      </w:r>
      <w:r w:rsidR="00E55A61">
        <w:t xml:space="preserve">that the basic </w:t>
      </w:r>
      <w:r w:rsidR="00C84A43">
        <w:t xml:space="preserve">ideology that forms </w:t>
      </w:r>
      <w:r w:rsidR="00974708">
        <w:t xml:space="preserve">social constructionism </w:t>
      </w:r>
      <w:r w:rsidR="00E55A61">
        <w:t>is simple, that looking at the world through common-sense, there is nothing more obvious than the fact that the world is simply there for us to observe and to try and make sense of</w:t>
      </w:r>
      <w:r w:rsidR="002B6C20">
        <w:t>,</w:t>
      </w:r>
      <w:r w:rsidR="00AE4BDA">
        <w:t xml:space="preserve"> and argues that if we observe the world with its many wonders for what it is, we can </w:t>
      </w:r>
      <w:r w:rsidR="00974708">
        <w:t>‘</w:t>
      </w:r>
      <w:r w:rsidR="00AE4BDA">
        <w:t>learn about the trees and how to look after the forests, the buildings and how to build stronger ones</w:t>
      </w:r>
      <w:r w:rsidR="008261B0">
        <w:t xml:space="preserve"> and also </w:t>
      </w:r>
      <w:r w:rsidR="00AE4BDA">
        <w:t>humans and how to improve the health of them</w:t>
      </w:r>
      <w:r w:rsidR="00974708">
        <w:t>’</w:t>
      </w:r>
      <w:r w:rsidR="00AE4BDA">
        <w:t xml:space="preserve">. This way of thinking is called </w:t>
      </w:r>
      <w:r w:rsidR="008F4D40">
        <w:t>realism and</w:t>
      </w:r>
      <w:r w:rsidR="00AE4BDA">
        <w:t xml:space="preserve"> is one of the many theories that underpin </w:t>
      </w:r>
      <w:r w:rsidR="002A626D">
        <w:t>s</w:t>
      </w:r>
      <w:r w:rsidR="00AE4BDA">
        <w:t xml:space="preserve">ocial constructionism. </w:t>
      </w:r>
      <w:r w:rsidR="008F4D40">
        <w:t xml:space="preserve">Two major theorists of </w:t>
      </w:r>
      <w:r w:rsidR="002A626D">
        <w:t>s</w:t>
      </w:r>
      <w:r w:rsidR="008F4D40">
        <w:t xml:space="preserve">ocial Constructionism are Peter L. Berger and Thomas Luckman who in (1966) published </w:t>
      </w:r>
      <w:r w:rsidR="008F4D40">
        <w:rPr>
          <w:i/>
        </w:rPr>
        <w:t xml:space="preserve">The Social Construction of Reality </w:t>
      </w:r>
      <w:r w:rsidR="008F4D40">
        <w:t xml:space="preserve">in which they suggest that the notion of the social construction of reality is not that </w:t>
      </w:r>
      <w:r w:rsidR="009E2652">
        <w:t>things within our social world are not real, because they are, however, they are social constructions that we quite often take for granted in which Berger and Luckman suggest that we have built these social constructions</w:t>
      </w:r>
      <w:r w:rsidR="008261B0">
        <w:t xml:space="preserve"> purely</w:t>
      </w:r>
      <w:r w:rsidR="009E2652">
        <w:t xml:space="preserve"> from our imaginations. </w:t>
      </w:r>
    </w:p>
    <w:p w14:paraId="215CFA13" w14:textId="6C989EF4" w:rsidR="00CE5829" w:rsidRDefault="00233A31">
      <w:pPr>
        <w:rPr>
          <w:color w:val="000000" w:themeColor="text1"/>
        </w:rPr>
      </w:pPr>
      <w:r>
        <w:tab/>
        <w:t xml:space="preserve">Compared to other theories, Social constructionism is relatively new </w:t>
      </w:r>
      <w:r w:rsidR="00197728">
        <w:t xml:space="preserve">in the way in which it presents itself, Burr (2003) </w:t>
      </w:r>
      <w:r w:rsidR="00B47F8A">
        <w:t>describes</w:t>
      </w:r>
      <w:r w:rsidR="00197728">
        <w:t xml:space="preserve"> that social constructionism ‘cannot be traced to a single source’, as it appears to have emerged from the combined influences of a number of writers from all over the world, in which these writers are rooted into philosophical </w:t>
      </w:r>
      <w:r w:rsidR="00197728">
        <w:lastRenderedPageBreak/>
        <w:t>developments that began more than two hundred years ago. Burr (2003</w:t>
      </w:r>
      <w:r w:rsidR="00BB53A2">
        <w:t xml:space="preserve"> p.10</w:t>
      </w:r>
      <w:r w:rsidR="00197728">
        <w:t xml:space="preserve">) describes three separate eras as major influences that should be considered when </w:t>
      </w:r>
      <w:r w:rsidR="00BB53A2">
        <w:t xml:space="preserve">exploring social constructionism, these are, The Enlightenment, Modernism and Postmodernism. </w:t>
      </w:r>
      <w:r w:rsidR="00B51F88">
        <w:t xml:space="preserve">Jones and Bradbury (2018 p.25) describe </w:t>
      </w:r>
      <w:r w:rsidR="00A66261">
        <w:t>E</w:t>
      </w:r>
      <w:r w:rsidR="00B51F88">
        <w:t>nlightenment as a cultural change in the eighteenth century</w:t>
      </w:r>
      <w:r w:rsidR="00244058">
        <w:t>, ‘</w:t>
      </w:r>
      <w:r w:rsidR="00D73670">
        <w:t xml:space="preserve">The </w:t>
      </w:r>
      <w:r w:rsidR="0023049A">
        <w:t>Enlightenment</w:t>
      </w:r>
      <w:r w:rsidR="00244058">
        <w:t xml:space="preserve"> </w:t>
      </w:r>
      <w:r w:rsidR="0023049A">
        <w:t xml:space="preserve">refers to the emergence of a new confidence in the power of human reason’. </w:t>
      </w:r>
      <w:r w:rsidR="00F57DCA">
        <w:t xml:space="preserve">Before the </w:t>
      </w:r>
      <w:r w:rsidR="00D73670">
        <w:t>E</w:t>
      </w:r>
      <w:r w:rsidR="00F57DCA">
        <w:t xml:space="preserve">nlightenment, </w:t>
      </w:r>
      <w:r w:rsidR="00AB281B">
        <w:t>knowledge production was seen to typically involve experts translating religious texts or signs which made it possible for people to decipher what their god or gods had planned out for them. However, the Enlightenment opened up a new view on the social world, by allowing humans to produce certain knowledge and in turn</w:t>
      </w:r>
      <w:r w:rsidR="00E8156D">
        <w:t>,</w:t>
      </w:r>
      <w:r w:rsidR="00AB281B">
        <w:t xml:space="preserve"> </w:t>
      </w:r>
      <w:r w:rsidR="006663C2">
        <w:t xml:space="preserve">humans could engage with this knowledge in the pursuit of progress. </w:t>
      </w:r>
      <w:r w:rsidR="00940BC3">
        <w:rPr>
          <w:color w:val="000000" w:themeColor="text1"/>
        </w:rPr>
        <w:t xml:space="preserve">Spencer and </w:t>
      </w:r>
      <w:proofErr w:type="spellStart"/>
      <w:r w:rsidR="00940BC3">
        <w:rPr>
          <w:color w:val="000000" w:themeColor="text1"/>
        </w:rPr>
        <w:t>Krauze</w:t>
      </w:r>
      <w:proofErr w:type="spellEnd"/>
      <w:r w:rsidR="00940BC3">
        <w:rPr>
          <w:color w:val="000000" w:themeColor="text1"/>
        </w:rPr>
        <w:t xml:space="preserve"> (2010) suggest </w:t>
      </w:r>
      <w:r w:rsidR="00CF1840">
        <w:rPr>
          <w:color w:val="000000" w:themeColor="text1"/>
        </w:rPr>
        <w:t xml:space="preserve">that Sir Isaac Newton’s scientific achievements were colossal </w:t>
      </w:r>
      <w:r w:rsidR="00561663">
        <w:rPr>
          <w:color w:val="000000" w:themeColor="text1"/>
        </w:rPr>
        <w:t xml:space="preserve">within the Enlightenment period, and it is suggested that Newton set the foundation that sparked the cultural change by defining a new science of dynamics, which proved that a mathematical evaluation of the universe </w:t>
      </w:r>
      <w:r w:rsidR="00940BC3">
        <w:rPr>
          <w:color w:val="000000" w:themeColor="text1"/>
        </w:rPr>
        <w:t>shows that the universe operates perfectly</w:t>
      </w:r>
      <w:r w:rsidR="008261B0">
        <w:rPr>
          <w:color w:val="000000" w:themeColor="text1"/>
        </w:rPr>
        <w:t>.</w:t>
      </w:r>
      <w:r w:rsidR="00891B86">
        <w:rPr>
          <w:color w:val="000000" w:themeColor="text1"/>
        </w:rPr>
        <w:t xml:space="preserve"> </w:t>
      </w:r>
      <w:r w:rsidR="00E8156D">
        <w:rPr>
          <w:color w:val="000000" w:themeColor="text1"/>
        </w:rPr>
        <w:t xml:space="preserve">Hyland, Gomez and Greensides (2003) </w:t>
      </w:r>
      <w:r w:rsidR="00891B86">
        <w:rPr>
          <w:color w:val="000000" w:themeColor="text1"/>
        </w:rPr>
        <w:t xml:space="preserve">describes Newton as an icon of the Enlightenment which is why much of the </w:t>
      </w:r>
      <w:r w:rsidR="00E8156D">
        <w:rPr>
          <w:color w:val="000000" w:themeColor="text1"/>
        </w:rPr>
        <w:t>E</w:t>
      </w:r>
      <w:r w:rsidR="00891B86">
        <w:rPr>
          <w:color w:val="000000" w:themeColor="text1"/>
        </w:rPr>
        <w:t>ighteenth centaury science was influenced by what were believed to be his methods. Newton’s work</w:t>
      </w:r>
      <w:r w:rsidR="008261B0">
        <w:rPr>
          <w:color w:val="000000" w:themeColor="text1"/>
        </w:rPr>
        <w:t>,</w:t>
      </w:r>
      <w:r w:rsidR="00891B86">
        <w:rPr>
          <w:color w:val="000000" w:themeColor="text1"/>
        </w:rPr>
        <w:t xml:space="preserve"> </w:t>
      </w:r>
      <w:r w:rsidR="008261B0">
        <w:rPr>
          <w:color w:val="000000" w:themeColor="text1"/>
        </w:rPr>
        <w:t xml:space="preserve">in particular, his discovery of gravity </w:t>
      </w:r>
      <w:r w:rsidR="00891B86">
        <w:rPr>
          <w:color w:val="000000" w:themeColor="text1"/>
        </w:rPr>
        <w:t xml:space="preserve">reflected </w:t>
      </w:r>
      <w:r w:rsidR="00EF12A2">
        <w:rPr>
          <w:color w:val="000000" w:themeColor="text1"/>
        </w:rPr>
        <w:t>not only the scientific importance but the incredible impact upon philosophy in general which in turn created the rise of what would later become ‘the disciplines of social sciences.’ This is the foundation of social constructionism</w:t>
      </w:r>
      <w:r w:rsidR="008261B0">
        <w:rPr>
          <w:color w:val="000000" w:themeColor="text1"/>
        </w:rPr>
        <w:t>; when</w:t>
      </w:r>
      <w:r w:rsidR="00EF12A2">
        <w:rPr>
          <w:color w:val="000000" w:themeColor="text1"/>
        </w:rPr>
        <w:t xml:space="preserve"> people started to question </w:t>
      </w:r>
      <w:r w:rsidR="007A791E">
        <w:rPr>
          <w:color w:val="000000" w:themeColor="text1"/>
        </w:rPr>
        <w:t xml:space="preserve">the construction of the world and in which </w:t>
      </w:r>
      <w:r w:rsidR="00CE5829">
        <w:rPr>
          <w:color w:val="000000" w:themeColor="text1"/>
        </w:rPr>
        <w:t>Jones and Bradbury (2018) suggest that this rise of modernism creates a cultural change in belief about what knowledge is and what it is for, which suggest</w:t>
      </w:r>
      <w:r w:rsidR="002B6C20">
        <w:rPr>
          <w:color w:val="000000" w:themeColor="text1"/>
        </w:rPr>
        <w:t>s</w:t>
      </w:r>
      <w:r w:rsidR="00CE5829">
        <w:rPr>
          <w:color w:val="000000" w:themeColor="text1"/>
        </w:rPr>
        <w:t xml:space="preserve"> </w:t>
      </w:r>
      <w:r w:rsidR="007A791E">
        <w:rPr>
          <w:color w:val="000000" w:themeColor="text1"/>
        </w:rPr>
        <w:t xml:space="preserve">it </w:t>
      </w:r>
      <w:r w:rsidR="00CE5829">
        <w:rPr>
          <w:color w:val="000000" w:themeColor="text1"/>
        </w:rPr>
        <w:t xml:space="preserve">directly promoted the ‘rise of sociology and sociological theorizing’. </w:t>
      </w:r>
    </w:p>
    <w:p w14:paraId="54F7844B" w14:textId="7325681D" w:rsidR="00045373" w:rsidRDefault="00045373">
      <w:pPr>
        <w:rPr>
          <w:color w:val="000000" w:themeColor="text1"/>
        </w:rPr>
      </w:pPr>
      <w:r>
        <w:rPr>
          <w:color w:val="000000" w:themeColor="text1"/>
        </w:rPr>
        <w:tab/>
        <w:t>As a consequence of The Enlightenment, Modernism started to arise, Gidden</w:t>
      </w:r>
      <w:r w:rsidR="00C92EB3">
        <w:rPr>
          <w:color w:val="000000" w:themeColor="text1"/>
        </w:rPr>
        <w:t xml:space="preserve">s (1987) describes that modernist thinking involves the idea that the purpose of acquiring knowledge is ‘to influence for the better the human condition.’ Modernity implies that as humans we are </w:t>
      </w:r>
      <w:r w:rsidR="00E8156D">
        <w:rPr>
          <w:color w:val="000000" w:themeColor="text1"/>
        </w:rPr>
        <w:t>‘</w:t>
      </w:r>
      <w:r w:rsidR="00C92EB3">
        <w:rPr>
          <w:color w:val="000000" w:themeColor="text1"/>
        </w:rPr>
        <w:t>constantly looking for improvement within our lives and the pursuit of progress in which we can make</w:t>
      </w:r>
      <w:r w:rsidR="00C44AB5">
        <w:rPr>
          <w:color w:val="000000" w:themeColor="text1"/>
        </w:rPr>
        <w:t xml:space="preserve"> therefore believing in progression and evolution</w:t>
      </w:r>
      <w:r w:rsidR="00E8156D">
        <w:rPr>
          <w:color w:val="000000" w:themeColor="text1"/>
        </w:rPr>
        <w:t>’.</w:t>
      </w:r>
      <w:r w:rsidR="00C44AB5">
        <w:rPr>
          <w:color w:val="000000" w:themeColor="text1"/>
        </w:rPr>
        <w:t xml:space="preserve"> </w:t>
      </w:r>
      <w:proofErr w:type="spellStart"/>
      <w:r w:rsidR="00C44AB5">
        <w:rPr>
          <w:color w:val="000000" w:themeColor="text1"/>
        </w:rPr>
        <w:t>Cheal</w:t>
      </w:r>
      <w:proofErr w:type="spellEnd"/>
      <w:r w:rsidR="00C44AB5">
        <w:rPr>
          <w:color w:val="000000" w:themeColor="text1"/>
        </w:rPr>
        <w:t xml:space="preserve"> (1991) describes</w:t>
      </w:r>
      <w:r w:rsidR="00E8156D">
        <w:rPr>
          <w:color w:val="000000" w:themeColor="text1"/>
        </w:rPr>
        <w:t xml:space="preserve"> that</w:t>
      </w:r>
      <w:r w:rsidR="00C44AB5">
        <w:rPr>
          <w:color w:val="000000" w:themeColor="text1"/>
        </w:rPr>
        <w:t>:</w:t>
      </w:r>
    </w:p>
    <w:p w14:paraId="669FBD41" w14:textId="00705993" w:rsidR="00C44AB5" w:rsidRDefault="00C44AB5" w:rsidP="00092A7D">
      <w:pPr>
        <w:spacing w:line="240" w:lineRule="auto"/>
        <w:ind w:left="680" w:right="680"/>
        <w:rPr>
          <w:color w:val="000000" w:themeColor="text1"/>
        </w:rPr>
      </w:pPr>
      <w:r>
        <w:rPr>
          <w:color w:val="000000" w:themeColor="text1"/>
        </w:rPr>
        <w:t xml:space="preserve">‘Believing that things tomorrow can always be better than they are today, which in turn means being prepared to overturn the existing order of things in order to make way for progress. It means, in other words, being prepared to break with tradition’ </w:t>
      </w:r>
      <w:sdt>
        <w:sdtPr>
          <w:rPr>
            <w:color w:val="000000" w:themeColor="text1"/>
          </w:rPr>
          <w:id w:val="428010267"/>
          <w:citation/>
        </w:sdtPr>
        <w:sdtEndPr/>
        <w:sdtContent>
          <w:r>
            <w:rPr>
              <w:color w:val="000000" w:themeColor="text1"/>
            </w:rPr>
            <w:fldChar w:fldCharType="begin"/>
          </w:r>
          <w:r>
            <w:rPr>
              <w:color w:val="000000" w:themeColor="text1"/>
            </w:rPr>
            <w:instrText xml:space="preserve"> CITATION DCh91 \l 2057 </w:instrText>
          </w:r>
          <w:r>
            <w:rPr>
              <w:color w:val="000000" w:themeColor="text1"/>
            </w:rPr>
            <w:fldChar w:fldCharType="separate"/>
          </w:r>
          <w:r w:rsidRPr="00C44AB5">
            <w:rPr>
              <w:noProof/>
              <w:color w:val="000000" w:themeColor="text1"/>
            </w:rPr>
            <w:t>(Cheal, 1991)</w:t>
          </w:r>
          <w:r>
            <w:rPr>
              <w:color w:val="000000" w:themeColor="text1"/>
            </w:rPr>
            <w:fldChar w:fldCharType="end"/>
          </w:r>
        </w:sdtContent>
      </w:sdt>
      <w:r>
        <w:rPr>
          <w:color w:val="000000" w:themeColor="text1"/>
        </w:rPr>
        <w:t>.</w:t>
      </w:r>
    </w:p>
    <w:p w14:paraId="71290A08" w14:textId="0510D6EF" w:rsidR="00C44AB5" w:rsidRDefault="004F5E37" w:rsidP="00C84A43">
      <w:pPr>
        <w:rPr>
          <w:color w:val="000000" w:themeColor="text1"/>
        </w:rPr>
      </w:pPr>
      <w:r>
        <w:rPr>
          <w:color w:val="000000" w:themeColor="text1"/>
        </w:rPr>
        <w:t>This implies a specifically modern notion that is, the power of reason,</w:t>
      </w:r>
      <w:r w:rsidR="00E8156D">
        <w:rPr>
          <w:color w:val="000000" w:themeColor="text1"/>
        </w:rPr>
        <w:t xml:space="preserve"> being able to think </w:t>
      </w:r>
      <w:r w:rsidR="009F7C0F">
        <w:rPr>
          <w:color w:val="000000" w:themeColor="text1"/>
        </w:rPr>
        <w:t>about what you want as an individual person.</w:t>
      </w:r>
      <w:r>
        <w:rPr>
          <w:color w:val="000000" w:themeColor="text1"/>
        </w:rPr>
        <w:t xml:space="preserve"> </w:t>
      </w:r>
      <w:r w:rsidR="009F7C0F">
        <w:rPr>
          <w:color w:val="000000" w:themeColor="text1"/>
        </w:rPr>
        <w:t xml:space="preserve">Jones and Bradbury (2018) </w:t>
      </w:r>
      <w:r>
        <w:rPr>
          <w:color w:val="000000" w:themeColor="text1"/>
        </w:rPr>
        <w:t xml:space="preserve">believe that ‘reason’ is the ability possessed by all humans, which enables them to ‘think about themselves, their condition and their society reflectively and rationally, </w:t>
      </w:r>
      <w:r w:rsidR="00C84A43">
        <w:rPr>
          <w:color w:val="000000" w:themeColor="text1"/>
        </w:rPr>
        <w:t xml:space="preserve">and to improve within the light of such rational thought’. </w:t>
      </w:r>
      <w:r w:rsidR="009F7C0F">
        <w:rPr>
          <w:color w:val="000000" w:themeColor="text1"/>
        </w:rPr>
        <w:t>Jones and Bradbury (2018)</w:t>
      </w:r>
      <w:r w:rsidR="00C84A43">
        <w:rPr>
          <w:color w:val="000000" w:themeColor="text1"/>
        </w:rPr>
        <w:t xml:space="preserve"> imply that </w:t>
      </w:r>
      <w:r w:rsidR="00B47F8A">
        <w:rPr>
          <w:color w:val="000000" w:themeColor="text1"/>
        </w:rPr>
        <w:t xml:space="preserve">by </w:t>
      </w:r>
      <w:r w:rsidR="00C84A43">
        <w:rPr>
          <w:color w:val="000000" w:themeColor="text1"/>
        </w:rPr>
        <w:t xml:space="preserve">looking at it from this point of view, humans </w:t>
      </w:r>
      <w:r w:rsidR="00C84A43">
        <w:rPr>
          <w:color w:val="000000" w:themeColor="text1"/>
        </w:rPr>
        <w:lastRenderedPageBreak/>
        <w:t xml:space="preserve">can think about and explain their own lives, which in turn translates to, producing social theories, and implement a change in society for the better. </w:t>
      </w:r>
    </w:p>
    <w:p w14:paraId="22830BF1" w14:textId="1A8C1676" w:rsidR="00DE0A18" w:rsidRDefault="00B47F8A" w:rsidP="00C84A43">
      <w:pPr>
        <w:rPr>
          <w:color w:val="000000" w:themeColor="text1"/>
        </w:rPr>
      </w:pPr>
      <w:r>
        <w:rPr>
          <w:color w:val="000000" w:themeColor="text1"/>
        </w:rPr>
        <w:tab/>
        <w:t>Following Modernism, soci</w:t>
      </w:r>
      <w:r w:rsidR="00B07552">
        <w:rPr>
          <w:color w:val="000000" w:themeColor="text1"/>
        </w:rPr>
        <w:t>ety changed so rapidly that an entire new era was constructed in the late 20</w:t>
      </w:r>
      <w:r w:rsidR="00B07552" w:rsidRPr="00B07552">
        <w:rPr>
          <w:color w:val="000000" w:themeColor="text1"/>
          <w:vertAlign w:val="superscript"/>
        </w:rPr>
        <w:t>th</w:t>
      </w:r>
      <w:r w:rsidR="00B07552">
        <w:rPr>
          <w:color w:val="000000" w:themeColor="text1"/>
        </w:rPr>
        <w:t xml:space="preserve"> centaury, this was named, postmodernism, which in itself is an approach in sociology. </w:t>
      </w:r>
      <w:r w:rsidR="009F7C0F">
        <w:rPr>
          <w:color w:val="000000" w:themeColor="text1"/>
        </w:rPr>
        <w:t xml:space="preserve">Browne (2015, p. 20) </w:t>
      </w:r>
      <w:r w:rsidR="00B07552">
        <w:rPr>
          <w:color w:val="000000" w:themeColor="text1"/>
        </w:rPr>
        <w:t>Explores postmodernism, and describes that because society is changing so rapidly, it was being labelled as chaotic, uncertain and risky, that with the changing social structures like families and social classes breaking down and being replaced by an extensive collection of ‘different and constantly changing social relationships.’ Postmodernism is a standalone theory, where Postmodernists argue that it does</w:t>
      </w:r>
      <w:r w:rsidR="009F7C0F">
        <w:rPr>
          <w:color w:val="000000" w:themeColor="text1"/>
        </w:rPr>
        <w:t xml:space="preserve"> not</w:t>
      </w:r>
      <w:r w:rsidR="00B07552">
        <w:rPr>
          <w:color w:val="000000" w:themeColor="text1"/>
        </w:rPr>
        <w:t xml:space="preserve"> make sen</w:t>
      </w:r>
      <w:r w:rsidR="00374B2A">
        <w:rPr>
          <w:color w:val="000000" w:themeColor="text1"/>
        </w:rPr>
        <w:t>s</w:t>
      </w:r>
      <w:r w:rsidR="00B07552">
        <w:rPr>
          <w:color w:val="000000" w:themeColor="text1"/>
        </w:rPr>
        <w:t xml:space="preserve">e to talk about a family construction </w:t>
      </w:r>
      <w:r w:rsidR="001D58C9">
        <w:rPr>
          <w:color w:val="000000" w:themeColor="text1"/>
        </w:rPr>
        <w:t xml:space="preserve">from the Functionalist perspective of the Nuclear Family, </w:t>
      </w:r>
      <w:r w:rsidR="00374B2A">
        <w:rPr>
          <w:color w:val="000000" w:themeColor="text1"/>
        </w:rPr>
        <w:t>as a mum, dad and two children</w:t>
      </w:r>
      <w:r w:rsidR="009F7C0F">
        <w:rPr>
          <w:color w:val="000000" w:themeColor="text1"/>
        </w:rPr>
        <w:t xml:space="preserve">, </w:t>
      </w:r>
      <w:r w:rsidR="00374B2A">
        <w:rPr>
          <w:color w:val="000000" w:themeColor="text1"/>
        </w:rPr>
        <w:t>as there are now many unconventional social relationships that could still make a family institution.</w:t>
      </w:r>
      <w:r w:rsidR="008261B0">
        <w:rPr>
          <w:color w:val="000000" w:themeColor="text1"/>
        </w:rPr>
        <w:t xml:space="preserve"> Browne (2015)</w:t>
      </w:r>
      <w:r w:rsidR="00374B2A">
        <w:rPr>
          <w:color w:val="000000" w:themeColor="text1"/>
        </w:rPr>
        <w:t xml:space="preserve"> gives multiple examples of these including, </w:t>
      </w:r>
    </w:p>
    <w:p w14:paraId="2C58EADF" w14:textId="5122035C" w:rsidR="00B47F8A" w:rsidRDefault="00374B2A" w:rsidP="00092A7D">
      <w:pPr>
        <w:spacing w:line="240" w:lineRule="auto"/>
        <w:ind w:left="680" w:right="680"/>
        <w:rPr>
          <w:color w:val="000000" w:themeColor="text1"/>
        </w:rPr>
      </w:pPr>
      <w:r>
        <w:rPr>
          <w:color w:val="000000" w:themeColor="text1"/>
        </w:rPr>
        <w:t>‘gay and lesbian couples, cohabiting heterosexual couples who do not marry, multiple partners, divorce and re-marriage, lone parents, stepparents and step-children, duel-income families with both parents working, people living alone, people living in shared households with friends</w:t>
      </w:r>
      <w:r w:rsidR="00DE0A18">
        <w:rPr>
          <w:color w:val="000000" w:themeColor="text1"/>
        </w:rPr>
        <w:t xml:space="preserve"> and </w:t>
      </w:r>
      <w:r>
        <w:rPr>
          <w:color w:val="000000" w:themeColor="text1"/>
        </w:rPr>
        <w:t>couples who have different arrangements for managing household tasks</w:t>
      </w:r>
      <w:r w:rsidR="00DE0A18">
        <w:rPr>
          <w:color w:val="000000" w:themeColor="text1"/>
        </w:rPr>
        <w:t>: all mean that any notion of the ‘typical family’ or the ‘family as an institution is absurd’.</w:t>
      </w:r>
      <w:sdt>
        <w:sdtPr>
          <w:rPr>
            <w:color w:val="000000" w:themeColor="text1"/>
          </w:rPr>
          <w:id w:val="28226417"/>
          <w:citation/>
        </w:sdtPr>
        <w:sdtEndPr/>
        <w:sdtContent>
          <w:r w:rsidR="00092A7D">
            <w:rPr>
              <w:color w:val="000000" w:themeColor="text1"/>
            </w:rPr>
            <w:fldChar w:fldCharType="begin"/>
          </w:r>
          <w:r w:rsidR="00092A7D">
            <w:rPr>
              <w:color w:val="000000" w:themeColor="text1"/>
            </w:rPr>
            <w:instrText xml:space="preserve">CITATION Ken15 \p 20 \l 2057 </w:instrText>
          </w:r>
          <w:r w:rsidR="00092A7D">
            <w:rPr>
              <w:color w:val="000000" w:themeColor="text1"/>
            </w:rPr>
            <w:fldChar w:fldCharType="separate"/>
          </w:r>
          <w:r w:rsidR="00092A7D">
            <w:rPr>
              <w:noProof/>
              <w:color w:val="000000" w:themeColor="text1"/>
            </w:rPr>
            <w:t xml:space="preserve"> </w:t>
          </w:r>
          <w:r w:rsidR="00092A7D" w:rsidRPr="00092A7D">
            <w:rPr>
              <w:noProof/>
              <w:color w:val="000000" w:themeColor="text1"/>
            </w:rPr>
            <w:t>(Browne, 2015, p. 20)</w:t>
          </w:r>
          <w:r w:rsidR="00092A7D">
            <w:rPr>
              <w:color w:val="000000" w:themeColor="text1"/>
            </w:rPr>
            <w:fldChar w:fldCharType="end"/>
          </w:r>
        </w:sdtContent>
      </w:sdt>
    </w:p>
    <w:p w14:paraId="6DEF8C37" w14:textId="7B262057" w:rsidR="00DE0A18" w:rsidRDefault="00DE0A18" w:rsidP="009F7C0F">
      <w:pPr>
        <w:rPr>
          <w:color w:val="000000" w:themeColor="text1"/>
        </w:rPr>
      </w:pPr>
      <w:r>
        <w:rPr>
          <w:color w:val="000000" w:themeColor="text1"/>
        </w:rPr>
        <w:t xml:space="preserve">Postmodernists suggest that society and social structures no longer </w:t>
      </w:r>
      <w:r w:rsidR="001D58C9">
        <w:rPr>
          <w:color w:val="000000" w:themeColor="text1"/>
        </w:rPr>
        <w:t>exist and</w:t>
      </w:r>
      <w:r>
        <w:rPr>
          <w:color w:val="000000" w:themeColor="text1"/>
        </w:rPr>
        <w:t xml:space="preserve"> have in turn been replaced by independent individuals wh</w:t>
      </w:r>
      <w:r w:rsidR="00BD2D63">
        <w:rPr>
          <w:color w:val="000000" w:themeColor="text1"/>
        </w:rPr>
        <w:t>o are</w:t>
      </w:r>
      <w:r w:rsidR="00A66261">
        <w:rPr>
          <w:color w:val="000000" w:themeColor="text1"/>
        </w:rPr>
        <w:t xml:space="preserve"> able to make unique choices about their own lifestyles and identities that break away from the traditional constraints.</w:t>
      </w:r>
    </w:p>
    <w:p w14:paraId="4132FA1D" w14:textId="2128BBC9" w:rsidR="0026023C" w:rsidRDefault="0026023C" w:rsidP="00DE0A18">
      <w:pPr>
        <w:rPr>
          <w:color w:val="000000" w:themeColor="text1"/>
        </w:rPr>
      </w:pPr>
      <w:r>
        <w:rPr>
          <w:color w:val="000000" w:themeColor="text1"/>
        </w:rPr>
        <w:tab/>
        <w:t xml:space="preserve"> Identity is a major aspect of </w:t>
      </w:r>
      <w:r w:rsidR="008261B0">
        <w:rPr>
          <w:color w:val="000000" w:themeColor="text1"/>
        </w:rPr>
        <w:t>s</w:t>
      </w:r>
      <w:r>
        <w:rPr>
          <w:color w:val="000000" w:themeColor="text1"/>
        </w:rPr>
        <w:t xml:space="preserve">ocial </w:t>
      </w:r>
      <w:r w:rsidR="008261B0">
        <w:rPr>
          <w:color w:val="000000" w:themeColor="text1"/>
        </w:rPr>
        <w:t>c</w:t>
      </w:r>
      <w:r>
        <w:rPr>
          <w:color w:val="000000" w:themeColor="text1"/>
        </w:rPr>
        <w:t>onstructionism,</w:t>
      </w:r>
      <w:r w:rsidR="001944CF">
        <w:rPr>
          <w:color w:val="000000" w:themeColor="text1"/>
        </w:rPr>
        <w:t xml:space="preserve"> </w:t>
      </w:r>
      <w:r w:rsidR="009F7C0F">
        <w:rPr>
          <w:color w:val="000000" w:themeColor="text1"/>
        </w:rPr>
        <w:t xml:space="preserve">Burr (2003, p.106) </w:t>
      </w:r>
      <w:r w:rsidR="001944CF">
        <w:rPr>
          <w:color w:val="000000" w:themeColor="text1"/>
        </w:rPr>
        <w:t xml:space="preserve">indicates that </w:t>
      </w:r>
      <w:r w:rsidR="00D81470">
        <w:rPr>
          <w:color w:val="000000" w:themeColor="text1"/>
        </w:rPr>
        <w:t xml:space="preserve">having an </w:t>
      </w:r>
      <w:r w:rsidR="001944CF">
        <w:rPr>
          <w:color w:val="000000" w:themeColor="text1"/>
        </w:rPr>
        <w:t>‘</w:t>
      </w:r>
      <w:r w:rsidR="009F7C0F">
        <w:rPr>
          <w:color w:val="000000" w:themeColor="text1"/>
        </w:rPr>
        <w:t>i</w:t>
      </w:r>
      <w:r w:rsidR="001944CF">
        <w:rPr>
          <w:color w:val="000000" w:themeColor="text1"/>
        </w:rPr>
        <w:t xml:space="preserve">dentity’ </w:t>
      </w:r>
      <w:r w:rsidR="00A17B76">
        <w:rPr>
          <w:color w:val="000000" w:themeColor="text1"/>
        </w:rPr>
        <w:t xml:space="preserve">is an implicit social concept, Burr explains that when we identify something, such as a plant or an animal, that is </w:t>
      </w:r>
      <w:r w:rsidR="003F269D">
        <w:rPr>
          <w:color w:val="000000" w:themeColor="text1"/>
        </w:rPr>
        <w:t xml:space="preserve">us, as humans, </w:t>
      </w:r>
      <w:r w:rsidR="00A17B76">
        <w:rPr>
          <w:color w:val="000000" w:themeColor="text1"/>
        </w:rPr>
        <w:t xml:space="preserve">giving it an identity. </w:t>
      </w:r>
      <w:r w:rsidR="004F07F4">
        <w:rPr>
          <w:color w:val="000000" w:themeColor="text1"/>
        </w:rPr>
        <w:t xml:space="preserve">It can be argued that identity cannot be discussed without first </w:t>
      </w:r>
      <w:r w:rsidR="004A303A">
        <w:rPr>
          <w:color w:val="000000" w:themeColor="text1"/>
        </w:rPr>
        <w:t>introducing</w:t>
      </w:r>
      <w:r w:rsidR="004F07F4">
        <w:rPr>
          <w:color w:val="000000" w:themeColor="text1"/>
        </w:rPr>
        <w:t xml:space="preserve"> Michel Foucault’s discourse Theory</w:t>
      </w:r>
      <w:r w:rsidR="00944B71">
        <w:rPr>
          <w:color w:val="000000" w:themeColor="text1"/>
        </w:rPr>
        <w:t>. Discourse can be described as communication of thought, through words.</w:t>
      </w:r>
      <w:r w:rsidR="004F07F4">
        <w:rPr>
          <w:color w:val="000000" w:themeColor="text1"/>
        </w:rPr>
        <w:t xml:space="preserve"> </w:t>
      </w:r>
      <w:r w:rsidR="009F7C0F">
        <w:rPr>
          <w:color w:val="000000" w:themeColor="text1"/>
        </w:rPr>
        <w:t>Jones and Bradbury (2018, p.133)</w:t>
      </w:r>
      <w:r w:rsidR="004A303A">
        <w:rPr>
          <w:color w:val="000000" w:themeColor="text1"/>
        </w:rPr>
        <w:t xml:space="preserve"> explain that </w:t>
      </w:r>
      <w:r w:rsidR="00944B71">
        <w:rPr>
          <w:color w:val="000000" w:themeColor="text1"/>
        </w:rPr>
        <w:t>using discourse is the only human way of knowing about reality, which can also be explained as the only way that we can think or talk at all is by using a discourse in one way or another. Additionally</w:t>
      </w:r>
      <w:r w:rsidR="00391C39">
        <w:rPr>
          <w:color w:val="000000" w:themeColor="text1"/>
        </w:rPr>
        <w:t>, ‘who we are – what we think, what we know, and what we talk about</w:t>
      </w:r>
      <w:r w:rsidR="009F7C0F">
        <w:rPr>
          <w:color w:val="000000" w:themeColor="text1"/>
        </w:rPr>
        <w:t>, which</w:t>
      </w:r>
      <w:r w:rsidR="00391C39">
        <w:rPr>
          <w:color w:val="000000" w:themeColor="text1"/>
        </w:rPr>
        <w:t xml:space="preserve"> is produced by the various discourses we encounter and use’ </w:t>
      </w:r>
      <w:r w:rsidR="009F7C0F">
        <w:rPr>
          <w:color w:val="000000" w:themeColor="text1"/>
        </w:rPr>
        <w:t xml:space="preserve">It </w:t>
      </w:r>
      <w:r w:rsidR="00FD0E00">
        <w:rPr>
          <w:color w:val="000000" w:themeColor="text1"/>
        </w:rPr>
        <w:t>can be perceived</w:t>
      </w:r>
      <w:r w:rsidR="009F7C0F">
        <w:rPr>
          <w:color w:val="000000" w:themeColor="text1"/>
        </w:rPr>
        <w:t xml:space="preserve"> that</w:t>
      </w:r>
      <w:r w:rsidR="00FD0E00">
        <w:rPr>
          <w:color w:val="000000" w:themeColor="text1"/>
        </w:rPr>
        <w:t xml:space="preserve"> in the language we use</w:t>
      </w:r>
      <w:r w:rsidR="009F7C0F">
        <w:rPr>
          <w:color w:val="000000" w:themeColor="text1"/>
        </w:rPr>
        <w:t xml:space="preserve"> discourse</w:t>
      </w:r>
      <w:r w:rsidR="00FD0E00">
        <w:rPr>
          <w:color w:val="000000" w:themeColor="text1"/>
        </w:rPr>
        <w:t xml:space="preserve"> integrates with identity</w:t>
      </w:r>
      <w:r w:rsidR="009F7C0F">
        <w:rPr>
          <w:color w:val="000000" w:themeColor="text1"/>
        </w:rPr>
        <w:t xml:space="preserve">, </w:t>
      </w:r>
      <w:r w:rsidR="00FD0E00">
        <w:rPr>
          <w:color w:val="000000" w:themeColor="text1"/>
        </w:rPr>
        <w:t>what people think, what people know and how people talk which is created by the discourses in which they are implicated.</w:t>
      </w:r>
      <w:r w:rsidR="00FD0E00" w:rsidRPr="00FD0E00">
        <w:rPr>
          <w:color w:val="000000" w:themeColor="text1"/>
        </w:rPr>
        <w:t xml:space="preserve"> </w:t>
      </w:r>
      <w:r w:rsidR="009F7C0F">
        <w:rPr>
          <w:color w:val="000000" w:themeColor="text1"/>
        </w:rPr>
        <w:t xml:space="preserve">Burr (1998) </w:t>
      </w:r>
      <w:r w:rsidR="00FD0E00">
        <w:rPr>
          <w:color w:val="000000" w:themeColor="text1"/>
        </w:rPr>
        <w:t xml:space="preserve">describes that the view of language has a direct influence on our thoughts and everyday assumptions about the world </w:t>
      </w:r>
      <w:r w:rsidR="0054019D">
        <w:rPr>
          <w:color w:val="000000" w:themeColor="text1"/>
        </w:rPr>
        <w:t xml:space="preserve">and </w:t>
      </w:r>
      <w:r w:rsidR="00FD0E00">
        <w:rPr>
          <w:color w:val="000000" w:themeColor="text1"/>
        </w:rPr>
        <w:t>is central to social constructionism</w:t>
      </w:r>
      <w:r w:rsidR="0054019D">
        <w:rPr>
          <w:color w:val="000000" w:themeColor="text1"/>
        </w:rPr>
        <w:t>,</w:t>
      </w:r>
      <w:r w:rsidR="00FD0E00">
        <w:rPr>
          <w:color w:val="000000" w:themeColor="text1"/>
        </w:rPr>
        <w:t xml:space="preserve"> which argues that our understanding of the world and each other is socially constructed through our interactions, the use of our language and how we communicate in particular, the grammar </w:t>
      </w:r>
      <w:r w:rsidR="00FD0E00">
        <w:rPr>
          <w:color w:val="000000" w:themeColor="text1"/>
        </w:rPr>
        <w:lastRenderedPageBreak/>
        <w:t xml:space="preserve">in which we use and the structure of our language. For example, the pronouns that we use to refer to speakers, ‘I’ and ‘you’ make us think of ourselves as individuals, with different experiences and personalities. Words such as these, and also ‘he’ and ‘she’ </w:t>
      </w:r>
      <w:r w:rsidR="00FD0E00">
        <w:rPr>
          <w:color w:val="000000" w:themeColor="text1"/>
        </w:rPr>
        <w:t>implement</w:t>
      </w:r>
      <w:r w:rsidR="00B37924">
        <w:rPr>
          <w:color w:val="000000" w:themeColor="text1"/>
        </w:rPr>
        <w:t xml:space="preserve"> a coherent way of representing the world, and in turn, allocate an individual into a category. Burr (1998) explains that ‘different discourses construct the world in different ways, and offer competing pictures of what people, and thus men and women, are like’. </w:t>
      </w:r>
    </w:p>
    <w:p w14:paraId="7670FC08" w14:textId="77E0C317" w:rsidR="00092A7D" w:rsidRDefault="00AA3ABF" w:rsidP="00092A7D">
      <w:pPr>
        <w:spacing w:line="240" w:lineRule="auto"/>
        <w:ind w:left="680" w:right="680"/>
        <w:rPr>
          <w:color w:val="000000" w:themeColor="text1"/>
        </w:rPr>
      </w:pPr>
      <w:r>
        <w:rPr>
          <w:color w:val="000000" w:themeColor="text1"/>
        </w:rPr>
        <w:tab/>
        <w:t>‘Discourses are ways of thinking, knowing and talking, provide us with the only ways in which we can ‘be’ anybody at all. They provide us with our thoughts and our knowledge and, therefore, can be said to direct, or be behind, any actions we choose to take’</w:t>
      </w:r>
      <w:sdt>
        <w:sdtPr>
          <w:rPr>
            <w:color w:val="000000" w:themeColor="text1"/>
          </w:rPr>
          <w:id w:val="-1147657893"/>
          <w:citation/>
        </w:sdtPr>
        <w:sdtEndPr/>
        <w:sdtContent>
          <w:r>
            <w:rPr>
              <w:color w:val="000000" w:themeColor="text1"/>
            </w:rPr>
            <w:fldChar w:fldCharType="begin"/>
          </w:r>
          <w:r>
            <w:rPr>
              <w:color w:val="000000" w:themeColor="text1"/>
            </w:rPr>
            <w:instrText xml:space="preserve">CITATION Jon18 \p 133 \l 2057 </w:instrText>
          </w:r>
          <w:r>
            <w:rPr>
              <w:color w:val="000000" w:themeColor="text1"/>
            </w:rPr>
            <w:fldChar w:fldCharType="separate"/>
          </w:r>
          <w:r>
            <w:rPr>
              <w:noProof/>
              <w:color w:val="000000" w:themeColor="text1"/>
            </w:rPr>
            <w:t xml:space="preserve"> </w:t>
          </w:r>
          <w:r w:rsidRPr="00AA3ABF">
            <w:rPr>
              <w:noProof/>
              <w:color w:val="000000" w:themeColor="text1"/>
            </w:rPr>
            <w:t>(Jones &amp; Bradbury, 2018, p. 133)</w:t>
          </w:r>
          <w:r>
            <w:rPr>
              <w:color w:val="000000" w:themeColor="text1"/>
            </w:rPr>
            <w:fldChar w:fldCharType="end"/>
          </w:r>
        </w:sdtContent>
      </w:sdt>
      <w:r>
        <w:rPr>
          <w:color w:val="000000" w:themeColor="text1"/>
        </w:rPr>
        <w:t>.</w:t>
      </w:r>
    </w:p>
    <w:p w14:paraId="04A944B1" w14:textId="2DDD1F20" w:rsidR="00092A7D" w:rsidRDefault="0054019D" w:rsidP="0054019D">
      <w:pPr>
        <w:rPr>
          <w:color w:val="000000" w:themeColor="text1"/>
        </w:rPr>
      </w:pPr>
      <w:r>
        <w:rPr>
          <w:color w:val="000000" w:themeColor="text1"/>
        </w:rPr>
        <w:t>These actions make us individual and give us an identity, Browne (2015) describes</w:t>
      </w:r>
      <w:r w:rsidR="00092A7D">
        <w:rPr>
          <w:color w:val="000000" w:themeColor="text1"/>
        </w:rPr>
        <w:t xml:space="preserve"> identity as something that is socially constructed, </w:t>
      </w:r>
      <w:r w:rsidR="00FB7DE5">
        <w:rPr>
          <w:color w:val="000000" w:themeColor="text1"/>
        </w:rPr>
        <w:t>not something that is given by biology or nature, as an example, being black or white, or male or female, are onl</w:t>
      </w:r>
      <w:r w:rsidR="001D4AB9">
        <w:rPr>
          <w:color w:val="000000" w:themeColor="text1"/>
        </w:rPr>
        <w:t xml:space="preserve">y </w:t>
      </w:r>
      <w:r w:rsidR="00AC7283">
        <w:rPr>
          <w:color w:val="000000" w:themeColor="text1"/>
        </w:rPr>
        <w:t>categorised as such due to society attaching an importance to these characteristics</w:t>
      </w:r>
      <w:r>
        <w:rPr>
          <w:color w:val="000000" w:themeColor="text1"/>
        </w:rPr>
        <w:t>,</w:t>
      </w:r>
      <w:r w:rsidR="00AC7283">
        <w:rPr>
          <w:color w:val="000000" w:themeColor="text1"/>
        </w:rPr>
        <w:t xml:space="preserve"> and as a result people are defined by these categories. </w:t>
      </w:r>
      <w:r w:rsidR="00981DC4">
        <w:rPr>
          <w:color w:val="000000" w:themeColor="text1"/>
        </w:rPr>
        <w:t xml:space="preserve">Identity can be influenced by two separate types of socialisation, these are, primary socialisation and secondary socialisation, both of which play apart in the social construct of our individual identity. Primary socialisation refers to </w:t>
      </w:r>
      <w:r w:rsidR="0025355E">
        <w:rPr>
          <w:color w:val="000000" w:themeColor="text1"/>
        </w:rPr>
        <w:t>the early</w:t>
      </w:r>
      <w:r w:rsidR="00981DC4">
        <w:rPr>
          <w:color w:val="000000" w:themeColor="text1"/>
        </w:rPr>
        <w:t xml:space="preserve"> years of childhood with </w:t>
      </w:r>
      <w:r w:rsidR="0025355E">
        <w:rPr>
          <w:color w:val="000000" w:themeColor="text1"/>
        </w:rPr>
        <w:t xml:space="preserve">interaction between the child and their </w:t>
      </w:r>
      <w:r w:rsidR="00981DC4">
        <w:rPr>
          <w:color w:val="000000" w:themeColor="text1"/>
        </w:rPr>
        <w:t xml:space="preserve">family and </w:t>
      </w:r>
      <w:r w:rsidR="0025355E">
        <w:rPr>
          <w:color w:val="000000" w:themeColor="text1"/>
        </w:rPr>
        <w:t xml:space="preserve">their </w:t>
      </w:r>
      <w:r w:rsidR="00981DC4">
        <w:rPr>
          <w:color w:val="000000" w:themeColor="text1"/>
        </w:rPr>
        <w:t xml:space="preserve">playgroups for example. </w:t>
      </w:r>
      <w:r>
        <w:rPr>
          <w:color w:val="000000" w:themeColor="text1"/>
        </w:rPr>
        <w:t xml:space="preserve">Browne (2015) </w:t>
      </w:r>
      <w:r w:rsidR="00981DC4">
        <w:rPr>
          <w:color w:val="000000" w:themeColor="text1"/>
        </w:rPr>
        <w:t>explain</w:t>
      </w:r>
      <w:r>
        <w:rPr>
          <w:color w:val="000000" w:themeColor="text1"/>
        </w:rPr>
        <w:t>s</w:t>
      </w:r>
      <w:r w:rsidR="00981DC4">
        <w:rPr>
          <w:color w:val="000000" w:themeColor="text1"/>
        </w:rPr>
        <w:t xml:space="preserve"> that within this period of socialisation, children first learn the basic values of society</w:t>
      </w:r>
      <w:r w:rsidR="0025355E">
        <w:rPr>
          <w:color w:val="000000" w:themeColor="text1"/>
        </w:rPr>
        <w:t xml:space="preserve"> and start to form themselves as individuals, in turn, constructing their individual identity which in most cases stays with the child for the rest of their lives. Secondary socialisation </w:t>
      </w:r>
      <w:r w:rsidR="000E167A">
        <w:rPr>
          <w:color w:val="000000" w:themeColor="text1"/>
        </w:rPr>
        <w:t>is what takes place beyond the family and close community which has more influence on individuals as they grow older and gain their independence</w:t>
      </w:r>
      <w:r w:rsidR="00941858">
        <w:rPr>
          <w:color w:val="000000" w:themeColor="text1"/>
        </w:rPr>
        <w:t xml:space="preserve"> which </w:t>
      </w:r>
      <w:r w:rsidR="000E167A">
        <w:rPr>
          <w:color w:val="000000" w:themeColor="text1"/>
        </w:rPr>
        <w:t xml:space="preserve">can be through the educational system or becoming aware and subjected to media influences. </w:t>
      </w:r>
      <w:r w:rsidR="00941858">
        <w:rPr>
          <w:color w:val="000000" w:themeColor="text1"/>
        </w:rPr>
        <w:t>All of which suggests that biology has little or no impact on the construct of a person’s reality, and it can be argued that any child regardless of their social class, gender, race or religion can be influenced by the norms, values</w:t>
      </w:r>
      <w:r w:rsidR="00C24CC8">
        <w:rPr>
          <w:color w:val="000000" w:themeColor="text1"/>
        </w:rPr>
        <w:t>,</w:t>
      </w:r>
      <w:r w:rsidR="00941858">
        <w:rPr>
          <w:color w:val="000000" w:themeColor="text1"/>
        </w:rPr>
        <w:t xml:space="preserve"> morals and ideologies of those around them to </w:t>
      </w:r>
      <w:r w:rsidR="00C24CC8">
        <w:rPr>
          <w:color w:val="000000" w:themeColor="text1"/>
        </w:rPr>
        <w:t xml:space="preserve">influence </w:t>
      </w:r>
      <w:r w:rsidR="00941858">
        <w:rPr>
          <w:color w:val="000000" w:themeColor="text1"/>
        </w:rPr>
        <w:t xml:space="preserve">their </w:t>
      </w:r>
      <w:r w:rsidR="00C24CC8">
        <w:rPr>
          <w:color w:val="000000" w:themeColor="text1"/>
        </w:rPr>
        <w:t xml:space="preserve">individual </w:t>
      </w:r>
      <w:r w:rsidR="00941858">
        <w:rPr>
          <w:color w:val="000000" w:themeColor="text1"/>
        </w:rPr>
        <w:t>identit</w:t>
      </w:r>
      <w:r w:rsidR="00C24CC8">
        <w:rPr>
          <w:color w:val="000000" w:themeColor="text1"/>
        </w:rPr>
        <w:t>y.</w:t>
      </w:r>
      <w:r w:rsidR="00D17D86">
        <w:rPr>
          <w:color w:val="000000" w:themeColor="text1"/>
        </w:rPr>
        <w:t xml:space="preserve"> This can be seen from the nurture side of the ‘nature v</w:t>
      </w:r>
      <w:r w:rsidR="006D01A5">
        <w:rPr>
          <w:color w:val="000000" w:themeColor="text1"/>
        </w:rPr>
        <w:t>ersus</w:t>
      </w:r>
      <w:r w:rsidR="00D17D86">
        <w:rPr>
          <w:color w:val="000000" w:themeColor="text1"/>
        </w:rPr>
        <w:t xml:space="preserve"> nurture’ debate and by examining theories by psychologists such as John B Watson who supported nurture over nature and claimed that everything is built into a child through the interaction that they have with their environment and immediate relationships.</w:t>
      </w:r>
      <w:r w:rsidR="00336DB6">
        <w:rPr>
          <w:color w:val="000000" w:themeColor="text1"/>
        </w:rPr>
        <w:t xml:space="preserve"> Watson </w:t>
      </w:r>
      <w:r>
        <w:rPr>
          <w:color w:val="000000" w:themeColor="text1"/>
        </w:rPr>
        <w:t>(1996) writes</w:t>
      </w:r>
      <w:r w:rsidR="00336DB6">
        <w:rPr>
          <w:color w:val="000000" w:themeColor="text1"/>
        </w:rPr>
        <w:t>:</w:t>
      </w:r>
    </w:p>
    <w:p w14:paraId="3764CEAE" w14:textId="07FCB258" w:rsidR="00D17D86" w:rsidRDefault="00D17D86" w:rsidP="00D17D86">
      <w:pPr>
        <w:spacing w:line="240" w:lineRule="auto"/>
        <w:ind w:left="680" w:right="680"/>
        <w:rPr>
          <w:color w:val="000000" w:themeColor="text1"/>
        </w:rPr>
      </w:pPr>
      <w:r>
        <w:rPr>
          <w:color w:val="000000" w:themeColor="text1"/>
        </w:rPr>
        <w:t>‘Give me a dozen healthy infants, well-formed, and my own specified world to bring them up in and I’ll guarantee to take any one at random and train him to become any type of specialist I might select – a doctor, lawyer, artist, merchant-chief, and yes, even a beggar man and thief regardless of his talents, penchants, tendencies, abilities, vocations and race of his ancestors</w:t>
      </w:r>
      <w:r w:rsidR="00413280">
        <w:rPr>
          <w:color w:val="000000" w:themeColor="text1"/>
        </w:rPr>
        <w:t>’</w:t>
      </w:r>
      <w:r>
        <w:rPr>
          <w:color w:val="000000" w:themeColor="text1"/>
        </w:rPr>
        <w:t xml:space="preserve"> </w:t>
      </w:r>
      <w:sdt>
        <w:sdtPr>
          <w:rPr>
            <w:color w:val="000000" w:themeColor="text1"/>
          </w:rPr>
          <w:id w:val="802813541"/>
          <w:citation/>
        </w:sdtPr>
        <w:sdtEndPr/>
        <w:sdtContent>
          <w:r>
            <w:rPr>
              <w:color w:val="000000" w:themeColor="text1"/>
            </w:rPr>
            <w:fldChar w:fldCharType="begin"/>
          </w:r>
          <w:r>
            <w:rPr>
              <w:color w:val="000000" w:themeColor="text1"/>
            </w:rPr>
            <w:instrText xml:space="preserve"> CITATION Wat66 \l 2057 </w:instrText>
          </w:r>
          <w:r>
            <w:rPr>
              <w:color w:val="000000" w:themeColor="text1"/>
            </w:rPr>
            <w:fldChar w:fldCharType="separate"/>
          </w:r>
          <w:r w:rsidRPr="00D17D86">
            <w:rPr>
              <w:noProof/>
              <w:color w:val="000000" w:themeColor="text1"/>
            </w:rPr>
            <w:t>(Watson, 1966)</w:t>
          </w:r>
          <w:r>
            <w:rPr>
              <w:color w:val="000000" w:themeColor="text1"/>
            </w:rPr>
            <w:fldChar w:fldCharType="end"/>
          </w:r>
        </w:sdtContent>
      </w:sdt>
      <w:r w:rsidR="00413280">
        <w:rPr>
          <w:color w:val="000000" w:themeColor="text1"/>
        </w:rPr>
        <w:t>.</w:t>
      </w:r>
    </w:p>
    <w:p w14:paraId="3EBA7E63" w14:textId="1FD31008" w:rsidR="00336DB6" w:rsidRDefault="00794691">
      <w:pPr>
        <w:rPr>
          <w:color w:val="000000" w:themeColor="text1"/>
        </w:rPr>
      </w:pPr>
      <w:r>
        <w:rPr>
          <w:color w:val="000000" w:themeColor="text1"/>
        </w:rPr>
        <w:t>The ‘Nature versus Nurture</w:t>
      </w:r>
      <w:r w:rsidR="00DC7AEB">
        <w:rPr>
          <w:color w:val="000000" w:themeColor="text1"/>
        </w:rPr>
        <w:t>’</w:t>
      </w:r>
      <w:r>
        <w:rPr>
          <w:color w:val="000000" w:themeColor="text1"/>
        </w:rPr>
        <w:t xml:space="preserve"> argument i</w:t>
      </w:r>
      <w:r w:rsidR="006D01A5">
        <w:rPr>
          <w:color w:val="000000" w:themeColor="text1"/>
        </w:rPr>
        <w:t xml:space="preserve">s </w:t>
      </w:r>
      <w:r>
        <w:rPr>
          <w:color w:val="000000" w:themeColor="text1"/>
        </w:rPr>
        <w:t>considered a longstanding debate</w:t>
      </w:r>
      <w:r w:rsidR="00DC7AEB">
        <w:rPr>
          <w:color w:val="000000" w:themeColor="text1"/>
        </w:rPr>
        <w:t xml:space="preserve"> within the social sciences, </w:t>
      </w:r>
      <w:r w:rsidR="0054019D">
        <w:rPr>
          <w:color w:val="000000" w:themeColor="text1"/>
        </w:rPr>
        <w:t xml:space="preserve">Mallon (2007) </w:t>
      </w:r>
      <w:r w:rsidR="00DC7AEB">
        <w:rPr>
          <w:color w:val="000000" w:themeColor="text1"/>
        </w:rPr>
        <w:t xml:space="preserve">explains that among academics, social constructionism is associated </w:t>
      </w:r>
      <w:r w:rsidR="00DC7AEB">
        <w:rPr>
          <w:color w:val="000000" w:themeColor="text1"/>
        </w:rPr>
        <w:lastRenderedPageBreak/>
        <w:t xml:space="preserve">with the so-called ‘science-wars’ which </w:t>
      </w:r>
      <w:r w:rsidR="00FE7D7F">
        <w:rPr>
          <w:color w:val="000000" w:themeColor="text1"/>
        </w:rPr>
        <w:t xml:space="preserve">social constructionism is identified with ‘radical anti-realism’ about reality, and in turn the findings of science in particular. </w:t>
      </w:r>
    </w:p>
    <w:p w14:paraId="76F77F32" w14:textId="30203F5B" w:rsidR="00FE7D7F" w:rsidRDefault="00FE7D7F">
      <w:pPr>
        <w:rPr>
          <w:color w:val="000000" w:themeColor="text1"/>
        </w:rPr>
      </w:pPr>
      <w:r>
        <w:rPr>
          <w:color w:val="000000" w:themeColor="text1"/>
        </w:rPr>
        <w:tab/>
        <w:t xml:space="preserve">Looking closer at the ‘Nature versus Nurture’ </w:t>
      </w:r>
      <w:r w:rsidR="00564656">
        <w:rPr>
          <w:color w:val="000000" w:themeColor="text1"/>
        </w:rPr>
        <w:t xml:space="preserve">debate, </w:t>
      </w:r>
      <w:proofErr w:type="spellStart"/>
      <w:r w:rsidR="0054019D">
        <w:rPr>
          <w:color w:val="000000" w:themeColor="text1"/>
        </w:rPr>
        <w:t>Gergen</w:t>
      </w:r>
      <w:proofErr w:type="spellEnd"/>
      <w:r w:rsidR="0054019D">
        <w:rPr>
          <w:color w:val="000000" w:themeColor="text1"/>
        </w:rPr>
        <w:t xml:space="preserve"> (2015) </w:t>
      </w:r>
      <w:r w:rsidR="00564656">
        <w:rPr>
          <w:color w:val="000000" w:themeColor="text1"/>
        </w:rPr>
        <w:t xml:space="preserve">explores how our own behaviour can be connected to our biology as opposed to our socialisation. </w:t>
      </w:r>
      <w:proofErr w:type="spellStart"/>
      <w:r w:rsidR="00817846">
        <w:rPr>
          <w:color w:val="000000" w:themeColor="text1"/>
        </w:rPr>
        <w:t>Gergen</w:t>
      </w:r>
      <w:proofErr w:type="spellEnd"/>
      <w:r w:rsidR="00817846">
        <w:rPr>
          <w:color w:val="000000" w:themeColor="text1"/>
        </w:rPr>
        <w:t xml:space="preserve"> questions, ‘if you fall in love, is this because of biology or cultural tradition?’ or ‘if you want to excel in sport, is this your genes speaking or the way you were raised?’. The biological argument of nature supports individual identity</w:t>
      </w:r>
      <w:r w:rsidR="00431C83">
        <w:rPr>
          <w:color w:val="000000" w:themeColor="text1"/>
        </w:rPr>
        <w:t>,</w:t>
      </w:r>
      <w:r w:rsidR="00817846">
        <w:rPr>
          <w:color w:val="000000" w:themeColor="text1"/>
        </w:rPr>
        <w:t xml:space="preserve"> thus as a human, we do what we do despite the influences of the social construct around us, it is </w:t>
      </w:r>
      <w:r w:rsidR="00BF4641">
        <w:rPr>
          <w:color w:val="000000" w:themeColor="text1"/>
        </w:rPr>
        <w:t xml:space="preserve">therefore </w:t>
      </w:r>
      <w:r w:rsidR="00817846">
        <w:rPr>
          <w:color w:val="000000" w:themeColor="text1"/>
        </w:rPr>
        <w:t xml:space="preserve">a </w:t>
      </w:r>
      <w:r w:rsidR="00261F51">
        <w:rPr>
          <w:color w:val="000000" w:themeColor="text1"/>
        </w:rPr>
        <w:t>‘</w:t>
      </w:r>
      <w:r w:rsidR="00817846">
        <w:rPr>
          <w:color w:val="000000" w:themeColor="text1"/>
        </w:rPr>
        <w:t>by-product of the genetic makeup within</w:t>
      </w:r>
      <w:r w:rsidR="00261F51">
        <w:rPr>
          <w:color w:val="000000" w:themeColor="text1"/>
        </w:rPr>
        <w:t>’</w:t>
      </w:r>
      <w:sdt>
        <w:sdtPr>
          <w:rPr>
            <w:color w:val="000000" w:themeColor="text1"/>
          </w:rPr>
          <w:id w:val="-1844395904"/>
          <w:citation/>
        </w:sdtPr>
        <w:sdtEndPr/>
        <w:sdtContent>
          <w:r w:rsidR="003E5655">
            <w:rPr>
              <w:color w:val="000000" w:themeColor="text1"/>
            </w:rPr>
            <w:fldChar w:fldCharType="begin"/>
          </w:r>
          <w:r w:rsidR="003E5655">
            <w:rPr>
              <w:color w:val="000000" w:themeColor="text1"/>
            </w:rPr>
            <w:instrText xml:space="preserve">CITATION Ger15 \p 101 \l 2057 </w:instrText>
          </w:r>
          <w:r w:rsidR="003E5655">
            <w:rPr>
              <w:color w:val="000000" w:themeColor="text1"/>
            </w:rPr>
            <w:fldChar w:fldCharType="separate"/>
          </w:r>
          <w:r w:rsidR="003E5655">
            <w:rPr>
              <w:noProof/>
              <w:color w:val="000000" w:themeColor="text1"/>
            </w:rPr>
            <w:t xml:space="preserve"> </w:t>
          </w:r>
          <w:r w:rsidR="003E5655" w:rsidRPr="003E5655">
            <w:rPr>
              <w:noProof/>
              <w:color w:val="000000" w:themeColor="text1"/>
            </w:rPr>
            <w:t>(Gergen, 2015, p. 101)</w:t>
          </w:r>
          <w:r w:rsidR="003E5655">
            <w:rPr>
              <w:color w:val="000000" w:themeColor="text1"/>
            </w:rPr>
            <w:fldChar w:fldCharType="end"/>
          </w:r>
        </w:sdtContent>
      </w:sdt>
      <w:r w:rsidR="002B4FFA">
        <w:rPr>
          <w:color w:val="000000" w:themeColor="text1"/>
        </w:rPr>
        <w:t>.</w:t>
      </w:r>
      <w:r w:rsidR="00817846">
        <w:rPr>
          <w:color w:val="000000" w:themeColor="text1"/>
        </w:rPr>
        <w:t xml:space="preserve"> However, the nurture argument </w:t>
      </w:r>
      <w:r w:rsidR="00BF4641">
        <w:rPr>
          <w:color w:val="000000" w:themeColor="text1"/>
        </w:rPr>
        <w:t>supports a more social aspect of a person, which can be shown in the work of Russian psychologist Lev Vy</w:t>
      </w:r>
      <w:r w:rsidR="00625718">
        <w:rPr>
          <w:color w:val="000000" w:themeColor="text1"/>
        </w:rPr>
        <w:t>gotsky who</w:t>
      </w:r>
      <w:r w:rsidR="00862EC4">
        <w:rPr>
          <w:color w:val="000000" w:themeColor="text1"/>
        </w:rPr>
        <w:t xml:space="preserve">’s hypothesis </w:t>
      </w:r>
      <w:r w:rsidR="003E5655">
        <w:rPr>
          <w:color w:val="000000" w:themeColor="text1"/>
        </w:rPr>
        <w:t xml:space="preserve">was centred around the concept that ‘higher mental functions are socially formed and culturally transmitted’ </w:t>
      </w:r>
      <w:sdt>
        <w:sdtPr>
          <w:rPr>
            <w:color w:val="000000" w:themeColor="text1"/>
          </w:rPr>
          <w:id w:val="-191615766"/>
          <w:citation/>
        </w:sdtPr>
        <w:sdtContent>
          <w:r w:rsidR="00F8679E">
            <w:rPr>
              <w:color w:val="000000" w:themeColor="text1"/>
            </w:rPr>
            <w:fldChar w:fldCharType="begin"/>
          </w:r>
          <w:r w:rsidR="00F8679E">
            <w:rPr>
              <w:color w:val="000000" w:themeColor="text1"/>
            </w:rPr>
            <w:instrText xml:space="preserve">CITATION Lev80 \p 126 \l 2057 </w:instrText>
          </w:r>
          <w:r w:rsidR="00F8679E">
            <w:rPr>
              <w:color w:val="000000" w:themeColor="text1"/>
            </w:rPr>
            <w:fldChar w:fldCharType="separate"/>
          </w:r>
          <w:r w:rsidR="00F8679E" w:rsidRPr="003E5655">
            <w:rPr>
              <w:noProof/>
              <w:color w:val="000000" w:themeColor="text1"/>
            </w:rPr>
            <w:t>(Vygotsky, 1980, p. 126)</w:t>
          </w:r>
          <w:r w:rsidR="00F8679E">
            <w:rPr>
              <w:color w:val="000000" w:themeColor="text1"/>
            </w:rPr>
            <w:fldChar w:fldCharType="end"/>
          </w:r>
        </w:sdtContent>
      </w:sdt>
      <w:r w:rsidR="00F8679E">
        <w:rPr>
          <w:color w:val="000000" w:themeColor="text1"/>
        </w:rPr>
        <w:t xml:space="preserve">, </w:t>
      </w:r>
      <w:r w:rsidR="003E5655">
        <w:rPr>
          <w:color w:val="000000" w:themeColor="text1"/>
        </w:rPr>
        <w:t xml:space="preserve">which suggests that </w:t>
      </w:r>
      <w:r w:rsidR="00FA635C">
        <w:rPr>
          <w:color w:val="000000" w:themeColor="text1"/>
        </w:rPr>
        <w:t xml:space="preserve">it is the social construct that dictates who you are and who you become. </w:t>
      </w:r>
      <w:r w:rsidR="002B4FFA">
        <w:rPr>
          <w:color w:val="000000" w:themeColor="text1"/>
        </w:rPr>
        <w:t xml:space="preserve">Vygotsky’s claims are supported by the John/Joan case that was published by </w:t>
      </w:r>
      <w:proofErr w:type="spellStart"/>
      <w:r w:rsidR="00822343">
        <w:rPr>
          <w:color w:val="000000" w:themeColor="text1"/>
        </w:rPr>
        <w:t>Dr.</w:t>
      </w:r>
      <w:proofErr w:type="spellEnd"/>
      <w:r w:rsidR="00822343">
        <w:rPr>
          <w:color w:val="000000" w:themeColor="text1"/>
        </w:rPr>
        <w:t xml:space="preserve"> John Money in the 1960’s who claimed that a child’s gender was constructed through nurturing. </w:t>
      </w:r>
      <w:r w:rsidR="00F8679E">
        <w:rPr>
          <w:color w:val="000000" w:themeColor="text1"/>
        </w:rPr>
        <w:t xml:space="preserve">Bader (2014) </w:t>
      </w:r>
      <w:r w:rsidR="00822343">
        <w:rPr>
          <w:color w:val="000000" w:themeColor="text1"/>
        </w:rPr>
        <w:t xml:space="preserve">explains that the John/Joan case was an experiment that was conducted almost by accident after twin boys, who were two months old were sent for circumcision, however after complications during the surgery, one of the boys was left with his external genitalia being severely damaged. </w:t>
      </w:r>
      <w:proofErr w:type="spellStart"/>
      <w:r w:rsidR="00822343">
        <w:rPr>
          <w:color w:val="000000" w:themeColor="text1"/>
        </w:rPr>
        <w:t>Dr.</w:t>
      </w:r>
      <w:proofErr w:type="spellEnd"/>
      <w:r w:rsidR="00822343">
        <w:rPr>
          <w:color w:val="000000" w:themeColor="text1"/>
        </w:rPr>
        <w:t xml:space="preserve"> Money encouraged and ensured the parents that if they were to surgically make their son appear feminine, and with the help of hormones and the nurturing of the parents, they could successfully bring their son up to be a girl. </w:t>
      </w:r>
      <w:r w:rsidR="00336CEF">
        <w:rPr>
          <w:color w:val="000000" w:themeColor="text1"/>
        </w:rPr>
        <w:t xml:space="preserve">However, years after </w:t>
      </w:r>
      <w:proofErr w:type="spellStart"/>
      <w:r w:rsidR="00336CEF">
        <w:rPr>
          <w:color w:val="000000" w:themeColor="text1"/>
        </w:rPr>
        <w:t>Dr.</w:t>
      </w:r>
      <w:proofErr w:type="spellEnd"/>
      <w:r w:rsidR="00336CEF">
        <w:rPr>
          <w:color w:val="000000" w:themeColor="text1"/>
        </w:rPr>
        <w:t xml:space="preserve"> Money published his experiment as a success, a man named David Reimer stepped forward and identified himself as the object in the John/Joan case. He revealed that his reality was different to the success that was published and that he was in fact troubled, depressed and suicidal whilst growing up as a girl, and once he learnt</w:t>
      </w:r>
      <w:r w:rsidR="00331589">
        <w:rPr>
          <w:color w:val="000000" w:themeColor="text1"/>
        </w:rPr>
        <w:t xml:space="preserve"> about his male </w:t>
      </w:r>
      <w:r w:rsidR="00B421B8">
        <w:rPr>
          <w:color w:val="000000" w:themeColor="text1"/>
        </w:rPr>
        <w:t>identity at fourteen, he resumed the ‘male’ gender</w:t>
      </w:r>
      <w:r w:rsidR="00CE66F6">
        <w:rPr>
          <w:color w:val="000000" w:themeColor="text1"/>
        </w:rPr>
        <w:t>.</w:t>
      </w:r>
      <w:r w:rsidR="00B421B8">
        <w:rPr>
          <w:color w:val="000000" w:themeColor="text1"/>
        </w:rPr>
        <w:t xml:space="preserve"> </w:t>
      </w:r>
      <w:r w:rsidR="00CE66F6">
        <w:rPr>
          <w:color w:val="000000" w:themeColor="text1"/>
        </w:rPr>
        <w:t>T</w:t>
      </w:r>
      <w:r w:rsidR="00B421B8">
        <w:rPr>
          <w:color w:val="000000" w:themeColor="text1"/>
        </w:rPr>
        <w:t>ragically David committed suicide in his late 30’s due to the trauma of his early childhood. This case only shows the complexity of the argument, and the circular formation in which it has taken and there does</w:t>
      </w:r>
      <w:r w:rsidR="00745516">
        <w:rPr>
          <w:color w:val="000000" w:themeColor="text1"/>
        </w:rPr>
        <w:t xml:space="preserve"> not </w:t>
      </w:r>
      <w:r w:rsidR="00B421B8">
        <w:rPr>
          <w:color w:val="000000" w:themeColor="text1"/>
        </w:rPr>
        <w:t xml:space="preserve">appear to be a right or wrong answer. </w:t>
      </w:r>
      <w:sdt>
        <w:sdtPr>
          <w:rPr>
            <w:color w:val="000000" w:themeColor="text1"/>
          </w:rPr>
          <w:id w:val="-1166078931"/>
          <w:citation/>
        </w:sdtPr>
        <w:sdtEndPr/>
        <w:sdtContent>
          <w:r w:rsidR="00B421B8">
            <w:rPr>
              <w:color w:val="000000" w:themeColor="text1"/>
            </w:rPr>
            <w:fldChar w:fldCharType="begin"/>
          </w:r>
          <w:r w:rsidR="00B421B8">
            <w:rPr>
              <w:color w:val="000000" w:themeColor="text1"/>
            </w:rPr>
            <w:instrText xml:space="preserve">CITATION Ken15 \p 214 \l 2057 </w:instrText>
          </w:r>
          <w:r w:rsidR="00B421B8">
            <w:rPr>
              <w:color w:val="000000" w:themeColor="text1"/>
            </w:rPr>
            <w:fldChar w:fldCharType="separate"/>
          </w:r>
          <w:r w:rsidR="00B421B8" w:rsidRPr="00B421B8">
            <w:rPr>
              <w:noProof/>
              <w:color w:val="000000" w:themeColor="text1"/>
            </w:rPr>
            <w:t>(Browne, 2015, p. 214)</w:t>
          </w:r>
          <w:r w:rsidR="00B421B8">
            <w:rPr>
              <w:color w:val="000000" w:themeColor="text1"/>
            </w:rPr>
            <w:fldChar w:fldCharType="end"/>
          </w:r>
        </w:sdtContent>
      </w:sdt>
      <w:r w:rsidR="00B421B8">
        <w:rPr>
          <w:color w:val="000000" w:themeColor="text1"/>
        </w:rPr>
        <w:t xml:space="preserve"> </w:t>
      </w:r>
      <w:r w:rsidR="00B37924">
        <w:rPr>
          <w:color w:val="000000" w:themeColor="text1"/>
        </w:rPr>
        <w:t xml:space="preserve">collaborates </w:t>
      </w:r>
      <w:r w:rsidR="00B421B8">
        <w:rPr>
          <w:color w:val="000000" w:themeColor="text1"/>
        </w:rPr>
        <w:t xml:space="preserve">gender and identity, stating that the first question that is asked </w:t>
      </w:r>
      <w:r w:rsidR="00E242A5">
        <w:rPr>
          <w:color w:val="000000" w:themeColor="text1"/>
        </w:rPr>
        <w:t xml:space="preserve">by humans </w:t>
      </w:r>
      <w:r w:rsidR="00B421B8">
        <w:rPr>
          <w:color w:val="000000" w:themeColor="text1"/>
        </w:rPr>
        <w:t xml:space="preserve">when a new baby is born is, ‘is it a boy or a girl?’ and </w:t>
      </w:r>
      <w:r w:rsidR="00E242A5">
        <w:rPr>
          <w:color w:val="000000" w:themeColor="text1"/>
        </w:rPr>
        <w:t xml:space="preserve">most often </w:t>
      </w:r>
      <w:r w:rsidR="00B421B8">
        <w:rPr>
          <w:color w:val="000000" w:themeColor="text1"/>
        </w:rPr>
        <w:t xml:space="preserve">the first feature that we notice about a person upon meeting </w:t>
      </w:r>
      <w:r w:rsidR="00CE66F6">
        <w:rPr>
          <w:color w:val="000000" w:themeColor="text1"/>
        </w:rPr>
        <w:t xml:space="preserve">them </w:t>
      </w:r>
      <w:r w:rsidR="00B421B8">
        <w:rPr>
          <w:color w:val="000000" w:themeColor="text1"/>
        </w:rPr>
        <w:t xml:space="preserve">is their sex. </w:t>
      </w:r>
      <w:r w:rsidR="005A7C96">
        <w:rPr>
          <w:color w:val="000000" w:themeColor="text1"/>
        </w:rPr>
        <w:t>This creates the possibility that by giving</w:t>
      </w:r>
      <w:r w:rsidR="00197B2E">
        <w:rPr>
          <w:color w:val="000000" w:themeColor="text1"/>
        </w:rPr>
        <w:t xml:space="preserve"> children</w:t>
      </w:r>
      <w:r w:rsidR="00EA4612">
        <w:rPr>
          <w:color w:val="000000" w:themeColor="text1"/>
        </w:rPr>
        <w:t xml:space="preserve"> </w:t>
      </w:r>
      <w:r w:rsidR="005A7C96">
        <w:rPr>
          <w:color w:val="000000" w:themeColor="text1"/>
        </w:rPr>
        <w:t>labels</w:t>
      </w:r>
      <w:r w:rsidR="00EA4612">
        <w:rPr>
          <w:color w:val="000000" w:themeColor="text1"/>
        </w:rPr>
        <w:t xml:space="preserve"> when they are born</w:t>
      </w:r>
      <w:r w:rsidR="005A7C96">
        <w:rPr>
          <w:color w:val="000000" w:themeColor="text1"/>
        </w:rPr>
        <w:t>,</w:t>
      </w:r>
      <w:r w:rsidR="00CE66F6">
        <w:rPr>
          <w:color w:val="000000" w:themeColor="text1"/>
        </w:rPr>
        <w:t xml:space="preserve"> they are being social</w:t>
      </w:r>
      <w:r w:rsidR="00745516">
        <w:rPr>
          <w:color w:val="000000" w:themeColor="text1"/>
        </w:rPr>
        <w:t>ly</w:t>
      </w:r>
      <w:r w:rsidR="00CE66F6">
        <w:rPr>
          <w:color w:val="000000" w:themeColor="text1"/>
        </w:rPr>
        <w:t xml:space="preserve"> constructed, </w:t>
      </w:r>
      <w:r w:rsidR="005A7C96">
        <w:rPr>
          <w:color w:val="000000" w:themeColor="text1"/>
        </w:rPr>
        <w:t>however, the same social constructions can change, especially during the phase of secondary socialisation.</w:t>
      </w:r>
      <w:r w:rsidR="00F8679E">
        <w:rPr>
          <w:color w:val="000000" w:themeColor="text1"/>
        </w:rPr>
        <w:t xml:space="preserve"> Burr (1998) </w:t>
      </w:r>
      <w:r w:rsidR="00740B91">
        <w:rPr>
          <w:color w:val="000000" w:themeColor="text1"/>
        </w:rPr>
        <w:t xml:space="preserve">identifies that gender is both psychological and a social phenomenon by describing the difference between Gender and Sex, a difference which is substantial when considering social constructionism. Sex is a biological </w:t>
      </w:r>
      <w:r w:rsidR="00740B91">
        <w:rPr>
          <w:color w:val="000000" w:themeColor="text1"/>
        </w:rPr>
        <w:lastRenderedPageBreak/>
        <w:t>term which ‘refers to the particular chromosomes that are carried in the cells of the body’ where as gender is the ‘social significance of sex’, where characteristics and behaviours are collaborated to differentiate between the male and female sex, masculine and feminine.</w:t>
      </w:r>
      <w:r w:rsidR="00610BAB">
        <w:rPr>
          <w:color w:val="000000" w:themeColor="text1"/>
        </w:rPr>
        <w:t xml:space="preserve"> Kohlberg</w:t>
      </w:r>
      <w:r w:rsidR="00BA3309">
        <w:rPr>
          <w:color w:val="000000" w:themeColor="text1"/>
        </w:rPr>
        <w:t xml:space="preserve"> (1966), a cognitive developmental theorist argued that children do not understand the concept of gender. Between the ages of two and five, children start to understand the categories, male and female, and that you can only fit into one category, </w:t>
      </w:r>
      <w:r w:rsidR="00E242A5">
        <w:rPr>
          <w:color w:val="000000" w:themeColor="text1"/>
        </w:rPr>
        <w:t>which</w:t>
      </w:r>
      <w:r w:rsidR="00BA3309">
        <w:rPr>
          <w:color w:val="000000" w:themeColor="text1"/>
        </w:rPr>
        <w:t xml:space="preserve"> cannot normally be change</w:t>
      </w:r>
      <w:r w:rsidR="00EC48BF">
        <w:rPr>
          <w:color w:val="000000" w:themeColor="text1"/>
        </w:rPr>
        <w:t>d. Within the contemporary world</w:t>
      </w:r>
      <w:r w:rsidR="00F8679E">
        <w:rPr>
          <w:color w:val="000000" w:themeColor="text1"/>
        </w:rPr>
        <w:t xml:space="preserve">, Browne (2015) </w:t>
      </w:r>
      <w:r w:rsidR="00EC48BF">
        <w:rPr>
          <w:color w:val="000000" w:themeColor="text1"/>
        </w:rPr>
        <w:t>identifies that gender differences are socially constructed by the agencies of socialisation</w:t>
      </w:r>
      <w:r w:rsidR="00F8679E">
        <w:rPr>
          <w:color w:val="000000" w:themeColor="text1"/>
        </w:rPr>
        <w:t>, w</w:t>
      </w:r>
      <w:r w:rsidR="00EC48BF">
        <w:rPr>
          <w:color w:val="000000" w:themeColor="text1"/>
        </w:rPr>
        <w:t>hich steer people towards certain ‘gender stereotypes’ which in turn</w:t>
      </w:r>
      <w:r w:rsidR="00F8679E">
        <w:rPr>
          <w:color w:val="000000" w:themeColor="text1"/>
        </w:rPr>
        <w:t>,</w:t>
      </w:r>
      <w:r w:rsidR="00EC48BF">
        <w:rPr>
          <w:color w:val="000000" w:themeColor="text1"/>
        </w:rPr>
        <w:t xml:space="preserve"> encourages people to identify with these stereotypes. Browne explains that a stereotype is a ‘generalised view of the features of a social group, allowing for few individual differences</w:t>
      </w:r>
      <w:r w:rsidR="00B2718F">
        <w:rPr>
          <w:color w:val="000000" w:themeColor="text1"/>
        </w:rPr>
        <w:t>’</w:t>
      </w:r>
      <w:r w:rsidR="00EC48BF">
        <w:rPr>
          <w:color w:val="000000" w:themeColor="text1"/>
        </w:rPr>
        <w:t xml:space="preserve"> </w:t>
      </w:r>
      <w:r w:rsidR="00D25245">
        <w:rPr>
          <w:color w:val="000000" w:themeColor="text1"/>
        </w:rPr>
        <w:t>this can also be described as the typical ‘norm’ where a man is masculine and a female is feminine</w:t>
      </w:r>
      <w:r w:rsidR="00B2718F">
        <w:rPr>
          <w:color w:val="000000" w:themeColor="text1"/>
        </w:rPr>
        <w:t>,</w:t>
      </w:r>
      <w:r w:rsidR="00D25245">
        <w:rPr>
          <w:color w:val="000000" w:themeColor="text1"/>
        </w:rPr>
        <w:t xml:space="preserve"> however</w:t>
      </w:r>
      <w:r w:rsidR="00B2718F">
        <w:rPr>
          <w:color w:val="000000" w:themeColor="text1"/>
        </w:rPr>
        <w:t>,</w:t>
      </w:r>
      <w:r w:rsidR="00D25245">
        <w:rPr>
          <w:color w:val="000000" w:themeColor="text1"/>
        </w:rPr>
        <w:t xml:space="preserve"> girls who do not conform to the ‘norm’ are typically labelled as ‘tomboys’ and boys who do not conform, are typically labelled</w:t>
      </w:r>
      <w:r w:rsidR="00B2718F">
        <w:rPr>
          <w:color w:val="000000" w:themeColor="text1"/>
        </w:rPr>
        <w:t xml:space="preserve"> as</w:t>
      </w:r>
      <w:r w:rsidR="00D25245">
        <w:rPr>
          <w:color w:val="000000" w:themeColor="text1"/>
        </w:rPr>
        <w:t xml:space="preserve"> ‘wimps’. </w:t>
      </w:r>
      <w:r w:rsidR="00E242A5">
        <w:rPr>
          <w:color w:val="000000" w:themeColor="text1"/>
        </w:rPr>
        <w:t xml:space="preserve">Connell (1995) </w:t>
      </w:r>
      <w:r w:rsidR="00D25245">
        <w:rPr>
          <w:color w:val="000000" w:themeColor="text1"/>
        </w:rPr>
        <w:t>identified that within our sexes, we can have a more ‘dominant’ man or woman. He called this ‘hegemonic identity’</w:t>
      </w:r>
      <w:r w:rsidR="00E242A5">
        <w:rPr>
          <w:color w:val="000000" w:themeColor="text1"/>
        </w:rPr>
        <w:t>,</w:t>
      </w:r>
      <w:r w:rsidR="00D25245">
        <w:rPr>
          <w:color w:val="000000" w:themeColor="text1"/>
        </w:rPr>
        <w:t xml:space="preserve"> to describe the more dominant within the sex. For example, ‘a hegemonic identity is one that is so dominant that it would make it difficult for individuals to allege an alternative identity’</w:t>
      </w:r>
      <w:sdt>
        <w:sdtPr>
          <w:rPr>
            <w:color w:val="000000" w:themeColor="text1"/>
          </w:rPr>
          <w:id w:val="1572701086"/>
          <w:citation/>
        </w:sdtPr>
        <w:sdtEndPr/>
        <w:sdtContent>
          <w:r w:rsidR="00D25245">
            <w:rPr>
              <w:color w:val="000000" w:themeColor="text1"/>
            </w:rPr>
            <w:fldChar w:fldCharType="begin"/>
          </w:r>
          <w:r w:rsidR="00D25245">
            <w:rPr>
              <w:color w:val="000000" w:themeColor="text1"/>
            </w:rPr>
            <w:instrText xml:space="preserve"> CITATION Ken15 \l 2057 </w:instrText>
          </w:r>
          <w:r w:rsidR="00D25245">
            <w:rPr>
              <w:color w:val="000000" w:themeColor="text1"/>
            </w:rPr>
            <w:fldChar w:fldCharType="separate"/>
          </w:r>
          <w:r w:rsidR="00D25245">
            <w:rPr>
              <w:noProof/>
              <w:color w:val="000000" w:themeColor="text1"/>
            </w:rPr>
            <w:t xml:space="preserve"> </w:t>
          </w:r>
          <w:r w:rsidR="00D25245" w:rsidRPr="00D25245">
            <w:rPr>
              <w:noProof/>
              <w:color w:val="000000" w:themeColor="text1"/>
            </w:rPr>
            <w:t>(Browne, 2015)</w:t>
          </w:r>
          <w:r w:rsidR="00D25245">
            <w:rPr>
              <w:color w:val="000000" w:themeColor="text1"/>
            </w:rPr>
            <w:fldChar w:fldCharType="end"/>
          </w:r>
        </w:sdtContent>
      </w:sdt>
      <w:r w:rsidR="00D25245">
        <w:rPr>
          <w:color w:val="000000" w:themeColor="text1"/>
        </w:rPr>
        <w:t xml:space="preserve">. It is argued that feminist sociologists emphasise </w:t>
      </w:r>
      <w:r w:rsidR="00841E73">
        <w:rPr>
          <w:color w:val="000000" w:themeColor="text1"/>
        </w:rPr>
        <w:t>the processes of socialisation into these hegemonic masculine and feminine identities which can reinforce the male dominance</w:t>
      </w:r>
      <w:r w:rsidR="00E242A5">
        <w:rPr>
          <w:color w:val="000000" w:themeColor="text1"/>
        </w:rPr>
        <w:t>,</w:t>
      </w:r>
      <w:r w:rsidR="00841E73">
        <w:rPr>
          <w:color w:val="000000" w:themeColor="text1"/>
        </w:rPr>
        <w:t xml:space="preserve"> or patriarchy which would make it very difficult for either men or women to form a new gender identity which is different to the hegemonic stereotypes. </w:t>
      </w:r>
    </w:p>
    <w:p w14:paraId="6D391183" w14:textId="547C9811" w:rsidR="00E242A5" w:rsidRDefault="00E242A5">
      <w:pPr>
        <w:rPr>
          <w:color w:val="000000" w:themeColor="text1"/>
        </w:rPr>
      </w:pPr>
      <w:r>
        <w:rPr>
          <w:color w:val="000000" w:themeColor="text1"/>
        </w:rPr>
        <w:tab/>
      </w:r>
      <w:r w:rsidR="00FD0E00">
        <w:rPr>
          <w:color w:val="000000" w:themeColor="text1"/>
        </w:rPr>
        <w:t xml:space="preserve"> </w:t>
      </w:r>
      <w:r w:rsidR="00F8679E">
        <w:rPr>
          <w:color w:val="000000" w:themeColor="text1"/>
        </w:rPr>
        <w:t>Giddens and Sutton (2017, p.617)</w:t>
      </w:r>
      <w:r w:rsidR="00B37924">
        <w:rPr>
          <w:color w:val="000000" w:themeColor="text1"/>
        </w:rPr>
        <w:t xml:space="preserve"> </w:t>
      </w:r>
      <w:r w:rsidR="00F301EE">
        <w:rPr>
          <w:color w:val="000000" w:themeColor="text1"/>
        </w:rPr>
        <w:t>approach the idea that the social constructionism of sociological approaches today is contrasted with commonly held biological ideas of sex and sexuality by looking at gender identity and the existence of gender order in society, which is dominated by heterosexuality and heterosexual norms.</w:t>
      </w:r>
      <w:r w:rsidR="0001177C">
        <w:rPr>
          <w:color w:val="000000" w:themeColor="text1"/>
        </w:rPr>
        <w:t xml:space="preserve"> This can be seen by the traditional views of gender socialisation, where by children learn the roles of their particular sex from a young age, Giddens and Sutton (2017 p. 619) explain that children are ‘guided by positive and negative sanctions, socially applied forces which reward or restrain behaviour’. As an example, a young boy could be positively sanctioned by the phrase ‘what a brave boy you are’ or negatively sanctioned by the phrase ‘boys don’t play with dolls’. These positive and negative sanctions reinforce the construction of their socially expected roles. </w:t>
      </w:r>
      <w:r w:rsidR="00744FFD">
        <w:rPr>
          <w:color w:val="000000" w:themeColor="text1"/>
        </w:rPr>
        <w:t>However, when looking at gender</w:t>
      </w:r>
      <w:r w:rsidR="00B4435D">
        <w:rPr>
          <w:color w:val="000000" w:themeColor="text1"/>
        </w:rPr>
        <w:t xml:space="preserve"> identity</w:t>
      </w:r>
      <w:r w:rsidR="00F8679E">
        <w:rPr>
          <w:color w:val="000000" w:themeColor="text1"/>
        </w:rPr>
        <w:t xml:space="preserve"> in the contemporary world</w:t>
      </w:r>
      <w:r w:rsidR="00744FFD">
        <w:rPr>
          <w:color w:val="000000" w:themeColor="text1"/>
        </w:rPr>
        <w:t xml:space="preserve">, </w:t>
      </w:r>
      <w:r w:rsidR="00B4435D">
        <w:rPr>
          <w:color w:val="000000" w:themeColor="text1"/>
        </w:rPr>
        <w:t xml:space="preserve">the government launched a nationwide LGBT (lesbian, gay, bi-sexual and transgender) survey </w:t>
      </w:r>
      <w:r w:rsidR="00F8679E">
        <w:rPr>
          <w:color w:val="000000" w:themeColor="text1"/>
        </w:rPr>
        <w:t>in July 2017</w:t>
      </w:r>
      <w:r w:rsidR="00F8679E">
        <w:rPr>
          <w:color w:val="000000" w:themeColor="text1"/>
        </w:rPr>
        <w:t xml:space="preserve"> </w:t>
      </w:r>
      <w:r w:rsidR="00B4435D">
        <w:rPr>
          <w:color w:val="000000" w:themeColor="text1"/>
        </w:rPr>
        <w:t>because research and evidence suggested that LGBT people continued to be discriminated against. The survey was open to anyone aged sixteen or above, living in the UK and who identified as LGBT. Gov.uk (201</w:t>
      </w:r>
      <w:r w:rsidR="00114E63">
        <w:rPr>
          <w:color w:val="000000" w:themeColor="text1"/>
        </w:rPr>
        <w:t>9</w:t>
      </w:r>
      <w:r w:rsidR="00B4435D">
        <w:rPr>
          <w:color w:val="000000" w:themeColor="text1"/>
        </w:rPr>
        <w:t xml:space="preserve">) </w:t>
      </w:r>
      <w:r w:rsidR="00B4435D">
        <w:rPr>
          <w:color w:val="000000" w:themeColor="text1"/>
        </w:rPr>
        <w:lastRenderedPageBreak/>
        <w:t>explains that the acronym ‘LGBT’ was used as an umbrella term: respondents of the survey could be from any minority sexual orientation or gender identity. The survey was conducted online, with a total of 108,100 valid responses, and in terms of gender identity, the results showed that 13% identified as transgender, 6.9% identified as non-binary (neither exclusively man or woman), 3.5% were trans women and 2.9% were trans men. This gives a clear indication that in the contemporary world, humans are not being constricted to conform to the norm</w:t>
      </w:r>
      <w:r w:rsidR="00AF5646">
        <w:rPr>
          <w:color w:val="000000" w:themeColor="text1"/>
        </w:rPr>
        <w:t xml:space="preserve">. </w:t>
      </w:r>
      <w:r w:rsidR="00F8679E">
        <w:rPr>
          <w:color w:val="000000" w:themeColor="text1"/>
        </w:rPr>
        <w:t xml:space="preserve">Giddens and Sutton (2017, p.617) </w:t>
      </w:r>
      <w:r w:rsidR="00AF5646">
        <w:rPr>
          <w:color w:val="000000" w:themeColor="text1"/>
        </w:rPr>
        <w:t xml:space="preserve">explore that within developed countries, certain aspects of people’s sexual lives have changed profoundly since the 1960’s, where the previous view was that sexuality was tied to the process of reproduction, as today it is clear that sexuality and reproduction no longer have to be linked. ‘Gender and sexuality are dimensions of life </w:t>
      </w:r>
      <w:r w:rsidR="00B47148">
        <w:rPr>
          <w:color w:val="000000" w:themeColor="text1"/>
        </w:rPr>
        <w:t xml:space="preserve">for each individual to explore and shape’ and today there is a growing acceptance of diverse forms of sexuality and gender. Even though our sex is determined by our biology, an individual can </w:t>
      </w:r>
      <w:r w:rsidR="00114E63">
        <w:rPr>
          <w:color w:val="000000" w:themeColor="text1"/>
        </w:rPr>
        <w:t>socially</w:t>
      </w:r>
      <w:r w:rsidR="00B47148">
        <w:rPr>
          <w:color w:val="000000" w:themeColor="text1"/>
        </w:rPr>
        <w:t xml:space="preserve"> construct themselves to be who they want, need and aspire to be. </w:t>
      </w:r>
    </w:p>
    <w:p w14:paraId="01EB5E42" w14:textId="3472FDBF" w:rsidR="00FE7D7F" w:rsidRDefault="00FE7D7F">
      <w:pPr>
        <w:rPr>
          <w:color w:val="000000" w:themeColor="text1"/>
        </w:rPr>
      </w:pPr>
      <w:r>
        <w:rPr>
          <w:color w:val="000000" w:themeColor="text1"/>
        </w:rPr>
        <w:tab/>
      </w:r>
    </w:p>
    <w:p w14:paraId="2597D891" w14:textId="4D5BEA92" w:rsidR="00DC7AEB" w:rsidRDefault="00DC7AEB">
      <w:pPr>
        <w:rPr>
          <w:color w:val="000000" w:themeColor="text1"/>
        </w:rPr>
      </w:pPr>
      <w:bookmarkStart w:id="0" w:name="_GoBack"/>
      <w:bookmarkEnd w:id="0"/>
    </w:p>
    <w:p w14:paraId="5A42D035" w14:textId="503A740B" w:rsidR="00DC7AEB" w:rsidRDefault="00DC7AEB">
      <w:pPr>
        <w:rPr>
          <w:color w:val="000000" w:themeColor="text1"/>
        </w:rPr>
      </w:pPr>
    </w:p>
    <w:p w14:paraId="6D82AE53" w14:textId="4966884F" w:rsidR="00DC7AEB" w:rsidRDefault="00DC7AEB">
      <w:pPr>
        <w:rPr>
          <w:color w:val="000000" w:themeColor="text1"/>
        </w:rPr>
      </w:pPr>
    </w:p>
    <w:sdt>
      <w:sdtPr>
        <w:id w:val="-1752036485"/>
        <w:docPartObj>
          <w:docPartGallery w:val="Bibliographies"/>
          <w:docPartUnique/>
        </w:docPartObj>
      </w:sdtPr>
      <w:sdtEndPr>
        <w:rPr>
          <w:rFonts w:ascii="Times New Roman" w:eastAsiaTheme="minorHAnsi" w:hAnsi="Times New Roman" w:cs="Times New Roman (Body CS)"/>
          <w:b w:val="0"/>
          <w:bCs w:val="0"/>
          <w:color w:val="auto"/>
          <w:sz w:val="24"/>
          <w:szCs w:val="24"/>
          <w:lang w:val="en-GB" w:bidi="ar-SA"/>
        </w:rPr>
      </w:sdtEndPr>
      <w:sdtContent>
        <w:p w14:paraId="3A8C0A18" w14:textId="0704EAA1" w:rsidR="00A15DC0" w:rsidRPr="00EF571C" w:rsidRDefault="00EF571C" w:rsidP="00A15DC0">
          <w:pPr>
            <w:pStyle w:val="Heading1"/>
            <w:rPr>
              <w:rFonts w:ascii="Times New Roman" w:hAnsi="Times New Roman" w:cs="Times New Roman"/>
              <w:color w:val="000000" w:themeColor="text1"/>
              <w:u w:val="single"/>
            </w:rPr>
          </w:pPr>
          <w:r w:rsidRPr="00EF571C">
            <w:rPr>
              <w:rFonts w:ascii="Times New Roman" w:hAnsi="Times New Roman" w:cs="Times New Roman"/>
              <w:color w:val="000000" w:themeColor="text1"/>
              <w:u w:val="single"/>
            </w:rPr>
            <w:t>References</w:t>
          </w:r>
        </w:p>
        <w:p w14:paraId="5EE6A2E7" w14:textId="77777777" w:rsidR="00A15DC0" w:rsidRPr="00A15DC0" w:rsidRDefault="00A15DC0" w:rsidP="00A15DC0">
          <w:pPr>
            <w:rPr>
              <w:lang w:val="en-US" w:bidi="en-US"/>
            </w:rPr>
          </w:pPr>
        </w:p>
        <w:sdt>
          <w:sdtPr>
            <w:id w:val="111145805"/>
            <w:bibliography/>
          </w:sdtPr>
          <w:sdtContent>
            <w:p w14:paraId="0CC88423" w14:textId="77777777" w:rsidR="00A15DC0" w:rsidRPr="00A15DC0" w:rsidRDefault="00A15DC0" w:rsidP="00A15DC0">
              <w:pPr>
                <w:pStyle w:val="ListParagraph"/>
                <w:numPr>
                  <w:ilvl w:val="0"/>
                  <w:numId w:val="2"/>
                </w:numPr>
                <w:rPr>
                  <w:iCs/>
                  <w:noProof/>
                  <w:lang w:val="en-US"/>
                </w:rPr>
              </w:pPr>
              <w:r>
                <w:fldChar w:fldCharType="begin"/>
              </w:r>
              <w:r>
                <w:instrText xml:space="preserve"> BIBLIOGRAPHY </w:instrText>
              </w:r>
              <w:r>
                <w:fldChar w:fldCharType="separate"/>
              </w:r>
              <w:r w:rsidRPr="00A15DC0">
                <w:rPr>
                  <w:noProof/>
                  <w:lang w:val="en-US"/>
                </w:rPr>
                <w:t xml:space="preserve">Bader, L (2014) Gender Identity: Nature Vs Nurture?. </w:t>
              </w:r>
              <w:r w:rsidRPr="00A15DC0">
                <w:rPr>
                  <w:i/>
                  <w:iCs/>
                  <w:noProof/>
                  <w:lang w:val="en-US"/>
                </w:rPr>
                <w:t xml:space="preserve">The Evolution of Human Sexuality. </w:t>
              </w:r>
              <w:r w:rsidRPr="00A15DC0">
                <w:rPr>
                  <w:iCs/>
                  <w:noProof/>
                  <w:lang w:val="en-US"/>
                </w:rPr>
                <w:t>Available at:</w:t>
              </w:r>
            </w:p>
            <w:p w14:paraId="021B6B22" w14:textId="5ADA745E" w:rsidR="00A15DC0" w:rsidRDefault="00A15DC0" w:rsidP="00A15DC0">
              <w:pPr>
                <w:pStyle w:val="ListParagraph"/>
                <w:rPr>
                  <w:rStyle w:val="Hyperlink"/>
                </w:rPr>
              </w:pPr>
              <w:r w:rsidRPr="00A15DC0">
                <w:rPr>
                  <w:iCs/>
                  <w:noProof/>
                  <w:lang w:val="en-US"/>
                </w:rPr>
                <w:t xml:space="preserve"> </w:t>
              </w:r>
              <w:r>
                <w:fldChar w:fldCharType="begin"/>
              </w:r>
              <w:r>
                <w:instrText xml:space="preserve"> HYPERLINK "https://sites.psu.edu/evolutionofhumansexuality/2014/04/07/gender-identity-nature-vs-nurture/" </w:instrText>
              </w:r>
              <w:r>
                <w:fldChar w:fldCharType="separate"/>
              </w:r>
              <w:r w:rsidRPr="00AB4EF6">
                <w:rPr>
                  <w:rStyle w:val="Hyperlink"/>
                </w:rPr>
                <w:t>https://sites.psu.edu/evolu</w:t>
              </w:r>
              <w:r w:rsidRPr="00AB4EF6">
                <w:rPr>
                  <w:rStyle w:val="Hyperlink"/>
                </w:rPr>
                <w:t>t</w:t>
              </w:r>
              <w:r w:rsidRPr="00AB4EF6">
                <w:rPr>
                  <w:rStyle w:val="Hyperlink"/>
                </w:rPr>
                <w:t>ionofhumansexuality/2014/04/07/gender-identity-nature-vs-nurture/</w:t>
              </w:r>
              <w:r>
                <w:rPr>
                  <w:rStyle w:val="Hyperlink"/>
                </w:rPr>
                <w:fldChar w:fldCharType="end"/>
              </w:r>
              <w:r>
                <w:rPr>
                  <w:rStyle w:val="Hyperlink"/>
                </w:rPr>
                <w:t xml:space="preserve"> </w:t>
              </w:r>
            </w:p>
            <w:p w14:paraId="09AF1783" w14:textId="79C9FD20" w:rsidR="00A15DC0" w:rsidRPr="00A15DC0" w:rsidRDefault="00A15DC0" w:rsidP="00A15DC0">
              <w:pPr>
                <w:pStyle w:val="ListParagraph"/>
                <w:rPr>
                  <w:rStyle w:val="Hyperlink"/>
                  <w:color w:val="000000" w:themeColor="text1"/>
                  <w:u w:val="none"/>
                </w:rPr>
              </w:pPr>
              <w:r>
                <w:rPr>
                  <w:rStyle w:val="Hyperlink"/>
                  <w:color w:val="000000" w:themeColor="text1"/>
                  <w:u w:val="none"/>
                </w:rPr>
                <w:t>Accessed: 03/03/19</w:t>
              </w:r>
            </w:p>
            <w:p w14:paraId="389264EB" w14:textId="77777777" w:rsidR="00A15DC0" w:rsidRPr="00A15DC0" w:rsidRDefault="00A15DC0" w:rsidP="00A15DC0">
              <w:pPr>
                <w:pStyle w:val="ListParagraph"/>
                <w:rPr>
                  <w:color w:val="000000" w:themeColor="text1"/>
                </w:rPr>
              </w:pPr>
            </w:p>
            <w:p w14:paraId="053D9B3A" w14:textId="3275AB3D" w:rsidR="00A15DC0" w:rsidRDefault="00A15DC0" w:rsidP="00A15DC0">
              <w:pPr>
                <w:pStyle w:val="Bibliography"/>
                <w:numPr>
                  <w:ilvl w:val="0"/>
                  <w:numId w:val="2"/>
                </w:numPr>
                <w:rPr>
                  <w:noProof/>
                  <w:lang w:val="en-US"/>
                </w:rPr>
              </w:pPr>
              <w:r>
                <w:rPr>
                  <w:noProof/>
                  <w:lang w:val="en-US"/>
                </w:rPr>
                <w:t xml:space="preserve">Browne, K (2015) </w:t>
              </w:r>
              <w:r>
                <w:rPr>
                  <w:i/>
                  <w:iCs/>
                  <w:noProof/>
                  <w:lang w:val="en-US"/>
                </w:rPr>
                <w:t xml:space="preserve">Sociology for AQA. </w:t>
              </w:r>
              <w:r>
                <w:rPr>
                  <w:noProof/>
                  <w:lang w:val="en-US"/>
                </w:rPr>
                <w:t>5th ed. Cambridge: Polity Press.</w:t>
              </w:r>
            </w:p>
            <w:p w14:paraId="1DDC8CA1" w14:textId="77777777" w:rsidR="00A15DC0" w:rsidRPr="00A15DC0" w:rsidRDefault="00A15DC0" w:rsidP="00A15DC0">
              <w:pPr>
                <w:rPr>
                  <w:lang w:val="en-US"/>
                </w:rPr>
              </w:pPr>
            </w:p>
            <w:p w14:paraId="2778A529" w14:textId="210D0475" w:rsidR="00A15DC0" w:rsidRPr="00A15DC0" w:rsidRDefault="00A15DC0" w:rsidP="00A15DC0">
              <w:pPr>
                <w:pStyle w:val="Bibliography"/>
                <w:numPr>
                  <w:ilvl w:val="0"/>
                  <w:numId w:val="2"/>
                </w:numPr>
                <w:rPr>
                  <w:noProof/>
                  <w:lang w:val="en-US"/>
                </w:rPr>
              </w:pPr>
              <w:r>
                <w:rPr>
                  <w:noProof/>
                  <w:lang w:val="en-US"/>
                </w:rPr>
                <w:t>Burr, V (</w:t>
              </w:r>
              <w:r w:rsidRPr="00A15DC0">
                <w:rPr>
                  <w:noProof/>
                  <w:lang w:val="en-US"/>
                </w:rPr>
                <w:t xml:space="preserve">1998) </w:t>
              </w:r>
              <w:r w:rsidRPr="00A15DC0">
                <w:rPr>
                  <w:i/>
                  <w:iCs/>
                  <w:noProof/>
                  <w:lang w:val="en-US"/>
                </w:rPr>
                <w:t xml:space="preserve">Gender and Social Psychology. </w:t>
              </w:r>
              <w:r w:rsidRPr="00A15DC0">
                <w:rPr>
                  <w:noProof/>
                  <w:lang w:val="en-US"/>
                </w:rPr>
                <w:t>London: Routledge</w:t>
              </w:r>
            </w:p>
            <w:p w14:paraId="7EAB65CB" w14:textId="77777777" w:rsidR="00A15DC0" w:rsidRPr="00A15DC0" w:rsidRDefault="00A15DC0" w:rsidP="00A15DC0">
              <w:pPr>
                <w:rPr>
                  <w:lang w:val="en-US"/>
                </w:rPr>
              </w:pPr>
            </w:p>
            <w:p w14:paraId="5A64EC5C" w14:textId="01776A91" w:rsidR="00A15DC0" w:rsidRDefault="00A15DC0" w:rsidP="00A15DC0">
              <w:pPr>
                <w:pStyle w:val="Bibliography"/>
                <w:numPr>
                  <w:ilvl w:val="0"/>
                  <w:numId w:val="2"/>
                </w:numPr>
                <w:rPr>
                  <w:noProof/>
                  <w:lang w:val="en-US"/>
                </w:rPr>
              </w:pPr>
              <w:r>
                <w:rPr>
                  <w:noProof/>
                  <w:lang w:val="en-US"/>
                </w:rPr>
                <w:t xml:space="preserve">Burr, V (2003) </w:t>
              </w:r>
              <w:r>
                <w:rPr>
                  <w:i/>
                  <w:iCs/>
                  <w:noProof/>
                  <w:lang w:val="en-US"/>
                </w:rPr>
                <w:t xml:space="preserve">Social Constructionism. </w:t>
              </w:r>
              <w:r>
                <w:rPr>
                  <w:noProof/>
                  <w:lang w:val="en-US"/>
                </w:rPr>
                <w:t xml:space="preserve">2nd ed. Sussex: Routledge. </w:t>
              </w:r>
            </w:p>
            <w:p w14:paraId="5D3FF133" w14:textId="77777777" w:rsidR="00A15DC0" w:rsidRPr="00A15DC0" w:rsidRDefault="00A15DC0" w:rsidP="00A15DC0">
              <w:pPr>
                <w:rPr>
                  <w:lang w:val="en-US"/>
                </w:rPr>
              </w:pPr>
            </w:p>
            <w:p w14:paraId="6CCC76C9" w14:textId="231404ED" w:rsidR="00A15DC0" w:rsidRDefault="00A15DC0" w:rsidP="00A15DC0">
              <w:pPr>
                <w:pStyle w:val="Bibliography"/>
                <w:numPr>
                  <w:ilvl w:val="0"/>
                  <w:numId w:val="2"/>
                </w:numPr>
                <w:rPr>
                  <w:noProof/>
                  <w:lang w:val="en-US"/>
                </w:rPr>
              </w:pPr>
              <w:r>
                <w:rPr>
                  <w:noProof/>
                  <w:lang w:val="en-US"/>
                </w:rPr>
                <w:t xml:space="preserve">Cheal, D (1991) </w:t>
              </w:r>
              <w:r>
                <w:rPr>
                  <w:i/>
                  <w:iCs/>
                  <w:noProof/>
                  <w:lang w:val="en-US"/>
                </w:rPr>
                <w:t xml:space="preserve">Family and the State of Theory. </w:t>
              </w:r>
              <w:r>
                <w:rPr>
                  <w:noProof/>
                  <w:lang w:val="en-US"/>
                </w:rPr>
                <w:t>Hemel Hanstead : Harvester Wheatsheaf.</w:t>
              </w:r>
            </w:p>
            <w:p w14:paraId="520DB2C4" w14:textId="77777777" w:rsidR="00A15DC0" w:rsidRPr="00A15DC0" w:rsidRDefault="00A15DC0" w:rsidP="00A15DC0">
              <w:pPr>
                <w:rPr>
                  <w:lang w:val="en-US"/>
                </w:rPr>
              </w:pPr>
            </w:p>
            <w:p w14:paraId="7AF5F666" w14:textId="0754FA4F" w:rsidR="00A15DC0" w:rsidRDefault="00A15DC0" w:rsidP="00A15DC0">
              <w:pPr>
                <w:pStyle w:val="Bibliography"/>
                <w:numPr>
                  <w:ilvl w:val="0"/>
                  <w:numId w:val="2"/>
                </w:numPr>
                <w:rPr>
                  <w:noProof/>
                  <w:lang w:val="en-US"/>
                </w:rPr>
              </w:pPr>
              <w:r>
                <w:rPr>
                  <w:noProof/>
                  <w:lang w:val="en-US"/>
                </w:rPr>
                <w:t xml:space="preserve">Connell, W (1995) </w:t>
              </w:r>
              <w:r>
                <w:rPr>
                  <w:i/>
                  <w:iCs/>
                  <w:noProof/>
                  <w:lang w:val="en-US"/>
                </w:rPr>
                <w:t xml:space="preserve">Masculinities. </w:t>
              </w:r>
              <w:r>
                <w:rPr>
                  <w:noProof/>
                  <w:lang w:val="en-US"/>
                </w:rPr>
                <w:t>Cambridge: Polity Press.</w:t>
              </w:r>
            </w:p>
            <w:p w14:paraId="62136B9C" w14:textId="77777777" w:rsidR="00A15DC0" w:rsidRPr="00A15DC0" w:rsidRDefault="00A15DC0" w:rsidP="00A15DC0">
              <w:pPr>
                <w:rPr>
                  <w:lang w:val="en-US"/>
                </w:rPr>
              </w:pPr>
            </w:p>
            <w:p w14:paraId="48FAB126" w14:textId="0B639F15" w:rsidR="00A15DC0" w:rsidRDefault="00A15DC0" w:rsidP="00A15DC0">
              <w:pPr>
                <w:pStyle w:val="Bibliography"/>
                <w:numPr>
                  <w:ilvl w:val="0"/>
                  <w:numId w:val="2"/>
                </w:numPr>
                <w:rPr>
                  <w:noProof/>
                  <w:lang w:val="en-US"/>
                </w:rPr>
              </w:pPr>
              <w:r>
                <w:rPr>
                  <w:noProof/>
                  <w:lang w:val="en-US"/>
                </w:rPr>
                <w:t xml:space="preserve">Gergen, K. J (2015) </w:t>
              </w:r>
              <w:r>
                <w:rPr>
                  <w:i/>
                  <w:iCs/>
                  <w:noProof/>
                  <w:lang w:val="en-US"/>
                </w:rPr>
                <w:t xml:space="preserve">An invitation to Social Constructuion. </w:t>
              </w:r>
              <w:r>
                <w:rPr>
                  <w:noProof/>
                  <w:lang w:val="en-US"/>
                </w:rPr>
                <w:t>3rd ed. London: Sage.</w:t>
              </w:r>
            </w:p>
            <w:p w14:paraId="07DA9896" w14:textId="77777777" w:rsidR="00A15DC0" w:rsidRPr="00A15DC0" w:rsidRDefault="00A15DC0" w:rsidP="00A15DC0">
              <w:pPr>
                <w:rPr>
                  <w:lang w:val="en-US"/>
                </w:rPr>
              </w:pPr>
            </w:p>
            <w:p w14:paraId="546ACFA7" w14:textId="681C6F8E" w:rsidR="00A15DC0" w:rsidRDefault="00A15DC0" w:rsidP="00A15DC0">
              <w:pPr>
                <w:pStyle w:val="Bibliography"/>
                <w:numPr>
                  <w:ilvl w:val="0"/>
                  <w:numId w:val="2"/>
                </w:numPr>
                <w:rPr>
                  <w:noProof/>
                  <w:lang w:val="en-US"/>
                </w:rPr>
              </w:pPr>
              <w:r>
                <w:rPr>
                  <w:noProof/>
                  <w:lang w:val="en-US"/>
                </w:rPr>
                <w:t xml:space="preserve">Giddens, A (1987) </w:t>
              </w:r>
              <w:r>
                <w:rPr>
                  <w:i/>
                  <w:iCs/>
                  <w:noProof/>
                  <w:lang w:val="en-US"/>
                </w:rPr>
                <w:t xml:space="preserve">Social Theory and Modern Sociology. </w:t>
              </w:r>
              <w:r>
                <w:rPr>
                  <w:noProof/>
                  <w:lang w:val="en-US"/>
                </w:rPr>
                <w:t>Cambridge: Polity Press.</w:t>
              </w:r>
            </w:p>
            <w:p w14:paraId="25F09C37" w14:textId="77777777" w:rsidR="00A15DC0" w:rsidRPr="00A15DC0" w:rsidRDefault="00A15DC0" w:rsidP="00A15DC0">
              <w:pPr>
                <w:rPr>
                  <w:lang w:val="en-US"/>
                </w:rPr>
              </w:pPr>
            </w:p>
            <w:p w14:paraId="20AD1322" w14:textId="1AA5A69A" w:rsidR="00A15DC0" w:rsidRDefault="00A15DC0" w:rsidP="00A15DC0">
              <w:pPr>
                <w:pStyle w:val="Bibliography"/>
                <w:numPr>
                  <w:ilvl w:val="0"/>
                  <w:numId w:val="2"/>
                </w:numPr>
                <w:rPr>
                  <w:noProof/>
                  <w:lang w:val="en-US"/>
                </w:rPr>
              </w:pPr>
              <w:r>
                <w:rPr>
                  <w:noProof/>
                  <w:lang w:val="en-US"/>
                </w:rPr>
                <w:t xml:space="preserve">Giddens, A. &amp; Sutton, P. W., 2017. </w:t>
              </w:r>
              <w:r>
                <w:rPr>
                  <w:i/>
                  <w:iCs/>
                  <w:noProof/>
                  <w:lang w:val="en-US"/>
                </w:rPr>
                <w:t xml:space="preserve">Sociology. </w:t>
              </w:r>
              <w:r>
                <w:rPr>
                  <w:noProof/>
                  <w:lang w:val="en-US"/>
                </w:rPr>
                <w:t>8th ed. Cambridge: Polity.</w:t>
              </w:r>
            </w:p>
            <w:p w14:paraId="5FF51365" w14:textId="77777777" w:rsidR="00A15DC0" w:rsidRPr="00A15DC0" w:rsidRDefault="00A15DC0" w:rsidP="00A15DC0">
              <w:pPr>
                <w:rPr>
                  <w:lang w:val="en-US"/>
                </w:rPr>
              </w:pPr>
            </w:p>
            <w:p w14:paraId="216498B0" w14:textId="77777777" w:rsidR="00A15DC0" w:rsidRDefault="00A15DC0" w:rsidP="00A15DC0">
              <w:pPr>
                <w:pStyle w:val="Bibliography"/>
                <w:numPr>
                  <w:ilvl w:val="0"/>
                  <w:numId w:val="2"/>
                </w:numPr>
                <w:rPr>
                  <w:noProof/>
                  <w:lang w:val="en-US"/>
                </w:rPr>
              </w:pPr>
              <w:r>
                <w:rPr>
                  <w:noProof/>
                  <w:lang w:val="en-US"/>
                </w:rPr>
                <w:t>Gov.uk, (2019)</w:t>
              </w:r>
              <w:r w:rsidRPr="00A15DC0">
                <w:rPr>
                  <w:noProof/>
                  <w:lang w:val="en-US"/>
                </w:rPr>
                <w:t xml:space="preserve"> </w:t>
              </w:r>
              <w:r w:rsidRPr="00A15DC0">
                <w:rPr>
                  <w:i/>
                  <w:iCs/>
                  <w:noProof/>
                  <w:lang w:val="en-US"/>
                </w:rPr>
                <w:t>National LGBT Summary and Report.</w:t>
              </w:r>
              <w:r w:rsidRPr="00A15DC0">
                <w:rPr>
                  <w:noProof/>
                  <w:lang w:val="en-US"/>
                </w:rPr>
                <w:br/>
                <w:t xml:space="preserve">Available at: </w:t>
              </w:r>
            </w:p>
            <w:p w14:paraId="2AC3D48C" w14:textId="60B987FD" w:rsidR="00A15DC0" w:rsidRDefault="00A15DC0" w:rsidP="00A15DC0">
              <w:pPr>
                <w:pStyle w:val="Bibliography"/>
                <w:ind w:left="720"/>
                <w:rPr>
                  <w:noProof/>
                  <w:lang w:val="en-US"/>
                </w:rPr>
              </w:pPr>
              <w:r w:rsidRPr="00A15DC0">
                <w:rPr>
                  <w:noProof/>
                  <w:u w:val="single"/>
                  <w:lang w:val="en-US"/>
                </w:rPr>
                <w:t>https://www.gov.uk/government/publications/national-lgbt-survey-summary-report/national-lgbt-survey-summary-report</w:t>
              </w:r>
              <w:r w:rsidRPr="00A15DC0">
                <w:rPr>
                  <w:noProof/>
                  <w:lang w:val="en-US"/>
                </w:rPr>
                <w:br/>
                <w:t>Accessed 11 03 2019</w:t>
              </w:r>
            </w:p>
            <w:p w14:paraId="48A2D4BE" w14:textId="77777777" w:rsidR="00A15DC0" w:rsidRPr="00A15DC0" w:rsidRDefault="00A15DC0" w:rsidP="00A15DC0">
              <w:pPr>
                <w:rPr>
                  <w:lang w:val="en-US"/>
                </w:rPr>
              </w:pPr>
            </w:p>
            <w:p w14:paraId="35BDC67E" w14:textId="38A89B00" w:rsidR="00A15DC0" w:rsidRDefault="00A15DC0" w:rsidP="00A15DC0">
              <w:pPr>
                <w:pStyle w:val="Bibliography"/>
                <w:numPr>
                  <w:ilvl w:val="0"/>
                  <w:numId w:val="2"/>
                </w:numPr>
                <w:rPr>
                  <w:noProof/>
                  <w:lang w:val="en-US"/>
                </w:rPr>
              </w:pPr>
              <w:r>
                <w:rPr>
                  <w:noProof/>
                  <w:lang w:val="en-US"/>
                </w:rPr>
                <w:t xml:space="preserve">Hyland, P, Gomez, O. &amp; Greensides, F (2003) </w:t>
              </w:r>
              <w:r>
                <w:rPr>
                  <w:i/>
                  <w:iCs/>
                  <w:noProof/>
                  <w:lang w:val="en-US"/>
                </w:rPr>
                <w:t xml:space="preserve">The Enlightenment: A sourse book and reader. </w:t>
              </w:r>
              <w:r>
                <w:rPr>
                  <w:noProof/>
                  <w:lang w:val="en-US"/>
                </w:rPr>
                <w:t>London: Psycology Press.</w:t>
              </w:r>
            </w:p>
            <w:p w14:paraId="078DB8E1" w14:textId="77777777" w:rsidR="00A15DC0" w:rsidRPr="00A15DC0" w:rsidRDefault="00A15DC0" w:rsidP="00A15DC0">
              <w:pPr>
                <w:rPr>
                  <w:lang w:val="en-US"/>
                </w:rPr>
              </w:pPr>
            </w:p>
            <w:p w14:paraId="4C749C20" w14:textId="0C223FD2" w:rsidR="00A15DC0" w:rsidRDefault="00A15DC0" w:rsidP="00A15DC0">
              <w:pPr>
                <w:pStyle w:val="Bibliography"/>
                <w:numPr>
                  <w:ilvl w:val="0"/>
                  <w:numId w:val="2"/>
                </w:numPr>
                <w:rPr>
                  <w:noProof/>
                  <w:lang w:val="en-US"/>
                </w:rPr>
              </w:pPr>
              <w:r>
                <w:rPr>
                  <w:noProof/>
                  <w:lang w:val="en-US"/>
                </w:rPr>
                <w:t xml:space="preserve">Jones, P. &amp; Bradbury, L (2018). </w:t>
              </w:r>
              <w:r>
                <w:rPr>
                  <w:i/>
                  <w:iCs/>
                  <w:noProof/>
                  <w:lang w:val="en-US"/>
                </w:rPr>
                <w:t xml:space="preserve">Introducing Social Theory. </w:t>
              </w:r>
              <w:r>
                <w:rPr>
                  <w:noProof/>
                  <w:lang w:val="en-US"/>
                </w:rPr>
                <w:t>3rd ed. Cambridge: Polity Press.</w:t>
              </w:r>
            </w:p>
            <w:p w14:paraId="18F71B95" w14:textId="5AE9D0C2" w:rsidR="00EF571C" w:rsidRDefault="00EF571C" w:rsidP="00EF571C">
              <w:pPr>
                <w:rPr>
                  <w:lang w:val="en-US"/>
                </w:rPr>
              </w:pPr>
            </w:p>
            <w:p w14:paraId="660F3819" w14:textId="77777777" w:rsidR="00EF571C" w:rsidRPr="00EF571C" w:rsidRDefault="00EF571C" w:rsidP="00EF571C">
              <w:pPr>
                <w:pStyle w:val="ListParagraph"/>
                <w:numPr>
                  <w:ilvl w:val="0"/>
                  <w:numId w:val="2"/>
                </w:numPr>
                <w:rPr>
                  <w:color w:val="000000" w:themeColor="text1"/>
                </w:rPr>
              </w:pPr>
              <w:r w:rsidRPr="00EF571C">
                <w:rPr>
                  <w:color w:val="000000" w:themeColor="text1"/>
                </w:rPr>
                <w:t xml:space="preserve">Kohlberg, L (1966) ‘a cognitive developmental analysis of children's role concepts and attitudes’ in Maccoby, </w:t>
              </w:r>
              <w:r w:rsidRPr="00EF571C">
                <w:rPr>
                  <w:i/>
                  <w:color w:val="000000" w:themeColor="text1"/>
                </w:rPr>
                <w:t xml:space="preserve">The development of sex differences </w:t>
              </w:r>
              <w:r w:rsidRPr="00EF571C">
                <w:rPr>
                  <w:color w:val="000000" w:themeColor="text1"/>
                </w:rPr>
                <w:t>Stanford: Stanford University Press</w:t>
              </w:r>
            </w:p>
            <w:p w14:paraId="42BA422E" w14:textId="77777777" w:rsidR="00A15DC0" w:rsidRPr="00A15DC0" w:rsidRDefault="00A15DC0" w:rsidP="00A15DC0">
              <w:pPr>
                <w:rPr>
                  <w:lang w:val="en-US"/>
                </w:rPr>
              </w:pPr>
            </w:p>
            <w:p w14:paraId="027D5044" w14:textId="77777777" w:rsidR="00A15DC0" w:rsidRPr="00A15DC0" w:rsidRDefault="00A15DC0" w:rsidP="00A15DC0">
              <w:pPr>
                <w:pStyle w:val="ListParagraph"/>
                <w:numPr>
                  <w:ilvl w:val="0"/>
                  <w:numId w:val="2"/>
                </w:numPr>
                <w:rPr>
                  <w:noProof/>
                  <w:lang w:val="en-US"/>
                </w:rPr>
              </w:pPr>
              <w:r w:rsidRPr="00A15DC0">
                <w:rPr>
                  <w:noProof/>
                  <w:lang w:val="en-US"/>
                </w:rPr>
                <w:t xml:space="preserve">Mallon, R (2007)A Field Guide to Social Construction. </w:t>
              </w:r>
              <w:r w:rsidRPr="00A15DC0">
                <w:rPr>
                  <w:i/>
                  <w:iCs/>
                  <w:noProof/>
                  <w:lang w:val="en-US"/>
                </w:rPr>
                <w:t xml:space="preserve">Philosophy Compass, </w:t>
              </w:r>
              <w:r w:rsidRPr="00A15DC0">
                <w:rPr>
                  <w:noProof/>
                  <w:lang w:val="en-US"/>
                </w:rPr>
                <w:t>2(1), pp. 93-108. Available at:</w:t>
              </w:r>
            </w:p>
            <w:p w14:paraId="36686C39" w14:textId="6E7CF3EE" w:rsidR="00A15DC0" w:rsidRDefault="00A15DC0" w:rsidP="00A15DC0">
              <w:pPr>
                <w:pStyle w:val="ListParagraph"/>
                <w:rPr>
                  <w:color w:val="000000" w:themeColor="text1"/>
                </w:rPr>
              </w:pPr>
              <w:r w:rsidRPr="00A15DC0">
                <w:rPr>
                  <w:noProof/>
                  <w:lang w:val="en-US"/>
                </w:rPr>
                <w:t xml:space="preserve"> </w:t>
              </w:r>
              <w:hyperlink r:id="rId8" w:history="1">
                <w:r w:rsidRPr="00AB4EF6">
                  <w:rPr>
                    <w:rStyle w:val="Hyperlink"/>
                  </w:rPr>
                  <w:t>http://xcelab.net/rm/wp-content/uploads/2008/09/mallon-field-guide-to-social-</w:t>
                </w:r>
                <w:r w:rsidRPr="00AB4EF6">
                  <w:rPr>
                    <w:rStyle w:val="Hyperlink"/>
                  </w:rPr>
                  <w:t>c</w:t>
                </w:r>
                <w:r w:rsidRPr="00AB4EF6">
                  <w:rPr>
                    <w:rStyle w:val="Hyperlink"/>
                  </w:rPr>
                  <w:t>onstruction-2007.pdf</w:t>
                </w:r>
              </w:hyperlink>
              <w:r w:rsidRPr="00A15DC0">
                <w:rPr>
                  <w:color w:val="000000" w:themeColor="text1"/>
                </w:rPr>
                <w:t xml:space="preserve"> </w:t>
              </w:r>
            </w:p>
            <w:p w14:paraId="4AA6EDC4" w14:textId="70A27DF4" w:rsidR="00A15DC0" w:rsidRPr="00A15DC0" w:rsidRDefault="00A15DC0" w:rsidP="00A15DC0">
              <w:pPr>
                <w:pStyle w:val="ListParagraph"/>
                <w:rPr>
                  <w:color w:val="000000" w:themeColor="text1"/>
                </w:rPr>
              </w:pPr>
              <w:r>
                <w:rPr>
                  <w:color w:val="000000" w:themeColor="text1"/>
                </w:rPr>
                <w:t>Accessed: 03/03/19</w:t>
              </w:r>
            </w:p>
            <w:p w14:paraId="3AEA743F" w14:textId="77777777" w:rsidR="00A15DC0" w:rsidRPr="00A15DC0" w:rsidRDefault="00A15DC0" w:rsidP="00A15DC0">
              <w:pPr>
                <w:rPr>
                  <w:lang w:val="en-US"/>
                </w:rPr>
              </w:pPr>
            </w:p>
            <w:p w14:paraId="12472DD4" w14:textId="2F4BCF18" w:rsidR="00A15DC0" w:rsidRDefault="00A15DC0" w:rsidP="00A15DC0">
              <w:pPr>
                <w:pStyle w:val="Bibliography"/>
                <w:numPr>
                  <w:ilvl w:val="0"/>
                  <w:numId w:val="2"/>
                </w:numPr>
                <w:rPr>
                  <w:noProof/>
                  <w:lang w:val="en-US"/>
                </w:rPr>
              </w:pPr>
              <w:r>
                <w:rPr>
                  <w:noProof/>
                  <w:lang w:val="en-US"/>
                </w:rPr>
                <w:t xml:space="preserve">Spencer, L. &amp; Krauze, A (2010) </w:t>
              </w:r>
              <w:r>
                <w:rPr>
                  <w:i/>
                  <w:iCs/>
                  <w:noProof/>
                  <w:lang w:val="en-US"/>
                </w:rPr>
                <w:t xml:space="preserve">The Elightenment, a Graphic Guide. </w:t>
              </w:r>
              <w:r>
                <w:rPr>
                  <w:noProof/>
                  <w:lang w:val="en-US"/>
                </w:rPr>
                <w:t>London: Icon Books.</w:t>
              </w:r>
            </w:p>
            <w:p w14:paraId="0A548531" w14:textId="77777777" w:rsidR="00A15DC0" w:rsidRPr="00A15DC0" w:rsidRDefault="00A15DC0" w:rsidP="00A15DC0">
              <w:pPr>
                <w:rPr>
                  <w:lang w:val="en-US"/>
                </w:rPr>
              </w:pPr>
            </w:p>
            <w:p w14:paraId="4FB5CF2B" w14:textId="38E2207C" w:rsidR="00A15DC0" w:rsidRDefault="00A15DC0" w:rsidP="00A15DC0">
              <w:pPr>
                <w:pStyle w:val="Bibliography"/>
                <w:numPr>
                  <w:ilvl w:val="0"/>
                  <w:numId w:val="2"/>
                </w:numPr>
                <w:rPr>
                  <w:noProof/>
                  <w:lang w:val="en-US"/>
                </w:rPr>
              </w:pPr>
              <w:r>
                <w:rPr>
                  <w:noProof/>
                  <w:lang w:val="en-US"/>
                </w:rPr>
                <w:lastRenderedPageBreak/>
                <w:t xml:space="preserve">Vygotsky, L (1980) </w:t>
              </w:r>
              <w:r>
                <w:rPr>
                  <w:i/>
                  <w:iCs/>
                  <w:noProof/>
                  <w:lang w:val="en-US"/>
                </w:rPr>
                <w:t xml:space="preserve">The Development of higher Psychology Process. </w:t>
              </w:r>
              <w:r>
                <w:rPr>
                  <w:noProof/>
                  <w:lang w:val="en-US"/>
                </w:rPr>
                <w:t>Boston: Harvard University Press.</w:t>
              </w:r>
            </w:p>
            <w:p w14:paraId="5605145B" w14:textId="77777777" w:rsidR="00A15DC0" w:rsidRPr="00A15DC0" w:rsidRDefault="00A15DC0" w:rsidP="00A15DC0">
              <w:pPr>
                <w:rPr>
                  <w:lang w:val="en-US"/>
                </w:rPr>
              </w:pPr>
            </w:p>
            <w:p w14:paraId="0CD98475" w14:textId="2BEAC26A" w:rsidR="00A15DC0" w:rsidRDefault="00A15DC0" w:rsidP="00A15DC0">
              <w:pPr>
                <w:pStyle w:val="Bibliography"/>
                <w:numPr>
                  <w:ilvl w:val="0"/>
                  <w:numId w:val="2"/>
                </w:numPr>
                <w:rPr>
                  <w:noProof/>
                  <w:lang w:val="en-US"/>
                </w:rPr>
              </w:pPr>
              <w:r>
                <w:rPr>
                  <w:noProof/>
                  <w:lang w:val="en-US"/>
                </w:rPr>
                <w:t xml:space="preserve">Watson, J. B (1966) </w:t>
              </w:r>
              <w:r>
                <w:rPr>
                  <w:i/>
                  <w:iCs/>
                  <w:noProof/>
                  <w:lang w:val="en-US"/>
                </w:rPr>
                <w:t xml:space="preserve">Behaviorism. </w:t>
              </w:r>
              <w:r>
                <w:rPr>
                  <w:noProof/>
                  <w:lang w:val="en-US"/>
                </w:rPr>
                <w:t>Chicago: University of Chicago Press.</w:t>
              </w:r>
            </w:p>
            <w:p w14:paraId="296BFE61" w14:textId="1D010CC7" w:rsidR="00A15DC0" w:rsidRDefault="00A15DC0" w:rsidP="00A15DC0">
              <w:r>
                <w:rPr>
                  <w:b/>
                  <w:bCs/>
                  <w:noProof/>
                </w:rPr>
                <w:fldChar w:fldCharType="end"/>
              </w:r>
            </w:p>
          </w:sdtContent>
        </w:sdt>
      </w:sdtContent>
    </w:sdt>
    <w:p w14:paraId="7D8816BD" w14:textId="68DD3AE8" w:rsidR="00DC7AEB" w:rsidRDefault="00DC7AEB">
      <w:pPr>
        <w:rPr>
          <w:color w:val="000000" w:themeColor="text1"/>
        </w:rPr>
      </w:pPr>
    </w:p>
    <w:p w14:paraId="0A29C601" w14:textId="7F9DC12B" w:rsidR="00DC7AEB" w:rsidRDefault="00DC7AEB">
      <w:pPr>
        <w:rPr>
          <w:color w:val="000000" w:themeColor="text1"/>
        </w:rPr>
      </w:pPr>
    </w:p>
    <w:p w14:paraId="7B2EB2C4" w14:textId="2D0A95D7" w:rsidR="00BA3309" w:rsidRPr="00610BAB" w:rsidRDefault="00BA3309">
      <w:pPr>
        <w:rPr>
          <w:color w:val="000000" w:themeColor="text1"/>
        </w:rPr>
      </w:pPr>
    </w:p>
    <w:sectPr w:rsidR="00BA3309" w:rsidRPr="00610BAB" w:rsidSect="00974708">
      <w:headerReference w:type="even" r:id="rId9"/>
      <w:headerReference w:type="default" r:id="rId10"/>
      <w:pgSz w:w="11900" w:h="1682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8D9A76" w14:textId="77777777" w:rsidR="0001364E" w:rsidRDefault="0001364E" w:rsidP="00974708">
      <w:pPr>
        <w:spacing w:line="240" w:lineRule="auto"/>
      </w:pPr>
      <w:r>
        <w:separator/>
      </w:r>
    </w:p>
  </w:endnote>
  <w:endnote w:type="continuationSeparator" w:id="0">
    <w:p w14:paraId="2A99A91F" w14:textId="77777777" w:rsidR="0001364E" w:rsidRDefault="0001364E" w:rsidP="009747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EACD9" w14:textId="77777777" w:rsidR="0001364E" w:rsidRDefault="0001364E" w:rsidP="00974708">
      <w:pPr>
        <w:spacing w:line="240" w:lineRule="auto"/>
      </w:pPr>
      <w:r>
        <w:separator/>
      </w:r>
    </w:p>
  </w:footnote>
  <w:footnote w:type="continuationSeparator" w:id="0">
    <w:p w14:paraId="53D514B4" w14:textId="77777777" w:rsidR="0001364E" w:rsidRDefault="0001364E" w:rsidP="009747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0936754"/>
      <w:docPartObj>
        <w:docPartGallery w:val="Page Numbers (Top of Page)"/>
        <w:docPartUnique/>
      </w:docPartObj>
    </w:sdtPr>
    <w:sdtContent>
      <w:p w14:paraId="65B13E10" w14:textId="4B001EF0" w:rsidR="00974708" w:rsidRDefault="00974708" w:rsidP="00A16ED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D272358" w14:textId="77777777" w:rsidR="00974708" w:rsidRDefault="009747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8861604"/>
      <w:docPartObj>
        <w:docPartGallery w:val="Page Numbers (Top of Page)"/>
        <w:docPartUnique/>
      </w:docPartObj>
    </w:sdtPr>
    <w:sdtContent>
      <w:p w14:paraId="5EAFBA66" w14:textId="6B40C8C5" w:rsidR="00974708" w:rsidRDefault="00974708" w:rsidP="00A16ED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FB0F52" w14:textId="63152E68" w:rsidR="00974708" w:rsidRDefault="00974708">
    <w:pPr>
      <w:pStyle w:val="Header"/>
    </w:pPr>
    <w:r>
      <w:t>Module code: SJSI4017                                                                       Student number: 1805211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9D51F9"/>
    <w:multiLevelType w:val="hybridMultilevel"/>
    <w:tmpl w:val="27427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6A559C"/>
    <w:multiLevelType w:val="hybridMultilevel"/>
    <w:tmpl w:val="E1CE2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mirrorMargin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F0B"/>
    <w:rsid w:val="0001177C"/>
    <w:rsid w:val="0001364E"/>
    <w:rsid w:val="00022F46"/>
    <w:rsid w:val="00045373"/>
    <w:rsid w:val="00092A7D"/>
    <w:rsid w:val="000E167A"/>
    <w:rsid w:val="00114E63"/>
    <w:rsid w:val="001944CF"/>
    <w:rsid w:val="00197728"/>
    <w:rsid w:val="00197B2E"/>
    <w:rsid w:val="001C5AA2"/>
    <w:rsid w:val="001D4AB9"/>
    <w:rsid w:val="001D58C9"/>
    <w:rsid w:val="00211318"/>
    <w:rsid w:val="0023049A"/>
    <w:rsid w:val="00233A31"/>
    <w:rsid w:val="0023654E"/>
    <w:rsid w:val="00244058"/>
    <w:rsid w:val="0025355E"/>
    <w:rsid w:val="00254E29"/>
    <w:rsid w:val="0026023C"/>
    <w:rsid w:val="00261F51"/>
    <w:rsid w:val="002A626D"/>
    <w:rsid w:val="002B4FFA"/>
    <w:rsid w:val="002B6C20"/>
    <w:rsid w:val="00331589"/>
    <w:rsid w:val="00336CEF"/>
    <w:rsid w:val="00336DB6"/>
    <w:rsid w:val="00374B2A"/>
    <w:rsid w:val="00391C39"/>
    <w:rsid w:val="003E5655"/>
    <w:rsid w:val="003F269D"/>
    <w:rsid w:val="003F3F46"/>
    <w:rsid w:val="00413280"/>
    <w:rsid w:val="00431C83"/>
    <w:rsid w:val="004A303A"/>
    <w:rsid w:val="004D5BEA"/>
    <w:rsid w:val="004F07F4"/>
    <w:rsid w:val="004F5E37"/>
    <w:rsid w:val="0051194B"/>
    <w:rsid w:val="00536B56"/>
    <w:rsid w:val="0054019D"/>
    <w:rsid w:val="00561663"/>
    <w:rsid w:val="00564656"/>
    <w:rsid w:val="005A7C96"/>
    <w:rsid w:val="00607DCC"/>
    <w:rsid w:val="00610BAB"/>
    <w:rsid w:val="00612410"/>
    <w:rsid w:val="00625718"/>
    <w:rsid w:val="006663C2"/>
    <w:rsid w:val="006D01A5"/>
    <w:rsid w:val="00701F9C"/>
    <w:rsid w:val="00740B91"/>
    <w:rsid w:val="00744FFD"/>
    <w:rsid w:val="00745516"/>
    <w:rsid w:val="00772B51"/>
    <w:rsid w:val="00773CBE"/>
    <w:rsid w:val="00794691"/>
    <w:rsid w:val="007A791E"/>
    <w:rsid w:val="00817846"/>
    <w:rsid w:val="00822343"/>
    <w:rsid w:val="008261B0"/>
    <w:rsid w:val="00841E73"/>
    <w:rsid w:val="00862EC4"/>
    <w:rsid w:val="00863E05"/>
    <w:rsid w:val="0088152C"/>
    <w:rsid w:val="00891B86"/>
    <w:rsid w:val="008F4D40"/>
    <w:rsid w:val="00940BC3"/>
    <w:rsid w:val="00941858"/>
    <w:rsid w:val="00944B71"/>
    <w:rsid w:val="00974708"/>
    <w:rsid w:val="00981DC4"/>
    <w:rsid w:val="009E2652"/>
    <w:rsid w:val="009F7C0F"/>
    <w:rsid w:val="00A15DC0"/>
    <w:rsid w:val="00A17B76"/>
    <w:rsid w:val="00A66261"/>
    <w:rsid w:val="00AA3ABF"/>
    <w:rsid w:val="00AB281B"/>
    <w:rsid w:val="00AC0F0B"/>
    <w:rsid w:val="00AC7283"/>
    <w:rsid w:val="00AE4BDA"/>
    <w:rsid w:val="00AF5646"/>
    <w:rsid w:val="00B07552"/>
    <w:rsid w:val="00B2718F"/>
    <w:rsid w:val="00B37924"/>
    <w:rsid w:val="00B421B8"/>
    <w:rsid w:val="00B4435D"/>
    <w:rsid w:val="00B47148"/>
    <w:rsid w:val="00B47F8A"/>
    <w:rsid w:val="00B51F88"/>
    <w:rsid w:val="00BA3309"/>
    <w:rsid w:val="00BB53A2"/>
    <w:rsid w:val="00BD2D63"/>
    <w:rsid w:val="00BF4641"/>
    <w:rsid w:val="00BF51D3"/>
    <w:rsid w:val="00C24CC8"/>
    <w:rsid w:val="00C44AB5"/>
    <w:rsid w:val="00C6431C"/>
    <w:rsid w:val="00C84A43"/>
    <w:rsid w:val="00C92EB3"/>
    <w:rsid w:val="00CE5829"/>
    <w:rsid w:val="00CE66F6"/>
    <w:rsid w:val="00CF1840"/>
    <w:rsid w:val="00D17D86"/>
    <w:rsid w:val="00D25245"/>
    <w:rsid w:val="00D73670"/>
    <w:rsid w:val="00D81470"/>
    <w:rsid w:val="00DA2ADF"/>
    <w:rsid w:val="00DC7AEB"/>
    <w:rsid w:val="00DE0A18"/>
    <w:rsid w:val="00E242A5"/>
    <w:rsid w:val="00E55A61"/>
    <w:rsid w:val="00E8156D"/>
    <w:rsid w:val="00EA4612"/>
    <w:rsid w:val="00EC283B"/>
    <w:rsid w:val="00EC48BF"/>
    <w:rsid w:val="00EF12A2"/>
    <w:rsid w:val="00EF571C"/>
    <w:rsid w:val="00F301EE"/>
    <w:rsid w:val="00F57DCA"/>
    <w:rsid w:val="00F8679E"/>
    <w:rsid w:val="00FA06B4"/>
    <w:rsid w:val="00FA635C"/>
    <w:rsid w:val="00FB7DE5"/>
    <w:rsid w:val="00FC6DDC"/>
    <w:rsid w:val="00FD0E00"/>
    <w:rsid w:val="00FE7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3F34"/>
  <w15:chartTrackingRefBased/>
  <w15:docId w15:val="{CCEF6DEE-2DEF-9743-B1BB-FEE649BE4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Body CS)"/>
        <w:sz w:val="24"/>
        <w:szCs w:val="24"/>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DC0"/>
    <w:pPr>
      <w:keepNext/>
      <w:keepLines/>
      <w:spacing w:before="480" w:line="276" w:lineRule="auto"/>
      <w:jc w:val="left"/>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4FFA"/>
    <w:rPr>
      <w:color w:val="0563C1" w:themeColor="hyperlink"/>
      <w:u w:val="single"/>
    </w:rPr>
  </w:style>
  <w:style w:type="character" w:styleId="UnresolvedMention">
    <w:name w:val="Unresolved Mention"/>
    <w:basedOn w:val="DefaultParagraphFont"/>
    <w:uiPriority w:val="99"/>
    <w:semiHidden/>
    <w:unhideWhenUsed/>
    <w:rsid w:val="002B4FFA"/>
    <w:rPr>
      <w:color w:val="605E5C"/>
      <w:shd w:val="clear" w:color="auto" w:fill="E1DFDD"/>
    </w:rPr>
  </w:style>
  <w:style w:type="paragraph" w:styleId="Header">
    <w:name w:val="header"/>
    <w:basedOn w:val="Normal"/>
    <w:link w:val="HeaderChar"/>
    <w:uiPriority w:val="99"/>
    <w:unhideWhenUsed/>
    <w:rsid w:val="00974708"/>
    <w:pPr>
      <w:tabs>
        <w:tab w:val="center" w:pos="4680"/>
        <w:tab w:val="right" w:pos="9360"/>
      </w:tabs>
      <w:spacing w:line="240" w:lineRule="auto"/>
    </w:pPr>
  </w:style>
  <w:style w:type="character" w:customStyle="1" w:styleId="HeaderChar">
    <w:name w:val="Header Char"/>
    <w:basedOn w:val="DefaultParagraphFont"/>
    <w:link w:val="Header"/>
    <w:uiPriority w:val="99"/>
    <w:rsid w:val="00974708"/>
  </w:style>
  <w:style w:type="paragraph" w:styleId="Footer">
    <w:name w:val="footer"/>
    <w:basedOn w:val="Normal"/>
    <w:link w:val="FooterChar"/>
    <w:uiPriority w:val="99"/>
    <w:unhideWhenUsed/>
    <w:rsid w:val="00974708"/>
    <w:pPr>
      <w:tabs>
        <w:tab w:val="center" w:pos="4680"/>
        <w:tab w:val="right" w:pos="9360"/>
      </w:tabs>
      <w:spacing w:line="240" w:lineRule="auto"/>
    </w:pPr>
  </w:style>
  <w:style w:type="character" w:customStyle="1" w:styleId="FooterChar">
    <w:name w:val="Footer Char"/>
    <w:basedOn w:val="DefaultParagraphFont"/>
    <w:link w:val="Footer"/>
    <w:uiPriority w:val="99"/>
    <w:rsid w:val="00974708"/>
  </w:style>
  <w:style w:type="character" w:styleId="PageNumber">
    <w:name w:val="page number"/>
    <w:basedOn w:val="DefaultParagraphFont"/>
    <w:uiPriority w:val="99"/>
    <w:semiHidden/>
    <w:unhideWhenUsed/>
    <w:rsid w:val="00974708"/>
  </w:style>
  <w:style w:type="character" w:customStyle="1" w:styleId="Heading1Char">
    <w:name w:val="Heading 1 Char"/>
    <w:basedOn w:val="DefaultParagraphFont"/>
    <w:link w:val="Heading1"/>
    <w:uiPriority w:val="9"/>
    <w:rsid w:val="00A15DC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15DC0"/>
  </w:style>
  <w:style w:type="character" w:styleId="FollowedHyperlink">
    <w:name w:val="FollowedHyperlink"/>
    <w:basedOn w:val="DefaultParagraphFont"/>
    <w:uiPriority w:val="99"/>
    <w:semiHidden/>
    <w:unhideWhenUsed/>
    <w:rsid w:val="00A15DC0"/>
    <w:rPr>
      <w:color w:val="954F72" w:themeColor="followedHyperlink"/>
      <w:u w:val="single"/>
    </w:rPr>
  </w:style>
  <w:style w:type="paragraph" w:styleId="ListParagraph">
    <w:name w:val="List Paragraph"/>
    <w:basedOn w:val="Normal"/>
    <w:uiPriority w:val="34"/>
    <w:qFormat/>
    <w:rsid w:val="00A15D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96347">
      <w:bodyDiv w:val="1"/>
      <w:marLeft w:val="0"/>
      <w:marRight w:val="0"/>
      <w:marTop w:val="0"/>
      <w:marBottom w:val="0"/>
      <w:divBdr>
        <w:top w:val="none" w:sz="0" w:space="0" w:color="auto"/>
        <w:left w:val="none" w:sz="0" w:space="0" w:color="auto"/>
        <w:bottom w:val="none" w:sz="0" w:space="0" w:color="auto"/>
        <w:right w:val="none" w:sz="0" w:space="0" w:color="auto"/>
      </w:divBdr>
    </w:div>
    <w:div w:id="39985416">
      <w:bodyDiv w:val="1"/>
      <w:marLeft w:val="0"/>
      <w:marRight w:val="0"/>
      <w:marTop w:val="0"/>
      <w:marBottom w:val="0"/>
      <w:divBdr>
        <w:top w:val="none" w:sz="0" w:space="0" w:color="auto"/>
        <w:left w:val="none" w:sz="0" w:space="0" w:color="auto"/>
        <w:bottom w:val="none" w:sz="0" w:space="0" w:color="auto"/>
        <w:right w:val="none" w:sz="0" w:space="0" w:color="auto"/>
      </w:divBdr>
    </w:div>
    <w:div w:id="46927043">
      <w:bodyDiv w:val="1"/>
      <w:marLeft w:val="0"/>
      <w:marRight w:val="0"/>
      <w:marTop w:val="0"/>
      <w:marBottom w:val="0"/>
      <w:divBdr>
        <w:top w:val="none" w:sz="0" w:space="0" w:color="auto"/>
        <w:left w:val="none" w:sz="0" w:space="0" w:color="auto"/>
        <w:bottom w:val="none" w:sz="0" w:space="0" w:color="auto"/>
        <w:right w:val="none" w:sz="0" w:space="0" w:color="auto"/>
      </w:divBdr>
    </w:div>
    <w:div w:id="64232211">
      <w:bodyDiv w:val="1"/>
      <w:marLeft w:val="0"/>
      <w:marRight w:val="0"/>
      <w:marTop w:val="0"/>
      <w:marBottom w:val="0"/>
      <w:divBdr>
        <w:top w:val="none" w:sz="0" w:space="0" w:color="auto"/>
        <w:left w:val="none" w:sz="0" w:space="0" w:color="auto"/>
        <w:bottom w:val="none" w:sz="0" w:space="0" w:color="auto"/>
        <w:right w:val="none" w:sz="0" w:space="0" w:color="auto"/>
      </w:divBdr>
    </w:div>
    <w:div w:id="70855983">
      <w:bodyDiv w:val="1"/>
      <w:marLeft w:val="0"/>
      <w:marRight w:val="0"/>
      <w:marTop w:val="0"/>
      <w:marBottom w:val="0"/>
      <w:divBdr>
        <w:top w:val="none" w:sz="0" w:space="0" w:color="auto"/>
        <w:left w:val="none" w:sz="0" w:space="0" w:color="auto"/>
        <w:bottom w:val="none" w:sz="0" w:space="0" w:color="auto"/>
        <w:right w:val="none" w:sz="0" w:space="0" w:color="auto"/>
      </w:divBdr>
    </w:div>
    <w:div w:id="79524873">
      <w:bodyDiv w:val="1"/>
      <w:marLeft w:val="0"/>
      <w:marRight w:val="0"/>
      <w:marTop w:val="0"/>
      <w:marBottom w:val="0"/>
      <w:divBdr>
        <w:top w:val="none" w:sz="0" w:space="0" w:color="auto"/>
        <w:left w:val="none" w:sz="0" w:space="0" w:color="auto"/>
        <w:bottom w:val="none" w:sz="0" w:space="0" w:color="auto"/>
        <w:right w:val="none" w:sz="0" w:space="0" w:color="auto"/>
      </w:divBdr>
    </w:div>
    <w:div w:id="95903806">
      <w:bodyDiv w:val="1"/>
      <w:marLeft w:val="0"/>
      <w:marRight w:val="0"/>
      <w:marTop w:val="0"/>
      <w:marBottom w:val="0"/>
      <w:divBdr>
        <w:top w:val="none" w:sz="0" w:space="0" w:color="auto"/>
        <w:left w:val="none" w:sz="0" w:space="0" w:color="auto"/>
        <w:bottom w:val="none" w:sz="0" w:space="0" w:color="auto"/>
        <w:right w:val="none" w:sz="0" w:space="0" w:color="auto"/>
      </w:divBdr>
    </w:div>
    <w:div w:id="181869775">
      <w:bodyDiv w:val="1"/>
      <w:marLeft w:val="0"/>
      <w:marRight w:val="0"/>
      <w:marTop w:val="0"/>
      <w:marBottom w:val="0"/>
      <w:divBdr>
        <w:top w:val="none" w:sz="0" w:space="0" w:color="auto"/>
        <w:left w:val="none" w:sz="0" w:space="0" w:color="auto"/>
        <w:bottom w:val="none" w:sz="0" w:space="0" w:color="auto"/>
        <w:right w:val="none" w:sz="0" w:space="0" w:color="auto"/>
      </w:divBdr>
    </w:div>
    <w:div w:id="196358261">
      <w:bodyDiv w:val="1"/>
      <w:marLeft w:val="0"/>
      <w:marRight w:val="0"/>
      <w:marTop w:val="0"/>
      <w:marBottom w:val="0"/>
      <w:divBdr>
        <w:top w:val="none" w:sz="0" w:space="0" w:color="auto"/>
        <w:left w:val="none" w:sz="0" w:space="0" w:color="auto"/>
        <w:bottom w:val="none" w:sz="0" w:space="0" w:color="auto"/>
        <w:right w:val="none" w:sz="0" w:space="0" w:color="auto"/>
      </w:divBdr>
    </w:div>
    <w:div w:id="198862406">
      <w:bodyDiv w:val="1"/>
      <w:marLeft w:val="0"/>
      <w:marRight w:val="0"/>
      <w:marTop w:val="0"/>
      <w:marBottom w:val="0"/>
      <w:divBdr>
        <w:top w:val="none" w:sz="0" w:space="0" w:color="auto"/>
        <w:left w:val="none" w:sz="0" w:space="0" w:color="auto"/>
        <w:bottom w:val="none" w:sz="0" w:space="0" w:color="auto"/>
        <w:right w:val="none" w:sz="0" w:space="0" w:color="auto"/>
      </w:divBdr>
    </w:div>
    <w:div w:id="212470246">
      <w:bodyDiv w:val="1"/>
      <w:marLeft w:val="0"/>
      <w:marRight w:val="0"/>
      <w:marTop w:val="0"/>
      <w:marBottom w:val="0"/>
      <w:divBdr>
        <w:top w:val="none" w:sz="0" w:space="0" w:color="auto"/>
        <w:left w:val="none" w:sz="0" w:space="0" w:color="auto"/>
        <w:bottom w:val="none" w:sz="0" w:space="0" w:color="auto"/>
        <w:right w:val="none" w:sz="0" w:space="0" w:color="auto"/>
      </w:divBdr>
    </w:div>
    <w:div w:id="225646902">
      <w:bodyDiv w:val="1"/>
      <w:marLeft w:val="0"/>
      <w:marRight w:val="0"/>
      <w:marTop w:val="0"/>
      <w:marBottom w:val="0"/>
      <w:divBdr>
        <w:top w:val="none" w:sz="0" w:space="0" w:color="auto"/>
        <w:left w:val="none" w:sz="0" w:space="0" w:color="auto"/>
        <w:bottom w:val="none" w:sz="0" w:space="0" w:color="auto"/>
        <w:right w:val="none" w:sz="0" w:space="0" w:color="auto"/>
      </w:divBdr>
    </w:div>
    <w:div w:id="227691526">
      <w:bodyDiv w:val="1"/>
      <w:marLeft w:val="0"/>
      <w:marRight w:val="0"/>
      <w:marTop w:val="0"/>
      <w:marBottom w:val="0"/>
      <w:divBdr>
        <w:top w:val="none" w:sz="0" w:space="0" w:color="auto"/>
        <w:left w:val="none" w:sz="0" w:space="0" w:color="auto"/>
        <w:bottom w:val="none" w:sz="0" w:space="0" w:color="auto"/>
        <w:right w:val="none" w:sz="0" w:space="0" w:color="auto"/>
      </w:divBdr>
    </w:div>
    <w:div w:id="227696373">
      <w:bodyDiv w:val="1"/>
      <w:marLeft w:val="0"/>
      <w:marRight w:val="0"/>
      <w:marTop w:val="0"/>
      <w:marBottom w:val="0"/>
      <w:divBdr>
        <w:top w:val="none" w:sz="0" w:space="0" w:color="auto"/>
        <w:left w:val="none" w:sz="0" w:space="0" w:color="auto"/>
        <w:bottom w:val="none" w:sz="0" w:space="0" w:color="auto"/>
        <w:right w:val="none" w:sz="0" w:space="0" w:color="auto"/>
      </w:divBdr>
    </w:div>
    <w:div w:id="239028144">
      <w:bodyDiv w:val="1"/>
      <w:marLeft w:val="0"/>
      <w:marRight w:val="0"/>
      <w:marTop w:val="0"/>
      <w:marBottom w:val="0"/>
      <w:divBdr>
        <w:top w:val="none" w:sz="0" w:space="0" w:color="auto"/>
        <w:left w:val="none" w:sz="0" w:space="0" w:color="auto"/>
        <w:bottom w:val="none" w:sz="0" w:space="0" w:color="auto"/>
        <w:right w:val="none" w:sz="0" w:space="0" w:color="auto"/>
      </w:divBdr>
    </w:div>
    <w:div w:id="292177008">
      <w:bodyDiv w:val="1"/>
      <w:marLeft w:val="0"/>
      <w:marRight w:val="0"/>
      <w:marTop w:val="0"/>
      <w:marBottom w:val="0"/>
      <w:divBdr>
        <w:top w:val="none" w:sz="0" w:space="0" w:color="auto"/>
        <w:left w:val="none" w:sz="0" w:space="0" w:color="auto"/>
        <w:bottom w:val="none" w:sz="0" w:space="0" w:color="auto"/>
        <w:right w:val="none" w:sz="0" w:space="0" w:color="auto"/>
      </w:divBdr>
    </w:div>
    <w:div w:id="301890713">
      <w:bodyDiv w:val="1"/>
      <w:marLeft w:val="0"/>
      <w:marRight w:val="0"/>
      <w:marTop w:val="0"/>
      <w:marBottom w:val="0"/>
      <w:divBdr>
        <w:top w:val="none" w:sz="0" w:space="0" w:color="auto"/>
        <w:left w:val="none" w:sz="0" w:space="0" w:color="auto"/>
        <w:bottom w:val="none" w:sz="0" w:space="0" w:color="auto"/>
        <w:right w:val="none" w:sz="0" w:space="0" w:color="auto"/>
      </w:divBdr>
    </w:div>
    <w:div w:id="314535480">
      <w:bodyDiv w:val="1"/>
      <w:marLeft w:val="0"/>
      <w:marRight w:val="0"/>
      <w:marTop w:val="0"/>
      <w:marBottom w:val="0"/>
      <w:divBdr>
        <w:top w:val="none" w:sz="0" w:space="0" w:color="auto"/>
        <w:left w:val="none" w:sz="0" w:space="0" w:color="auto"/>
        <w:bottom w:val="none" w:sz="0" w:space="0" w:color="auto"/>
        <w:right w:val="none" w:sz="0" w:space="0" w:color="auto"/>
      </w:divBdr>
    </w:div>
    <w:div w:id="342362595">
      <w:bodyDiv w:val="1"/>
      <w:marLeft w:val="0"/>
      <w:marRight w:val="0"/>
      <w:marTop w:val="0"/>
      <w:marBottom w:val="0"/>
      <w:divBdr>
        <w:top w:val="none" w:sz="0" w:space="0" w:color="auto"/>
        <w:left w:val="none" w:sz="0" w:space="0" w:color="auto"/>
        <w:bottom w:val="none" w:sz="0" w:space="0" w:color="auto"/>
        <w:right w:val="none" w:sz="0" w:space="0" w:color="auto"/>
      </w:divBdr>
    </w:div>
    <w:div w:id="366376672">
      <w:bodyDiv w:val="1"/>
      <w:marLeft w:val="0"/>
      <w:marRight w:val="0"/>
      <w:marTop w:val="0"/>
      <w:marBottom w:val="0"/>
      <w:divBdr>
        <w:top w:val="none" w:sz="0" w:space="0" w:color="auto"/>
        <w:left w:val="none" w:sz="0" w:space="0" w:color="auto"/>
        <w:bottom w:val="none" w:sz="0" w:space="0" w:color="auto"/>
        <w:right w:val="none" w:sz="0" w:space="0" w:color="auto"/>
      </w:divBdr>
    </w:div>
    <w:div w:id="375934768">
      <w:bodyDiv w:val="1"/>
      <w:marLeft w:val="0"/>
      <w:marRight w:val="0"/>
      <w:marTop w:val="0"/>
      <w:marBottom w:val="0"/>
      <w:divBdr>
        <w:top w:val="none" w:sz="0" w:space="0" w:color="auto"/>
        <w:left w:val="none" w:sz="0" w:space="0" w:color="auto"/>
        <w:bottom w:val="none" w:sz="0" w:space="0" w:color="auto"/>
        <w:right w:val="none" w:sz="0" w:space="0" w:color="auto"/>
      </w:divBdr>
    </w:div>
    <w:div w:id="434176114">
      <w:bodyDiv w:val="1"/>
      <w:marLeft w:val="0"/>
      <w:marRight w:val="0"/>
      <w:marTop w:val="0"/>
      <w:marBottom w:val="0"/>
      <w:divBdr>
        <w:top w:val="none" w:sz="0" w:space="0" w:color="auto"/>
        <w:left w:val="none" w:sz="0" w:space="0" w:color="auto"/>
        <w:bottom w:val="none" w:sz="0" w:space="0" w:color="auto"/>
        <w:right w:val="none" w:sz="0" w:space="0" w:color="auto"/>
      </w:divBdr>
    </w:div>
    <w:div w:id="472868634">
      <w:bodyDiv w:val="1"/>
      <w:marLeft w:val="0"/>
      <w:marRight w:val="0"/>
      <w:marTop w:val="0"/>
      <w:marBottom w:val="0"/>
      <w:divBdr>
        <w:top w:val="none" w:sz="0" w:space="0" w:color="auto"/>
        <w:left w:val="none" w:sz="0" w:space="0" w:color="auto"/>
        <w:bottom w:val="none" w:sz="0" w:space="0" w:color="auto"/>
        <w:right w:val="none" w:sz="0" w:space="0" w:color="auto"/>
      </w:divBdr>
    </w:div>
    <w:div w:id="505484027">
      <w:bodyDiv w:val="1"/>
      <w:marLeft w:val="0"/>
      <w:marRight w:val="0"/>
      <w:marTop w:val="0"/>
      <w:marBottom w:val="0"/>
      <w:divBdr>
        <w:top w:val="none" w:sz="0" w:space="0" w:color="auto"/>
        <w:left w:val="none" w:sz="0" w:space="0" w:color="auto"/>
        <w:bottom w:val="none" w:sz="0" w:space="0" w:color="auto"/>
        <w:right w:val="none" w:sz="0" w:space="0" w:color="auto"/>
      </w:divBdr>
    </w:div>
    <w:div w:id="543979214">
      <w:bodyDiv w:val="1"/>
      <w:marLeft w:val="0"/>
      <w:marRight w:val="0"/>
      <w:marTop w:val="0"/>
      <w:marBottom w:val="0"/>
      <w:divBdr>
        <w:top w:val="none" w:sz="0" w:space="0" w:color="auto"/>
        <w:left w:val="none" w:sz="0" w:space="0" w:color="auto"/>
        <w:bottom w:val="none" w:sz="0" w:space="0" w:color="auto"/>
        <w:right w:val="none" w:sz="0" w:space="0" w:color="auto"/>
      </w:divBdr>
    </w:div>
    <w:div w:id="552889620">
      <w:bodyDiv w:val="1"/>
      <w:marLeft w:val="0"/>
      <w:marRight w:val="0"/>
      <w:marTop w:val="0"/>
      <w:marBottom w:val="0"/>
      <w:divBdr>
        <w:top w:val="none" w:sz="0" w:space="0" w:color="auto"/>
        <w:left w:val="none" w:sz="0" w:space="0" w:color="auto"/>
        <w:bottom w:val="none" w:sz="0" w:space="0" w:color="auto"/>
        <w:right w:val="none" w:sz="0" w:space="0" w:color="auto"/>
      </w:divBdr>
    </w:div>
    <w:div w:id="650139145">
      <w:bodyDiv w:val="1"/>
      <w:marLeft w:val="0"/>
      <w:marRight w:val="0"/>
      <w:marTop w:val="0"/>
      <w:marBottom w:val="0"/>
      <w:divBdr>
        <w:top w:val="none" w:sz="0" w:space="0" w:color="auto"/>
        <w:left w:val="none" w:sz="0" w:space="0" w:color="auto"/>
        <w:bottom w:val="none" w:sz="0" w:space="0" w:color="auto"/>
        <w:right w:val="none" w:sz="0" w:space="0" w:color="auto"/>
      </w:divBdr>
    </w:div>
    <w:div w:id="699742177">
      <w:bodyDiv w:val="1"/>
      <w:marLeft w:val="0"/>
      <w:marRight w:val="0"/>
      <w:marTop w:val="0"/>
      <w:marBottom w:val="0"/>
      <w:divBdr>
        <w:top w:val="none" w:sz="0" w:space="0" w:color="auto"/>
        <w:left w:val="none" w:sz="0" w:space="0" w:color="auto"/>
        <w:bottom w:val="none" w:sz="0" w:space="0" w:color="auto"/>
        <w:right w:val="none" w:sz="0" w:space="0" w:color="auto"/>
      </w:divBdr>
    </w:div>
    <w:div w:id="784228325">
      <w:bodyDiv w:val="1"/>
      <w:marLeft w:val="0"/>
      <w:marRight w:val="0"/>
      <w:marTop w:val="0"/>
      <w:marBottom w:val="0"/>
      <w:divBdr>
        <w:top w:val="none" w:sz="0" w:space="0" w:color="auto"/>
        <w:left w:val="none" w:sz="0" w:space="0" w:color="auto"/>
        <w:bottom w:val="none" w:sz="0" w:space="0" w:color="auto"/>
        <w:right w:val="none" w:sz="0" w:space="0" w:color="auto"/>
      </w:divBdr>
    </w:div>
    <w:div w:id="789202725">
      <w:bodyDiv w:val="1"/>
      <w:marLeft w:val="0"/>
      <w:marRight w:val="0"/>
      <w:marTop w:val="0"/>
      <w:marBottom w:val="0"/>
      <w:divBdr>
        <w:top w:val="none" w:sz="0" w:space="0" w:color="auto"/>
        <w:left w:val="none" w:sz="0" w:space="0" w:color="auto"/>
        <w:bottom w:val="none" w:sz="0" w:space="0" w:color="auto"/>
        <w:right w:val="none" w:sz="0" w:space="0" w:color="auto"/>
      </w:divBdr>
    </w:div>
    <w:div w:id="810902451">
      <w:bodyDiv w:val="1"/>
      <w:marLeft w:val="0"/>
      <w:marRight w:val="0"/>
      <w:marTop w:val="0"/>
      <w:marBottom w:val="0"/>
      <w:divBdr>
        <w:top w:val="none" w:sz="0" w:space="0" w:color="auto"/>
        <w:left w:val="none" w:sz="0" w:space="0" w:color="auto"/>
        <w:bottom w:val="none" w:sz="0" w:space="0" w:color="auto"/>
        <w:right w:val="none" w:sz="0" w:space="0" w:color="auto"/>
      </w:divBdr>
    </w:div>
    <w:div w:id="830678268">
      <w:bodyDiv w:val="1"/>
      <w:marLeft w:val="0"/>
      <w:marRight w:val="0"/>
      <w:marTop w:val="0"/>
      <w:marBottom w:val="0"/>
      <w:divBdr>
        <w:top w:val="none" w:sz="0" w:space="0" w:color="auto"/>
        <w:left w:val="none" w:sz="0" w:space="0" w:color="auto"/>
        <w:bottom w:val="none" w:sz="0" w:space="0" w:color="auto"/>
        <w:right w:val="none" w:sz="0" w:space="0" w:color="auto"/>
      </w:divBdr>
    </w:div>
    <w:div w:id="836195205">
      <w:bodyDiv w:val="1"/>
      <w:marLeft w:val="0"/>
      <w:marRight w:val="0"/>
      <w:marTop w:val="0"/>
      <w:marBottom w:val="0"/>
      <w:divBdr>
        <w:top w:val="none" w:sz="0" w:space="0" w:color="auto"/>
        <w:left w:val="none" w:sz="0" w:space="0" w:color="auto"/>
        <w:bottom w:val="none" w:sz="0" w:space="0" w:color="auto"/>
        <w:right w:val="none" w:sz="0" w:space="0" w:color="auto"/>
      </w:divBdr>
    </w:div>
    <w:div w:id="836699399">
      <w:bodyDiv w:val="1"/>
      <w:marLeft w:val="0"/>
      <w:marRight w:val="0"/>
      <w:marTop w:val="0"/>
      <w:marBottom w:val="0"/>
      <w:divBdr>
        <w:top w:val="none" w:sz="0" w:space="0" w:color="auto"/>
        <w:left w:val="none" w:sz="0" w:space="0" w:color="auto"/>
        <w:bottom w:val="none" w:sz="0" w:space="0" w:color="auto"/>
        <w:right w:val="none" w:sz="0" w:space="0" w:color="auto"/>
      </w:divBdr>
    </w:div>
    <w:div w:id="882404263">
      <w:bodyDiv w:val="1"/>
      <w:marLeft w:val="0"/>
      <w:marRight w:val="0"/>
      <w:marTop w:val="0"/>
      <w:marBottom w:val="0"/>
      <w:divBdr>
        <w:top w:val="none" w:sz="0" w:space="0" w:color="auto"/>
        <w:left w:val="none" w:sz="0" w:space="0" w:color="auto"/>
        <w:bottom w:val="none" w:sz="0" w:space="0" w:color="auto"/>
        <w:right w:val="none" w:sz="0" w:space="0" w:color="auto"/>
      </w:divBdr>
    </w:div>
    <w:div w:id="943685372">
      <w:bodyDiv w:val="1"/>
      <w:marLeft w:val="0"/>
      <w:marRight w:val="0"/>
      <w:marTop w:val="0"/>
      <w:marBottom w:val="0"/>
      <w:divBdr>
        <w:top w:val="none" w:sz="0" w:space="0" w:color="auto"/>
        <w:left w:val="none" w:sz="0" w:space="0" w:color="auto"/>
        <w:bottom w:val="none" w:sz="0" w:space="0" w:color="auto"/>
        <w:right w:val="none" w:sz="0" w:space="0" w:color="auto"/>
      </w:divBdr>
    </w:div>
    <w:div w:id="951324220">
      <w:bodyDiv w:val="1"/>
      <w:marLeft w:val="0"/>
      <w:marRight w:val="0"/>
      <w:marTop w:val="0"/>
      <w:marBottom w:val="0"/>
      <w:divBdr>
        <w:top w:val="none" w:sz="0" w:space="0" w:color="auto"/>
        <w:left w:val="none" w:sz="0" w:space="0" w:color="auto"/>
        <w:bottom w:val="none" w:sz="0" w:space="0" w:color="auto"/>
        <w:right w:val="none" w:sz="0" w:space="0" w:color="auto"/>
      </w:divBdr>
    </w:div>
    <w:div w:id="997072468">
      <w:bodyDiv w:val="1"/>
      <w:marLeft w:val="0"/>
      <w:marRight w:val="0"/>
      <w:marTop w:val="0"/>
      <w:marBottom w:val="0"/>
      <w:divBdr>
        <w:top w:val="none" w:sz="0" w:space="0" w:color="auto"/>
        <w:left w:val="none" w:sz="0" w:space="0" w:color="auto"/>
        <w:bottom w:val="none" w:sz="0" w:space="0" w:color="auto"/>
        <w:right w:val="none" w:sz="0" w:space="0" w:color="auto"/>
      </w:divBdr>
    </w:div>
    <w:div w:id="1009717840">
      <w:bodyDiv w:val="1"/>
      <w:marLeft w:val="0"/>
      <w:marRight w:val="0"/>
      <w:marTop w:val="0"/>
      <w:marBottom w:val="0"/>
      <w:divBdr>
        <w:top w:val="none" w:sz="0" w:space="0" w:color="auto"/>
        <w:left w:val="none" w:sz="0" w:space="0" w:color="auto"/>
        <w:bottom w:val="none" w:sz="0" w:space="0" w:color="auto"/>
        <w:right w:val="none" w:sz="0" w:space="0" w:color="auto"/>
      </w:divBdr>
    </w:div>
    <w:div w:id="1118639691">
      <w:bodyDiv w:val="1"/>
      <w:marLeft w:val="0"/>
      <w:marRight w:val="0"/>
      <w:marTop w:val="0"/>
      <w:marBottom w:val="0"/>
      <w:divBdr>
        <w:top w:val="none" w:sz="0" w:space="0" w:color="auto"/>
        <w:left w:val="none" w:sz="0" w:space="0" w:color="auto"/>
        <w:bottom w:val="none" w:sz="0" w:space="0" w:color="auto"/>
        <w:right w:val="none" w:sz="0" w:space="0" w:color="auto"/>
      </w:divBdr>
    </w:div>
    <w:div w:id="1144467706">
      <w:bodyDiv w:val="1"/>
      <w:marLeft w:val="0"/>
      <w:marRight w:val="0"/>
      <w:marTop w:val="0"/>
      <w:marBottom w:val="0"/>
      <w:divBdr>
        <w:top w:val="none" w:sz="0" w:space="0" w:color="auto"/>
        <w:left w:val="none" w:sz="0" w:space="0" w:color="auto"/>
        <w:bottom w:val="none" w:sz="0" w:space="0" w:color="auto"/>
        <w:right w:val="none" w:sz="0" w:space="0" w:color="auto"/>
      </w:divBdr>
    </w:div>
    <w:div w:id="1207639151">
      <w:bodyDiv w:val="1"/>
      <w:marLeft w:val="0"/>
      <w:marRight w:val="0"/>
      <w:marTop w:val="0"/>
      <w:marBottom w:val="0"/>
      <w:divBdr>
        <w:top w:val="none" w:sz="0" w:space="0" w:color="auto"/>
        <w:left w:val="none" w:sz="0" w:space="0" w:color="auto"/>
        <w:bottom w:val="none" w:sz="0" w:space="0" w:color="auto"/>
        <w:right w:val="none" w:sz="0" w:space="0" w:color="auto"/>
      </w:divBdr>
    </w:div>
    <w:div w:id="1283421709">
      <w:bodyDiv w:val="1"/>
      <w:marLeft w:val="0"/>
      <w:marRight w:val="0"/>
      <w:marTop w:val="0"/>
      <w:marBottom w:val="0"/>
      <w:divBdr>
        <w:top w:val="none" w:sz="0" w:space="0" w:color="auto"/>
        <w:left w:val="none" w:sz="0" w:space="0" w:color="auto"/>
        <w:bottom w:val="none" w:sz="0" w:space="0" w:color="auto"/>
        <w:right w:val="none" w:sz="0" w:space="0" w:color="auto"/>
      </w:divBdr>
    </w:div>
    <w:div w:id="1330325729">
      <w:bodyDiv w:val="1"/>
      <w:marLeft w:val="0"/>
      <w:marRight w:val="0"/>
      <w:marTop w:val="0"/>
      <w:marBottom w:val="0"/>
      <w:divBdr>
        <w:top w:val="none" w:sz="0" w:space="0" w:color="auto"/>
        <w:left w:val="none" w:sz="0" w:space="0" w:color="auto"/>
        <w:bottom w:val="none" w:sz="0" w:space="0" w:color="auto"/>
        <w:right w:val="none" w:sz="0" w:space="0" w:color="auto"/>
      </w:divBdr>
    </w:div>
    <w:div w:id="1381516760">
      <w:bodyDiv w:val="1"/>
      <w:marLeft w:val="0"/>
      <w:marRight w:val="0"/>
      <w:marTop w:val="0"/>
      <w:marBottom w:val="0"/>
      <w:divBdr>
        <w:top w:val="none" w:sz="0" w:space="0" w:color="auto"/>
        <w:left w:val="none" w:sz="0" w:space="0" w:color="auto"/>
        <w:bottom w:val="none" w:sz="0" w:space="0" w:color="auto"/>
        <w:right w:val="none" w:sz="0" w:space="0" w:color="auto"/>
      </w:divBdr>
    </w:div>
    <w:div w:id="1432893664">
      <w:bodyDiv w:val="1"/>
      <w:marLeft w:val="0"/>
      <w:marRight w:val="0"/>
      <w:marTop w:val="0"/>
      <w:marBottom w:val="0"/>
      <w:divBdr>
        <w:top w:val="none" w:sz="0" w:space="0" w:color="auto"/>
        <w:left w:val="none" w:sz="0" w:space="0" w:color="auto"/>
        <w:bottom w:val="none" w:sz="0" w:space="0" w:color="auto"/>
        <w:right w:val="none" w:sz="0" w:space="0" w:color="auto"/>
      </w:divBdr>
    </w:div>
    <w:div w:id="1511212549">
      <w:bodyDiv w:val="1"/>
      <w:marLeft w:val="0"/>
      <w:marRight w:val="0"/>
      <w:marTop w:val="0"/>
      <w:marBottom w:val="0"/>
      <w:divBdr>
        <w:top w:val="none" w:sz="0" w:space="0" w:color="auto"/>
        <w:left w:val="none" w:sz="0" w:space="0" w:color="auto"/>
        <w:bottom w:val="none" w:sz="0" w:space="0" w:color="auto"/>
        <w:right w:val="none" w:sz="0" w:space="0" w:color="auto"/>
      </w:divBdr>
    </w:div>
    <w:div w:id="1511260840">
      <w:bodyDiv w:val="1"/>
      <w:marLeft w:val="0"/>
      <w:marRight w:val="0"/>
      <w:marTop w:val="0"/>
      <w:marBottom w:val="0"/>
      <w:divBdr>
        <w:top w:val="none" w:sz="0" w:space="0" w:color="auto"/>
        <w:left w:val="none" w:sz="0" w:space="0" w:color="auto"/>
        <w:bottom w:val="none" w:sz="0" w:space="0" w:color="auto"/>
        <w:right w:val="none" w:sz="0" w:space="0" w:color="auto"/>
      </w:divBdr>
    </w:div>
    <w:div w:id="1545365178">
      <w:bodyDiv w:val="1"/>
      <w:marLeft w:val="0"/>
      <w:marRight w:val="0"/>
      <w:marTop w:val="0"/>
      <w:marBottom w:val="0"/>
      <w:divBdr>
        <w:top w:val="none" w:sz="0" w:space="0" w:color="auto"/>
        <w:left w:val="none" w:sz="0" w:space="0" w:color="auto"/>
        <w:bottom w:val="none" w:sz="0" w:space="0" w:color="auto"/>
        <w:right w:val="none" w:sz="0" w:space="0" w:color="auto"/>
      </w:divBdr>
    </w:div>
    <w:div w:id="1670594040">
      <w:bodyDiv w:val="1"/>
      <w:marLeft w:val="0"/>
      <w:marRight w:val="0"/>
      <w:marTop w:val="0"/>
      <w:marBottom w:val="0"/>
      <w:divBdr>
        <w:top w:val="none" w:sz="0" w:space="0" w:color="auto"/>
        <w:left w:val="none" w:sz="0" w:space="0" w:color="auto"/>
        <w:bottom w:val="none" w:sz="0" w:space="0" w:color="auto"/>
        <w:right w:val="none" w:sz="0" w:space="0" w:color="auto"/>
      </w:divBdr>
    </w:div>
    <w:div w:id="1715040108">
      <w:bodyDiv w:val="1"/>
      <w:marLeft w:val="0"/>
      <w:marRight w:val="0"/>
      <w:marTop w:val="0"/>
      <w:marBottom w:val="0"/>
      <w:divBdr>
        <w:top w:val="none" w:sz="0" w:space="0" w:color="auto"/>
        <w:left w:val="none" w:sz="0" w:space="0" w:color="auto"/>
        <w:bottom w:val="none" w:sz="0" w:space="0" w:color="auto"/>
        <w:right w:val="none" w:sz="0" w:space="0" w:color="auto"/>
      </w:divBdr>
    </w:div>
    <w:div w:id="1789813867">
      <w:bodyDiv w:val="1"/>
      <w:marLeft w:val="0"/>
      <w:marRight w:val="0"/>
      <w:marTop w:val="0"/>
      <w:marBottom w:val="0"/>
      <w:divBdr>
        <w:top w:val="none" w:sz="0" w:space="0" w:color="auto"/>
        <w:left w:val="none" w:sz="0" w:space="0" w:color="auto"/>
        <w:bottom w:val="none" w:sz="0" w:space="0" w:color="auto"/>
        <w:right w:val="none" w:sz="0" w:space="0" w:color="auto"/>
      </w:divBdr>
    </w:div>
    <w:div w:id="1860468579">
      <w:bodyDiv w:val="1"/>
      <w:marLeft w:val="0"/>
      <w:marRight w:val="0"/>
      <w:marTop w:val="0"/>
      <w:marBottom w:val="0"/>
      <w:divBdr>
        <w:top w:val="none" w:sz="0" w:space="0" w:color="auto"/>
        <w:left w:val="none" w:sz="0" w:space="0" w:color="auto"/>
        <w:bottom w:val="none" w:sz="0" w:space="0" w:color="auto"/>
        <w:right w:val="none" w:sz="0" w:space="0" w:color="auto"/>
      </w:divBdr>
    </w:div>
    <w:div w:id="1877425295">
      <w:bodyDiv w:val="1"/>
      <w:marLeft w:val="0"/>
      <w:marRight w:val="0"/>
      <w:marTop w:val="0"/>
      <w:marBottom w:val="0"/>
      <w:divBdr>
        <w:top w:val="none" w:sz="0" w:space="0" w:color="auto"/>
        <w:left w:val="none" w:sz="0" w:space="0" w:color="auto"/>
        <w:bottom w:val="none" w:sz="0" w:space="0" w:color="auto"/>
        <w:right w:val="none" w:sz="0" w:space="0" w:color="auto"/>
      </w:divBdr>
    </w:div>
    <w:div w:id="1925988193">
      <w:bodyDiv w:val="1"/>
      <w:marLeft w:val="0"/>
      <w:marRight w:val="0"/>
      <w:marTop w:val="0"/>
      <w:marBottom w:val="0"/>
      <w:divBdr>
        <w:top w:val="none" w:sz="0" w:space="0" w:color="auto"/>
        <w:left w:val="none" w:sz="0" w:space="0" w:color="auto"/>
        <w:bottom w:val="none" w:sz="0" w:space="0" w:color="auto"/>
        <w:right w:val="none" w:sz="0" w:space="0" w:color="auto"/>
      </w:divBdr>
    </w:div>
    <w:div w:id="1933321054">
      <w:bodyDiv w:val="1"/>
      <w:marLeft w:val="0"/>
      <w:marRight w:val="0"/>
      <w:marTop w:val="0"/>
      <w:marBottom w:val="0"/>
      <w:divBdr>
        <w:top w:val="none" w:sz="0" w:space="0" w:color="auto"/>
        <w:left w:val="none" w:sz="0" w:space="0" w:color="auto"/>
        <w:bottom w:val="none" w:sz="0" w:space="0" w:color="auto"/>
        <w:right w:val="none" w:sz="0" w:space="0" w:color="auto"/>
      </w:divBdr>
    </w:div>
    <w:div w:id="2098551780">
      <w:bodyDiv w:val="1"/>
      <w:marLeft w:val="0"/>
      <w:marRight w:val="0"/>
      <w:marTop w:val="0"/>
      <w:marBottom w:val="0"/>
      <w:divBdr>
        <w:top w:val="none" w:sz="0" w:space="0" w:color="auto"/>
        <w:left w:val="none" w:sz="0" w:space="0" w:color="auto"/>
        <w:bottom w:val="none" w:sz="0" w:space="0" w:color="auto"/>
        <w:right w:val="none" w:sz="0" w:space="0" w:color="auto"/>
      </w:divBdr>
    </w:div>
    <w:div w:id="2131586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xcelab.net/rm/wp-content/uploads/2008/09/mallon-field-guide-to-social-construction-2007.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Viv03</b:Tag>
    <b:SourceType>Book</b:SourceType>
    <b:Guid>{50242F9D-0063-CA4B-91FE-B647B466D373}</b:Guid>
    <b:Title>Social Constructionism</b:Title>
    <b:Year>2003</b:Year>
    <b:Author>
      <b:Author>
        <b:NameList>
          <b:Person>
            <b:Last>Burr</b:Last>
            <b:First>Vivien</b:First>
          </b:Person>
        </b:NameList>
      </b:Author>
    </b:Author>
    <b:City>Sussex</b:City>
    <b:Publisher>Routledge</b:Publisher>
    <b:Edition>2nd</b:Edition>
    <b:RefOrder>7</b:RefOrder>
  </b:Source>
  <b:Source>
    <b:Tag>Ger15</b:Tag>
    <b:SourceType>Book</b:SourceType>
    <b:Guid>{A5217620-4F5A-FA45-B207-FC86D8682EF5}</b:Guid>
    <b:Author>
      <b:Author>
        <b:NameList>
          <b:Person>
            <b:Last>Gergen</b:Last>
            <b:Middle>J</b:Middle>
            <b:First>Kenneth</b:First>
          </b:Person>
        </b:NameList>
      </b:Author>
    </b:Author>
    <b:Title>An invitation to Social Constructuion</b:Title>
    <b:City>London</b:City>
    <b:Publisher>Sage</b:Publisher>
    <b:Year>2015</b:Year>
    <b:Edition>3rd</b:Edition>
    <b:RefOrder>5</b:RefOrder>
  </b:Source>
  <b:Source>
    <b:Tag>Jon18</b:Tag>
    <b:SourceType>Book</b:SourceType>
    <b:Guid>{6B6E4B13-8F5C-C54B-8950-2618064FE232}</b:Guid>
    <b:Author>
      <b:Author>
        <b:NameList>
          <b:Person>
            <b:Last>Jones</b:Last>
            <b:First>Pip</b:First>
          </b:Person>
          <b:Person>
            <b:Last>Bradbury</b:Last>
            <b:First>Liz</b:First>
          </b:Person>
        </b:NameList>
      </b:Author>
    </b:Author>
    <b:Title>Introducing Social Theory</b:Title>
    <b:City>Cambridge</b:City>
    <b:Publisher>Polity Press</b:Publisher>
    <b:Year>2018</b:Year>
    <b:Edition>3rd</b:Edition>
    <b:RefOrder>3</b:RefOrder>
  </b:Source>
  <b:Source>
    <b:Tag>Spe10</b:Tag>
    <b:SourceType>Book</b:SourceType>
    <b:Guid>{CB14A9FC-AFFF-E541-9DFC-7D1724050769}</b:Guid>
    <b:Author>
      <b:Author>
        <b:NameList>
          <b:Person>
            <b:Last>Spencer</b:Last>
            <b:First>Lloyd</b:First>
          </b:Person>
          <b:Person>
            <b:Last>Krauze</b:Last>
            <b:First>Andrzej</b:First>
          </b:Person>
        </b:NameList>
      </b:Author>
    </b:Author>
    <b:Title>The Elightenment, a Graphic Guide</b:Title>
    <b:City>London</b:City>
    <b:Publisher>Icon Books</b:Publisher>
    <b:Year>2010</b:Year>
    <b:RefOrder>8</b:RefOrder>
  </b:Source>
  <b:Source>
    <b:Tag>Ant87</b:Tag>
    <b:SourceType>Book</b:SourceType>
    <b:Guid>{47A62102-61A6-2D47-8A6F-ACF503A433E2}</b:Guid>
    <b:Author>
      <b:Author>
        <b:NameList>
          <b:Person>
            <b:Last>Giddens</b:Last>
            <b:First>Anthony</b:First>
          </b:Person>
        </b:NameList>
      </b:Author>
    </b:Author>
    <b:Title>Social Theory and Modern Sociology </b:Title>
    <b:City>Cambridge</b:City>
    <b:Publisher>Polity Press</b:Publisher>
    <b:Year>1987</b:Year>
    <b:RefOrder>9</b:RefOrder>
  </b:Source>
  <b:Source>
    <b:Tag>DCh91</b:Tag>
    <b:SourceType>Book</b:SourceType>
    <b:Guid>{4F6F5560-8C5A-D549-86B1-F460B93D233C}</b:Guid>
    <b:Author>
      <b:Author>
        <b:NameList>
          <b:Person>
            <b:Last>Cheal</b:Last>
            <b:First>D</b:First>
          </b:Person>
        </b:NameList>
      </b:Author>
    </b:Author>
    <b:Title>Family and the State of Theory</b:Title>
    <b:City>Hemel Hanstead </b:City>
    <b:Publisher>Harvester Wheatsheaf</b:Publisher>
    <b:Year>1991</b:Year>
    <b:RefOrder>1</b:RefOrder>
  </b:Source>
  <b:Source>
    <b:Tag>Ken15</b:Tag>
    <b:SourceType>Book</b:SourceType>
    <b:Guid>{79783FED-10A2-A542-9FAD-5624780756A8}</b:Guid>
    <b:Author>
      <b:Author>
        <b:NameList>
          <b:Person>
            <b:Last>Browne</b:Last>
            <b:First>Ken</b:First>
          </b:Person>
        </b:NameList>
      </b:Author>
    </b:Author>
    <b:Title>Sociology for AQA Volume 1</b:Title>
    <b:City>Cambridge</b:City>
    <b:Publisher>Polity Press</b:Publisher>
    <b:Year>2015</b:Year>
    <b:Edition>5th</b:Edition>
    <b:RefOrder>2</b:RefOrder>
  </b:Source>
  <b:Source>
    <b:Tag>Wat66</b:Tag>
    <b:SourceType>Book</b:SourceType>
    <b:Guid>{F32391AD-4801-064C-97B0-478C8465EDFC}</b:Guid>
    <b:Title>Behaviorism</b:Title>
    <b:City>Chicago</b:City>
    <b:Publisher>University of Chicago Press</b:Publisher>
    <b:Year>1966</b:Year>
    <b:Author>
      <b:Author>
        <b:NameList>
          <b:Person>
            <b:Last>Watson</b:Last>
            <b:Middle>B</b:Middle>
            <b:First>John</b:First>
          </b:Person>
        </b:NameList>
      </b:Author>
    </b:Author>
    <b:RefOrder>4</b:RefOrder>
  </b:Source>
  <b:Source>
    <b:Tag>Ron07</b:Tag>
    <b:SourceType>JournalArticle</b:SourceType>
    <b:Guid>{C120E175-37F8-524E-A3A4-A076D7BB66D8}</b:Guid>
    <b:Title>A Field Guide to Social Construction</b:Title>
    <b:Year>2007</b:Year>
    <b:Author>
      <b:Author>
        <b:NameList>
          <b:Person>
            <b:Last>Mallon</b:Last>
            <b:First>Ron</b:First>
          </b:Person>
        </b:NameList>
      </b:Author>
    </b:Author>
    <b:JournalName>Philosophy Compass</b:JournalName>
    <b:Volume>2</b:Volume>
    <b:Issue>1</b:Issue>
    <b:Pages>93-108</b:Pages>
    <b:RefOrder>10</b:RefOrder>
  </b:Source>
  <b:Source>
    <b:Tag>Lev80</b:Tag>
    <b:SourceType>Book</b:SourceType>
    <b:Guid>{9C7C6849-2633-B54B-ABDD-F3E8DD928332}</b:Guid>
    <b:Title>The Development of higher Psychology Process</b:Title>
    <b:Year>1980</b:Year>
    <b:Author>
      <b:Author>
        <b:NameList>
          <b:Person>
            <b:Last>Vygotsky</b:Last>
            <b:First>Lev</b:First>
          </b:Person>
        </b:NameList>
      </b:Author>
    </b:Author>
    <b:City>Boston</b:City>
    <b:Publisher>Harvard University Press</b:Publisher>
    <b:RefOrder>6</b:RefOrder>
  </b:Source>
  <b:Source>
    <b:Tag>Lee14</b:Tag>
    <b:SourceType>JournalArticle</b:SourceType>
    <b:Guid>{17FBE367-A8EA-2D46-95F4-F9A799662A9A}</b:Guid>
    <b:Title>Gender Identity: Nature Vs Nurture?</b:Title>
    <b:Year>2014</b:Year>
    <b:Author>
      <b:Author>
        <b:NameList>
          <b:Person>
            <b:Last>Bader</b:Last>
            <b:First>Lee</b:First>
          </b:Person>
        </b:NameList>
      </b:Author>
    </b:Author>
    <b:JournalName>The Evolution of Human Sexuality</b:JournalName>
    <b:RefOrder>11</b:RefOrder>
  </b:Source>
  <b:Source>
    <b:Tag>Bur98</b:Tag>
    <b:SourceType>Book</b:SourceType>
    <b:Guid>{A592D795-6101-A940-AA10-DDFB579E3762}</b:Guid>
    <b:Author>
      <b:Author>
        <b:NameList>
          <b:Person>
            <b:Last>Burr</b:Last>
            <b:First>Vivien</b:First>
          </b:Person>
        </b:NameList>
      </b:Author>
    </b:Author>
    <b:Title>Gender and Social Psychology</b:Title>
    <b:Year>1998</b:Year>
    <b:City>London</b:City>
    <b:Publisher>Routledge</b:Publisher>
    <b:RefOrder>12</b:RefOrder>
  </b:Source>
  <b:Source>
    <b:Tag>WCo95</b:Tag>
    <b:SourceType>Book</b:SourceType>
    <b:Guid>{8D1201F9-A889-FE44-ABE5-4D6D5D4EC693}</b:Guid>
    <b:Author>
      <b:Author>
        <b:NameList>
          <b:Person>
            <b:Last>Connell</b:Last>
            <b:First>W</b:First>
          </b:Person>
        </b:NameList>
      </b:Author>
    </b:Author>
    <b:Title>Masculinities </b:Title>
    <b:City>Cambridge</b:City>
    <b:Publisher>Polity Press</b:Publisher>
    <b:Year>1995</b:Year>
    <b:RefOrder>13</b:RefOrder>
  </b:Source>
  <b:Source>
    <b:Tag>Gid17</b:Tag>
    <b:SourceType>Book</b:SourceType>
    <b:Guid>{762E32D6-8968-214D-A3CE-FB8AD6556467}</b:Guid>
    <b:Author>
      <b:Author>
        <b:NameList>
          <b:Person>
            <b:Last>Giddens</b:Last>
            <b:First>Anthony</b:First>
          </b:Person>
          <b:Person>
            <b:Last>Sutton</b:Last>
            <b:Middle>W</b:Middle>
            <b:First>Phillip</b:First>
          </b:Person>
        </b:NameList>
      </b:Author>
    </b:Author>
    <b:Title>Sociology</b:Title>
    <b:City>Cambridge</b:City>
    <b:Publisher>Polity</b:Publisher>
    <b:Year>2017</b:Year>
    <b:Edition>8th</b:Edition>
    <b:RefOrder>14</b:RefOrder>
  </b:Source>
  <b:Source>
    <b:Tag>Gov19</b:Tag>
    <b:SourceType>InternetSite</b:SourceType>
    <b:Guid>{100DBEA3-F0F1-5149-B04D-28B78F14EB3D}</b:Guid>
    <b:Title>National LGBT Summary and Report</b:Title>
    <b:Year>2019</b:Year>
    <b:Author>
      <b:Author>
        <b:NameList>
          <b:Person>
            <b:Last>Gov.uk</b:Last>
          </b:Person>
        </b:NameList>
      </b:Author>
    </b:Author>
    <b:URL>https://www.gov.uk/government/publications/national-lgbt-survey-summary-report/national-lgbt-survey-summary-report</b:URL>
    <b:YearAccessed>2019</b:YearAccessed>
    <b:MonthAccessed>03</b:MonthAccessed>
    <b:DayAccessed>11</b:DayAccessed>
    <b:RefOrder>15</b:RefOrder>
  </b:Source>
  <b:Source>
    <b:Tag>Hyl03</b:Tag>
    <b:SourceType>Book</b:SourceType>
    <b:Guid>{BD8D908C-574C-484A-B21A-874F6AD1EAE6}</b:Guid>
    <b:Title>The Enlightenment: A sourse book and reader</b:Title>
    <b:City>London</b:City>
    <b:Publisher>Psycology Press</b:Publisher>
    <b:Year>2003</b:Year>
    <b:Author>
      <b:Author>
        <b:NameList>
          <b:Person>
            <b:Last>Hyland</b:Last>
            <b:First>Paul</b:First>
          </b:Person>
          <b:Person>
            <b:Last>Gomez</b:Last>
            <b:First>Olga</b:First>
          </b:Person>
          <b:Person>
            <b:Last>Greensides</b:Last>
            <b:First>Francesca</b:First>
          </b:Person>
        </b:NameList>
      </b:Author>
    </b:Author>
    <b:RefOrder>16</b:RefOrder>
  </b:Source>
</b:Sources>
</file>

<file path=customXml/itemProps1.xml><?xml version="1.0" encoding="utf-8"?>
<ds:datastoreItem xmlns:ds="http://schemas.openxmlformats.org/officeDocument/2006/customXml" ds:itemID="{200F8125-76E9-5343-9B02-F7A031D9B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3416</Words>
  <Characters>19473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2019-03-11T15:53:00Z</dcterms:created>
  <dcterms:modified xsi:type="dcterms:W3CDTF">2019-03-11T15:53:00Z</dcterms:modified>
</cp:coreProperties>
</file>