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E2961" w14:textId="11F2922C" w:rsidR="003D60D3" w:rsidRDefault="00DD6E4F" w:rsidP="003D60D3">
      <w:pPr>
        <w:spacing w:line="256" w:lineRule="auto"/>
        <w:rPr>
          <w:rFonts w:eastAsia="Calibri" w:cs="Times New Roman"/>
          <w:b/>
          <w:sz w:val="28"/>
          <w:u w:val="single"/>
        </w:rPr>
      </w:pPr>
      <w:r w:rsidRPr="00484241">
        <w:rPr>
          <w:rFonts w:ascii="Aptos" w:eastAsia="Times New Roman" w:hAnsi="Aptos" w:cs="Times New Roman"/>
          <w:noProof/>
          <w:color w:val="000000"/>
          <w:sz w:val="22"/>
          <w:bdr w:val="none" w:sz="0" w:space="0" w:color="auto" w:frame="1"/>
        </w:rPr>
        <w:drawing>
          <wp:inline distT="0" distB="0" distL="0" distR="0" wp14:anchorId="21DE56D0" wp14:editId="69B51F35">
            <wp:extent cx="2865120" cy="1577340"/>
            <wp:effectExtent l="0" t="0" r="5080" b="0"/>
            <wp:docPr id="721520334"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ogo with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5120" cy="1577340"/>
                    </a:xfrm>
                    <a:prstGeom prst="rect">
                      <a:avLst/>
                    </a:prstGeom>
                    <a:noFill/>
                    <a:ln>
                      <a:noFill/>
                    </a:ln>
                  </pic:spPr>
                </pic:pic>
              </a:graphicData>
            </a:graphic>
          </wp:inline>
        </w:drawing>
      </w:r>
    </w:p>
    <w:p w14:paraId="048B9148" w14:textId="77777777" w:rsidR="00DD6E4F" w:rsidRDefault="00DD6E4F" w:rsidP="00DD6E4F">
      <w:pPr>
        <w:spacing w:after="160" w:line="240" w:lineRule="auto"/>
        <w:jc w:val="left"/>
        <w:rPr>
          <w:rFonts w:eastAsia="Times New Roman" w:cs="Arial"/>
          <w:b/>
          <w:bCs/>
          <w:color w:val="000000"/>
          <w:szCs w:val="24"/>
        </w:rPr>
      </w:pPr>
    </w:p>
    <w:p w14:paraId="05349C84" w14:textId="77777777" w:rsidR="00DD6E4F" w:rsidRDefault="00DD6E4F" w:rsidP="00DD6E4F">
      <w:pPr>
        <w:spacing w:after="160" w:line="240" w:lineRule="auto"/>
        <w:jc w:val="left"/>
        <w:rPr>
          <w:rFonts w:eastAsia="Times New Roman" w:cs="Arial"/>
          <w:b/>
          <w:bCs/>
          <w:color w:val="000000"/>
          <w:szCs w:val="24"/>
        </w:rPr>
      </w:pPr>
    </w:p>
    <w:p w14:paraId="300A53C8" w14:textId="77777777" w:rsidR="00DD6E4F" w:rsidRDefault="00DD6E4F" w:rsidP="00DD6E4F">
      <w:pPr>
        <w:spacing w:after="160" w:line="240" w:lineRule="auto"/>
        <w:jc w:val="left"/>
        <w:rPr>
          <w:rFonts w:eastAsia="Times New Roman" w:cs="Arial"/>
          <w:b/>
          <w:bCs/>
          <w:color w:val="000000"/>
          <w:szCs w:val="24"/>
        </w:rPr>
      </w:pPr>
    </w:p>
    <w:p w14:paraId="6F2B5D5B" w14:textId="756B4A32" w:rsidR="00DD6E4F" w:rsidRPr="00484241" w:rsidRDefault="00DD6E4F" w:rsidP="00DD6E4F">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Student Name: </w:t>
      </w:r>
      <w:r w:rsidRPr="00484241">
        <w:rPr>
          <w:rFonts w:eastAsia="Times New Roman" w:cs="Arial"/>
          <w:color w:val="000000"/>
          <w:szCs w:val="24"/>
        </w:rPr>
        <w:t>Mihai-Daniel Mihalcea</w:t>
      </w:r>
    </w:p>
    <w:p w14:paraId="6DA95747" w14:textId="77777777" w:rsidR="00DD6E4F" w:rsidRPr="00484241" w:rsidRDefault="00DD6E4F" w:rsidP="00DD6E4F">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Student ID: </w:t>
      </w:r>
      <w:r w:rsidRPr="00484241">
        <w:rPr>
          <w:rFonts w:eastAsia="Times New Roman" w:cs="Arial"/>
          <w:color w:val="000000"/>
          <w:szCs w:val="24"/>
        </w:rPr>
        <w:t>2244870</w:t>
      </w:r>
    </w:p>
    <w:p w14:paraId="14863C4D" w14:textId="2C1556DD" w:rsidR="00DD6E4F" w:rsidRPr="00484241" w:rsidRDefault="00DD6E4F" w:rsidP="00DD6E4F">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Module: </w:t>
      </w:r>
      <w:r>
        <w:rPr>
          <w:rFonts w:eastAsia="Times New Roman" w:cs="Arial"/>
          <w:color w:val="000000"/>
          <w:szCs w:val="24"/>
        </w:rPr>
        <w:t xml:space="preserve">Managing </w:t>
      </w:r>
      <w:r>
        <w:rPr>
          <w:rFonts w:eastAsia="Times New Roman" w:cs="Arial"/>
          <w:color w:val="000000"/>
          <w:szCs w:val="24"/>
        </w:rPr>
        <w:t>Guest Service Operations</w:t>
      </w:r>
      <w:r w:rsidRPr="00484241">
        <w:rPr>
          <w:rFonts w:eastAsia="Times New Roman" w:cs="Arial"/>
          <w:color w:val="000000"/>
          <w:szCs w:val="24"/>
        </w:rPr>
        <w:t xml:space="preserve"> (BMIH</w:t>
      </w:r>
      <w:r>
        <w:rPr>
          <w:rFonts w:eastAsia="Times New Roman" w:cs="Arial"/>
          <w:color w:val="000000"/>
          <w:szCs w:val="24"/>
        </w:rPr>
        <w:t>6003</w:t>
      </w:r>
      <w:r w:rsidRPr="00484241">
        <w:rPr>
          <w:rFonts w:eastAsia="Times New Roman" w:cs="Arial"/>
          <w:color w:val="000000"/>
          <w:szCs w:val="24"/>
        </w:rPr>
        <w:t>)</w:t>
      </w:r>
    </w:p>
    <w:p w14:paraId="7CC41309" w14:textId="5F222571" w:rsidR="00DD6E4F" w:rsidRPr="00484241" w:rsidRDefault="00DD6E4F" w:rsidP="00DD6E4F">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Word count: </w:t>
      </w:r>
      <w:r w:rsidR="00F349F2" w:rsidRPr="00F349F2">
        <w:rPr>
          <w:rFonts w:eastAsia="Times New Roman" w:cs="Arial"/>
          <w:color w:val="000000"/>
          <w:szCs w:val="24"/>
        </w:rPr>
        <w:t>1255</w:t>
      </w:r>
    </w:p>
    <w:p w14:paraId="091B41E6" w14:textId="77777777" w:rsidR="00DD6E4F" w:rsidRPr="00484241" w:rsidRDefault="00DD6E4F" w:rsidP="00DD6E4F">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Tutor: </w:t>
      </w:r>
      <w:r w:rsidRPr="00484241">
        <w:rPr>
          <w:rFonts w:eastAsia="Times New Roman" w:cs="Arial"/>
          <w:color w:val="000000"/>
          <w:szCs w:val="24"/>
        </w:rPr>
        <w:t>Daniel Payne</w:t>
      </w:r>
    </w:p>
    <w:p w14:paraId="3F761859" w14:textId="77777777" w:rsidR="003D60D3" w:rsidRDefault="003D60D3" w:rsidP="003D60D3">
      <w:pPr>
        <w:spacing w:line="256" w:lineRule="auto"/>
        <w:rPr>
          <w:rFonts w:eastAsia="Calibri" w:cs="Times New Roman"/>
          <w:b/>
          <w:sz w:val="28"/>
          <w:u w:val="single"/>
        </w:rPr>
      </w:pPr>
    </w:p>
    <w:p w14:paraId="3090EB52" w14:textId="77777777" w:rsidR="003D60D3" w:rsidRDefault="003D60D3" w:rsidP="003D60D3">
      <w:pPr>
        <w:spacing w:line="256" w:lineRule="auto"/>
        <w:rPr>
          <w:rFonts w:eastAsia="Calibri" w:cs="Times New Roman"/>
          <w:b/>
          <w:sz w:val="28"/>
          <w:u w:val="single"/>
        </w:rPr>
      </w:pPr>
    </w:p>
    <w:p w14:paraId="24EBE241" w14:textId="77777777" w:rsidR="006B2832" w:rsidRPr="00484241" w:rsidRDefault="006B2832" w:rsidP="006B2832">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Al Acknowledgement</w:t>
      </w:r>
      <w:r w:rsidRPr="00484241">
        <w:rPr>
          <w:rFonts w:ascii="Aptos" w:eastAsia="Times New Roman" w:hAnsi="Aptos" w:cs="Times New Roman"/>
          <w:b/>
          <w:bCs/>
          <w:color w:val="000000"/>
          <w:sz w:val="22"/>
        </w:rPr>
        <w:t>:</w:t>
      </w:r>
    </w:p>
    <w:p w14:paraId="085390B6" w14:textId="77777777" w:rsidR="006B2832" w:rsidRPr="00484241" w:rsidRDefault="006B2832" w:rsidP="006B2832">
      <w:pPr>
        <w:spacing w:after="160" w:line="240" w:lineRule="auto"/>
        <w:rPr>
          <w:rFonts w:ascii="Times New Roman" w:eastAsia="Times New Roman" w:hAnsi="Times New Roman" w:cs="Times New Roman"/>
          <w:szCs w:val="24"/>
        </w:rPr>
      </w:pPr>
      <w:r w:rsidRPr="00484241">
        <w:rPr>
          <w:rFonts w:eastAsia="Times New Roman" w:cs="Arial"/>
          <w:color w:val="000000"/>
          <w:szCs w:val="24"/>
        </w:rPr>
        <w:t xml:space="preserve">I acknowledge the use of Copilot (https://copilot.microsoft.com/) on </w:t>
      </w:r>
      <w:r>
        <w:rPr>
          <w:rFonts w:eastAsia="Times New Roman" w:cs="Arial"/>
          <w:color w:val="000000"/>
          <w:szCs w:val="24"/>
        </w:rPr>
        <w:t>12 November</w:t>
      </w:r>
      <w:r w:rsidRPr="00484241">
        <w:rPr>
          <w:rFonts w:eastAsia="Times New Roman" w:cs="Arial"/>
          <w:color w:val="000000"/>
          <w:szCs w:val="24"/>
        </w:rPr>
        <w:t xml:space="preserve"> 2025 to check my work using the prompt(s):</w:t>
      </w:r>
    </w:p>
    <w:p w14:paraId="08E35955" w14:textId="77777777" w:rsidR="006B2832" w:rsidRPr="00484241" w:rsidRDefault="006B2832" w:rsidP="006B2832">
      <w:pPr>
        <w:spacing w:after="160" w:line="240" w:lineRule="auto"/>
        <w:rPr>
          <w:rFonts w:ascii="Times New Roman" w:eastAsia="Times New Roman" w:hAnsi="Times New Roman" w:cs="Times New Roman"/>
          <w:szCs w:val="24"/>
        </w:rPr>
      </w:pPr>
      <w:r w:rsidRPr="00484241">
        <w:rPr>
          <w:rFonts w:eastAsia="Times New Roman" w:cs="Arial"/>
          <w:color w:val="000000"/>
          <w:szCs w:val="24"/>
        </w:rPr>
        <w:t>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06E3DAE7" w14:textId="77777777" w:rsidR="003D60D3" w:rsidRDefault="003D60D3" w:rsidP="003D60D3">
      <w:pPr>
        <w:spacing w:line="276" w:lineRule="auto"/>
        <w:jc w:val="left"/>
      </w:pPr>
    </w:p>
    <w:p w14:paraId="4927B049" w14:textId="77777777" w:rsidR="006B2832" w:rsidRDefault="006B2832" w:rsidP="003D60D3">
      <w:pPr>
        <w:spacing w:line="276" w:lineRule="auto"/>
        <w:jc w:val="left"/>
      </w:pPr>
    </w:p>
    <w:p w14:paraId="08586726" w14:textId="77777777" w:rsidR="006B2832" w:rsidRDefault="006B2832" w:rsidP="003D60D3">
      <w:pPr>
        <w:spacing w:line="276" w:lineRule="auto"/>
        <w:jc w:val="left"/>
      </w:pPr>
    </w:p>
    <w:p w14:paraId="567D28B9" w14:textId="77777777" w:rsidR="006B2832" w:rsidRDefault="006B2832" w:rsidP="003D60D3">
      <w:pPr>
        <w:spacing w:line="276" w:lineRule="auto"/>
        <w:jc w:val="left"/>
      </w:pPr>
    </w:p>
    <w:p w14:paraId="27C611E0" w14:textId="77777777" w:rsidR="006B2832" w:rsidRDefault="006B2832" w:rsidP="003D60D3">
      <w:pPr>
        <w:spacing w:line="276" w:lineRule="auto"/>
        <w:jc w:val="left"/>
      </w:pPr>
    </w:p>
    <w:p w14:paraId="7F9CED69" w14:textId="77777777" w:rsidR="006B2832" w:rsidRPr="008E1093" w:rsidRDefault="006B2832" w:rsidP="003D60D3">
      <w:pPr>
        <w:spacing w:line="276" w:lineRule="auto"/>
        <w:jc w:val="left"/>
      </w:pPr>
    </w:p>
    <w:sdt>
      <w:sdtPr>
        <w:rPr>
          <w:rFonts w:ascii="Arial" w:eastAsiaTheme="minorHAnsi" w:hAnsi="Arial" w:cstheme="minorBidi"/>
          <w:b w:val="0"/>
          <w:bCs w:val="0"/>
          <w:color w:val="auto"/>
          <w:sz w:val="24"/>
          <w:szCs w:val="22"/>
          <w:lang w:eastAsia="en-US"/>
        </w:rPr>
        <w:id w:val="2096905261"/>
        <w:docPartObj>
          <w:docPartGallery w:val="Table of Contents"/>
          <w:docPartUnique/>
        </w:docPartObj>
      </w:sdtPr>
      <w:sdtEndPr>
        <w:rPr>
          <w:noProof/>
        </w:rPr>
      </w:sdtEndPr>
      <w:sdtContent>
        <w:p w14:paraId="6E5195AC" w14:textId="6E23ECB9" w:rsidR="003D60D3" w:rsidRPr="006B2832" w:rsidRDefault="003D60D3">
          <w:pPr>
            <w:pStyle w:val="TOCHeading"/>
            <w:rPr>
              <w:rFonts w:ascii="Arial" w:eastAsiaTheme="minorHAnsi" w:hAnsi="Arial" w:cstheme="minorBidi"/>
              <w:b w:val="0"/>
              <w:bCs w:val="0"/>
              <w:color w:val="auto"/>
              <w:sz w:val="24"/>
              <w:szCs w:val="22"/>
              <w:lang w:eastAsia="en-US"/>
            </w:rPr>
          </w:pPr>
          <w:r>
            <w:t>Table of Contents</w:t>
          </w:r>
        </w:p>
        <w:p w14:paraId="4AE7EBCF" w14:textId="77777777" w:rsidR="003D60D3" w:rsidRDefault="003D60D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2665266" w:history="1">
            <w:r w:rsidRPr="00C13564">
              <w:rPr>
                <w:rStyle w:val="Hyperlink"/>
                <w:noProof/>
              </w:rPr>
              <w:t>Introduction</w:t>
            </w:r>
            <w:r>
              <w:rPr>
                <w:noProof/>
                <w:webHidden/>
              </w:rPr>
              <w:tab/>
            </w:r>
            <w:r>
              <w:rPr>
                <w:noProof/>
                <w:webHidden/>
              </w:rPr>
              <w:fldChar w:fldCharType="begin"/>
            </w:r>
            <w:r>
              <w:rPr>
                <w:noProof/>
                <w:webHidden/>
              </w:rPr>
              <w:instrText xml:space="preserve"> PAGEREF _Toc212665266 \h </w:instrText>
            </w:r>
            <w:r>
              <w:rPr>
                <w:noProof/>
                <w:webHidden/>
              </w:rPr>
            </w:r>
            <w:r>
              <w:rPr>
                <w:noProof/>
                <w:webHidden/>
              </w:rPr>
              <w:fldChar w:fldCharType="separate"/>
            </w:r>
            <w:r>
              <w:rPr>
                <w:noProof/>
                <w:webHidden/>
              </w:rPr>
              <w:t>3</w:t>
            </w:r>
            <w:r>
              <w:rPr>
                <w:noProof/>
                <w:webHidden/>
              </w:rPr>
              <w:fldChar w:fldCharType="end"/>
            </w:r>
          </w:hyperlink>
        </w:p>
        <w:p w14:paraId="3E4E357F" w14:textId="77777777" w:rsidR="003D60D3" w:rsidRDefault="003D60D3">
          <w:pPr>
            <w:pStyle w:val="TOC1"/>
            <w:tabs>
              <w:tab w:val="right" w:leader="dot" w:pos="9350"/>
            </w:tabs>
            <w:rPr>
              <w:rFonts w:asciiTheme="minorHAnsi" w:eastAsiaTheme="minorEastAsia" w:hAnsiTheme="minorHAnsi"/>
              <w:noProof/>
              <w:sz w:val="22"/>
            </w:rPr>
          </w:pPr>
          <w:hyperlink w:anchor="_Toc212665267" w:history="1">
            <w:r w:rsidRPr="00C13564">
              <w:rPr>
                <w:rStyle w:val="Hyperlink"/>
                <w:noProof/>
              </w:rPr>
              <w:t>Description</w:t>
            </w:r>
            <w:r>
              <w:rPr>
                <w:noProof/>
                <w:webHidden/>
              </w:rPr>
              <w:tab/>
            </w:r>
            <w:r>
              <w:rPr>
                <w:noProof/>
                <w:webHidden/>
              </w:rPr>
              <w:fldChar w:fldCharType="begin"/>
            </w:r>
            <w:r>
              <w:rPr>
                <w:noProof/>
                <w:webHidden/>
              </w:rPr>
              <w:instrText xml:space="preserve"> PAGEREF _Toc212665267 \h </w:instrText>
            </w:r>
            <w:r>
              <w:rPr>
                <w:noProof/>
                <w:webHidden/>
              </w:rPr>
            </w:r>
            <w:r>
              <w:rPr>
                <w:noProof/>
                <w:webHidden/>
              </w:rPr>
              <w:fldChar w:fldCharType="separate"/>
            </w:r>
            <w:r>
              <w:rPr>
                <w:noProof/>
                <w:webHidden/>
              </w:rPr>
              <w:t>4</w:t>
            </w:r>
            <w:r>
              <w:rPr>
                <w:noProof/>
                <w:webHidden/>
              </w:rPr>
              <w:fldChar w:fldCharType="end"/>
            </w:r>
          </w:hyperlink>
        </w:p>
        <w:p w14:paraId="5967260C" w14:textId="77777777" w:rsidR="003D60D3" w:rsidRDefault="003D60D3">
          <w:pPr>
            <w:pStyle w:val="TOC1"/>
            <w:tabs>
              <w:tab w:val="right" w:leader="dot" w:pos="9350"/>
            </w:tabs>
            <w:rPr>
              <w:rFonts w:asciiTheme="minorHAnsi" w:eastAsiaTheme="minorEastAsia" w:hAnsiTheme="minorHAnsi"/>
              <w:noProof/>
              <w:sz w:val="22"/>
            </w:rPr>
          </w:pPr>
          <w:hyperlink w:anchor="_Toc212665268" w:history="1">
            <w:r w:rsidRPr="00C13564">
              <w:rPr>
                <w:rStyle w:val="Hyperlink"/>
                <w:noProof/>
              </w:rPr>
              <w:t>Feelings</w:t>
            </w:r>
            <w:r>
              <w:rPr>
                <w:noProof/>
                <w:webHidden/>
              </w:rPr>
              <w:tab/>
            </w:r>
            <w:r>
              <w:rPr>
                <w:noProof/>
                <w:webHidden/>
              </w:rPr>
              <w:fldChar w:fldCharType="begin"/>
            </w:r>
            <w:r>
              <w:rPr>
                <w:noProof/>
                <w:webHidden/>
              </w:rPr>
              <w:instrText xml:space="preserve"> PAGEREF _Toc212665268 \h </w:instrText>
            </w:r>
            <w:r>
              <w:rPr>
                <w:noProof/>
                <w:webHidden/>
              </w:rPr>
            </w:r>
            <w:r>
              <w:rPr>
                <w:noProof/>
                <w:webHidden/>
              </w:rPr>
              <w:fldChar w:fldCharType="separate"/>
            </w:r>
            <w:r>
              <w:rPr>
                <w:noProof/>
                <w:webHidden/>
              </w:rPr>
              <w:t>5</w:t>
            </w:r>
            <w:r>
              <w:rPr>
                <w:noProof/>
                <w:webHidden/>
              </w:rPr>
              <w:fldChar w:fldCharType="end"/>
            </w:r>
          </w:hyperlink>
        </w:p>
        <w:p w14:paraId="652B7D30" w14:textId="77777777" w:rsidR="003D60D3" w:rsidRDefault="003D60D3">
          <w:pPr>
            <w:pStyle w:val="TOC1"/>
            <w:tabs>
              <w:tab w:val="right" w:leader="dot" w:pos="9350"/>
            </w:tabs>
            <w:rPr>
              <w:rFonts w:asciiTheme="minorHAnsi" w:eastAsiaTheme="minorEastAsia" w:hAnsiTheme="minorHAnsi"/>
              <w:noProof/>
              <w:sz w:val="22"/>
            </w:rPr>
          </w:pPr>
          <w:hyperlink w:anchor="_Toc212665269" w:history="1">
            <w:r w:rsidRPr="00C13564">
              <w:rPr>
                <w:rStyle w:val="Hyperlink"/>
                <w:noProof/>
              </w:rPr>
              <w:t>Evaluation</w:t>
            </w:r>
            <w:r>
              <w:rPr>
                <w:noProof/>
                <w:webHidden/>
              </w:rPr>
              <w:tab/>
            </w:r>
            <w:r>
              <w:rPr>
                <w:noProof/>
                <w:webHidden/>
              </w:rPr>
              <w:fldChar w:fldCharType="begin"/>
            </w:r>
            <w:r>
              <w:rPr>
                <w:noProof/>
                <w:webHidden/>
              </w:rPr>
              <w:instrText xml:space="preserve"> PAGEREF _Toc212665269 \h </w:instrText>
            </w:r>
            <w:r>
              <w:rPr>
                <w:noProof/>
                <w:webHidden/>
              </w:rPr>
            </w:r>
            <w:r>
              <w:rPr>
                <w:noProof/>
                <w:webHidden/>
              </w:rPr>
              <w:fldChar w:fldCharType="separate"/>
            </w:r>
            <w:r>
              <w:rPr>
                <w:noProof/>
                <w:webHidden/>
              </w:rPr>
              <w:t>6</w:t>
            </w:r>
            <w:r>
              <w:rPr>
                <w:noProof/>
                <w:webHidden/>
              </w:rPr>
              <w:fldChar w:fldCharType="end"/>
            </w:r>
          </w:hyperlink>
        </w:p>
        <w:p w14:paraId="506E8AAE" w14:textId="77777777" w:rsidR="003D60D3" w:rsidRDefault="003D60D3">
          <w:pPr>
            <w:pStyle w:val="TOC1"/>
            <w:tabs>
              <w:tab w:val="right" w:leader="dot" w:pos="9350"/>
            </w:tabs>
            <w:rPr>
              <w:rFonts w:asciiTheme="minorHAnsi" w:eastAsiaTheme="minorEastAsia" w:hAnsiTheme="minorHAnsi"/>
              <w:noProof/>
              <w:sz w:val="22"/>
            </w:rPr>
          </w:pPr>
          <w:hyperlink w:anchor="_Toc212665270" w:history="1">
            <w:r w:rsidRPr="00C13564">
              <w:rPr>
                <w:rStyle w:val="Hyperlink"/>
                <w:noProof/>
              </w:rPr>
              <w:t>Analysis</w:t>
            </w:r>
            <w:r>
              <w:rPr>
                <w:noProof/>
                <w:webHidden/>
              </w:rPr>
              <w:tab/>
            </w:r>
            <w:r>
              <w:rPr>
                <w:noProof/>
                <w:webHidden/>
              </w:rPr>
              <w:fldChar w:fldCharType="begin"/>
            </w:r>
            <w:r>
              <w:rPr>
                <w:noProof/>
                <w:webHidden/>
              </w:rPr>
              <w:instrText xml:space="preserve"> PAGEREF _Toc212665270 \h </w:instrText>
            </w:r>
            <w:r>
              <w:rPr>
                <w:noProof/>
                <w:webHidden/>
              </w:rPr>
            </w:r>
            <w:r>
              <w:rPr>
                <w:noProof/>
                <w:webHidden/>
              </w:rPr>
              <w:fldChar w:fldCharType="separate"/>
            </w:r>
            <w:r>
              <w:rPr>
                <w:noProof/>
                <w:webHidden/>
              </w:rPr>
              <w:t>7</w:t>
            </w:r>
            <w:r>
              <w:rPr>
                <w:noProof/>
                <w:webHidden/>
              </w:rPr>
              <w:fldChar w:fldCharType="end"/>
            </w:r>
          </w:hyperlink>
        </w:p>
        <w:p w14:paraId="3BCB12CC" w14:textId="77777777" w:rsidR="003D60D3" w:rsidRDefault="003D60D3">
          <w:pPr>
            <w:pStyle w:val="TOC1"/>
            <w:tabs>
              <w:tab w:val="right" w:leader="dot" w:pos="9350"/>
            </w:tabs>
            <w:rPr>
              <w:rFonts w:asciiTheme="minorHAnsi" w:eastAsiaTheme="minorEastAsia" w:hAnsiTheme="minorHAnsi"/>
              <w:noProof/>
              <w:sz w:val="22"/>
            </w:rPr>
          </w:pPr>
          <w:hyperlink w:anchor="_Toc212665271" w:history="1">
            <w:r w:rsidRPr="00C13564">
              <w:rPr>
                <w:rStyle w:val="Hyperlink"/>
                <w:noProof/>
              </w:rPr>
              <w:t>Conclusion</w:t>
            </w:r>
            <w:r>
              <w:rPr>
                <w:noProof/>
                <w:webHidden/>
              </w:rPr>
              <w:tab/>
            </w:r>
            <w:r>
              <w:rPr>
                <w:noProof/>
                <w:webHidden/>
              </w:rPr>
              <w:fldChar w:fldCharType="begin"/>
            </w:r>
            <w:r>
              <w:rPr>
                <w:noProof/>
                <w:webHidden/>
              </w:rPr>
              <w:instrText xml:space="preserve"> PAGEREF _Toc212665271 \h </w:instrText>
            </w:r>
            <w:r>
              <w:rPr>
                <w:noProof/>
                <w:webHidden/>
              </w:rPr>
            </w:r>
            <w:r>
              <w:rPr>
                <w:noProof/>
                <w:webHidden/>
              </w:rPr>
              <w:fldChar w:fldCharType="separate"/>
            </w:r>
            <w:r>
              <w:rPr>
                <w:noProof/>
                <w:webHidden/>
              </w:rPr>
              <w:t>9</w:t>
            </w:r>
            <w:r>
              <w:rPr>
                <w:noProof/>
                <w:webHidden/>
              </w:rPr>
              <w:fldChar w:fldCharType="end"/>
            </w:r>
          </w:hyperlink>
        </w:p>
        <w:p w14:paraId="789CF0ED" w14:textId="77777777" w:rsidR="003D60D3" w:rsidRDefault="003D60D3">
          <w:pPr>
            <w:pStyle w:val="TOC1"/>
            <w:tabs>
              <w:tab w:val="right" w:leader="dot" w:pos="9350"/>
            </w:tabs>
            <w:rPr>
              <w:rFonts w:asciiTheme="minorHAnsi" w:eastAsiaTheme="minorEastAsia" w:hAnsiTheme="minorHAnsi"/>
              <w:noProof/>
              <w:sz w:val="22"/>
            </w:rPr>
          </w:pPr>
          <w:hyperlink w:anchor="_Toc212665272" w:history="1">
            <w:r w:rsidRPr="00C13564">
              <w:rPr>
                <w:rStyle w:val="Hyperlink"/>
                <w:noProof/>
              </w:rPr>
              <w:t>Action Plan</w:t>
            </w:r>
            <w:r>
              <w:rPr>
                <w:noProof/>
                <w:webHidden/>
              </w:rPr>
              <w:tab/>
            </w:r>
            <w:r>
              <w:rPr>
                <w:noProof/>
                <w:webHidden/>
              </w:rPr>
              <w:fldChar w:fldCharType="begin"/>
            </w:r>
            <w:r>
              <w:rPr>
                <w:noProof/>
                <w:webHidden/>
              </w:rPr>
              <w:instrText xml:space="preserve"> PAGEREF _Toc212665272 \h </w:instrText>
            </w:r>
            <w:r>
              <w:rPr>
                <w:noProof/>
                <w:webHidden/>
              </w:rPr>
            </w:r>
            <w:r>
              <w:rPr>
                <w:noProof/>
                <w:webHidden/>
              </w:rPr>
              <w:fldChar w:fldCharType="separate"/>
            </w:r>
            <w:r>
              <w:rPr>
                <w:noProof/>
                <w:webHidden/>
              </w:rPr>
              <w:t>10</w:t>
            </w:r>
            <w:r>
              <w:rPr>
                <w:noProof/>
                <w:webHidden/>
              </w:rPr>
              <w:fldChar w:fldCharType="end"/>
            </w:r>
          </w:hyperlink>
        </w:p>
        <w:p w14:paraId="37D3A59D" w14:textId="77777777" w:rsidR="003D60D3" w:rsidRDefault="003D60D3">
          <w:pPr>
            <w:pStyle w:val="TOC1"/>
            <w:tabs>
              <w:tab w:val="right" w:leader="dot" w:pos="9350"/>
            </w:tabs>
            <w:rPr>
              <w:rFonts w:asciiTheme="minorHAnsi" w:eastAsiaTheme="minorEastAsia" w:hAnsiTheme="minorHAnsi"/>
              <w:noProof/>
              <w:sz w:val="22"/>
            </w:rPr>
          </w:pPr>
          <w:hyperlink w:anchor="_Toc212665273" w:history="1">
            <w:r w:rsidRPr="00C13564">
              <w:rPr>
                <w:rStyle w:val="Hyperlink"/>
                <w:noProof/>
              </w:rPr>
              <w:t>References</w:t>
            </w:r>
            <w:r>
              <w:rPr>
                <w:noProof/>
                <w:webHidden/>
              </w:rPr>
              <w:tab/>
            </w:r>
            <w:r>
              <w:rPr>
                <w:noProof/>
                <w:webHidden/>
              </w:rPr>
              <w:fldChar w:fldCharType="begin"/>
            </w:r>
            <w:r>
              <w:rPr>
                <w:noProof/>
                <w:webHidden/>
              </w:rPr>
              <w:instrText xml:space="preserve"> PAGEREF _Toc212665273 \h </w:instrText>
            </w:r>
            <w:r>
              <w:rPr>
                <w:noProof/>
                <w:webHidden/>
              </w:rPr>
            </w:r>
            <w:r>
              <w:rPr>
                <w:noProof/>
                <w:webHidden/>
              </w:rPr>
              <w:fldChar w:fldCharType="separate"/>
            </w:r>
            <w:r>
              <w:rPr>
                <w:noProof/>
                <w:webHidden/>
              </w:rPr>
              <w:t>11</w:t>
            </w:r>
            <w:r>
              <w:rPr>
                <w:noProof/>
                <w:webHidden/>
              </w:rPr>
              <w:fldChar w:fldCharType="end"/>
            </w:r>
          </w:hyperlink>
        </w:p>
        <w:p w14:paraId="4D855911" w14:textId="77777777" w:rsidR="003D60D3" w:rsidRDefault="003D60D3">
          <w:r>
            <w:rPr>
              <w:b/>
              <w:bCs/>
              <w:noProof/>
            </w:rPr>
            <w:fldChar w:fldCharType="end"/>
          </w:r>
        </w:p>
      </w:sdtContent>
    </w:sdt>
    <w:p w14:paraId="0FB6C3A3" w14:textId="77777777" w:rsidR="00EB4CCB" w:rsidRDefault="005A51DE">
      <w:pPr>
        <w:spacing w:line="276" w:lineRule="auto"/>
        <w:jc w:val="left"/>
        <w:rPr>
          <w:rFonts w:eastAsiaTheme="majorEastAsia" w:cstheme="majorBidi"/>
          <w:b/>
          <w:bCs/>
          <w:color w:val="365F91" w:themeColor="accent1" w:themeShade="BF"/>
          <w:sz w:val="28"/>
          <w:szCs w:val="28"/>
        </w:rPr>
      </w:pPr>
      <w:r>
        <w:br w:type="page"/>
      </w:r>
    </w:p>
    <w:p w14:paraId="717BEB40" w14:textId="77777777" w:rsidR="00572351" w:rsidRDefault="00572351" w:rsidP="006C18B6">
      <w:pPr>
        <w:pStyle w:val="Heading1"/>
        <w:sectPr w:rsidR="00572351">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39FCE871" w14:textId="77777777" w:rsidR="006C18B6" w:rsidRDefault="005A51DE" w:rsidP="006C18B6">
      <w:pPr>
        <w:pStyle w:val="Heading1"/>
      </w:pPr>
      <w:bookmarkStart w:id="0" w:name="_Toc212665266"/>
      <w:r>
        <w:lastRenderedPageBreak/>
        <w:t>Introduction</w:t>
      </w:r>
      <w:bookmarkEnd w:id="0"/>
      <w:r>
        <w:t xml:space="preserve"> </w:t>
      </w:r>
    </w:p>
    <w:p w14:paraId="366E09FF" w14:textId="3E430137" w:rsidR="006C18B6" w:rsidRDefault="005A51DE" w:rsidP="006C18B6">
      <w:r>
        <w:t>My internship experience in The White</w:t>
      </w:r>
      <w:r w:rsidR="003F7855">
        <w:t>h</w:t>
      </w:r>
      <w:r>
        <w:t xml:space="preserve">ouse, Worcester, allowed me to work in the Food and Beverage (F&amp;B) department, help design a new wine menu, and research how to boost the number of wedding venue sales by providing them with buffet options. These experiences showed that they did not have the best coordination among the kitchen, sales and management </w:t>
      </w:r>
      <w:r w:rsidR="00D17619">
        <w:t>teams</w:t>
      </w:r>
      <w:r>
        <w:t xml:space="preserve">, which limited innovation and motivation of the staff. With the help of the Reflective Cycle by Gibbs (1988), these challenges are critically analysed using the Service-Profit Chain, the Balanced Scorecard, Herzberg Motivation-Hygiene Theory and Kotters Change Model. </w:t>
      </w:r>
      <w:r w:rsidR="004864EB">
        <w:t xml:space="preserve">This </w:t>
      </w:r>
      <w:r>
        <w:t xml:space="preserve">structured reflection can transform operational experiences into actionable lessons that will enhance communication, motivation, and </w:t>
      </w:r>
      <w:r w:rsidR="004864EB">
        <w:t xml:space="preserve">the guest </w:t>
      </w:r>
      <w:r>
        <w:t>service quality in hospitality management.</w:t>
      </w:r>
    </w:p>
    <w:p w14:paraId="36825866" w14:textId="77777777" w:rsidR="001E46CA" w:rsidRDefault="005A51DE" w:rsidP="001E46CA">
      <w:pPr>
        <w:keepNext/>
        <w:jc w:val="center"/>
      </w:pPr>
      <w:r>
        <w:rPr>
          <w:noProof/>
        </w:rPr>
        <w:drawing>
          <wp:inline distT="0" distB="0" distL="0" distR="0" wp14:anchorId="52FC2B4C" wp14:editId="2F15EB6F">
            <wp:extent cx="3314700" cy="2486025"/>
            <wp:effectExtent l="0" t="0" r="0" b="9525"/>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Gibbs Reflective Cycle"/>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314700" cy="2486025"/>
                    </a:xfrm>
                    <a:prstGeom prst="rect">
                      <a:avLst/>
                    </a:prstGeom>
                    <a:noFill/>
                    <a:ln>
                      <a:noFill/>
                    </a:ln>
                  </pic:spPr>
                </pic:pic>
              </a:graphicData>
            </a:graphic>
          </wp:inline>
        </w:drawing>
      </w:r>
    </w:p>
    <w:p w14:paraId="418615F3" w14:textId="77777777" w:rsidR="00C65DCC" w:rsidRDefault="005A51DE" w:rsidP="001E46CA">
      <w:pPr>
        <w:pStyle w:val="Caption"/>
        <w:jc w:val="center"/>
      </w:pPr>
      <w:r>
        <w:t xml:space="preserve">Figure </w:t>
      </w:r>
      <w:fldSimple w:instr=" SEQ Figure \* ARABIC ">
        <w:r>
          <w:rPr>
            <w:noProof/>
          </w:rPr>
          <w:t>1</w:t>
        </w:r>
      </w:fldSimple>
      <w:r w:rsidR="004864EB">
        <w:t xml:space="preserve">: The </w:t>
      </w:r>
      <w:r w:rsidR="004864EB" w:rsidRPr="004864EB">
        <w:t>Gibbs Reflective Cycle (Nurlatifah et al., 2023)</w:t>
      </w:r>
    </w:p>
    <w:p w14:paraId="5004DD66" w14:textId="77777777" w:rsidR="006C18B6" w:rsidRDefault="005A51DE">
      <w:pPr>
        <w:spacing w:line="276" w:lineRule="auto"/>
        <w:jc w:val="left"/>
        <w:rPr>
          <w:rFonts w:eastAsiaTheme="majorEastAsia" w:cstheme="majorBidi"/>
          <w:b/>
          <w:bCs/>
          <w:color w:val="365F91" w:themeColor="accent1" w:themeShade="BF"/>
          <w:sz w:val="28"/>
          <w:szCs w:val="28"/>
        </w:rPr>
      </w:pPr>
      <w:r>
        <w:br w:type="page"/>
      </w:r>
    </w:p>
    <w:p w14:paraId="65AE6EE4" w14:textId="77777777" w:rsidR="006C18B6" w:rsidRDefault="005A51DE" w:rsidP="006C18B6">
      <w:pPr>
        <w:pStyle w:val="Heading1"/>
      </w:pPr>
      <w:bookmarkStart w:id="1" w:name="_Toc212665267"/>
      <w:r>
        <w:lastRenderedPageBreak/>
        <w:t>Description</w:t>
      </w:r>
      <w:bookmarkEnd w:id="1"/>
    </w:p>
    <w:p w14:paraId="6FE0FCB0" w14:textId="33FCFE58" w:rsidR="00D41698" w:rsidRPr="00D41698" w:rsidRDefault="005A51DE" w:rsidP="00D41698">
      <w:r w:rsidRPr="00D41698">
        <w:t xml:space="preserve">Throughout </w:t>
      </w:r>
      <w:r>
        <w:t xml:space="preserve">my </w:t>
      </w:r>
      <w:r w:rsidRPr="00D41698">
        <w:t>placement at The White</w:t>
      </w:r>
      <w:r w:rsidR="003F7855">
        <w:t>h</w:t>
      </w:r>
      <w:r w:rsidRPr="00D41698">
        <w:t>ouse, Worcester, I was mainly involved with the daily operations of the breakfast and bar. I came up with two enhancement projects: a new wine menu and a buffet sales plan during weddings. The two programs were to maximise guest satisfaction and revenues by matching products with market trends. Nevertheless, although the projects received a positive reception at the beginning by Livia Matei (Restaurant Manager) and Russell (F&amp;B Manager), the upper management and the kitchen crew opposed the changes as disruptive and not innovative. The F&amp;B and marketing departments had weak communication; therefore, the promotional messages were inconsistent, and decision-making processes were slow. Further, there was a lack of a formal feedback system and accountability framework, so valuable information and progress updates were usually lost down the informal line of communication.</w:t>
      </w:r>
    </w:p>
    <w:p w14:paraId="254AE04E" w14:textId="77777777" w:rsidR="00D41698" w:rsidRDefault="005A51DE">
      <w:pPr>
        <w:spacing w:line="276" w:lineRule="auto"/>
        <w:jc w:val="left"/>
        <w:rPr>
          <w:rFonts w:eastAsiaTheme="majorEastAsia" w:cstheme="majorBidi"/>
          <w:b/>
          <w:bCs/>
          <w:color w:val="365F91" w:themeColor="accent1" w:themeShade="BF"/>
          <w:sz w:val="28"/>
          <w:szCs w:val="28"/>
        </w:rPr>
      </w:pPr>
      <w:r>
        <w:br w:type="page"/>
      </w:r>
    </w:p>
    <w:p w14:paraId="448BC742" w14:textId="77777777" w:rsidR="006C18B6" w:rsidRDefault="005A51DE" w:rsidP="006C18B6">
      <w:pPr>
        <w:pStyle w:val="Heading1"/>
      </w:pPr>
      <w:bookmarkStart w:id="2" w:name="_Toc212665268"/>
      <w:r>
        <w:lastRenderedPageBreak/>
        <w:t>Feelings</w:t>
      </w:r>
      <w:bookmarkEnd w:id="2"/>
    </w:p>
    <w:p w14:paraId="41680E49" w14:textId="77777777" w:rsidR="00D24013" w:rsidRDefault="005A51DE" w:rsidP="006C18B6">
      <w:r w:rsidRPr="00D41698">
        <w:t>I was deeply proud to offer a viable solution, which was in line with modern-day eating trends. Creating a professional wine menu and suggesting a buffet wedding model made me feel that I owned something and it was worth doing. But this enthusiasm became frustrating as the management could not take decisive action or give the employees the due reward. This non-participation in official consultations and being under-recognised did not contribute to my motivation, which corresponds to the Motivation-Hygiene Theory of Herzberg. Achievement and recognition were not motivator</w:t>
      </w:r>
      <w:r w:rsidR="004864EB" w:rsidRPr="004864EB">
        <w:t>s (Lee &amp; Lee, 2022)</w:t>
      </w:r>
      <w:r w:rsidRPr="00D41698">
        <w:t>.</w:t>
      </w:r>
      <w:r w:rsidR="00F41441">
        <w:t xml:space="preserve"> Based on the Expectancy Theory</w:t>
      </w:r>
      <w:r w:rsidRPr="00D41698">
        <w:t xml:space="preserve"> formulated by Vroom, employees with a disjointed connection between effort and outcomes have a lower expectancy and morale</w:t>
      </w:r>
      <w:r w:rsidR="00F41441" w:rsidRPr="00F41441">
        <w:t xml:space="preserve"> (Ogundare &amp; Omotosho, 2022)</w:t>
      </w:r>
      <w:r w:rsidRPr="00D41698">
        <w:t>. This exposure has sensitised me further to the role of emotional investment in organisational culture and the impact of leadership apathy on innovation, even in an organisational culture that fosters creativity on paper.</w:t>
      </w:r>
    </w:p>
    <w:p w14:paraId="4FF8E228" w14:textId="77777777" w:rsidR="00D41698" w:rsidRPr="00D41698" w:rsidRDefault="005A51DE">
      <w:pPr>
        <w:spacing w:line="276" w:lineRule="auto"/>
        <w:jc w:val="left"/>
      </w:pPr>
      <w:r>
        <w:br w:type="page"/>
      </w:r>
    </w:p>
    <w:p w14:paraId="1A08F7FE" w14:textId="77777777" w:rsidR="00D41698" w:rsidRDefault="005A51DE" w:rsidP="00D41698">
      <w:pPr>
        <w:pStyle w:val="Heading1"/>
      </w:pPr>
      <w:bookmarkStart w:id="3" w:name="_Toc212665269"/>
      <w:r>
        <w:lastRenderedPageBreak/>
        <w:t>Evaluation</w:t>
      </w:r>
      <w:bookmarkEnd w:id="3"/>
      <w:r>
        <w:t xml:space="preserve"> </w:t>
      </w:r>
    </w:p>
    <w:p w14:paraId="651E8E7B" w14:textId="77777777" w:rsidR="00D41698" w:rsidRDefault="005A51DE" w:rsidP="00D41698">
      <w:r>
        <w:t>There were strengths and weaknesses of the experience. On the positive aspect, the project was very creative, innovative, and supportive of key managers like Livia Matei and Russell, who promoted practical problem-solving. My projects were proactive and worked towards service differentiation. Nevertheless, there were significant weaknesses, most notably the lack of strategic alignment between F&amp;B, kitchen, and marketing teams. According to Johnston, Clark and Shulver (2012), capacity alignment and process coherence are all required in service quality; the decisions were made on the spur of the moment. The Responsiveness and Assurance dimensions of SERVQUAL were inferior, with the employees having difficulty keeping the service consistent throughout the peak periods as they multitask</w:t>
      </w:r>
      <w:r w:rsidR="00F41441">
        <w:t xml:space="preserve"> </w:t>
      </w:r>
      <w:r w:rsidR="00F41441" w:rsidRPr="00F41441">
        <w:t>(Muhammad Arkaan Dzakwan &amp; Fadliadi Ubit, 2025)</w:t>
      </w:r>
      <w:r w:rsidR="00F41441">
        <w:t>. The Balanced Scorecard</w:t>
      </w:r>
      <w:r>
        <w:t xml:space="preserve"> also demonstrates that the organisation was overemphasised on financial performance and ignored the learning perspective and the internal process perspective</w:t>
      </w:r>
      <w:r w:rsidR="00F41441" w:rsidRPr="00F41441">
        <w:t xml:space="preserve"> (Bshayreh et al., 2024)</w:t>
      </w:r>
      <w:r>
        <w:t>. Individual motivation worked; however, organisational and systemic feedback could not maintain momentum.</w:t>
      </w:r>
    </w:p>
    <w:p w14:paraId="604D0243" w14:textId="77777777" w:rsidR="00D41698" w:rsidRDefault="005A51DE">
      <w:pPr>
        <w:spacing w:line="276" w:lineRule="auto"/>
        <w:jc w:val="left"/>
      </w:pPr>
      <w:r>
        <w:br w:type="page"/>
      </w:r>
    </w:p>
    <w:p w14:paraId="055CAEAB" w14:textId="77777777" w:rsidR="00D41698" w:rsidRDefault="005A51DE" w:rsidP="00D41698">
      <w:pPr>
        <w:pStyle w:val="Heading1"/>
      </w:pPr>
      <w:bookmarkStart w:id="4" w:name="_Toc212665270"/>
      <w:r>
        <w:lastRenderedPageBreak/>
        <w:t>Analysis</w:t>
      </w:r>
      <w:bookmarkEnd w:id="4"/>
      <w:r>
        <w:t xml:space="preserve"> </w:t>
      </w:r>
    </w:p>
    <w:p w14:paraId="4FA57FEE" w14:textId="668FE552" w:rsidR="00D41698" w:rsidRDefault="005A51DE" w:rsidP="00D41698">
      <w:r>
        <w:t>The case at The White</w:t>
      </w:r>
      <w:r w:rsidR="003F7855">
        <w:t>h</w:t>
      </w:r>
      <w:r>
        <w:t>ouse, Worcester, demonstrated that operational and cultural impediments went beyond personal performance. Using the Service-Profit Chain, it was found that the lack of employee satisfaction due to low recognition and ineffective communication directly lowered service consistency and loyalty of the guests</w:t>
      </w:r>
      <w:r w:rsidR="00AA58D3" w:rsidRPr="00AA58D3">
        <w:t xml:space="preserve"> (Hogreve et al., 2021)</w:t>
      </w:r>
      <w:r>
        <w:t xml:space="preserve">. The disengagement of the staff interfered with the connection between the internal quality and customer value- once employees did not feel valued, their desire to provide the best service was reduced. The Balanced Scorecard further explains this imbalance </w:t>
      </w:r>
      <w:r w:rsidR="00AA58D3" w:rsidRPr="00AA58D3">
        <w:t>(Bshayreh et al., 2024)</w:t>
      </w:r>
      <w:r>
        <w:t xml:space="preserve">. </w:t>
      </w:r>
    </w:p>
    <w:p w14:paraId="1B29B4F1" w14:textId="77777777" w:rsidR="00D41698" w:rsidRDefault="005A51DE" w:rsidP="00D41698">
      <w:r>
        <w:t xml:space="preserve">The management was mainly concerned about the financial performance and did not bother with the internal process, learning, and improvement of employees. A project in the wine menu and wedding buffet, had there been a strategic support, would have enabled me to have a balanced performance improvement of strengthening the customer perspective (enhanced experience) and the financial perspective (increased sales) simultaneously. </w:t>
      </w:r>
    </w:p>
    <w:p w14:paraId="2A0F2F1C" w14:textId="77777777" w:rsidR="00D41698" w:rsidRDefault="005A51DE" w:rsidP="00D41698">
      <w:r>
        <w:t>In terms of change management, the Eight-Step Change Model by Kotter emphasises that the organisation did not establish a sense of urgency or a change guiding coalition on innovation</w:t>
      </w:r>
      <w:r w:rsidR="00AA58D3" w:rsidRPr="00AA58D3">
        <w:t xml:space="preserve"> (Laig &amp; Abocejo, 2021)</w:t>
      </w:r>
      <w:r>
        <w:t>. Communication and vision stages halted the change, and new ideas were lost without integration into the system. This opposition is associated with Herzberg's Motivation-Hygiene Theory: hygiene (supervision and workload), and motivators (achievement, growth, recognition) were barely satisfactory, which contributed to the development of a lack of motivation and indifference</w:t>
      </w:r>
      <w:r w:rsidR="00AA58D3" w:rsidRPr="00AA58D3">
        <w:t xml:space="preserve"> (Lee &amp; Lee, 2022)</w:t>
      </w:r>
      <w:r>
        <w:t>. The hospitality leadership should empower employees by including and trusting them, but the hierarchical system of the hotel did not allow initiative (Walker 2021).</w:t>
      </w:r>
    </w:p>
    <w:p w14:paraId="238F096F" w14:textId="77777777" w:rsidR="00D41698" w:rsidRDefault="005A51DE" w:rsidP="00D41698">
      <w:r>
        <w:t xml:space="preserve"> As Felce (2019) and Anon (2010) highlighted, structured learning and reflection during placements to transform experience into professional growth are also absent in this environment. Lastly, Johnston, Clark, and Shulver (2012) observe that to achieve efficiency in service, the design of the processes and the alignment of the capacity are necessary; the apparent lack of connection between the kitchen and the service only </w:t>
      </w:r>
      <w:r>
        <w:lastRenderedPageBreak/>
        <w:t>proved that it was a systemic issue, and not a failure on the part of an individual. On the whole, it is a structural problem, as to achieve a better employee engagement and guest satisfaction, sustainable change requires incorporating motivation, leadership, and process strategy.</w:t>
      </w:r>
    </w:p>
    <w:p w14:paraId="4169AD02" w14:textId="77777777" w:rsidR="00D41698" w:rsidRDefault="005A51DE">
      <w:pPr>
        <w:spacing w:line="276" w:lineRule="auto"/>
        <w:jc w:val="left"/>
      </w:pPr>
      <w:r>
        <w:br w:type="page"/>
      </w:r>
    </w:p>
    <w:p w14:paraId="0E1EFCB9" w14:textId="77777777" w:rsidR="00D41698" w:rsidRDefault="005A51DE" w:rsidP="00D41698">
      <w:pPr>
        <w:pStyle w:val="Heading1"/>
      </w:pPr>
      <w:bookmarkStart w:id="5" w:name="_Toc212665271"/>
      <w:r>
        <w:lastRenderedPageBreak/>
        <w:t>Conclusion</w:t>
      </w:r>
      <w:bookmarkEnd w:id="5"/>
    </w:p>
    <w:p w14:paraId="55D1F443" w14:textId="77777777" w:rsidR="00D41698" w:rsidRDefault="005A51DE" w:rsidP="00D41698">
      <w:r w:rsidRPr="00D41698">
        <w:t>After using the Reflective Cycle proposed by Gibbs, I understood that the problem of communication breakdown and low motivation were not independent but a pair of obstacles that influenced the performance of the staff and guest satisfaction. Service-Profit Chain proved that the involvement of the employees brings on customer loyalty and ultimately, financial achievement. Similarly, the Balanced Scorecard indicated that internal learning and innovation are sabotaged when financial measures are considered only. This reflection has enhanced my realisation of the necessity of structured communication, recognition and shared ownership in service delivery. In the future, I will support interdepartmental alignments, open feedback, and frequent recognition programs to enhance motivation, innovation, and responsibility among the hotel practices.</w:t>
      </w:r>
    </w:p>
    <w:p w14:paraId="72948AE0" w14:textId="77777777" w:rsidR="00D41698" w:rsidRDefault="005A51DE">
      <w:pPr>
        <w:spacing w:line="276" w:lineRule="auto"/>
        <w:jc w:val="left"/>
      </w:pPr>
      <w:r>
        <w:br w:type="page"/>
      </w:r>
    </w:p>
    <w:p w14:paraId="47A099BA" w14:textId="77777777" w:rsidR="004E7278" w:rsidRDefault="005A51DE" w:rsidP="004E7278">
      <w:pPr>
        <w:pStyle w:val="Heading1"/>
      </w:pPr>
      <w:bookmarkStart w:id="6" w:name="_Toc212665272"/>
      <w:r>
        <w:lastRenderedPageBreak/>
        <w:t>Action Plan</w:t>
      </w:r>
      <w:bookmarkEnd w:id="6"/>
      <w:r>
        <w:t xml:space="preserve"> </w:t>
      </w:r>
    </w:p>
    <w:p w14:paraId="7736530D" w14:textId="77777777" w:rsidR="0086603F" w:rsidRPr="0086603F" w:rsidRDefault="005A51DE" w:rsidP="0086603F">
      <w:r w:rsidRPr="0086603F">
        <w:t>An action plan is a way to convert reflection into an actual improvement. The action plan plays a critical role in connecting theory with practice so that lessons learned in experience result in a structured change, movement in the right direction, and increased performance in the working environment.</w:t>
      </w:r>
    </w:p>
    <w:tbl>
      <w:tblPr>
        <w:tblStyle w:val="LightGrid-Accent5"/>
        <w:tblW w:w="0" w:type="auto"/>
        <w:tblLook w:val="04A0" w:firstRow="1" w:lastRow="0" w:firstColumn="1" w:lastColumn="0" w:noHBand="0" w:noVBand="1"/>
      </w:tblPr>
      <w:tblGrid>
        <w:gridCol w:w="3080"/>
        <w:gridCol w:w="2561"/>
        <w:gridCol w:w="1320"/>
        <w:gridCol w:w="2615"/>
      </w:tblGrid>
      <w:tr w:rsidR="00A41346" w14:paraId="07A0464E" w14:textId="77777777" w:rsidTr="00A413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1D1BCC" w14:textId="77777777" w:rsidR="00953710" w:rsidRPr="00953710" w:rsidRDefault="005A51DE" w:rsidP="00953710">
            <w:pPr>
              <w:spacing w:after="200"/>
            </w:pPr>
            <w:r w:rsidRPr="00953710">
              <w:t>Proposed Change</w:t>
            </w:r>
          </w:p>
        </w:tc>
        <w:tc>
          <w:tcPr>
            <w:tcW w:w="0" w:type="auto"/>
            <w:hideMark/>
          </w:tcPr>
          <w:p w14:paraId="49C04789" w14:textId="77777777" w:rsidR="00953710" w:rsidRPr="00953710" w:rsidRDefault="005A51DE" w:rsidP="00953710">
            <w:pPr>
              <w:spacing w:after="200"/>
              <w:cnfStyle w:val="100000000000" w:firstRow="1" w:lastRow="0" w:firstColumn="0" w:lastColumn="0" w:oddVBand="0" w:evenVBand="0" w:oddHBand="0" w:evenHBand="0" w:firstRowFirstColumn="0" w:firstRowLastColumn="0" w:lastRowFirstColumn="0" w:lastRowLastColumn="0"/>
            </w:pPr>
            <w:r w:rsidRPr="00953710">
              <w:t>Framework Link &amp; Rationale</w:t>
            </w:r>
          </w:p>
        </w:tc>
        <w:tc>
          <w:tcPr>
            <w:tcW w:w="0" w:type="auto"/>
            <w:hideMark/>
          </w:tcPr>
          <w:p w14:paraId="7085384B" w14:textId="77777777" w:rsidR="00953710" w:rsidRPr="00953710" w:rsidRDefault="005A51DE" w:rsidP="00953710">
            <w:pPr>
              <w:spacing w:after="200"/>
              <w:cnfStyle w:val="100000000000" w:firstRow="1" w:lastRow="0" w:firstColumn="0" w:lastColumn="0" w:oddVBand="0" w:evenVBand="0" w:oddHBand="0" w:evenHBand="0" w:firstRowFirstColumn="0" w:firstRowLastColumn="0" w:lastRowFirstColumn="0" w:lastRowLastColumn="0"/>
            </w:pPr>
            <w:r w:rsidRPr="00953710">
              <w:t>Timeline</w:t>
            </w:r>
          </w:p>
        </w:tc>
        <w:tc>
          <w:tcPr>
            <w:tcW w:w="0" w:type="auto"/>
            <w:hideMark/>
          </w:tcPr>
          <w:p w14:paraId="41CD9A2B" w14:textId="77777777" w:rsidR="00953710" w:rsidRPr="00953710" w:rsidRDefault="005A51DE" w:rsidP="00953710">
            <w:pPr>
              <w:spacing w:after="200"/>
              <w:cnfStyle w:val="100000000000" w:firstRow="1" w:lastRow="0" w:firstColumn="0" w:lastColumn="0" w:oddVBand="0" w:evenVBand="0" w:oddHBand="0" w:evenHBand="0" w:firstRowFirstColumn="0" w:firstRowLastColumn="0" w:lastRowFirstColumn="0" w:lastRowLastColumn="0"/>
            </w:pPr>
            <w:r w:rsidRPr="00953710">
              <w:t>Expected Impact / Outcome</w:t>
            </w:r>
          </w:p>
        </w:tc>
      </w:tr>
      <w:tr w:rsidR="00A41346" w14:paraId="352E5A35" w14:textId="77777777" w:rsidTr="00A413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B5DA48" w14:textId="77777777" w:rsidR="00953710" w:rsidRPr="00953710" w:rsidRDefault="005A51DE" w:rsidP="00953710">
            <w:pPr>
              <w:spacing w:after="200"/>
            </w:pPr>
            <w:r w:rsidRPr="00953710">
              <w:rPr>
                <w:b w:val="0"/>
              </w:rPr>
              <w:t>1. Cross-Functional “Menu Development Team” – Create a small committee (chef, F&amp;B manager, marketing executive, trainee) to meet bi-weekly for menu innovation and promotional design.</w:t>
            </w:r>
          </w:p>
        </w:tc>
        <w:tc>
          <w:tcPr>
            <w:tcW w:w="0" w:type="auto"/>
            <w:hideMark/>
          </w:tcPr>
          <w:p w14:paraId="1D83BB9F" w14:textId="77777777" w:rsidR="00953710" w:rsidRPr="00953710" w:rsidRDefault="005A51DE" w:rsidP="00953710">
            <w:pPr>
              <w:spacing w:after="200"/>
              <w:cnfStyle w:val="000000100000" w:firstRow="0" w:lastRow="0" w:firstColumn="0" w:lastColumn="0" w:oddVBand="0" w:evenVBand="0" w:oddHBand="1" w:evenHBand="0" w:firstRowFirstColumn="0" w:firstRowLastColumn="0" w:lastRowFirstColumn="0" w:lastRowLastColumn="0"/>
            </w:pPr>
            <w:r w:rsidRPr="00953710">
              <w:rPr>
                <w:i/>
                <w:iCs/>
              </w:rPr>
              <w:t>Kotter's Steps 2 &amp; 4</w:t>
            </w:r>
            <w:r w:rsidRPr="00953710">
              <w:t xml:space="preserve"> (Build Coalition; Communicate Vision) – builds urgency and shared ownership for innovation.</w:t>
            </w:r>
          </w:p>
        </w:tc>
        <w:tc>
          <w:tcPr>
            <w:tcW w:w="0" w:type="auto"/>
            <w:hideMark/>
          </w:tcPr>
          <w:p w14:paraId="61C196D4" w14:textId="77777777" w:rsidR="00953710" w:rsidRPr="00953710" w:rsidRDefault="005A51DE" w:rsidP="00953710">
            <w:pPr>
              <w:spacing w:after="200"/>
              <w:cnfStyle w:val="000000100000" w:firstRow="0" w:lastRow="0" w:firstColumn="0" w:lastColumn="0" w:oddVBand="0" w:evenVBand="0" w:oddHBand="1" w:evenHBand="0" w:firstRowFirstColumn="0" w:firstRowLastColumn="0" w:lastRowFirstColumn="0" w:lastRowLastColumn="0"/>
            </w:pPr>
            <w:r w:rsidRPr="00953710">
              <w:t>Weeks 1–3</w:t>
            </w:r>
          </w:p>
        </w:tc>
        <w:tc>
          <w:tcPr>
            <w:tcW w:w="0" w:type="auto"/>
            <w:hideMark/>
          </w:tcPr>
          <w:p w14:paraId="5AC43B93" w14:textId="77777777" w:rsidR="00953710" w:rsidRPr="00953710" w:rsidRDefault="005A51DE" w:rsidP="00953710">
            <w:pPr>
              <w:spacing w:after="200"/>
              <w:cnfStyle w:val="000000100000" w:firstRow="0" w:lastRow="0" w:firstColumn="0" w:lastColumn="0" w:oddVBand="0" w:evenVBand="0" w:oddHBand="1" w:evenHBand="0" w:firstRowFirstColumn="0" w:firstRowLastColumn="0" w:lastRowFirstColumn="0" w:lastRowLastColumn="0"/>
            </w:pPr>
            <w:r w:rsidRPr="00953710">
              <w:t>Increases buy-in across departments, reduces resistance, and aligns kitchen–sales collaboration.</w:t>
            </w:r>
          </w:p>
        </w:tc>
      </w:tr>
      <w:tr w:rsidR="00A41346" w14:paraId="016E88F7" w14:textId="77777777" w:rsidTr="00A4134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477AFF" w14:textId="77777777" w:rsidR="00953710" w:rsidRPr="00953710" w:rsidRDefault="005A51DE" w:rsidP="00953710">
            <w:pPr>
              <w:spacing w:after="200"/>
            </w:pPr>
            <w:r w:rsidRPr="00953710">
              <w:rPr>
                <w:b w:val="0"/>
              </w:rPr>
              <w:t>2. Incentive-Based Recognition for Innovation – Introduce a quarterly “Innovation Bonus” for staff contributing profitable ideas (e.g., improved menus or event concepts).</w:t>
            </w:r>
          </w:p>
        </w:tc>
        <w:tc>
          <w:tcPr>
            <w:tcW w:w="0" w:type="auto"/>
            <w:hideMark/>
          </w:tcPr>
          <w:p w14:paraId="27465703" w14:textId="77777777" w:rsidR="00953710" w:rsidRPr="00953710" w:rsidRDefault="005A51DE" w:rsidP="002807BD">
            <w:pPr>
              <w:spacing w:after="200"/>
              <w:cnfStyle w:val="000000010000" w:firstRow="0" w:lastRow="0" w:firstColumn="0" w:lastColumn="0" w:oddVBand="0" w:evenVBand="0" w:oddHBand="0" w:evenHBand="1" w:firstRowFirstColumn="0" w:firstRowLastColumn="0" w:lastRowFirstColumn="0" w:lastRowLastColumn="0"/>
            </w:pPr>
            <w:r w:rsidRPr="00953710">
              <w:rPr>
                <w:i/>
                <w:iCs/>
              </w:rPr>
              <w:t xml:space="preserve">Herzberg’s Motivation–Hygiene Theory </w:t>
            </w:r>
            <w:r w:rsidRPr="00953710">
              <w:t xml:space="preserve"> &amp; </w:t>
            </w:r>
            <w:r w:rsidRPr="00953710">
              <w:rPr>
                <w:i/>
                <w:iCs/>
              </w:rPr>
              <w:t>Service-Profit Chain</w:t>
            </w:r>
            <w:r w:rsidRPr="00953710">
              <w:t>– links recognition to engagement and guest satisfaction.</w:t>
            </w:r>
          </w:p>
        </w:tc>
        <w:tc>
          <w:tcPr>
            <w:tcW w:w="0" w:type="auto"/>
            <w:hideMark/>
          </w:tcPr>
          <w:p w14:paraId="5084E7C7" w14:textId="77777777" w:rsidR="00953710" w:rsidRPr="00953710" w:rsidRDefault="005A51DE" w:rsidP="00953710">
            <w:pPr>
              <w:spacing w:after="200"/>
              <w:cnfStyle w:val="000000010000" w:firstRow="0" w:lastRow="0" w:firstColumn="0" w:lastColumn="0" w:oddVBand="0" w:evenVBand="0" w:oddHBand="0" w:evenHBand="1" w:firstRowFirstColumn="0" w:firstRowLastColumn="0" w:lastRowFirstColumn="0" w:lastRowLastColumn="0"/>
            </w:pPr>
            <w:r w:rsidRPr="00953710">
              <w:t>Weeks 4–8</w:t>
            </w:r>
          </w:p>
        </w:tc>
        <w:tc>
          <w:tcPr>
            <w:tcW w:w="0" w:type="auto"/>
            <w:hideMark/>
          </w:tcPr>
          <w:p w14:paraId="15BCA765" w14:textId="77777777" w:rsidR="00953710" w:rsidRPr="00953710" w:rsidRDefault="005A51DE" w:rsidP="00953710">
            <w:pPr>
              <w:spacing w:after="200"/>
              <w:cnfStyle w:val="000000010000" w:firstRow="0" w:lastRow="0" w:firstColumn="0" w:lastColumn="0" w:oddVBand="0" w:evenVBand="0" w:oddHBand="0" w:evenHBand="1" w:firstRowFirstColumn="0" w:firstRowLastColumn="0" w:lastRowFirstColumn="0" w:lastRowLastColumn="0"/>
            </w:pPr>
            <w:r w:rsidRPr="00953710">
              <w:t>Enhances staff morale, fosters creative initiative, and drives sustainable service quality improvements.</w:t>
            </w:r>
          </w:p>
        </w:tc>
      </w:tr>
      <w:tr w:rsidR="00A41346" w14:paraId="1682CA4D" w14:textId="77777777" w:rsidTr="00A413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8912D9" w14:textId="77777777" w:rsidR="00953710" w:rsidRPr="00953710" w:rsidRDefault="005A51DE" w:rsidP="00953710">
            <w:pPr>
              <w:spacing w:after="200"/>
            </w:pPr>
            <w:r>
              <w:rPr>
                <w:b w:val="0"/>
              </w:rPr>
              <w:t xml:space="preserve">3. </w:t>
            </w:r>
            <w:r w:rsidRPr="00953710">
              <w:rPr>
                <w:b w:val="0"/>
              </w:rPr>
              <w:t>F&amp;B–Sales Performance Dashboard – Integrate wine and wedding package sales metrics into a shared Balanced Scorecard.</w:t>
            </w:r>
          </w:p>
        </w:tc>
        <w:tc>
          <w:tcPr>
            <w:tcW w:w="0" w:type="auto"/>
            <w:hideMark/>
          </w:tcPr>
          <w:p w14:paraId="0DA4BB45" w14:textId="77777777" w:rsidR="00953710" w:rsidRPr="00953710" w:rsidRDefault="005A51DE" w:rsidP="002807BD">
            <w:pPr>
              <w:spacing w:after="200"/>
              <w:cnfStyle w:val="000000100000" w:firstRow="0" w:lastRow="0" w:firstColumn="0" w:lastColumn="0" w:oddVBand="0" w:evenVBand="0" w:oddHBand="1" w:evenHBand="0" w:firstRowFirstColumn="0" w:firstRowLastColumn="0" w:lastRowFirstColumn="0" w:lastRowLastColumn="0"/>
            </w:pPr>
            <w:r w:rsidRPr="00953710">
              <w:rPr>
                <w:i/>
                <w:iCs/>
              </w:rPr>
              <w:t>Balanced Scorecard)</w:t>
            </w:r>
            <w:r w:rsidRPr="00953710">
              <w:t xml:space="preserve"> – links customer, financial, and learning goals.</w:t>
            </w:r>
          </w:p>
        </w:tc>
        <w:tc>
          <w:tcPr>
            <w:tcW w:w="0" w:type="auto"/>
            <w:hideMark/>
          </w:tcPr>
          <w:p w14:paraId="03B0FA08" w14:textId="77777777" w:rsidR="00953710" w:rsidRPr="00953710" w:rsidRDefault="005A51DE" w:rsidP="00953710">
            <w:pPr>
              <w:spacing w:after="200"/>
              <w:cnfStyle w:val="000000100000" w:firstRow="0" w:lastRow="0" w:firstColumn="0" w:lastColumn="0" w:oddVBand="0" w:evenVBand="0" w:oddHBand="1" w:evenHBand="0" w:firstRowFirstColumn="0" w:firstRowLastColumn="0" w:lastRowFirstColumn="0" w:lastRowLastColumn="0"/>
            </w:pPr>
            <w:r w:rsidRPr="00953710">
              <w:t>Ongoing, start in Week 6</w:t>
            </w:r>
          </w:p>
        </w:tc>
        <w:tc>
          <w:tcPr>
            <w:tcW w:w="0" w:type="auto"/>
            <w:hideMark/>
          </w:tcPr>
          <w:p w14:paraId="3774CA54" w14:textId="77777777" w:rsidR="00953710" w:rsidRPr="00953710" w:rsidRDefault="005A51DE" w:rsidP="00953710">
            <w:pPr>
              <w:spacing w:after="200"/>
              <w:cnfStyle w:val="000000100000" w:firstRow="0" w:lastRow="0" w:firstColumn="0" w:lastColumn="0" w:oddVBand="0" w:evenVBand="0" w:oddHBand="1" w:evenHBand="0" w:firstRowFirstColumn="0" w:firstRowLastColumn="0" w:lastRowFirstColumn="0" w:lastRowLastColumn="0"/>
            </w:pPr>
            <w:r w:rsidRPr="00953710">
              <w:t>Data-driven alignment between revenue goals and service quality improves long-term profitability and transparency.</w:t>
            </w:r>
          </w:p>
        </w:tc>
      </w:tr>
    </w:tbl>
    <w:p w14:paraId="3297BCAC" w14:textId="77777777" w:rsidR="00D41698" w:rsidRDefault="005A51DE" w:rsidP="00825F9F">
      <w:pPr>
        <w:pStyle w:val="Heading1"/>
      </w:pPr>
      <w:bookmarkStart w:id="7" w:name="_Toc212665273"/>
      <w:r>
        <w:lastRenderedPageBreak/>
        <w:t>References</w:t>
      </w:r>
      <w:bookmarkEnd w:id="7"/>
    </w:p>
    <w:p w14:paraId="022DDE04" w14:textId="77777777" w:rsidR="00825F9F" w:rsidRPr="00825F9F" w:rsidRDefault="005A51DE" w:rsidP="00825F9F">
      <w:r w:rsidRPr="00825F9F">
        <w:rPr>
          <w:bCs/>
        </w:rPr>
        <w:t>Anon. (2010)</w:t>
      </w:r>
      <w:r w:rsidRPr="00825F9F">
        <w:t xml:space="preserve"> ‘Good practice guide for placement and work-based learning in higher education’, </w:t>
      </w:r>
      <w:r w:rsidRPr="00825F9F">
        <w:rPr>
          <w:i/>
          <w:iCs/>
        </w:rPr>
        <w:t>Education + Training</w:t>
      </w:r>
      <w:r w:rsidRPr="00825F9F">
        <w:t>, 52(4), pp. 141–148.</w:t>
      </w:r>
    </w:p>
    <w:p w14:paraId="34AAF687" w14:textId="77777777" w:rsidR="00825F9F" w:rsidRPr="00F231AF" w:rsidRDefault="005A51DE" w:rsidP="00825F9F">
      <w:r w:rsidRPr="00825F9F">
        <w:rPr>
          <w:bCs/>
        </w:rPr>
        <w:t>Bshayreh, M.M., Hamza Kamel Qawqzeh, Al-Momany, A., Abdullah, M. and Qallap, A. (2024)</w:t>
      </w:r>
      <w:r w:rsidRPr="00825F9F">
        <w:t xml:space="preserve"> ‘The influence of balanced scorecard perspectives on the firms’ performance: evidence from the banks in the developing market’, </w:t>
      </w:r>
      <w:r w:rsidRPr="00825F9F">
        <w:rPr>
          <w:i/>
          <w:iCs/>
        </w:rPr>
        <w:t>Corporate and Business Strategy Review</w:t>
      </w:r>
      <w:r w:rsidRPr="00825F9F">
        <w:t xml:space="preserve">, 5(2), pp. 243–254. Available at: </w:t>
      </w:r>
      <w:hyperlink r:id="rId16" w:tgtFrame="_new" w:history="1">
        <w:r w:rsidRPr="00825F9F">
          <w:rPr>
            <w:rStyle w:val="Hyperlink"/>
          </w:rPr>
          <w:t>https://doi.org/10.22495/cbsrv5i2art21</w:t>
        </w:r>
      </w:hyperlink>
      <w:r w:rsidR="00F231AF">
        <w:rPr>
          <w:rStyle w:val="Hyperlink"/>
        </w:rPr>
        <w:t xml:space="preserve"> </w:t>
      </w:r>
      <w:r w:rsidR="00F231AF">
        <w:t>(Accessed: 29</w:t>
      </w:r>
      <w:r w:rsidR="00F231AF" w:rsidRPr="00F231AF">
        <w:t xml:space="preserve"> October 2025).</w:t>
      </w:r>
    </w:p>
    <w:p w14:paraId="1DC05FEE" w14:textId="77777777" w:rsidR="00825F9F" w:rsidRPr="00825F9F" w:rsidRDefault="005A51DE" w:rsidP="00825F9F">
      <w:proofErr w:type="spellStart"/>
      <w:r w:rsidRPr="00825F9F">
        <w:rPr>
          <w:bCs/>
        </w:rPr>
        <w:t>Felce</w:t>
      </w:r>
      <w:proofErr w:type="spellEnd"/>
      <w:r w:rsidRPr="00825F9F">
        <w:rPr>
          <w:bCs/>
        </w:rPr>
        <w:t>, A. (2019)</w:t>
      </w:r>
      <w:r w:rsidRPr="00825F9F">
        <w:t xml:space="preserve"> ‘Managing the quality of higher education in apprenticeships’, </w:t>
      </w:r>
      <w:r w:rsidRPr="00825F9F">
        <w:rPr>
          <w:i/>
          <w:iCs/>
        </w:rPr>
        <w:t>Higher Education, Skills and Work-Based Learning</w:t>
      </w:r>
      <w:r w:rsidRPr="00825F9F">
        <w:t>, 9(2), pp. 141–148.</w:t>
      </w:r>
    </w:p>
    <w:p w14:paraId="782CF17E" w14:textId="77777777" w:rsidR="00825F9F" w:rsidRPr="00825F9F" w:rsidRDefault="005A51DE" w:rsidP="00825F9F">
      <w:r w:rsidRPr="00825F9F">
        <w:rPr>
          <w:bCs/>
        </w:rPr>
        <w:t>Hagg, E. (2013)</w:t>
      </w:r>
      <w:r w:rsidRPr="00825F9F">
        <w:t xml:space="preserve"> </w:t>
      </w:r>
      <w:r w:rsidRPr="00825F9F">
        <w:rPr>
          <w:i/>
          <w:iCs/>
        </w:rPr>
        <w:t>Internship Guide: Work Placements Step by Step</w:t>
      </w:r>
      <w:r w:rsidRPr="00825F9F">
        <w:t>. The Hague: Eleven International Publishing.</w:t>
      </w:r>
    </w:p>
    <w:p w14:paraId="6F396C47" w14:textId="77777777" w:rsidR="00825F9F" w:rsidRPr="00F231AF" w:rsidRDefault="005A51DE" w:rsidP="00825F9F">
      <w:r w:rsidRPr="00825F9F">
        <w:rPr>
          <w:bCs/>
        </w:rPr>
        <w:t>Hogreve, J., Iseke, A. and Derfuss, K. (2021)</w:t>
      </w:r>
      <w:r w:rsidRPr="00825F9F">
        <w:t xml:space="preserve"> ‘The service-profit chain: reflections, revisions, and reimaginations’, </w:t>
      </w:r>
      <w:r w:rsidRPr="00825F9F">
        <w:rPr>
          <w:i/>
          <w:iCs/>
        </w:rPr>
        <w:t>Journal of Service Research</w:t>
      </w:r>
      <w:r w:rsidRPr="00825F9F">
        <w:t xml:space="preserve">, 25(3), 109467052110524. Available at: </w:t>
      </w:r>
      <w:hyperlink r:id="rId17" w:tgtFrame="_new" w:history="1">
        <w:r w:rsidRPr="00825F9F">
          <w:rPr>
            <w:rStyle w:val="Hyperlink"/>
          </w:rPr>
          <w:t>https://doi.org/10.1177/10946705211052410</w:t>
        </w:r>
      </w:hyperlink>
      <w:r w:rsidR="00F231AF">
        <w:rPr>
          <w:rStyle w:val="Hyperlink"/>
        </w:rPr>
        <w:t xml:space="preserve"> </w:t>
      </w:r>
      <w:r w:rsidR="00F231AF">
        <w:t>(Accessed: 30</w:t>
      </w:r>
      <w:r w:rsidR="00F231AF" w:rsidRPr="00F231AF">
        <w:t xml:space="preserve"> October 2025).</w:t>
      </w:r>
    </w:p>
    <w:p w14:paraId="08FBC33A" w14:textId="77777777" w:rsidR="00825F9F" w:rsidRPr="00F231AF" w:rsidRDefault="005A51DE" w:rsidP="00825F9F">
      <w:r w:rsidRPr="00825F9F">
        <w:rPr>
          <w:bCs/>
        </w:rPr>
        <w:t xml:space="preserve">Laig, R.B.D. and </w:t>
      </w:r>
      <w:proofErr w:type="spellStart"/>
      <w:r w:rsidRPr="00825F9F">
        <w:rPr>
          <w:bCs/>
        </w:rPr>
        <w:t>Abocejo</w:t>
      </w:r>
      <w:proofErr w:type="spellEnd"/>
      <w:r w:rsidRPr="00825F9F">
        <w:rPr>
          <w:bCs/>
        </w:rPr>
        <w:t>, F.T. (2021)</w:t>
      </w:r>
      <w:r w:rsidRPr="00825F9F">
        <w:t xml:space="preserve"> ‘Change management process in a mining company: Kotter’s 8-step change model’, </w:t>
      </w:r>
      <w:r w:rsidRPr="00825F9F">
        <w:rPr>
          <w:i/>
          <w:iCs/>
        </w:rPr>
        <w:t>ResearchGate</w:t>
      </w:r>
      <w:r w:rsidRPr="00825F9F">
        <w:t xml:space="preserve">. Available at: </w:t>
      </w:r>
      <w:hyperlink r:id="rId18" w:tgtFrame="_new" w:history="1">
        <w:r w:rsidRPr="00825F9F">
          <w:rPr>
            <w:rStyle w:val="Hyperlink"/>
          </w:rPr>
          <w:t>https://www.researchgate.net/profile/Ferdinand-Abocejo/publication/354614425_Change_Management_Process_in_a_Mining_Company_Kotter's_8-Step_Change_Model/links/615093f2f8c9c51a8af65225/Change-Management-Process-in-a-Mining-Company-Kotters-8-Step-Change-Model.pdf</w:t>
        </w:r>
      </w:hyperlink>
      <w:r w:rsidR="00F231AF">
        <w:rPr>
          <w:rStyle w:val="Hyperlink"/>
        </w:rPr>
        <w:t xml:space="preserve"> </w:t>
      </w:r>
      <w:r w:rsidR="00F231AF">
        <w:t>(Accessed: 29</w:t>
      </w:r>
      <w:r w:rsidR="00F231AF" w:rsidRPr="00F231AF">
        <w:t xml:space="preserve"> October 2025).</w:t>
      </w:r>
    </w:p>
    <w:p w14:paraId="3D7D3D0C" w14:textId="77777777" w:rsidR="00825F9F" w:rsidRPr="00825F9F" w:rsidRDefault="005A51DE" w:rsidP="00825F9F">
      <w:r w:rsidRPr="00825F9F">
        <w:rPr>
          <w:bCs/>
        </w:rPr>
        <w:t>Lee, J.Y. and Lee, M.H. (2022)</w:t>
      </w:r>
      <w:r w:rsidRPr="00825F9F">
        <w:t xml:space="preserve"> ‘Structural model of retention intention of nurses in small- and medium-sized hospitals: based on Herzberg’s motivation-hygiene theory’, </w:t>
      </w:r>
      <w:r w:rsidRPr="00825F9F">
        <w:rPr>
          <w:i/>
          <w:iCs/>
        </w:rPr>
        <w:t>Healthcare</w:t>
      </w:r>
      <w:r w:rsidRPr="00825F9F">
        <w:t xml:space="preserve">, 10(3), p. 502. Available at: </w:t>
      </w:r>
      <w:hyperlink r:id="rId19" w:tgtFrame="_new" w:history="1">
        <w:r w:rsidRPr="00825F9F">
          <w:rPr>
            <w:rStyle w:val="Hyperlink"/>
          </w:rPr>
          <w:t>https://doi.org/10.3390/healthcare10030502</w:t>
        </w:r>
      </w:hyperlink>
      <w:r w:rsidR="00F231AF">
        <w:rPr>
          <w:rStyle w:val="Hyperlink"/>
        </w:rPr>
        <w:t xml:space="preserve"> </w:t>
      </w:r>
      <w:r w:rsidR="00F231AF">
        <w:t>(Accessed: 30</w:t>
      </w:r>
      <w:r w:rsidR="00F231AF" w:rsidRPr="00F231AF">
        <w:t xml:space="preserve"> October 2025).</w:t>
      </w:r>
    </w:p>
    <w:p w14:paraId="089BB8F3" w14:textId="77777777" w:rsidR="00825F9F" w:rsidRPr="00F231AF" w:rsidRDefault="005A51DE" w:rsidP="00825F9F">
      <w:r w:rsidRPr="00825F9F">
        <w:rPr>
          <w:bCs/>
        </w:rPr>
        <w:t>Muhammad Arkaan Dzakwan and Fadliadi Ubit (2025)</w:t>
      </w:r>
      <w:r w:rsidRPr="00825F9F">
        <w:t xml:space="preserve"> ‘Understanding service quality and satisfaction in education and training through the SERVQUAL model’, </w:t>
      </w:r>
      <w:r w:rsidRPr="00825F9F">
        <w:rPr>
          <w:i/>
          <w:iCs/>
        </w:rPr>
        <w:t>Seulanga</w:t>
      </w:r>
      <w:r w:rsidRPr="00825F9F">
        <w:t xml:space="preserve">, </w:t>
      </w:r>
      <w:r w:rsidRPr="00825F9F">
        <w:lastRenderedPageBreak/>
        <w:t xml:space="preserve">4(1), pp. 16–27. Available at: </w:t>
      </w:r>
      <w:hyperlink r:id="rId20" w:tgtFrame="_new" w:history="1">
        <w:r w:rsidRPr="00825F9F">
          <w:rPr>
            <w:rStyle w:val="Hyperlink"/>
          </w:rPr>
          <w:t>https://doi.org/10.47655/seulanga.v4i1.220</w:t>
        </w:r>
      </w:hyperlink>
      <w:r w:rsidR="00F231AF">
        <w:rPr>
          <w:rStyle w:val="Hyperlink"/>
        </w:rPr>
        <w:t xml:space="preserve"> </w:t>
      </w:r>
      <w:r w:rsidR="00F231AF" w:rsidRPr="00F231AF">
        <w:t>(Accesse</w:t>
      </w:r>
      <w:r w:rsidR="00F231AF">
        <w:t>d: 30</w:t>
      </w:r>
      <w:r w:rsidR="00F231AF" w:rsidRPr="00F231AF">
        <w:t xml:space="preserve"> October 2025).</w:t>
      </w:r>
    </w:p>
    <w:p w14:paraId="5912EF9C" w14:textId="77777777" w:rsidR="00572351" w:rsidRPr="00F231AF" w:rsidRDefault="005A51DE" w:rsidP="00825F9F">
      <w:proofErr w:type="spellStart"/>
      <w:r w:rsidRPr="00572351">
        <w:rPr>
          <w:bCs/>
        </w:rPr>
        <w:t>Nurlatifah</w:t>
      </w:r>
      <w:proofErr w:type="spellEnd"/>
      <w:r w:rsidRPr="00572351">
        <w:rPr>
          <w:bCs/>
        </w:rPr>
        <w:t>, L., Purnawarman, P. and Sukyadi, D. (2023)</w:t>
      </w:r>
      <w:r w:rsidRPr="00572351">
        <w:t xml:space="preserve"> ‘The implementation of reflective assessment using Gibbs’ reflective cycle in assessing students’ writing skill’, </w:t>
      </w:r>
      <w:r w:rsidRPr="00572351">
        <w:rPr>
          <w:i/>
          <w:iCs/>
        </w:rPr>
        <w:t>Nucleation and Atmospheric Aerosols</w:t>
      </w:r>
      <w:r w:rsidRPr="00572351">
        <w:t xml:space="preserve">, 2621(1). Available at: </w:t>
      </w:r>
      <w:hyperlink r:id="rId21" w:tgtFrame="_new" w:history="1">
        <w:r w:rsidRPr="00572351">
          <w:rPr>
            <w:rStyle w:val="Hyperlink"/>
          </w:rPr>
          <w:t>https://doi.org/10.1063/5.0143375</w:t>
        </w:r>
      </w:hyperlink>
      <w:r w:rsidR="00F231AF">
        <w:rPr>
          <w:rStyle w:val="Hyperlink"/>
        </w:rPr>
        <w:t xml:space="preserve"> </w:t>
      </w:r>
      <w:r w:rsidR="00F231AF">
        <w:t>(Accessed: 29</w:t>
      </w:r>
      <w:r w:rsidR="00F231AF" w:rsidRPr="00F231AF">
        <w:t xml:space="preserve"> October 2025).</w:t>
      </w:r>
    </w:p>
    <w:p w14:paraId="467F0964" w14:textId="77777777" w:rsidR="00825F9F" w:rsidRPr="00F231AF" w:rsidRDefault="005A51DE" w:rsidP="00825F9F">
      <w:r w:rsidRPr="00825F9F">
        <w:rPr>
          <w:bCs/>
        </w:rPr>
        <w:t>Ogundare, P. and Omotosho, B.J. (2022)</w:t>
      </w:r>
      <w:r w:rsidRPr="00825F9F">
        <w:t xml:space="preserve"> ‘The relevance of expectancy theory in explaining employee performance and productivity’, </w:t>
      </w:r>
      <w:r w:rsidRPr="00825F9F">
        <w:rPr>
          <w:i/>
          <w:iCs/>
        </w:rPr>
        <w:t>Social Science Research Network</w:t>
      </w:r>
      <w:r w:rsidRPr="00825F9F">
        <w:t xml:space="preserve">, 27 November. Available at: </w:t>
      </w:r>
      <w:hyperlink r:id="rId22" w:tgtFrame="_new" w:history="1">
        <w:r w:rsidRPr="00825F9F">
          <w:rPr>
            <w:rStyle w:val="Hyperlink"/>
          </w:rPr>
          <w:t>https://doi.org/10.2139/ssrn.4553246</w:t>
        </w:r>
      </w:hyperlink>
      <w:r w:rsidR="00F231AF" w:rsidRPr="00F231AF">
        <w:t xml:space="preserve"> </w:t>
      </w:r>
      <w:r w:rsidR="00EF64EA">
        <w:t xml:space="preserve">(Accessed: 31 </w:t>
      </w:r>
      <w:r w:rsidR="00F231AF" w:rsidRPr="00F231AF">
        <w:t>October 2025).</w:t>
      </w:r>
    </w:p>
    <w:p w14:paraId="12981361" w14:textId="77777777" w:rsidR="00825F9F" w:rsidRPr="00825F9F" w:rsidRDefault="005A51DE" w:rsidP="00825F9F">
      <w:r w:rsidRPr="00825F9F">
        <w:rPr>
          <w:bCs/>
        </w:rPr>
        <w:t>Walker, J.R. (2021)</w:t>
      </w:r>
      <w:r w:rsidRPr="00825F9F">
        <w:t xml:space="preserve"> </w:t>
      </w:r>
      <w:r w:rsidRPr="00825F9F">
        <w:rPr>
          <w:i/>
          <w:iCs/>
        </w:rPr>
        <w:t>Introduction to Hospitality</w:t>
      </w:r>
      <w:r w:rsidRPr="00825F9F">
        <w:t>. 8th edn. Harlow: Pearson Education.</w:t>
      </w:r>
    </w:p>
    <w:p w14:paraId="6F2C1FBE" w14:textId="77777777" w:rsidR="00825F9F" w:rsidRDefault="00825F9F" w:rsidP="00D41698"/>
    <w:sectPr w:rsidR="00825F9F">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3FAA6" w14:textId="77777777" w:rsidR="0094549E" w:rsidRDefault="0094549E">
      <w:pPr>
        <w:spacing w:after="0" w:line="240" w:lineRule="auto"/>
      </w:pPr>
      <w:r>
        <w:separator/>
      </w:r>
    </w:p>
  </w:endnote>
  <w:endnote w:type="continuationSeparator" w:id="0">
    <w:p w14:paraId="7C170546" w14:textId="77777777" w:rsidR="0094549E" w:rsidRDefault="00945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FDD115" w14:textId="77777777" w:rsidR="00655776" w:rsidRDefault="006557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C006A" w14:textId="77777777" w:rsidR="00655776" w:rsidRDefault="006557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0435A" w14:textId="77777777" w:rsidR="00655776" w:rsidRDefault="0065577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5320970"/>
      <w:docPartObj>
        <w:docPartGallery w:val="Page Numbers (Bottom of Page)"/>
        <w:docPartUnique/>
      </w:docPartObj>
    </w:sdtPr>
    <w:sdtEndPr>
      <w:rPr>
        <w:noProof/>
      </w:rPr>
    </w:sdtEndPr>
    <w:sdtContent>
      <w:p w14:paraId="6752A02A" w14:textId="77777777" w:rsidR="00572351" w:rsidRDefault="005A51DE">
        <w:pPr>
          <w:pStyle w:val="Footer"/>
        </w:pPr>
        <w:r>
          <w:fldChar w:fldCharType="begin"/>
        </w:r>
        <w:r>
          <w:instrText xml:space="preserve"> PAGE   \* MERGEFORMAT </w:instrText>
        </w:r>
        <w:r>
          <w:fldChar w:fldCharType="separate"/>
        </w:r>
        <w:r w:rsidR="00EF64EA">
          <w:rPr>
            <w:noProof/>
          </w:rPr>
          <w:t>11</w:t>
        </w:r>
        <w:r>
          <w:rPr>
            <w:noProof/>
          </w:rPr>
          <w:fldChar w:fldCharType="end"/>
        </w:r>
      </w:p>
    </w:sdtContent>
  </w:sdt>
  <w:p w14:paraId="67D75A26" w14:textId="77777777" w:rsidR="00572351" w:rsidRDefault="00572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14210" w14:textId="77777777" w:rsidR="0094549E" w:rsidRDefault="0094549E">
      <w:pPr>
        <w:spacing w:after="0" w:line="240" w:lineRule="auto"/>
      </w:pPr>
      <w:r>
        <w:separator/>
      </w:r>
    </w:p>
  </w:footnote>
  <w:footnote w:type="continuationSeparator" w:id="0">
    <w:p w14:paraId="612FC63E" w14:textId="77777777" w:rsidR="0094549E" w:rsidRDefault="009454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DC00B5" w14:textId="77777777" w:rsidR="00655776" w:rsidRDefault="006557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ED5F8" w14:textId="77777777" w:rsidR="00655776" w:rsidRDefault="006557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ED85A7" w14:textId="77777777" w:rsidR="00655776" w:rsidRDefault="006557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CD17FA"/>
    <w:multiLevelType w:val="hybridMultilevel"/>
    <w:tmpl w:val="883CD8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47FD7210"/>
    <w:multiLevelType w:val="hybridMultilevel"/>
    <w:tmpl w:val="58A8AF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434139">
    <w:abstractNumId w:val="0"/>
  </w:num>
  <w:num w:numId="2" w16cid:durableId="1090391588">
    <w:abstractNumId w:val="0"/>
  </w:num>
  <w:num w:numId="3" w16cid:durableId="352050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C18B6"/>
    <w:rsid w:val="001E46CA"/>
    <w:rsid w:val="00207E02"/>
    <w:rsid w:val="002807BD"/>
    <w:rsid w:val="003D60D3"/>
    <w:rsid w:val="003F7855"/>
    <w:rsid w:val="004864EB"/>
    <w:rsid w:val="004E7278"/>
    <w:rsid w:val="00572351"/>
    <w:rsid w:val="005A51DE"/>
    <w:rsid w:val="00655776"/>
    <w:rsid w:val="006B2832"/>
    <w:rsid w:val="006C18B6"/>
    <w:rsid w:val="00724874"/>
    <w:rsid w:val="00825F9F"/>
    <w:rsid w:val="0086603F"/>
    <w:rsid w:val="008E1093"/>
    <w:rsid w:val="0094549E"/>
    <w:rsid w:val="00953710"/>
    <w:rsid w:val="00A41346"/>
    <w:rsid w:val="00A52E08"/>
    <w:rsid w:val="00AA58D3"/>
    <w:rsid w:val="00C65DCC"/>
    <w:rsid w:val="00C66BFF"/>
    <w:rsid w:val="00D0104D"/>
    <w:rsid w:val="00D17619"/>
    <w:rsid w:val="00D24013"/>
    <w:rsid w:val="00D41698"/>
    <w:rsid w:val="00D557C6"/>
    <w:rsid w:val="00DD6E4F"/>
    <w:rsid w:val="00EB4CCB"/>
    <w:rsid w:val="00EF64EA"/>
    <w:rsid w:val="00F231AF"/>
    <w:rsid w:val="00F349F2"/>
    <w:rsid w:val="00F359FE"/>
    <w:rsid w:val="00F41441"/>
    <w:rsid w:val="00F47BA2"/>
    <w:rsid w:val="00F60D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D2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8B6"/>
    <w:pPr>
      <w:spacing w:line="360" w:lineRule="auto"/>
      <w:jc w:val="both"/>
    </w:pPr>
    <w:rPr>
      <w:rFonts w:ascii="Arial" w:hAnsi="Arial"/>
      <w:sz w:val="24"/>
    </w:rPr>
  </w:style>
  <w:style w:type="paragraph" w:styleId="Heading1">
    <w:name w:val="heading 1"/>
    <w:basedOn w:val="Normal"/>
    <w:next w:val="Normal"/>
    <w:link w:val="Heading1Char"/>
    <w:uiPriority w:val="9"/>
    <w:qFormat/>
    <w:rsid w:val="006C18B6"/>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8B6"/>
    <w:rPr>
      <w:rFonts w:ascii="Arial" w:eastAsiaTheme="majorEastAsia" w:hAnsi="Arial" w:cstheme="majorBidi"/>
      <w:b/>
      <w:bCs/>
      <w:color w:val="365F91" w:themeColor="accent1" w:themeShade="BF"/>
      <w:sz w:val="28"/>
      <w:szCs w:val="28"/>
    </w:rPr>
  </w:style>
  <w:style w:type="table" w:styleId="LightGrid-Accent2">
    <w:name w:val="Light Grid Accent 2"/>
    <w:basedOn w:val="TableNormal"/>
    <w:uiPriority w:val="62"/>
    <w:rsid w:val="00D41698"/>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5">
    <w:name w:val="Light Grid Accent 5"/>
    <w:basedOn w:val="TableNormal"/>
    <w:uiPriority w:val="62"/>
    <w:rsid w:val="004E7278"/>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BalloonText">
    <w:name w:val="Balloon Text"/>
    <w:basedOn w:val="Normal"/>
    <w:link w:val="BalloonTextChar"/>
    <w:uiPriority w:val="99"/>
    <w:semiHidden/>
    <w:unhideWhenUsed/>
    <w:rsid w:val="00C65D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5DCC"/>
    <w:rPr>
      <w:rFonts w:ascii="Tahoma" w:hAnsi="Tahoma" w:cs="Tahoma"/>
      <w:sz w:val="16"/>
      <w:szCs w:val="16"/>
    </w:rPr>
  </w:style>
  <w:style w:type="paragraph" w:styleId="Caption">
    <w:name w:val="caption"/>
    <w:basedOn w:val="Normal"/>
    <w:next w:val="Normal"/>
    <w:uiPriority w:val="35"/>
    <w:unhideWhenUsed/>
    <w:qFormat/>
    <w:rsid w:val="001E46CA"/>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EB4CCB"/>
    <w:pPr>
      <w:spacing w:line="276" w:lineRule="auto"/>
      <w:jc w:val="left"/>
      <w:outlineLvl w:val="9"/>
    </w:pPr>
    <w:rPr>
      <w:rFonts w:asciiTheme="majorHAnsi" w:hAnsiTheme="majorHAnsi"/>
      <w:lang w:eastAsia="ja-JP"/>
    </w:rPr>
  </w:style>
  <w:style w:type="paragraph" w:styleId="TOC1">
    <w:name w:val="toc 1"/>
    <w:basedOn w:val="Normal"/>
    <w:next w:val="Normal"/>
    <w:autoRedefine/>
    <w:uiPriority w:val="39"/>
    <w:unhideWhenUsed/>
    <w:rsid w:val="00EB4CCB"/>
    <w:pPr>
      <w:spacing w:after="100"/>
    </w:pPr>
  </w:style>
  <w:style w:type="character" w:styleId="Hyperlink">
    <w:name w:val="Hyperlink"/>
    <w:basedOn w:val="DefaultParagraphFont"/>
    <w:uiPriority w:val="99"/>
    <w:unhideWhenUsed/>
    <w:rsid w:val="00EB4CCB"/>
    <w:rPr>
      <w:color w:val="0000FF" w:themeColor="hyperlink"/>
      <w:u w:val="single"/>
    </w:rPr>
  </w:style>
  <w:style w:type="paragraph" w:styleId="ListParagraph">
    <w:name w:val="List Paragraph"/>
    <w:basedOn w:val="Normal"/>
    <w:uiPriority w:val="34"/>
    <w:qFormat/>
    <w:rsid w:val="00F60DCD"/>
    <w:pPr>
      <w:ind w:left="720"/>
      <w:contextualSpacing/>
    </w:pPr>
  </w:style>
  <w:style w:type="paragraph" w:styleId="Header">
    <w:name w:val="header"/>
    <w:basedOn w:val="Normal"/>
    <w:link w:val="HeaderChar"/>
    <w:uiPriority w:val="99"/>
    <w:unhideWhenUsed/>
    <w:rsid w:val="005723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2351"/>
    <w:rPr>
      <w:rFonts w:ascii="Arial" w:hAnsi="Arial"/>
      <w:sz w:val="24"/>
    </w:rPr>
  </w:style>
  <w:style w:type="paragraph" w:styleId="Footer">
    <w:name w:val="footer"/>
    <w:basedOn w:val="Normal"/>
    <w:link w:val="FooterChar"/>
    <w:uiPriority w:val="99"/>
    <w:unhideWhenUsed/>
    <w:rsid w:val="005723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2351"/>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1885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researchgate.net/profile/Ferdinand-Abocejo/publication/354614425_Change_Management_Process_in_a_Mining_Company_Kotter's_8-Step_Change_Model/links/615093f2f8c9c51a8af65225/Change-Management-Process-in-a-Mining-Company-Kotters-8-Step-Change-Model.pdf" TargetMode="External"/><Relationship Id="rId3" Type="http://schemas.openxmlformats.org/officeDocument/2006/relationships/styles" Target="styles.xml"/><Relationship Id="rId21" Type="http://schemas.openxmlformats.org/officeDocument/2006/relationships/hyperlink" Target="https://doi.org/10.1063/5.0143375"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doi.org/10.1177/1094670521105241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22495/cbsrv5i2art21" TargetMode="External"/><Relationship Id="rId20" Type="http://schemas.openxmlformats.org/officeDocument/2006/relationships/hyperlink" Target="https://doi.org/10.47655/seulanga.v4i1.2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footer" Target="footer4.xml"/><Relationship Id="rId10" Type="http://schemas.openxmlformats.org/officeDocument/2006/relationships/header" Target="header2.xml"/><Relationship Id="rId19" Type="http://schemas.openxmlformats.org/officeDocument/2006/relationships/hyperlink" Target="https://doi.org/10.3390/healthcare10030502"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doi.org/10.2139/ssrn.45532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457D45-5057-48BC-9156-2E6908497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2021</Words>
  <Characters>11525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2025-10-30T04:20:00Z</dcterms:created>
  <dcterms:modified xsi:type="dcterms:W3CDTF">2025-11-08T17:28:00Z</dcterms:modified>
</cp:coreProperties>
</file>