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8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90"/>
        <w:gridCol w:w="3495"/>
        <w:gridCol w:w="3495"/>
      </w:tblGrid>
      <w:tr w:rsidR="00A36A08" w:rsidRPr="002C7293" w14:paraId="66B08A71" w14:textId="77777777" w:rsidTr="005E312C">
        <w:trPr>
          <w:trHeight w:val="1305"/>
        </w:trPr>
        <w:tc>
          <w:tcPr>
            <w:tcW w:w="189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A08CBC5" w14:textId="77777777" w:rsidR="00A36A08" w:rsidRPr="002C7293" w:rsidRDefault="00A36A08" w:rsidP="005E312C">
            <w:pPr>
              <w:spacing w:line="360" w:lineRule="auto"/>
              <w:jc w:val="center"/>
            </w:pPr>
          </w:p>
        </w:tc>
        <w:tc>
          <w:tcPr>
            <w:tcW w:w="3495" w:type="dxa"/>
            <w:tcBorders>
              <w:top w:val="single" w:sz="8" w:space="0" w:color="000000"/>
              <w:bottom w:val="single" w:sz="8" w:space="0" w:color="000000"/>
              <w:right w:val="single" w:sz="8" w:space="0" w:color="000000"/>
            </w:tcBorders>
            <w:tcMar>
              <w:top w:w="0" w:type="dxa"/>
              <w:left w:w="100" w:type="dxa"/>
              <w:bottom w:w="0" w:type="dxa"/>
              <w:right w:w="100" w:type="dxa"/>
            </w:tcMar>
          </w:tcPr>
          <w:p w14:paraId="0E7E02C3" w14:textId="77777777" w:rsidR="00A36A08" w:rsidRPr="002C7293" w:rsidRDefault="00A36A08" w:rsidP="005E312C">
            <w:pPr>
              <w:spacing w:line="360" w:lineRule="auto"/>
              <w:jc w:val="center"/>
            </w:pPr>
            <w:proofErr w:type="spellStart"/>
            <w:r w:rsidRPr="002C7293">
              <w:t>Targed</w:t>
            </w:r>
            <w:proofErr w:type="spellEnd"/>
            <w:r w:rsidRPr="002C7293">
              <w:t>/target</w:t>
            </w:r>
          </w:p>
        </w:tc>
        <w:tc>
          <w:tcPr>
            <w:tcW w:w="3495" w:type="dxa"/>
            <w:tcBorders>
              <w:top w:val="single" w:sz="8" w:space="0" w:color="000000"/>
              <w:bottom w:val="single" w:sz="8" w:space="0" w:color="000000"/>
              <w:right w:val="single" w:sz="8" w:space="0" w:color="000000"/>
            </w:tcBorders>
            <w:tcMar>
              <w:top w:w="0" w:type="dxa"/>
              <w:left w:w="100" w:type="dxa"/>
              <w:bottom w:w="0" w:type="dxa"/>
              <w:right w:w="100" w:type="dxa"/>
            </w:tcMar>
          </w:tcPr>
          <w:p w14:paraId="133C9D2D" w14:textId="77777777" w:rsidR="00A36A08" w:rsidRPr="002C7293" w:rsidRDefault="00A36A08" w:rsidP="005E312C">
            <w:pPr>
              <w:jc w:val="center"/>
              <w:rPr>
                <w:color w:val="222222"/>
                <w:shd w:val="clear" w:color="auto" w:fill="F8F9FA"/>
              </w:rPr>
            </w:pPr>
            <w:proofErr w:type="spellStart"/>
            <w:r w:rsidRPr="002C7293">
              <w:rPr>
                <w:color w:val="222222"/>
                <w:shd w:val="clear" w:color="auto" w:fill="F8F9FA"/>
              </w:rPr>
              <w:t>Yr</w:t>
            </w:r>
            <w:proofErr w:type="spellEnd"/>
            <w:r w:rsidRPr="002C7293">
              <w:rPr>
                <w:color w:val="222222"/>
                <w:shd w:val="clear" w:color="auto" w:fill="F8F9FA"/>
              </w:rPr>
              <w:t xml:space="preserve"> </w:t>
            </w:r>
            <w:proofErr w:type="spellStart"/>
            <w:r w:rsidRPr="002C7293">
              <w:rPr>
                <w:color w:val="222222"/>
                <w:shd w:val="clear" w:color="auto" w:fill="F8F9FA"/>
              </w:rPr>
              <w:t>hyn</w:t>
            </w:r>
            <w:proofErr w:type="spellEnd"/>
            <w:r w:rsidRPr="002C7293">
              <w:rPr>
                <w:color w:val="222222"/>
                <w:shd w:val="clear" w:color="auto" w:fill="F8F9FA"/>
              </w:rPr>
              <w:t xml:space="preserve"> </w:t>
            </w:r>
            <w:proofErr w:type="spellStart"/>
            <w:r w:rsidRPr="002C7293">
              <w:rPr>
                <w:color w:val="222222"/>
                <w:shd w:val="clear" w:color="auto" w:fill="F8F9FA"/>
              </w:rPr>
              <w:t>yr</w:t>
            </w:r>
            <w:proofErr w:type="spellEnd"/>
            <w:r w:rsidRPr="002C7293">
              <w:rPr>
                <w:color w:val="222222"/>
                <w:shd w:val="clear" w:color="auto" w:fill="F8F9FA"/>
              </w:rPr>
              <w:t xml:space="preserve"> </w:t>
            </w:r>
            <w:proofErr w:type="spellStart"/>
            <w:r w:rsidRPr="002C7293">
              <w:rPr>
                <w:color w:val="222222"/>
                <w:shd w:val="clear" w:color="auto" w:fill="F8F9FA"/>
              </w:rPr>
              <w:t>wyf</w:t>
            </w:r>
            <w:proofErr w:type="spellEnd"/>
            <w:r w:rsidRPr="002C7293">
              <w:rPr>
                <w:color w:val="222222"/>
                <w:shd w:val="clear" w:color="auto" w:fill="F8F9FA"/>
              </w:rPr>
              <w:t xml:space="preserve"> </w:t>
            </w:r>
            <w:proofErr w:type="spellStart"/>
            <w:r w:rsidRPr="002C7293">
              <w:rPr>
                <w:color w:val="222222"/>
                <w:shd w:val="clear" w:color="auto" w:fill="F8F9FA"/>
              </w:rPr>
              <w:t>wedi'i</w:t>
            </w:r>
            <w:proofErr w:type="spellEnd"/>
            <w:r w:rsidRPr="002C7293">
              <w:rPr>
                <w:color w:val="222222"/>
                <w:shd w:val="clear" w:color="auto" w:fill="F8F9FA"/>
              </w:rPr>
              <w:t xml:space="preserve"> </w:t>
            </w:r>
            <w:proofErr w:type="spellStart"/>
            <w:r w:rsidRPr="002C7293">
              <w:rPr>
                <w:color w:val="222222"/>
                <w:shd w:val="clear" w:color="auto" w:fill="F8F9FA"/>
              </w:rPr>
              <w:t>wneud</w:t>
            </w:r>
            <w:proofErr w:type="spellEnd"/>
            <w:r w:rsidRPr="002C7293">
              <w:rPr>
                <w:color w:val="222222"/>
                <w:shd w:val="clear" w:color="auto" w:fill="F8F9FA"/>
              </w:rPr>
              <w:t xml:space="preserve"> </w:t>
            </w:r>
            <w:proofErr w:type="spellStart"/>
            <w:r w:rsidRPr="002C7293">
              <w:rPr>
                <w:color w:val="222222"/>
                <w:shd w:val="clear" w:color="auto" w:fill="F8F9FA"/>
              </w:rPr>
              <w:t>yn</w:t>
            </w:r>
            <w:proofErr w:type="spellEnd"/>
            <w:r w:rsidRPr="002C7293">
              <w:rPr>
                <w:color w:val="222222"/>
                <w:shd w:val="clear" w:color="auto" w:fill="F8F9FA"/>
              </w:rPr>
              <w:t xml:space="preserve"> </w:t>
            </w:r>
            <w:proofErr w:type="spellStart"/>
            <w:r w:rsidRPr="002C7293">
              <w:rPr>
                <w:color w:val="222222"/>
                <w:shd w:val="clear" w:color="auto" w:fill="F8F9FA"/>
              </w:rPr>
              <w:t>yr</w:t>
            </w:r>
            <w:proofErr w:type="spellEnd"/>
            <w:r w:rsidRPr="002C7293">
              <w:rPr>
                <w:color w:val="222222"/>
                <w:shd w:val="clear" w:color="auto" w:fill="F8F9FA"/>
              </w:rPr>
              <w:t xml:space="preserve"> </w:t>
            </w:r>
            <w:proofErr w:type="spellStart"/>
            <w:r w:rsidRPr="002C7293">
              <w:rPr>
                <w:color w:val="222222"/>
                <w:shd w:val="clear" w:color="auto" w:fill="F8F9FA"/>
              </w:rPr>
              <w:t>aseiniad</w:t>
            </w:r>
            <w:proofErr w:type="spellEnd"/>
            <w:r w:rsidRPr="002C7293">
              <w:rPr>
                <w:color w:val="222222"/>
                <w:shd w:val="clear" w:color="auto" w:fill="F8F9FA"/>
              </w:rPr>
              <w:t xml:space="preserve"> </w:t>
            </w:r>
            <w:proofErr w:type="spellStart"/>
            <w:r w:rsidRPr="002C7293">
              <w:rPr>
                <w:color w:val="222222"/>
                <w:shd w:val="clear" w:color="auto" w:fill="F8F9FA"/>
              </w:rPr>
              <w:t>hwn</w:t>
            </w:r>
            <w:proofErr w:type="spellEnd"/>
          </w:p>
          <w:p w14:paraId="176692E1" w14:textId="77777777" w:rsidR="00A36A08" w:rsidRPr="002C7293" w:rsidRDefault="00A36A08" w:rsidP="005E312C">
            <w:pPr>
              <w:jc w:val="center"/>
            </w:pPr>
            <w:r w:rsidRPr="002C7293">
              <w:t>What I have done in this assignment...</w:t>
            </w:r>
          </w:p>
          <w:p w14:paraId="551D78CF" w14:textId="77777777" w:rsidR="00A36A08" w:rsidRPr="002C7293" w:rsidRDefault="00A36A08" w:rsidP="005E312C">
            <w:pPr>
              <w:spacing w:line="360" w:lineRule="auto"/>
              <w:jc w:val="center"/>
            </w:pPr>
            <w:r w:rsidRPr="002C7293">
              <w:t xml:space="preserve"> </w:t>
            </w:r>
          </w:p>
        </w:tc>
      </w:tr>
      <w:tr w:rsidR="00A36A08" w:rsidRPr="002C7293" w14:paraId="38673208" w14:textId="77777777" w:rsidTr="005E312C">
        <w:trPr>
          <w:trHeight w:val="345"/>
        </w:trPr>
        <w:tc>
          <w:tcPr>
            <w:tcW w:w="1890" w:type="dxa"/>
            <w:tcBorders>
              <w:left w:val="single" w:sz="8" w:space="0" w:color="000000"/>
              <w:bottom w:val="single" w:sz="8" w:space="0" w:color="000000"/>
              <w:right w:val="single" w:sz="8" w:space="0" w:color="000000"/>
            </w:tcBorders>
            <w:tcMar>
              <w:top w:w="0" w:type="dxa"/>
              <w:left w:w="100" w:type="dxa"/>
              <w:bottom w:w="0" w:type="dxa"/>
              <w:right w:w="100" w:type="dxa"/>
            </w:tcMar>
          </w:tcPr>
          <w:p w14:paraId="1DBC0AD0" w14:textId="77777777" w:rsidR="00A36A08" w:rsidRPr="002C7293" w:rsidRDefault="00A36A08" w:rsidP="005E312C">
            <w:pPr>
              <w:spacing w:line="360" w:lineRule="auto"/>
              <w:jc w:val="center"/>
            </w:pPr>
            <w:proofErr w:type="spellStart"/>
            <w:r w:rsidRPr="002C7293">
              <w:t>Targed</w:t>
            </w:r>
            <w:proofErr w:type="spellEnd"/>
            <w:r w:rsidRPr="002C7293">
              <w:t>/Target 1</w:t>
            </w:r>
          </w:p>
        </w:tc>
        <w:tc>
          <w:tcPr>
            <w:tcW w:w="3495" w:type="dxa"/>
            <w:tcBorders>
              <w:bottom w:val="single" w:sz="8" w:space="0" w:color="000000"/>
              <w:right w:val="single" w:sz="8" w:space="0" w:color="000000"/>
            </w:tcBorders>
            <w:tcMar>
              <w:top w:w="0" w:type="dxa"/>
              <w:left w:w="100" w:type="dxa"/>
              <w:bottom w:w="0" w:type="dxa"/>
              <w:right w:w="100" w:type="dxa"/>
            </w:tcMar>
          </w:tcPr>
          <w:p w14:paraId="51F78768" w14:textId="070AC60E" w:rsidR="00A36A08" w:rsidRPr="002C7293" w:rsidRDefault="00A36A08" w:rsidP="005E312C">
            <w:pPr>
              <w:spacing w:line="360" w:lineRule="auto"/>
              <w:jc w:val="center"/>
            </w:pPr>
            <w:r>
              <w:rPr>
                <w:rFonts w:ascii="Roboto" w:hAnsi="Roboto"/>
                <w:color w:val="283041"/>
                <w:sz w:val="21"/>
                <w:szCs w:val="21"/>
                <w:shd w:val="clear" w:color="auto" w:fill="FFFFFF"/>
              </w:rPr>
              <w:t>Try to make explicit links to the Professional Standards when reflecting upon the impact on your own professional development.</w:t>
            </w:r>
          </w:p>
        </w:tc>
        <w:tc>
          <w:tcPr>
            <w:tcW w:w="3495" w:type="dxa"/>
            <w:tcBorders>
              <w:bottom w:val="single" w:sz="8" w:space="0" w:color="000000"/>
              <w:right w:val="single" w:sz="8" w:space="0" w:color="000000"/>
            </w:tcBorders>
            <w:tcMar>
              <w:top w:w="0" w:type="dxa"/>
              <w:left w:w="100" w:type="dxa"/>
              <w:bottom w:w="0" w:type="dxa"/>
              <w:right w:w="100" w:type="dxa"/>
            </w:tcMar>
          </w:tcPr>
          <w:p w14:paraId="01446870" w14:textId="34C1C134" w:rsidR="00A36A08" w:rsidRPr="002C7293" w:rsidRDefault="00A36A08" w:rsidP="00CC286A">
            <w:pPr>
              <w:spacing w:line="360" w:lineRule="auto"/>
              <w:jc w:val="center"/>
            </w:pPr>
            <w:r w:rsidRPr="002C7293">
              <w:t xml:space="preserve"> </w:t>
            </w:r>
            <w:r w:rsidR="00CC286A">
              <w:t>I have made relevant links towards the Professional Standards when necessary and how the research aligns with them.</w:t>
            </w:r>
          </w:p>
        </w:tc>
      </w:tr>
      <w:tr w:rsidR="00A36A08" w:rsidRPr="002C7293" w14:paraId="67598CF6" w14:textId="77777777" w:rsidTr="005E312C">
        <w:trPr>
          <w:trHeight w:val="345"/>
        </w:trPr>
        <w:tc>
          <w:tcPr>
            <w:tcW w:w="1890" w:type="dxa"/>
            <w:tcBorders>
              <w:left w:val="single" w:sz="8" w:space="0" w:color="000000"/>
              <w:bottom w:val="single" w:sz="8" w:space="0" w:color="000000"/>
              <w:right w:val="single" w:sz="8" w:space="0" w:color="000000"/>
            </w:tcBorders>
            <w:tcMar>
              <w:top w:w="0" w:type="dxa"/>
              <w:left w:w="100" w:type="dxa"/>
              <w:bottom w:w="0" w:type="dxa"/>
              <w:right w:w="100" w:type="dxa"/>
            </w:tcMar>
          </w:tcPr>
          <w:p w14:paraId="69F7303A" w14:textId="77777777" w:rsidR="00A36A08" w:rsidRPr="002C7293" w:rsidRDefault="00A36A08" w:rsidP="005E312C">
            <w:pPr>
              <w:spacing w:line="360" w:lineRule="auto"/>
              <w:jc w:val="center"/>
            </w:pPr>
            <w:proofErr w:type="spellStart"/>
            <w:r w:rsidRPr="002C7293">
              <w:t>Targed</w:t>
            </w:r>
            <w:proofErr w:type="spellEnd"/>
            <w:r w:rsidRPr="002C7293">
              <w:t>/Target 2</w:t>
            </w:r>
          </w:p>
        </w:tc>
        <w:tc>
          <w:tcPr>
            <w:tcW w:w="3495" w:type="dxa"/>
            <w:tcBorders>
              <w:bottom w:val="single" w:sz="8" w:space="0" w:color="000000"/>
              <w:right w:val="single" w:sz="8" w:space="0" w:color="000000"/>
            </w:tcBorders>
            <w:tcMar>
              <w:top w:w="0" w:type="dxa"/>
              <w:left w:w="100" w:type="dxa"/>
              <w:bottom w:w="0" w:type="dxa"/>
              <w:right w:w="100" w:type="dxa"/>
            </w:tcMar>
          </w:tcPr>
          <w:p w14:paraId="4B0205C6" w14:textId="616FE10D" w:rsidR="00A36A08" w:rsidRPr="002C7293" w:rsidRDefault="00A36A08" w:rsidP="005E312C">
            <w:pPr>
              <w:spacing w:line="360" w:lineRule="auto"/>
              <w:jc w:val="center"/>
            </w:pPr>
            <w:r w:rsidRPr="002C7293">
              <w:t xml:space="preserve"> </w:t>
            </w:r>
            <w:r>
              <w:rPr>
                <w:rFonts w:ascii="Roboto" w:hAnsi="Roboto"/>
                <w:color w:val="283041"/>
                <w:sz w:val="21"/>
                <w:szCs w:val="21"/>
                <w:shd w:val="clear" w:color="auto" w:fill="FFFFFF"/>
              </w:rPr>
              <w:t>Continue to include criticality and offer solutions to negate it.</w:t>
            </w:r>
          </w:p>
        </w:tc>
        <w:tc>
          <w:tcPr>
            <w:tcW w:w="3495" w:type="dxa"/>
            <w:tcBorders>
              <w:bottom w:val="single" w:sz="8" w:space="0" w:color="000000"/>
              <w:right w:val="single" w:sz="8" w:space="0" w:color="000000"/>
            </w:tcBorders>
            <w:tcMar>
              <w:top w:w="0" w:type="dxa"/>
              <w:left w:w="100" w:type="dxa"/>
              <w:bottom w:w="0" w:type="dxa"/>
              <w:right w:w="100" w:type="dxa"/>
            </w:tcMar>
          </w:tcPr>
          <w:p w14:paraId="27A45B91" w14:textId="57755830" w:rsidR="00A36A08" w:rsidRPr="002C7293" w:rsidRDefault="00A36A08" w:rsidP="005E312C">
            <w:pPr>
              <w:spacing w:line="360" w:lineRule="auto"/>
              <w:jc w:val="center"/>
            </w:pPr>
            <w:r>
              <w:t>Throughout my review I used sources to remain critical of suggestions made by literature as well as being critical towards own study.</w:t>
            </w:r>
            <w:r w:rsidRPr="002C7293">
              <w:t xml:space="preserve"> </w:t>
            </w:r>
          </w:p>
        </w:tc>
      </w:tr>
      <w:tr w:rsidR="00A36A08" w:rsidRPr="002C7293" w14:paraId="58AFAF65" w14:textId="77777777" w:rsidTr="005E312C">
        <w:trPr>
          <w:trHeight w:val="345"/>
        </w:trPr>
        <w:tc>
          <w:tcPr>
            <w:tcW w:w="1890" w:type="dxa"/>
            <w:tcBorders>
              <w:left w:val="single" w:sz="8" w:space="0" w:color="000000"/>
              <w:bottom w:val="single" w:sz="8" w:space="0" w:color="000000"/>
              <w:right w:val="single" w:sz="8" w:space="0" w:color="000000"/>
            </w:tcBorders>
            <w:tcMar>
              <w:top w:w="0" w:type="dxa"/>
              <w:left w:w="100" w:type="dxa"/>
              <w:bottom w:w="0" w:type="dxa"/>
              <w:right w:w="100" w:type="dxa"/>
            </w:tcMar>
          </w:tcPr>
          <w:p w14:paraId="7181978D" w14:textId="77777777" w:rsidR="00A36A08" w:rsidRPr="002C7293" w:rsidRDefault="00A36A08" w:rsidP="005E312C">
            <w:pPr>
              <w:spacing w:line="360" w:lineRule="auto"/>
              <w:jc w:val="center"/>
            </w:pPr>
            <w:proofErr w:type="spellStart"/>
            <w:r w:rsidRPr="002C7293">
              <w:t>Targed</w:t>
            </w:r>
            <w:proofErr w:type="spellEnd"/>
            <w:r w:rsidRPr="002C7293">
              <w:t>/Target 3</w:t>
            </w:r>
          </w:p>
        </w:tc>
        <w:tc>
          <w:tcPr>
            <w:tcW w:w="3495" w:type="dxa"/>
            <w:tcBorders>
              <w:bottom w:val="single" w:sz="8" w:space="0" w:color="000000"/>
              <w:right w:val="single" w:sz="8" w:space="0" w:color="000000"/>
            </w:tcBorders>
            <w:tcMar>
              <w:top w:w="0" w:type="dxa"/>
              <w:left w:w="100" w:type="dxa"/>
              <w:bottom w:w="0" w:type="dxa"/>
              <w:right w:w="100" w:type="dxa"/>
            </w:tcMar>
          </w:tcPr>
          <w:p w14:paraId="139FE26E" w14:textId="77777777" w:rsidR="00A36A08" w:rsidRPr="002C7293" w:rsidRDefault="00A36A08" w:rsidP="005E312C">
            <w:pPr>
              <w:spacing w:line="360" w:lineRule="auto"/>
              <w:jc w:val="center"/>
            </w:pPr>
            <w:r w:rsidRPr="002C7293">
              <w:t xml:space="preserve"> n/a</w:t>
            </w:r>
          </w:p>
        </w:tc>
        <w:tc>
          <w:tcPr>
            <w:tcW w:w="3495" w:type="dxa"/>
            <w:tcBorders>
              <w:bottom w:val="single" w:sz="8" w:space="0" w:color="000000"/>
              <w:right w:val="single" w:sz="8" w:space="0" w:color="000000"/>
            </w:tcBorders>
            <w:tcMar>
              <w:top w:w="0" w:type="dxa"/>
              <w:left w:w="100" w:type="dxa"/>
              <w:bottom w:w="0" w:type="dxa"/>
              <w:right w:w="100" w:type="dxa"/>
            </w:tcMar>
          </w:tcPr>
          <w:p w14:paraId="77BE4024" w14:textId="77777777" w:rsidR="00A36A08" w:rsidRPr="002C7293" w:rsidRDefault="00A36A08" w:rsidP="005E312C">
            <w:pPr>
              <w:spacing w:line="360" w:lineRule="auto"/>
              <w:jc w:val="center"/>
            </w:pPr>
            <w:r w:rsidRPr="002C7293">
              <w:t xml:space="preserve"> </w:t>
            </w:r>
          </w:p>
        </w:tc>
      </w:tr>
    </w:tbl>
    <w:p w14:paraId="26C11E5D" w14:textId="77777777" w:rsidR="00A36A08" w:rsidRDefault="00A36A08" w:rsidP="00A36A08">
      <w:pPr>
        <w:rPr>
          <w:rFonts w:ascii="Calibri" w:eastAsia="Calibri" w:hAnsi="Calibri" w:cs="Calibri"/>
          <w:color w:val="0D0D0D"/>
          <w:sz w:val="28"/>
          <w:szCs w:val="28"/>
          <w:highlight w:val="white"/>
          <w:u w:val="single"/>
        </w:rPr>
      </w:pPr>
    </w:p>
    <w:p w14:paraId="4C8E4C0F" w14:textId="77777777" w:rsidR="00A36A08" w:rsidRDefault="00A36A08" w:rsidP="00A36A08">
      <w:pPr>
        <w:rPr>
          <w:rFonts w:ascii="Calibri" w:eastAsia="Calibri" w:hAnsi="Calibri" w:cs="Calibri"/>
          <w:color w:val="0D0D0D"/>
          <w:sz w:val="28"/>
          <w:szCs w:val="28"/>
          <w:highlight w:val="white"/>
          <w:u w:val="single"/>
        </w:rPr>
      </w:pPr>
    </w:p>
    <w:p w14:paraId="00000001" w14:textId="59B69566" w:rsidR="00AE4295" w:rsidRPr="00A36A08" w:rsidRDefault="00000000">
      <w:pPr>
        <w:jc w:val="center"/>
        <w:rPr>
          <w:rFonts w:ascii="Calibri" w:eastAsia="Calibri" w:hAnsi="Calibri" w:cs="Calibri"/>
          <w:b/>
          <w:bCs/>
          <w:color w:val="0D0D0D"/>
          <w:sz w:val="36"/>
          <w:szCs w:val="36"/>
          <w:highlight w:val="white"/>
          <w:u w:val="single"/>
        </w:rPr>
      </w:pPr>
      <w:r w:rsidRPr="00A36A08">
        <w:rPr>
          <w:rFonts w:ascii="Calibri" w:eastAsia="Calibri" w:hAnsi="Calibri" w:cs="Calibri"/>
          <w:b/>
          <w:bCs/>
          <w:color w:val="0D0D0D"/>
          <w:sz w:val="36"/>
          <w:szCs w:val="36"/>
          <w:highlight w:val="white"/>
          <w:u w:val="single"/>
        </w:rPr>
        <w:t>ECAD7004</w:t>
      </w:r>
    </w:p>
    <w:p w14:paraId="00000002" w14:textId="77777777" w:rsidR="00AE4295" w:rsidRPr="00A36A08" w:rsidRDefault="00000000">
      <w:pPr>
        <w:jc w:val="center"/>
        <w:rPr>
          <w:rFonts w:ascii="Calibri" w:eastAsia="Calibri" w:hAnsi="Calibri" w:cs="Calibri"/>
          <w:b/>
          <w:bCs/>
          <w:color w:val="0D0D0D"/>
          <w:sz w:val="36"/>
          <w:szCs w:val="36"/>
          <w:highlight w:val="white"/>
          <w:u w:val="single"/>
        </w:rPr>
      </w:pPr>
      <w:r w:rsidRPr="00A36A08">
        <w:rPr>
          <w:rFonts w:ascii="Calibri" w:eastAsia="Calibri" w:hAnsi="Calibri" w:cs="Calibri"/>
          <w:b/>
          <w:bCs/>
          <w:color w:val="0D0D0D"/>
          <w:sz w:val="36"/>
          <w:szCs w:val="36"/>
          <w:highlight w:val="white"/>
          <w:u w:val="single"/>
        </w:rPr>
        <w:t>How effective can the use of differentiated teaching strategies aid literacy attainment towards multilingual pupils?</w:t>
      </w:r>
    </w:p>
    <w:p w14:paraId="372BBDE2" w14:textId="77777777" w:rsidR="00A36A08" w:rsidRPr="00A36A08" w:rsidRDefault="00A36A08">
      <w:pPr>
        <w:jc w:val="center"/>
        <w:rPr>
          <w:rFonts w:ascii="Calibri" w:eastAsia="Calibri" w:hAnsi="Calibri" w:cs="Calibri"/>
          <w:b/>
          <w:bCs/>
          <w:color w:val="0D0D0D"/>
          <w:sz w:val="36"/>
          <w:szCs w:val="36"/>
          <w:highlight w:val="white"/>
          <w:u w:val="single"/>
        </w:rPr>
      </w:pPr>
    </w:p>
    <w:p w14:paraId="063748A1" w14:textId="6845D14C" w:rsidR="00A36A08" w:rsidRPr="00A36A08" w:rsidRDefault="00A36A08">
      <w:pPr>
        <w:jc w:val="center"/>
        <w:rPr>
          <w:rFonts w:ascii="Calibri" w:eastAsia="Calibri" w:hAnsi="Calibri" w:cs="Calibri"/>
          <w:b/>
          <w:bCs/>
          <w:color w:val="0D0D0D"/>
          <w:sz w:val="36"/>
          <w:szCs w:val="36"/>
          <w:highlight w:val="white"/>
          <w:u w:val="single"/>
        </w:rPr>
      </w:pPr>
      <w:r w:rsidRPr="00A36A08">
        <w:rPr>
          <w:rFonts w:ascii="Calibri" w:eastAsia="Calibri" w:hAnsi="Calibri" w:cs="Calibri"/>
          <w:b/>
          <w:bCs/>
          <w:color w:val="0D0D0D"/>
          <w:sz w:val="36"/>
          <w:szCs w:val="36"/>
          <w:highlight w:val="white"/>
          <w:u w:val="single"/>
        </w:rPr>
        <w:t>Word count: 4</w:t>
      </w:r>
      <w:r w:rsidR="00CC286A">
        <w:rPr>
          <w:rFonts w:ascii="Calibri" w:eastAsia="Calibri" w:hAnsi="Calibri" w:cs="Calibri"/>
          <w:b/>
          <w:bCs/>
          <w:color w:val="0D0D0D"/>
          <w:sz w:val="36"/>
          <w:szCs w:val="36"/>
          <w:highlight w:val="white"/>
          <w:u w:val="single"/>
        </w:rPr>
        <w:t>610</w:t>
      </w:r>
    </w:p>
    <w:p w14:paraId="00000003" w14:textId="77777777" w:rsidR="00AE4295" w:rsidRDefault="00AE4295">
      <w:pPr>
        <w:rPr>
          <w:rFonts w:ascii="Roboto" w:eastAsia="Roboto" w:hAnsi="Roboto" w:cs="Roboto"/>
          <w:color w:val="0D0D0D"/>
          <w:sz w:val="24"/>
          <w:szCs w:val="24"/>
          <w:highlight w:val="white"/>
        </w:rPr>
      </w:pPr>
    </w:p>
    <w:p w14:paraId="00000005" w14:textId="34DC09CB" w:rsidR="00AE4295" w:rsidRPr="002838F2" w:rsidRDefault="00000000" w:rsidP="002838F2">
      <w:pPr>
        <w:spacing w:before="240" w:after="240" w:line="360" w:lineRule="auto"/>
        <w:rPr>
          <w:rFonts w:asciiTheme="majorHAnsi" w:eastAsia="Calibri" w:hAnsiTheme="majorHAnsi" w:cstheme="majorHAnsi"/>
          <w:color w:val="0D0D0D"/>
          <w:sz w:val="24"/>
          <w:szCs w:val="24"/>
          <w:highlight w:val="white"/>
        </w:rPr>
      </w:pPr>
      <w:r w:rsidRPr="002838F2">
        <w:rPr>
          <w:rFonts w:asciiTheme="majorHAnsi" w:eastAsia="Calibri" w:hAnsiTheme="majorHAnsi" w:cstheme="majorHAnsi"/>
          <w:color w:val="0D0D0D"/>
          <w:sz w:val="24"/>
          <w:szCs w:val="24"/>
          <w:highlight w:val="white"/>
        </w:rPr>
        <w:t xml:space="preserve">The purpose of this research is to investigate the effectiveness of differentiated teaching strategies in aiding literacy attainment amongst multilingual pupils within a Year 2 classroom. The main issue to be addressed is how differentiating the learning can benefit </w:t>
      </w:r>
      <w:r w:rsidR="0005530D" w:rsidRPr="002838F2">
        <w:rPr>
          <w:rFonts w:asciiTheme="majorHAnsi" w:eastAsia="Calibri" w:hAnsiTheme="majorHAnsi" w:cstheme="majorHAnsi"/>
          <w:color w:val="0D0D0D"/>
          <w:sz w:val="24"/>
          <w:szCs w:val="24"/>
          <w:highlight w:val="white"/>
        </w:rPr>
        <w:t>multilingual</w:t>
      </w:r>
      <w:r w:rsidRPr="002838F2">
        <w:rPr>
          <w:rFonts w:asciiTheme="majorHAnsi" w:eastAsia="Calibri" w:hAnsiTheme="majorHAnsi" w:cstheme="majorHAnsi"/>
          <w:color w:val="0D0D0D"/>
          <w:sz w:val="24"/>
          <w:szCs w:val="24"/>
          <w:highlight w:val="white"/>
        </w:rPr>
        <w:t xml:space="preserve"> students when it comes to taking on another language </w:t>
      </w:r>
      <w:r w:rsidR="0005530D" w:rsidRPr="002838F2">
        <w:rPr>
          <w:rFonts w:asciiTheme="majorHAnsi" w:eastAsia="Calibri" w:hAnsiTheme="majorHAnsi" w:cstheme="majorHAnsi"/>
          <w:color w:val="0D0D0D"/>
          <w:sz w:val="24"/>
          <w:szCs w:val="24"/>
          <w:highlight w:val="white"/>
        </w:rPr>
        <w:t>regarding</w:t>
      </w:r>
      <w:r w:rsidRPr="002838F2">
        <w:rPr>
          <w:rFonts w:asciiTheme="majorHAnsi" w:eastAsia="Calibri" w:hAnsiTheme="majorHAnsi" w:cstheme="majorHAnsi"/>
          <w:color w:val="0D0D0D"/>
          <w:sz w:val="24"/>
          <w:szCs w:val="24"/>
          <w:highlight w:val="white"/>
        </w:rPr>
        <w:t xml:space="preserve"> their literacy. The interest of this topic is through the high percentage of multilingual speakers within the school as a whole and the classroom and how to enhance upon their success academically, fostering an inclusive </w:t>
      </w:r>
      <w:r w:rsidRPr="002838F2">
        <w:rPr>
          <w:rFonts w:asciiTheme="majorHAnsi" w:eastAsia="Calibri" w:hAnsiTheme="majorHAnsi" w:cstheme="majorHAnsi"/>
          <w:color w:val="0D0D0D"/>
          <w:sz w:val="24"/>
          <w:szCs w:val="24"/>
          <w:highlight w:val="white"/>
        </w:rPr>
        <w:lastRenderedPageBreak/>
        <w:t>learning environment as well as how much of an impact learning another language may have upon their wellbeing.</w:t>
      </w:r>
    </w:p>
    <w:p w14:paraId="00000006" w14:textId="1634FE71"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 xml:space="preserve">The research links towards my Professional Learning Passport (PLP) as it emphasizes the importance of an evidence-based teaching practice </w:t>
      </w:r>
      <w:r w:rsidR="0005530D" w:rsidRPr="002838F2">
        <w:rPr>
          <w:rFonts w:asciiTheme="majorHAnsi" w:eastAsia="Calibri" w:hAnsiTheme="majorHAnsi" w:cstheme="majorHAnsi"/>
          <w:color w:val="0D0D0D"/>
          <w:sz w:val="24"/>
          <w:szCs w:val="24"/>
        </w:rPr>
        <w:t>to</w:t>
      </w:r>
      <w:r w:rsidRPr="002838F2">
        <w:rPr>
          <w:rFonts w:asciiTheme="majorHAnsi" w:eastAsia="Calibri" w:hAnsiTheme="majorHAnsi" w:cstheme="majorHAnsi"/>
          <w:color w:val="0D0D0D"/>
          <w:sz w:val="24"/>
          <w:szCs w:val="24"/>
        </w:rPr>
        <w:t xml:space="preserve"> help support learners from multilingual backgrounds. Reviewing different teaching strategies links towards my own personal professional development goals of ensuring of an equitable learning environment for my pupils.</w:t>
      </w:r>
      <w:r w:rsidR="000F4E4A" w:rsidRPr="002838F2">
        <w:rPr>
          <w:rFonts w:asciiTheme="majorHAnsi" w:eastAsia="Calibri" w:hAnsiTheme="majorHAnsi" w:cstheme="majorHAnsi"/>
          <w:color w:val="0D0D0D"/>
          <w:sz w:val="24"/>
          <w:szCs w:val="24"/>
        </w:rPr>
        <w:t xml:space="preserve"> It also allows relevance towards the Professional Standards of Wales (Welsh Government, 2017), emphasising the importance of evidence-based teaching practices and an inclusive learning environment.</w:t>
      </w:r>
    </w:p>
    <w:p w14:paraId="00000007" w14:textId="77777777" w:rsidR="00AE4295" w:rsidRPr="002838F2" w:rsidRDefault="00000000" w:rsidP="002838F2">
      <w:pPr>
        <w:spacing w:after="16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The school in which the research is taking place is of a highly diverse nature. They welcome pupils from wide range of countries hosting 43 different languages in the school. They make large efforts to celebrate diversity in ways that can bring families together within their community. A motto of the school includes providing ‘Equity’, linking that with excellent teaching standards linking towards this research. In the class alone, there is a high percentage of multilingual speakers, that being 93.1% in a class of 29 (all but 2 pupils).</w:t>
      </w:r>
    </w:p>
    <w:p w14:paraId="00000008" w14:textId="77777777" w:rsidR="00AE4295" w:rsidRPr="002838F2" w:rsidRDefault="00000000" w:rsidP="002838F2">
      <w:pPr>
        <w:spacing w:after="160" w:line="360" w:lineRule="auto"/>
        <w:rPr>
          <w:rFonts w:asciiTheme="majorHAnsi" w:eastAsia="Calibri" w:hAnsiTheme="majorHAnsi" w:cstheme="majorHAnsi"/>
          <w:color w:val="0D0D0D"/>
          <w:sz w:val="24"/>
          <w:szCs w:val="24"/>
          <w:highlight w:val="white"/>
        </w:rPr>
      </w:pPr>
      <w:r w:rsidRPr="002838F2">
        <w:rPr>
          <w:rFonts w:asciiTheme="majorHAnsi" w:eastAsia="Calibri" w:hAnsiTheme="majorHAnsi" w:cstheme="majorHAnsi"/>
          <w:color w:val="0D0D0D"/>
          <w:sz w:val="24"/>
          <w:szCs w:val="24"/>
        </w:rPr>
        <w:t>The research question that is directing this study is: “</w:t>
      </w:r>
      <w:r w:rsidRPr="002838F2">
        <w:rPr>
          <w:rFonts w:asciiTheme="majorHAnsi" w:eastAsia="Calibri" w:hAnsiTheme="majorHAnsi" w:cstheme="majorHAnsi"/>
          <w:color w:val="0D0D0D"/>
          <w:sz w:val="24"/>
          <w:szCs w:val="24"/>
          <w:highlight w:val="white"/>
        </w:rPr>
        <w:t>How effective can the use of differentiated teaching strategies aid literacy attainment towards multilingual pupils?”.</w:t>
      </w:r>
    </w:p>
    <w:p w14:paraId="0000000A" w14:textId="026EBAAE" w:rsidR="00AE4295" w:rsidRPr="002838F2" w:rsidRDefault="00000000" w:rsidP="002838F2">
      <w:pPr>
        <w:spacing w:after="160" w:line="360" w:lineRule="auto"/>
        <w:rPr>
          <w:rFonts w:asciiTheme="majorHAnsi" w:eastAsia="Calibri" w:hAnsiTheme="majorHAnsi" w:cstheme="majorHAnsi"/>
          <w:b/>
          <w:color w:val="0D0D0D"/>
          <w:sz w:val="24"/>
          <w:szCs w:val="24"/>
          <w:shd w:val="clear" w:color="auto" w:fill="9FC5E8"/>
        </w:rPr>
      </w:pPr>
      <w:r w:rsidRPr="002838F2">
        <w:rPr>
          <w:rFonts w:asciiTheme="majorHAnsi" w:eastAsia="Calibri" w:hAnsiTheme="majorHAnsi" w:cstheme="majorHAnsi"/>
          <w:color w:val="0D0D0D"/>
          <w:sz w:val="24"/>
          <w:szCs w:val="24"/>
          <w:highlight w:val="white"/>
        </w:rPr>
        <w:t xml:space="preserve">The question considers the aim of the researching the impact in which differentiated learning upon literacy impacts multilingual learners in the classroom, along with how it affects their </w:t>
      </w:r>
      <w:r w:rsidR="0005530D" w:rsidRPr="002838F2">
        <w:rPr>
          <w:rFonts w:asciiTheme="majorHAnsi" w:eastAsia="Calibri" w:hAnsiTheme="majorHAnsi" w:cstheme="majorHAnsi"/>
          <w:color w:val="0D0D0D"/>
          <w:sz w:val="24"/>
          <w:szCs w:val="24"/>
          <w:highlight w:val="white"/>
        </w:rPr>
        <w:t>well-being</w:t>
      </w:r>
      <w:r w:rsidRPr="002838F2">
        <w:rPr>
          <w:rFonts w:asciiTheme="majorHAnsi" w:eastAsia="Calibri" w:hAnsiTheme="majorHAnsi" w:cstheme="majorHAnsi"/>
          <w:color w:val="0D0D0D"/>
          <w:sz w:val="24"/>
          <w:szCs w:val="24"/>
          <w:highlight w:val="white"/>
        </w:rPr>
        <w:t>.</w:t>
      </w:r>
    </w:p>
    <w:p w14:paraId="5F90A09F" w14:textId="71BD3387" w:rsidR="0005530D" w:rsidRPr="002838F2" w:rsidRDefault="0005530D" w:rsidP="002838F2">
      <w:pPr>
        <w:spacing w:before="240" w:after="240" w:line="360" w:lineRule="auto"/>
        <w:jc w:val="center"/>
        <w:rPr>
          <w:rFonts w:asciiTheme="majorHAnsi" w:eastAsia="Calibri" w:hAnsiTheme="majorHAnsi" w:cstheme="majorHAnsi"/>
          <w:color w:val="0D0D0D"/>
          <w:sz w:val="28"/>
          <w:szCs w:val="28"/>
          <w:u w:val="single"/>
        </w:rPr>
      </w:pPr>
      <w:r w:rsidRPr="002838F2">
        <w:rPr>
          <w:rFonts w:asciiTheme="majorHAnsi" w:eastAsia="Calibri" w:hAnsiTheme="majorHAnsi" w:cstheme="majorHAnsi"/>
          <w:color w:val="0D0D0D"/>
          <w:sz w:val="28"/>
          <w:szCs w:val="28"/>
          <w:u w:val="single"/>
        </w:rPr>
        <w:t>Literature Review</w:t>
      </w:r>
    </w:p>
    <w:p w14:paraId="00000011" w14:textId="1D2996F3"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With the number of pupils who are multilingual increasing, showing this with a census in 2018 outlining the percentage of pupils who have English as an Additional Language reaching a percentage of 21.1% in primary schools (</w:t>
      </w:r>
      <w:proofErr w:type="spellStart"/>
      <w:r w:rsidRPr="002838F2">
        <w:rPr>
          <w:rFonts w:asciiTheme="majorHAnsi" w:eastAsia="Calibri" w:hAnsiTheme="majorHAnsi" w:cstheme="majorHAnsi"/>
          <w:color w:val="0D0D0D"/>
          <w:sz w:val="24"/>
          <w:szCs w:val="24"/>
        </w:rPr>
        <w:t>Choudry</w:t>
      </w:r>
      <w:proofErr w:type="spellEnd"/>
      <w:r w:rsidRPr="002838F2">
        <w:rPr>
          <w:rFonts w:asciiTheme="majorHAnsi" w:eastAsia="Calibri" w:hAnsiTheme="majorHAnsi" w:cstheme="majorHAnsi"/>
          <w:color w:val="0D0D0D"/>
          <w:sz w:val="24"/>
          <w:szCs w:val="24"/>
        </w:rPr>
        <w:t xml:space="preserve">, 2021), representing how a need to create differentiation with learning activities is necessary. The obvious link here is with the environment in which the research is taking place as the school </w:t>
      </w:r>
      <w:r w:rsidR="0005530D" w:rsidRPr="002838F2">
        <w:rPr>
          <w:rFonts w:asciiTheme="majorHAnsi" w:eastAsia="Calibri" w:hAnsiTheme="majorHAnsi" w:cstheme="majorHAnsi"/>
          <w:color w:val="0D0D0D"/>
          <w:sz w:val="24"/>
          <w:szCs w:val="24"/>
        </w:rPr>
        <w:t>hosts</w:t>
      </w:r>
      <w:r w:rsidRPr="002838F2">
        <w:rPr>
          <w:rFonts w:asciiTheme="majorHAnsi" w:eastAsia="Calibri" w:hAnsiTheme="majorHAnsi" w:cstheme="majorHAnsi"/>
          <w:color w:val="0D0D0D"/>
          <w:sz w:val="24"/>
          <w:szCs w:val="24"/>
        </w:rPr>
        <w:t xml:space="preserve"> 93% of learners who have </w:t>
      </w:r>
      <w:r w:rsidRPr="002838F2">
        <w:rPr>
          <w:rFonts w:asciiTheme="majorHAnsi" w:eastAsia="Calibri" w:hAnsiTheme="majorHAnsi" w:cstheme="majorHAnsi"/>
          <w:color w:val="0D0D0D"/>
          <w:sz w:val="24"/>
          <w:szCs w:val="24"/>
        </w:rPr>
        <w:lastRenderedPageBreak/>
        <w:t>English as an Additional Language (multilingual) - similarly in the classroom 93.1% of pupils are multilingual, that being all but 2 pupils in a class of 29.</w:t>
      </w:r>
    </w:p>
    <w:p w14:paraId="00000012" w14:textId="69ECE409"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 xml:space="preserve">Milton and </w:t>
      </w:r>
      <w:proofErr w:type="spellStart"/>
      <w:r w:rsidRPr="002838F2">
        <w:rPr>
          <w:rFonts w:asciiTheme="majorHAnsi" w:eastAsia="Calibri" w:hAnsiTheme="majorHAnsi" w:cstheme="majorHAnsi"/>
          <w:color w:val="0D0D0D"/>
          <w:sz w:val="24"/>
          <w:szCs w:val="24"/>
        </w:rPr>
        <w:t>Roghani</w:t>
      </w:r>
      <w:proofErr w:type="spellEnd"/>
      <w:r w:rsidRPr="002838F2">
        <w:rPr>
          <w:rFonts w:asciiTheme="majorHAnsi" w:eastAsia="Calibri" w:hAnsiTheme="majorHAnsi" w:cstheme="majorHAnsi"/>
          <w:color w:val="0D0D0D"/>
          <w:sz w:val="24"/>
          <w:szCs w:val="24"/>
        </w:rPr>
        <w:t xml:space="preserve"> (2015, cited in Bailey and Sowden, 2021) make the point of if a multilingual pupil has a strong understanding of vocabulary, then that can lead into an easier gateway towards acquiring four key skills, that being reading, writing, </w:t>
      </w:r>
      <w:r w:rsidR="0005530D" w:rsidRPr="002838F2">
        <w:rPr>
          <w:rFonts w:asciiTheme="majorHAnsi" w:eastAsia="Calibri" w:hAnsiTheme="majorHAnsi" w:cstheme="majorHAnsi"/>
          <w:color w:val="0D0D0D"/>
          <w:sz w:val="24"/>
          <w:szCs w:val="24"/>
        </w:rPr>
        <w:t>speaking,</w:t>
      </w:r>
      <w:r w:rsidRPr="002838F2">
        <w:rPr>
          <w:rFonts w:asciiTheme="majorHAnsi" w:eastAsia="Calibri" w:hAnsiTheme="majorHAnsi" w:cstheme="majorHAnsi"/>
          <w:color w:val="0D0D0D"/>
          <w:sz w:val="24"/>
          <w:szCs w:val="24"/>
        </w:rPr>
        <w:t xml:space="preserve"> and listening. Supporting this is Smith and Murphy (2015), who outline the belief that a stable link between the use of vocabulary and reading can allow for a prediction to be made of the attainment levels in reading for a pupil by the time they reach the ages of 5 and 6. Yet, in order to have the ability to make full use of the curriculum, all these skills need to be developed (</w:t>
      </w:r>
      <w:proofErr w:type="spellStart"/>
      <w:r w:rsidRPr="002838F2">
        <w:rPr>
          <w:rFonts w:asciiTheme="majorHAnsi" w:eastAsia="Calibri" w:hAnsiTheme="majorHAnsi" w:cstheme="majorHAnsi"/>
          <w:color w:val="0D0D0D"/>
          <w:sz w:val="24"/>
          <w:szCs w:val="24"/>
        </w:rPr>
        <w:t>Demie</w:t>
      </w:r>
      <w:proofErr w:type="spellEnd"/>
      <w:r w:rsidRPr="002838F2">
        <w:rPr>
          <w:rFonts w:asciiTheme="majorHAnsi" w:eastAsia="Calibri" w:hAnsiTheme="majorHAnsi" w:cstheme="majorHAnsi"/>
          <w:color w:val="0D0D0D"/>
          <w:sz w:val="24"/>
          <w:szCs w:val="24"/>
        </w:rPr>
        <w:t>, 2018)</w:t>
      </w:r>
    </w:p>
    <w:p w14:paraId="00000013" w14:textId="5660CDC0"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However it is also important to note how this can differ in terms of the period of a pupils life in which they then require the need to start learning English as an Additional Language, as the Department of Education and Skill (2005, cited in Bailey and Sowden, 2021), understand it can take two years for multilingual pupils to gain 2,000 to 3,000 words, which is the believed amount required in order to become fluent in having conversations in said language, with that extending to seven years to get to the supposed requirements in academia (</w:t>
      </w:r>
      <w:proofErr w:type="spellStart"/>
      <w:r w:rsidRPr="002838F2">
        <w:rPr>
          <w:rFonts w:asciiTheme="majorHAnsi" w:eastAsia="Calibri" w:hAnsiTheme="majorHAnsi" w:cstheme="majorHAnsi"/>
          <w:color w:val="0D0D0D"/>
          <w:sz w:val="24"/>
          <w:szCs w:val="24"/>
        </w:rPr>
        <w:t>Demie</w:t>
      </w:r>
      <w:proofErr w:type="spellEnd"/>
      <w:r w:rsidRPr="002838F2">
        <w:rPr>
          <w:rFonts w:asciiTheme="majorHAnsi" w:eastAsia="Calibri" w:hAnsiTheme="majorHAnsi" w:cstheme="majorHAnsi"/>
          <w:color w:val="0D0D0D"/>
          <w:sz w:val="24"/>
          <w:szCs w:val="24"/>
        </w:rPr>
        <w:t xml:space="preserve">, 2013). </w:t>
      </w:r>
      <w:r w:rsidR="0005530D" w:rsidRPr="002838F2">
        <w:rPr>
          <w:rFonts w:asciiTheme="majorHAnsi" w:eastAsia="Calibri" w:hAnsiTheme="majorHAnsi" w:cstheme="majorHAnsi"/>
          <w:color w:val="0D0D0D"/>
          <w:sz w:val="24"/>
          <w:szCs w:val="24"/>
        </w:rPr>
        <w:t>However,</w:t>
      </w:r>
      <w:r w:rsidRPr="002838F2">
        <w:rPr>
          <w:rFonts w:asciiTheme="majorHAnsi" w:eastAsia="Calibri" w:hAnsiTheme="majorHAnsi" w:cstheme="majorHAnsi"/>
          <w:color w:val="0D0D0D"/>
          <w:sz w:val="24"/>
          <w:szCs w:val="24"/>
        </w:rPr>
        <w:t xml:space="preserve"> it is important to note the date of the citation of DfES being outdated with new research may have been completed to enhance upon this, also with the article in which it appears in promotes a website which no longer exists.</w:t>
      </w:r>
    </w:p>
    <w:p w14:paraId="00000014" w14:textId="653718C2"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 xml:space="preserve">A form of learning to aid learners with their vocabulary is through phonics lessons in which remaining active and consistent when it comes to providing these lessons, even at short bursts, can allow young learners to become fluent readers by the age of 7 (DfES, 2010, cited in Bailey and Sowden, 2021). </w:t>
      </w:r>
      <w:r w:rsidR="0005530D" w:rsidRPr="002838F2">
        <w:rPr>
          <w:rFonts w:asciiTheme="majorHAnsi" w:eastAsia="Calibri" w:hAnsiTheme="majorHAnsi" w:cstheme="majorHAnsi"/>
          <w:color w:val="0D0D0D"/>
          <w:sz w:val="24"/>
          <w:szCs w:val="24"/>
        </w:rPr>
        <w:t>Again,</w:t>
      </w:r>
      <w:r w:rsidRPr="002838F2">
        <w:rPr>
          <w:rFonts w:asciiTheme="majorHAnsi" w:eastAsia="Calibri" w:hAnsiTheme="majorHAnsi" w:cstheme="majorHAnsi"/>
          <w:color w:val="0D0D0D"/>
          <w:sz w:val="24"/>
          <w:szCs w:val="24"/>
        </w:rPr>
        <w:t xml:space="preserve"> the article cited through Bailey and Sowden (2021), no longer exists which would mean it to be outdated and lacking validity.</w:t>
      </w:r>
    </w:p>
    <w:p w14:paraId="00000015" w14:textId="432C9CDE"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 xml:space="preserve">Another form of learning for multilingual speakers can be </w:t>
      </w:r>
      <w:r w:rsidR="0005530D" w:rsidRPr="002838F2">
        <w:rPr>
          <w:rFonts w:asciiTheme="majorHAnsi" w:eastAsia="Calibri" w:hAnsiTheme="majorHAnsi" w:cstheme="majorHAnsi"/>
          <w:color w:val="0D0D0D"/>
          <w:sz w:val="24"/>
          <w:szCs w:val="24"/>
        </w:rPr>
        <w:t>with</w:t>
      </w:r>
      <w:r w:rsidRPr="002838F2">
        <w:rPr>
          <w:rFonts w:asciiTheme="majorHAnsi" w:eastAsia="Calibri" w:hAnsiTheme="majorHAnsi" w:cstheme="majorHAnsi"/>
          <w:color w:val="0D0D0D"/>
          <w:sz w:val="24"/>
          <w:szCs w:val="24"/>
        </w:rPr>
        <w:t xml:space="preserve"> digital texts, which links towards the inclusion of Digital Competence Framework (DCF) of the Curriculum for Wales. Including all these different forms of learning is crucial for pupils to receive a varied level of learning - keeping engagement levels high as it can also remove any perceived reliance upon linguistic </w:t>
      </w:r>
      <w:r w:rsidRPr="002838F2">
        <w:rPr>
          <w:rFonts w:asciiTheme="majorHAnsi" w:eastAsia="Calibri" w:hAnsiTheme="majorHAnsi" w:cstheme="majorHAnsi"/>
          <w:color w:val="0D0D0D"/>
          <w:sz w:val="24"/>
          <w:szCs w:val="24"/>
        </w:rPr>
        <w:lastRenderedPageBreak/>
        <w:t>learning to improve communication (Tan et al., 2020), however, Walsh (2010) underlines how despite importance of digital activities, they should not completely replace direct learning and teaching.</w:t>
      </w:r>
    </w:p>
    <w:p w14:paraId="00000016" w14:textId="5343F1FF" w:rsidR="00AE4295" w:rsidRPr="002838F2" w:rsidRDefault="00000000" w:rsidP="002838F2">
      <w:pPr>
        <w:spacing w:before="240" w:after="240" w:line="360" w:lineRule="auto"/>
        <w:rPr>
          <w:rFonts w:asciiTheme="majorHAnsi" w:eastAsia="Calibri" w:hAnsiTheme="majorHAnsi" w:cstheme="majorHAnsi"/>
          <w:color w:val="0D0D0D"/>
          <w:sz w:val="24"/>
          <w:szCs w:val="24"/>
        </w:rPr>
      </w:pPr>
      <w:r w:rsidRPr="002838F2">
        <w:rPr>
          <w:rFonts w:asciiTheme="majorHAnsi" w:eastAsia="Calibri" w:hAnsiTheme="majorHAnsi" w:cstheme="majorHAnsi"/>
          <w:color w:val="0D0D0D"/>
          <w:sz w:val="24"/>
          <w:szCs w:val="24"/>
        </w:rPr>
        <w:t xml:space="preserve">Visual aids are impactful upon a multilingual student's learning </w:t>
      </w:r>
      <w:r w:rsidR="0005530D" w:rsidRPr="002838F2">
        <w:rPr>
          <w:rFonts w:asciiTheme="majorHAnsi" w:eastAsia="Calibri" w:hAnsiTheme="majorHAnsi" w:cstheme="majorHAnsi"/>
          <w:color w:val="0D0D0D"/>
          <w:sz w:val="24"/>
          <w:szCs w:val="24"/>
        </w:rPr>
        <w:t>to</w:t>
      </w:r>
      <w:r w:rsidRPr="002838F2">
        <w:rPr>
          <w:rFonts w:asciiTheme="majorHAnsi" w:eastAsia="Calibri" w:hAnsiTheme="majorHAnsi" w:cstheme="majorHAnsi"/>
          <w:color w:val="0D0D0D"/>
          <w:sz w:val="24"/>
          <w:szCs w:val="24"/>
        </w:rPr>
        <w:t xml:space="preserve"> connect sound to spelling, allowing the “making of inferences in order to follow the text or activity” (Bailey and Sowden, 2021). This is supported through Murphy (2015), who outlines the importance of differentiation with multilingual learners, especially </w:t>
      </w:r>
      <w:r w:rsidR="0005530D" w:rsidRPr="002838F2">
        <w:rPr>
          <w:rFonts w:asciiTheme="majorHAnsi" w:eastAsia="Calibri" w:hAnsiTheme="majorHAnsi" w:cstheme="majorHAnsi"/>
          <w:color w:val="0D0D0D"/>
          <w:sz w:val="24"/>
          <w:szCs w:val="24"/>
        </w:rPr>
        <w:t>in regard to</w:t>
      </w:r>
      <w:r w:rsidRPr="002838F2">
        <w:rPr>
          <w:rFonts w:asciiTheme="majorHAnsi" w:eastAsia="Calibri" w:hAnsiTheme="majorHAnsi" w:cstheme="majorHAnsi"/>
          <w:color w:val="0D0D0D"/>
          <w:sz w:val="24"/>
          <w:szCs w:val="24"/>
        </w:rPr>
        <w:t xml:space="preserve"> interventions and targeting those who may find it difficult when it comes to the depth of knowledge behind words, and the comprehension behind it.</w:t>
      </w:r>
    </w:p>
    <w:p w14:paraId="00000017" w14:textId="77777777" w:rsidR="00AE4295" w:rsidRPr="002838F2" w:rsidRDefault="00000000"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color w:val="0D0D0D"/>
          <w:sz w:val="24"/>
          <w:szCs w:val="24"/>
        </w:rPr>
        <w:t xml:space="preserve">It is highly important to remember despite varying levels of already understood fluency in language, that the amount of instruction necessary for each multilingual pupil differs from one student to another (Bolos, 2012), with a positive in terms of a pupil learning another language - the already acquired knowledge of being able to read in their own native language can allow for a more accessible pathway towards understanding and reading English as it provides them with a skill base to work from and continue improving on their newly learnt skills with English (Bolos, 2012). This is supported through Snow and </w:t>
      </w:r>
      <w:proofErr w:type="spellStart"/>
      <w:r w:rsidRPr="002838F2">
        <w:rPr>
          <w:rFonts w:asciiTheme="majorHAnsi" w:eastAsia="Calibri" w:hAnsiTheme="majorHAnsi" w:cstheme="majorHAnsi"/>
          <w:sz w:val="24"/>
          <w:szCs w:val="24"/>
          <w:highlight w:val="white"/>
        </w:rPr>
        <w:t>Hoefnagel-Höhle</w:t>
      </w:r>
      <w:proofErr w:type="spellEnd"/>
      <w:r w:rsidRPr="002838F2">
        <w:rPr>
          <w:rFonts w:asciiTheme="majorHAnsi" w:eastAsia="Calibri" w:hAnsiTheme="majorHAnsi" w:cstheme="majorHAnsi"/>
          <w:sz w:val="24"/>
          <w:szCs w:val="24"/>
          <w:highlight w:val="white"/>
        </w:rPr>
        <w:t xml:space="preserve"> (1978) who conducted a case study of their own comparing two groups of speakers learning a second language in which they discovered a point stating:</w:t>
      </w:r>
    </w:p>
    <w:p w14:paraId="00000018" w14:textId="77777777" w:rsidR="00AE4295" w:rsidRPr="002838F2" w:rsidRDefault="00000000" w:rsidP="002838F2">
      <w:pPr>
        <w:spacing w:before="240" w:after="240" w:line="360" w:lineRule="auto"/>
        <w:ind w:left="720"/>
        <w:rPr>
          <w:rFonts w:asciiTheme="majorHAnsi" w:eastAsia="Calibri" w:hAnsiTheme="majorHAnsi" w:cstheme="majorHAnsi"/>
          <w:sz w:val="24"/>
          <w:szCs w:val="24"/>
        </w:rPr>
      </w:pPr>
      <w:r w:rsidRPr="002838F2">
        <w:rPr>
          <w:rFonts w:asciiTheme="majorHAnsi" w:eastAsia="Calibri" w:hAnsiTheme="majorHAnsi" w:cstheme="majorHAnsi"/>
          <w:color w:val="0D0D0D"/>
          <w:sz w:val="24"/>
          <w:szCs w:val="24"/>
        </w:rPr>
        <w:t>“Older second language learners would, of course, benefit more from positive transfer tha</w:t>
      </w:r>
      <w:r w:rsidRPr="002838F2">
        <w:rPr>
          <w:rFonts w:asciiTheme="majorHAnsi" w:eastAsia="Calibri" w:hAnsiTheme="majorHAnsi" w:cstheme="majorHAnsi"/>
          <w:sz w:val="24"/>
          <w:szCs w:val="24"/>
        </w:rPr>
        <w:t xml:space="preserve">n younger ones because their knowledge of English is better. A number of analyses suggest that positive transfer cannot explain the superiority of the older subjects.” (Snow and </w:t>
      </w:r>
      <w:proofErr w:type="spellStart"/>
      <w:r w:rsidRPr="002838F2">
        <w:rPr>
          <w:rFonts w:asciiTheme="majorHAnsi" w:eastAsia="Calibri" w:hAnsiTheme="majorHAnsi" w:cstheme="majorHAnsi"/>
          <w:sz w:val="24"/>
          <w:szCs w:val="24"/>
        </w:rPr>
        <w:t>Hoefnagel-Höhle</w:t>
      </w:r>
      <w:proofErr w:type="spellEnd"/>
      <w:r w:rsidRPr="002838F2">
        <w:rPr>
          <w:rFonts w:asciiTheme="majorHAnsi" w:eastAsia="Calibri" w:hAnsiTheme="majorHAnsi" w:cstheme="majorHAnsi"/>
          <w:sz w:val="24"/>
          <w:szCs w:val="24"/>
        </w:rPr>
        <w:t>, M., 1978)</w:t>
      </w:r>
    </w:p>
    <w:p w14:paraId="00000019"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Noted in </w:t>
      </w:r>
      <w:proofErr w:type="spellStart"/>
      <w:r w:rsidRPr="002838F2">
        <w:rPr>
          <w:rFonts w:asciiTheme="majorHAnsi" w:eastAsia="Calibri" w:hAnsiTheme="majorHAnsi" w:cstheme="majorHAnsi"/>
          <w:sz w:val="24"/>
          <w:szCs w:val="24"/>
          <w:highlight w:val="white"/>
        </w:rPr>
        <w:t>Macaro</w:t>
      </w:r>
      <w:proofErr w:type="spellEnd"/>
      <w:r w:rsidRPr="002838F2">
        <w:rPr>
          <w:rFonts w:asciiTheme="majorHAnsi" w:eastAsia="Calibri" w:hAnsiTheme="majorHAnsi" w:cstheme="majorHAnsi"/>
          <w:sz w:val="24"/>
          <w:szCs w:val="24"/>
          <w:highlight w:val="white"/>
        </w:rPr>
        <w:t xml:space="preserve"> and Balfour (2004)</w:t>
      </w:r>
      <w:r w:rsidRPr="002838F2">
        <w:rPr>
          <w:rFonts w:asciiTheme="majorHAnsi" w:eastAsia="Calibri" w:hAnsiTheme="majorHAnsi" w:cstheme="majorHAnsi"/>
          <w:sz w:val="24"/>
          <w:szCs w:val="24"/>
        </w:rPr>
        <w:t>, they exclaim how the desire from teachers is to develop the speaking skills in pupils who speak more than one language, or in this study more specifically desiring to develop an “advanced or more sophisticated speaking and communication skills” (</w:t>
      </w:r>
      <w:proofErr w:type="spellStart"/>
      <w:r w:rsidRPr="002838F2">
        <w:rPr>
          <w:rFonts w:asciiTheme="majorHAnsi" w:eastAsia="Calibri" w:hAnsiTheme="majorHAnsi" w:cstheme="majorHAnsi"/>
          <w:sz w:val="24"/>
          <w:szCs w:val="24"/>
        </w:rPr>
        <w:t>Macaro</w:t>
      </w:r>
      <w:proofErr w:type="spellEnd"/>
      <w:r w:rsidRPr="002838F2">
        <w:rPr>
          <w:rFonts w:asciiTheme="majorHAnsi" w:eastAsia="Calibri" w:hAnsiTheme="majorHAnsi" w:cstheme="majorHAnsi"/>
          <w:sz w:val="24"/>
          <w:szCs w:val="24"/>
        </w:rPr>
        <w:t xml:space="preserve"> and Balfour, 2004, pg. 8). Skinner (1957) understood that learning more than one language was interpreted the same as any other type of learning, that </w:t>
      </w:r>
      <w:r w:rsidRPr="002838F2">
        <w:rPr>
          <w:rFonts w:asciiTheme="majorHAnsi" w:eastAsia="Calibri" w:hAnsiTheme="majorHAnsi" w:cstheme="majorHAnsi"/>
          <w:sz w:val="24"/>
          <w:szCs w:val="24"/>
        </w:rPr>
        <w:lastRenderedPageBreak/>
        <w:t>being through the means of imitation and repetition - a form of conditioning, linking towards the theory of behaviourism. The limitation towards this theory is of course it potentially being an outdated source, as well as criticisms in the form of theorists, such as Bruner (1960). Unlike Skinner, Bruner (1960) outlined how learning is an active process of meaning-making and knowledge construction, rather than through external reinforcement. However again, the date can allow this process to be outdated despite the ongoing reflections towards these theories.</w:t>
      </w:r>
    </w:p>
    <w:p w14:paraId="0000001A"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color w:val="0D0D0D"/>
          <w:sz w:val="24"/>
          <w:szCs w:val="24"/>
        </w:rPr>
        <w:t xml:space="preserve">In terms of different teaching strategies when it comes to working with multilingual pupils, similar strategies can be used as to working with pupils in the home language - such as through the use of speaking, reading, listening, drawing and even acting. When learning a new language, listening would be the first introduction for a new learner - with </w:t>
      </w:r>
      <w:r w:rsidRPr="002838F2">
        <w:rPr>
          <w:rFonts w:asciiTheme="majorHAnsi" w:eastAsia="Calibri" w:hAnsiTheme="majorHAnsi" w:cstheme="majorHAnsi"/>
          <w:sz w:val="24"/>
          <w:szCs w:val="24"/>
        </w:rPr>
        <w:t xml:space="preserve">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(2013) supporting this introduction to learning to use listening activities before any other type of learning. Moreover, when it comes to listening to a new language,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-Murcia (2013) outline to increase the amount of time that a student would be listening to a new language in class and it should be the “primary channel for learning new material in the classroom” (2013, pg. 89). However, an issue when it comes to listening is pupils’ understanding of their listening strategies is weak (Danaher, 1996).</w:t>
      </w:r>
    </w:p>
    <w:p w14:paraId="0000001B" w14:textId="30FE0C46"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The strategy of speaking to help a multilingual pupil understand a new language can include a potential implication, being the assumption that through orally learning a new language, it will lead to the addition of linguistic patterns (</w:t>
      </w:r>
      <w:proofErr w:type="spellStart"/>
      <w:r w:rsidRPr="002838F2">
        <w:rPr>
          <w:rFonts w:asciiTheme="majorHAnsi" w:eastAsia="Calibri" w:hAnsiTheme="majorHAnsi" w:cstheme="majorHAnsi"/>
          <w:sz w:val="24"/>
          <w:szCs w:val="24"/>
        </w:rPr>
        <w:t>Macaro</w:t>
      </w:r>
      <w:proofErr w:type="spellEnd"/>
      <w:r w:rsidRPr="002838F2">
        <w:rPr>
          <w:rFonts w:asciiTheme="majorHAnsi" w:eastAsia="Calibri" w:hAnsiTheme="majorHAnsi" w:cstheme="majorHAnsi"/>
          <w:sz w:val="24"/>
          <w:szCs w:val="24"/>
        </w:rPr>
        <w:t xml:space="preserve"> and Balfour, 2004). </w:t>
      </w:r>
      <w:r w:rsidR="0005530D" w:rsidRPr="002838F2">
        <w:rPr>
          <w:rFonts w:asciiTheme="majorHAnsi" w:eastAsia="Calibri" w:hAnsiTheme="majorHAnsi" w:cstheme="majorHAnsi"/>
          <w:sz w:val="24"/>
          <w:szCs w:val="24"/>
        </w:rPr>
        <w:t>However,</w:t>
      </w:r>
      <w:r w:rsidRPr="002838F2">
        <w:rPr>
          <w:rFonts w:asciiTheme="majorHAnsi" w:eastAsia="Calibri" w:hAnsiTheme="majorHAnsi" w:cstheme="majorHAnsi"/>
          <w:sz w:val="24"/>
          <w:szCs w:val="24"/>
        </w:rPr>
        <w:t xml:space="preserve"> there are many activities that can involve speaking to make it differentiated for pupils to learn a new language </w:t>
      </w:r>
      <w:r w:rsidR="0005530D" w:rsidRPr="002838F2">
        <w:rPr>
          <w:rFonts w:asciiTheme="majorHAnsi" w:eastAsia="Calibri" w:hAnsiTheme="majorHAnsi" w:cstheme="majorHAnsi"/>
          <w:sz w:val="24"/>
          <w:szCs w:val="24"/>
        </w:rPr>
        <w:t>including;</w:t>
      </w:r>
      <w:r w:rsidRPr="002838F2">
        <w:rPr>
          <w:rFonts w:asciiTheme="majorHAnsi" w:eastAsia="Calibri" w:hAnsiTheme="majorHAnsi" w:cstheme="majorHAnsi"/>
          <w:sz w:val="24"/>
          <w:szCs w:val="24"/>
        </w:rPr>
        <w:t xml:space="preserve"> discussions; speeches; role plays; and conversations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-Murcia, 2013).</w:t>
      </w:r>
    </w:p>
    <w:p w14:paraId="0000001D" w14:textId="759B3A25" w:rsidR="00AE4295" w:rsidRPr="002838F2" w:rsidRDefault="00000000" w:rsidP="002838F2">
      <w:pPr>
        <w:spacing w:before="240" w:after="240" w:line="360" w:lineRule="auto"/>
        <w:rPr>
          <w:rFonts w:asciiTheme="majorHAnsi" w:eastAsia="Calibri" w:hAnsiTheme="majorHAnsi" w:cstheme="majorHAnsi"/>
          <w:color w:val="0D0D0D"/>
          <w:sz w:val="24"/>
          <w:szCs w:val="24"/>
          <w:highlight w:val="white"/>
        </w:rPr>
      </w:pPr>
      <w:r w:rsidRPr="002838F2">
        <w:rPr>
          <w:rFonts w:asciiTheme="majorHAnsi" w:eastAsia="Calibri" w:hAnsiTheme="majorHAnsi" w:cstheme="majorHAnsi"/>
          <w:sz w:val="24"/>
          <w:szCs w:val="24"/>
        </w:rPr>
        <w:t xml:space="preserve">Understanding the mechanics behind learning to write a new language links towards recognition of letters/words as well as spelling, punctuation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-Murcia, 2013), the importance of understanding how to write in a new language is high as it this form of learning in which an individual can effectively communicate to readers (</w:t>
      </w:r>
      <w:proofErr w:type="spellStart"/>
      <w:r w:rsidRPr="002838F2">
        <w:rPr>
          <w:rFonts w:asciiTheme="majorHAnsi" w:eastAsia="Calibri" w:hAnsiTheme="majorHAnsi" w:cstheme="majorHAnsi"/>
          <w:sz w:val="24"/>
          <w:szCs w:val="24"/>
        </w:rPr>
        <w:t>Macaro</w:t>
      </w:r>
      <w:proofErr w:type="spellEnd"/>
      <w:r w:rsidRPr="002838F2">
        <w:rPr>
          <w:rFonts w:asciiTheme="majorHAnsi" w:eastAsia="Calibri" w:hAnsiTheme="majorHAnsi" w:cstheme="majorHAnsi"/>
          <w:sz w:val="24"/>
          <w:szCs w:val="24"/>
        </w:rPr>
        <w:t xml:space="preserve"> and Balfour, 2004). Pupils who are learning English as an additional language may encounter problems with </w:t>
      </w:r>
      <w:r w:rsidRPr="002838F2">
        <w:rPr>
          <w:rFonts w:asciiTheme="majorHAnsi" w:eastAsia="Calibri" w:hAnsiTheme="majorHAnsi" w:cstheme="majorHAnsi"/>
          <w:sz w:val="24"/>
          <w:szCs w:val="24"/>
        </w:rPr>
        <w:lastRenderedPageBreak/>
        <w:t xml:space="preserve">wordings of assessments and interpreting it in a form that may not correlate the same as it may do in different languages (Coffin </w:t>
      </w:r>
      <w:r w:rsidRPr="002838F2">
        <w:rPr>
          <w:rFonts w:asciiTheme="majorHAnsi" w:eastAsia="Calibri" w:hAnsiTheme="majorHAnsi" w:cstheme="majorHAnsi"/>
          <w:i/>
          <w:sz w:val="24"/>
          <w:szCs w:val="24"/>
        </w:rPr>
        <w:t>et al</w:t>
      </w:r>
      <w:r w:rsidRPr="002838F2">
        <w:rPr>
          <w:rFonts w:asciiTheme="majorHAnsi" w:eastAsia="Calibri" w:hAnsiTheme="majorHAnsi" w:cstheme="majorHAnsi"/>
          <w:sz w:val="24"/>
          <w:szCs w:val="24"/>
        </w:rPr>
        <w:t>., 2003).</w:t>
      </w:r>
    </w:p>
    <w:p w14:paraId="189006C2" w14:textId="0D009745" w:rsidR="0005530D" w:rsidRPr="002838F2" w:rsidRDefault="0005530D" w:rsidP="002838F2">
      <w:pPr>
        <w:spacing w:before="240" w:after="240" w:line="360" w:lineRule="auto"/>
        <w:jc w:val="center"/>
        <w:rPr>
          <w:rFonts w:asciiTheme="majorHAnsi" w:eastAsia="Calibri" w:hAnsiTheme="majorHAnsi" w:cstheme="majorHAnsi"/>
          <w:color w:val="0D0D0D"/>
          <w:sz w:val="28"/>
          <w:szCs w:val="28"/>
          <w:highlight w:val="white"/>
          <w:u w:val="single"/>
        </w:rPr>
      </w:pPr>
      <w:r w:rsidRPr="002838F2">
        <w:rPr>
          <w:rFonts w:asciiTheme="majorHAnsi" w:eastAsia="Calibri" w:hAnsiTheme="majorHAnsi" w:cstheme="majorHAnsi"/>
          <w:color w:val="0D0D0D"/>
          <w:sz w:val="28"/>
          <w:szCs w:val="28"/>
          <w:highlight w:val="white"/>
          <w:u w:val="single"/>
        </w:rPr>
        <w:t>Explanation of Case Study</w:t>
      </w:r>
    </w:p>
    <w:p w14:paraId="0000001E" w14:textId="1C057617" w:rsidR="00AE4295" w:rsidRPr="002838F2" w:rsidRDefault="00000000"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color w:val="0D0D0D"/>
          <w:sz w:val="24"/>
          <w:szCs w:val="24"/>
          <w:highlight w:val="white"/>
        </w:rPr>
        <w:t xml:space="preserve">It is noted that when creating a case study, that there is no format that is acknowledged globally as there tends to be commonalities in studies, components regarding the event study itself that is being researched as well as boundaries to be kept within </w:t>
      </w:r>
      <w:r w:rsidRPr="002838F2">
        <w:rPr>
          <w:rFonts w:asciiTheme="majorHAnsi" w:eastAsia="Calibri" w:hAnsiTheme="majorHAnsi" w:cstheme="majorHAnsi"/>
          <w:sz w:val="24"/>
          <w:szCs w:val="24"/>
          <w:highlight w:val="white"/>
        </w:rPr>
        <w:t xml:space="preserve">(Hancock, D.R., </w:t>
      </w:r>
      <w:proofErr w:type="spellStart"/>
      <w:r w:rsidRPr="002838F2">
        <w:rPr>
          <w:rFonts w:asciiTheme="majorHAnsi" w:eastAsia="Calibri" w:hAnsiTheme="majorHAnsi" w:cstheme="majorHAnsi"/>
          <w:sz w:val="24"/>
          <w:szCs w:val="24"/>
          <w:highlight w:val="white"/>
        </w:rPr>
        <w:t>Algozzine</w:t>
      </w:r>
      <w:proofErr w:type="spellEnd"/>
      <w:r w:rsidRPr="002838F2">
        <w:rPr>
          <w:rFonts w:asciiTheme="majorHAnsi" w:eastAsia="Calibri" w:hAnsiTheme="majorHAnsi" w:cstheme="majorHAnsi"/>
          <w:sz w:val="24"/>
          <w:szCs w:val="24"/>
          <w:highlight w:val="white"/>
        </w:rPr>
        <w:t xml:space="preserve">, B. and Lim, J.H., 2021). Presenting a high amount of information from different sources, whether that be through literature or through the research itself assists in forming a case study (Hancock, D.R., </w:t>
      </w:r>
      <w:proofErr w:type="spellStart"/>
      <w:r w:rsidRPr="002838F2">
        <w:rPr>
          <w:rFonts w:asciiTheme="majorHAnsi" w:eastAsia="Calibri" w:hAnsiTheme="majorHAnsi" w:cstheme="majorHAnsi"/>
          <w:sz w:val="24"/>
          <w:szCs w:val="24"/>
          <w:highlight w:val="white"/>
        </w:rPr>
        <w:t>Algozzine</w:t>
      </w:r>
      <w:proofErr w:type="spellEnd"/>
      <w:r w:rsidRPr="002838F2">
        <w:rPr>
          <w:rFonts w:asciiTheme="majorHAnsi" w:eastAsia="Calibri" w:hAnsiTheme="majorHAnsi" w:cstheme="majorHAnsi"/>
          <w:sz w:val="24"/>
          <w:szCs w:val="24"/>
          <w:highlight w:val="white"/>
        </w:rPr>
        <w:t xml:space="preserve">, B. and Lim, J.H., 2021) which adds to both the reliability and validity. According to </w:t>
      </w:r>
      <w:proofErr w:type="spellStart"/>
      <w:r w:rsidRPr="002838F2">
        <w:rPr>
          <w:rFonts w:asciiTheme="majorHAnsi" w:eastAsia="Calibri" w:hAnsiTheme="majorHAnsi" w:cstheme="majorHAnsi"/>
          <w:sz w:val="24"/>
          <w:szCs w:val="24"/>
          <w:highlight w:val="white"/>
        </w:rPr>
        <w:t>Gerring</w:t>
      </w:r>
      <w:proofErr w:type="spellEnd"/>
      <w:r w:rsidRPr="002838F2">
        <w:rPr>
          <w:rFonts w:asciiTheme="majorHAnsi" w:eastAsia="Calibri" w:hAnsiTheme="majorHAnsi" w:cstheme="majorHAnsi"/>
          <w:sz w:val="24"/>
          <w:szCs w:val="24"/>
          <w:highlight w:val="white"/>
        </w:rPr>
        <w:t xml:space="preserve"> (2007), there is no one definition when it comes to a case study, due to the different types of study there can be. However, despite this, Yin (2014) defines case studies as: </w:t>
      </w:r>
    </w:p>
    <w:p w14:paraId="0000001F" w14:textId="34A24EF1" w:rsidR="00AE4295" w:rsidRPr="002838F2" w:rsidRDefault="00000000" w:rsidP="002838F2">
      <w:pPr>
        <w:spacing w:before="240" w:after="240" w:line="360" w:lineRule="auto"/>
        <w:ind w:left="720"/>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w:t>
      </w:r>
      <w:r w:rsidR="0005530D" w:rsidRPr="002838F2">
        <w:rPr>
          <w:rFonts w:asciiTheme="majorHAnsi" w:eastAsia="Calibri" w:hAnsiTheme="majorHAnsi" w:cstheme="majorHAnsi"/>
          <w:sz w:val="24"/>
          <w:szCs w:val="24"/>
          <w:highlight w:val="white"/>
        </w:rPr>
        <w:t>An</w:t>
      </w:r>
      <w:r w:rsidRPr="002838F2">
        <w:rPr>
          <w:rFonts w:asciiTheme="majorHAnsi" w:eastAsia="Calibri" w:hAnsiTheme="majorHAnsi" w:cstheme="majorHAnsi"/>
          <w:sz w:val="24"/>
          <w:szCs w:val="24"/>
          <w:highlight w:val="white"/>
        </w:rPr>
        <w:t xml:space="preserve"> empirical inquiry that investigates a contempo­rary phenomenon (the case) in depth and within its real-world context” (Yin, 2014, p. 16).</w:t>
      </w:r>
    </w:p>
    <w:p w14:paraId="00000020" w14:textId="77777777" w:rsidR="00AE4295" w:rsidRPr="002838F2" w:rsidRDefault="00000000"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Through admiring Merriam-Webster Dictionary (2024), they define a ‘case study’ as: </w:t>
      </w:r>
    </w:p>
    <w:p w14:paraId="00000021" w14:textId="18EB2EA2" w:rsidR="00AE4295" w:rsidRPr="002838F2" w:rsidRDefault="00000000" w:rsidP="002838F2">
      <w:pPr>
        <w:spacing w:before="240" w:after="240" w:line="360" w:lineRule="auto"/>
        <w:ind w:left="720"/>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w:t>
      </w:r>
      <w:r w:rsidR="0005530D" w:rsidRPr="002838F2">
        <w:rPr>
          <w:rFonts w:asciiTheme="majorHAnsi" w:eastAsia="Calibri" w:hAnsiTheme="majorHAnsi" w:cstheme="majorHAnsi"/>
          <w:sz w:val="24"/>
          <w:szCs w:val="24"/>
          <w:highlight w:val="white"/>
        </w:rPr>
        <w:t>An</w:t>
      </w:r>
      <w:r w:rsidRPr="002838F2">
        <w:rPr>
          <w:rFonts w:asciiTheme="majorHAnsi" w:eastAsia="Calibri" w:hAnsiTheme="majorHAnsi" w:cstheme="majorHAnsi"/>
          <w:sz w:val="24"/>
          <w:szCs w:val="24"/>
          <w:highlight w:val="white"/>
        </w:rPr>
        <w:t xml:space="preserve"> intensive analysis of an individual unit (such as a person or community) stressing development factors in relation to environment”</w:t>
      </w:r>
    </w:p>
    <w:p w14:paraId="00000022" w14:textId="77777777" w:rsidR="00AE4295" w:rsidRPr="002838F2" w:rsidRDefault="00000000" w:rsidP="002838F2">
      <w:pPr>
        <w:spacing w:before="240" w:after="240" w:line="360" w:lineRule="auto"/>
        <w:rPr>
          <w:rFonts w:asciiTheme="majorHAnsi" w:eastAsia="Calibri" w:hAnsiTheme="majorHAnsi" w:cstheme="majorHAnsi"/>
          <w:color w:val="0D0D0D"/>
          <w:sz w:val="24"/>
          <w:szCs w:val="24"/>
          <w:highlight w:val="white"/>
        </w:rPr>
      </w:pPr>
      <w:r w:rsidRPr="002838F2">
        <w:rPr>
          <w:rFonts w:asciiTheme="majorHAnsi" w:eastAsia="Calibri" w:hAnsiTheme="majorHAnsi" w:cstheme="majorHAnsi"/>
          <w:sz w:val="24"/>
          <w:szCs w:val="24"/>
          <w:highlight w:val="white"/>
        </w:rPr>
        <w:t>A correlation of focus on a project and what can influence such a focus, can be seen.</w:t>
      </w:r>
    </w:p>
    <w:p w14:paraId="00000023" w14:textId="77777777" w:rsidR="00AE4295" w:rsidRPr="002838F2" w:rsidRDefault="00000000" w:rsidP="002838F2">
      <w:pPr>
        <w:spacing w:before="240" w:after="240" w:line="360" w:lineRule="auto"/>
        <w:rPr>
          <w:rFonts w:asciiTheme="majorHAnsi" w:eastAsia="Calibri" w:hAnsiTheme="majorHAnsi" w:cstheme="majorHAnsi"/>
          <w:color w:val="0D0D0D"/>
          <w:sz w:val="24"/>
          <w:szCs w:val="24"/>
          <w:highlight w:val="white"/>
        </w:rPr>
      </w:pPr>
      <w:r w:rsidRPr="002838F2">
        <w:rPr>
          <w:rFonts w:asciiTheme="majorHAnsi" w:eastAsia="Calibri" w:hAnsiTheme="majorHAnsi" w:cstheme="majorHAnsi"/>
          <w:color w:val="0D0D0D"/>
          <w:sz w:val="24"/>
          <w:szCs w:val="24"/>
          <w:highlight w:val="white"/>
        </w:rPr>
        <w:t>For this study, the participants will consist of multilingual learners enrolled in a Year 2 classroom where differentiated teaching strategies are implemented. To ensure the sample is representative, efforts can be made to include participants from diverse linguistic and cultural backgrounds to capture a broad range of perspectives and experiences.</w:t>
      </w:r>
    </w:p>
    <w:p w14:paraId="7CC60F21" w14:textId="77777777" w:rsidR="002838F2" w:rsidRDefault="002838F2" w:rsidP="002838F2">
      <w:pPr>
        <w:spacing w:before="240" w:after="240" w:line="360" w:lineRule="auto"/>
        <w:jc w:val="center"/>
        <w:rPr>
          <w:rFonts w:asciiTheme="majorHAnsi" w:eastAsia="Calibri" w:hAnsiTheme="majorHAnsi" w:cstheme="majorHAnsi"/>
          <w:sz w:val="28"/>
          <w:szCs w:val="28"/>
          <w:u w:val="single"/>
        </w:rPr>
      </w:pPr>
    </w:p>
    <w:p w14:paraId="7A1FF14E" w14:textId="77777777" w:rsidR="002838F2" w:rsidRDefault="002838F2" w:rsidP="002838F2">
      <w:pPr>
        <w:spacing w:before="240" w:after="240" w:line="360" w:lineRule="auto"/>
        <w:jc w:val="center"/>
        <w:rPr>
          <w:rFonts w:asciiTheme="majorHAnsi" w:eastAsia="Calibri" w:hAnsiTheme="majorHAnsi" w:cstheme="majorHAnsi"/>
          <w:sz w:val="28"/>
          <w:szCs w:val="28"/>
          <w:u w:val="single"/>
        </w:rPr>
      </w:pPr>
    </w:p>
    <w:p w14:paraId="4B4B91B3" w14:textId="553F5801" w:rsidR="0005530D" w:rsidRPr="002838F2" w:rsidRDefault="0005530D" w:rsidP="002838F2">
      <w:pPr>
        <w:spacing w:before="240" w:after="240" w:line="360" w:lineRule="auto"/>
        <w:jc w:val="center"/>
        <w:rPr>
          <w:rFonts w:asciiTheme="majorHAnsi" w:eastAsia="Calibri" w:hAnsiTheme="majorHAnsi" w:cstheme="majorHAnsi"/>
          <w:sz w:val="28"/>
          <w:szCs w:val="28"/>
          <w:u w:val="single"/>
        </w:rPr>
      </w:pPr>
      <w:r w:rsidRPr="002838F2">
        <w:rPr>
          <w:rFonts w:asciiTheme="majorHAnsi" w:eastAsia="Calibri" w:hAnsiTheme="majorHAnsi" w:cstheme="majorHAnsi"/>
          <w:sz w:val="28"/>
          <w:szCs w:val="28"/>
          <w:u w:val="single"/>
        </w:rPr>
        <w:lastRenderedPageBreak/>
        <w:t>Research Methods</w:t>
      </w:r>
    </w:p>
    <w:p w14:paraId="00000025" w14:textId="53CBC4D9"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According to Brace (2008), there are many variations of questionnaires for a wide range of situations, in which Brace (2008) believes are created to give a “standardised interview across all subjects” (pg. 4), allowing the results to remain consistent through keeping the questions the same for different participants - adding to both the reliability and validity of the study.</w:t>
      </w:r>
    </w:p>
    <w:p w14:paraId="00000026" w14:textId="62FE9F1A"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Questionnaires can take the form of different shapes, with the potential use of them through the means of open or closed questions, and through other types such as; verbal; list; category; ranking; quantity; grid; and scale (Youngman, 1982), providing a host of types of questionnaires one could use. It goes without saying however that despite this there can still be challenges when conducting a questionnaire as part of a study. There can be errors that can appear when designing this form of research which Fowler (2014), states as bias, and variability. An issue when it comes to the participants involved in the study is how it is formulated, as if the sample is not random then the result can differ - volunteers might not fit the ‘mould’ of what the study is looking for (Fowler, 2014). Secondly, </w:t>
      </w:r>
      <w:r w:rsidR="0005530D" w:rsidRPr="002838F2">
        <w:rPr>
          <w:rFonts w:asciiTheme="majorHAnsi" w:eastAsia="Calibri" w:hAnsiTheme="majorHAnsi" w:cstheme="majorHAnsi"/>
          <w:sz w:val="24"/>
          <w:szCs w:val="24"/>
        </w:rPr>
        <w:t>in regard to</w:t>
      </w:r>
      <w:r w:rsidRPr="002838F2">
        <w:rPr>
          <w:rFonts w:asciiTheme="majorHAnsi" w:eastAsia="Calibri" w:hAnsiTheme="majorHAnsi" w:cstheme="majorHAnsi"/>
          <w:sz w:val="24"/>
          <w:szCs w:val="24"/>
        </w:rPr>
        <w:t xml:space="preserve"> the participants involved, the inability of receiving answers from participants can hinder the process as a whole (Fowler, 2014). A positive regarding having participants complete a questionnaire is that it is not time consuming and can be conducted with little to no cost, especially in terms of a </w:t>
      </w:r>
      <w:r w:rsidR="0005530D" w:rsidRPr="002838F2">
        <w:rPr>
          <w:rFonts w:asciiTheme="majorHAnsi" w:eastAsia="Calibri" w:hAnsiTheme="majorHAnsi" w:cstheme="majorHAnsi"/>
          <w:sz w:val="24"/>
          <w:szCs w:val="24"/>
        </w:rPr>
        <w:t>small-scale</w:t>
      </w:r>
      <w:r w:rsidRPr="002838F2">
        <w:rPr>
          <w:rFonts w:asciiTheme="majorHAnsi" w:eastAsia="Calibri" w:hAnsiTheme="majorHAnsi" w:cstheme="majorHAnsi"/>
          <w:sz w:val="24"/>
          <w:szCs w:val="24"/>
        </w:rPr>
        <w:t xml:space="preserve"> study rather than an entire population - which can still lead to it remaining an accurate data collecting method (Rea and Parker, 2005).</w:t>
      </w:r>
    </w:p>
    <w:p w14:paraId="00000027" w14:textId="32C44423"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Bell and Walters (2014) outline how when it comes to creating questions that it may provide issues in wording for the understanding of a participant as well as testing memory, knowledge, leading </w:t>
      </w:r>
      <w:r w:rsidR="0005530D" w:rsidRPr="002838F2">
        <w:rPr>
          <w:rFonts w:asciiTheme="majorHAnsi" w:eastAsia="Calibri" w:hAnsiTheme="majorHAnsi" w:cstheme="majorHAnsi"/>
          <w:sz w:val="24"/>
          <w:szCs w:val="24"/>
        </w:rPr>
        <w:t>questions,</w:t>
      </w:r>
      <w:r w:rsidRPr="002838F2">
        <w:rPr>
          <w:rFonts w:asciiTheme="majorHAnsi" w:eastAsia="Calibri" w:hAnsiTheme="majorHAnsi" w:cstheme="majorHAnsi"/>
          <w:sz w:val="24"/>
          <w:szCs w:val="24"/>
        </w:rPr>
        <w:t xml:space="preserve"> and hypothetical questions of the participant. This is supported through Fowler (2014) who states that confusion when it comes to understanding a question can provide the study with errors - hindering the validity of the study.</w:t>
      </w:r>
    </w:p>
    <w:p w14:paraId="00000028" w14:textId="1A1748DD" w:rsidR="00AE4295" w:rsidRPr="002838F2" w:rsidRDefault="00000000"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rPr>
        <w:t>The questionnaire used in this study was in the form of the ‘</w:t>
      </w:r>
      <w:r w:rsidR="0005530D" w:rsidRPr="002838F2">
        <w:rPr>
          <w:rFonts w:asciiTheme="majorHAnsi" w:eastAsia="Calibri" w:hAnsiTheme="majorHAnsi" w:cstheme="majorHAnsi"/>
          <w:sz w:val="24"/>
          <w:szCs w:val="24"/>
        </w:rPr>
        <w:t>Likert</w:t>
      </w:r>
      <w:r w:rsidRPr="002838F2">
        <w:rPr>
          <w:rFonts w:asciiTheme="majorHAnsi" w:eastAsia="Calibri" w:hAnsiTheme="majorHAnsi" w:cstheme="majorHAnsi"/>
          <w:sz w:val="24"/>
          <w:szCs w:val="24"/>
        </w:rPr>
        <w:t xml:space="preserve"> scale’, which is widely used in studies (</w:t>
      </w:r>
      <w:r w:rsidRPr="002838F2">
        <w:rPr>
          <w:rFonts w:asciiTheme="majorHAnsi" w:eastAsia="Calibri" w:hAnsiTheme="majorHAnsi" w:cstheme="majorHAnsi"/>
          <w:sz w:val="24"/>
          <w:szCs w:val="24"/>
          <w:highlight w:val="white"/>
        </w:rPr>
        <w:t xml:space="preserve">Ivanov, Ivanova, and </w:t>
      </w:r>
      <w:proofErr w:type="spellStart"/>
      <w:r w:rsidRPr="002838F2">
        <w:rPr>
          <w:rFonts w:asciiTheme="majorHAnsi" w:eastAsia="Calibri" w:hAnsiTheme="majorHAnsi" w:cstheme="majorHAnsi"/>
          <w:sz w:val="24"/>
          <w:szCs w:val="24"/>
          <w:highlight w:val="white"/>
        </w:rPr>
        <w:t>Saltan</w:t>
      </w:r>
      <w:proofErr w:type="spellEnd"/>
      <w:r w:rsidRPr="002838F2">
        <w:rPr>
          <w:rFonts w:asciiTheme="majorHAnsi" w:eastAsia="Calibri" w:hAnsiTheme="majorHAnsi" w:cstheme="majorHAnsi"/>
          <w:sz w:val="24"/>
          <w:szCs w:val="24"/>
          <w:highlight w:val="white"/>
        </w:rPr>
        <w:t xml:space="preserve">, 2018). This type of questionnaire was useful as it allowed for easier understanding by the participants, and then made more accessible for the age of the </w:t>
      </w:r>
      <w:r w:rsidRPr="002838F2">
        <w:rPr>
          <w:rFonts w:asciiTheme="majorHAnsi" w:eastAsia="Calibri" w:hAnsiTheme="majorHAnsi" w:cstheme="majorHAnsi"/>
          <w:sz w:val="24"/>
          <w:szCs w:val="24"/>
          <w:highlight w:val="white"/>
        </w:rPr>
        <w:lastRenderedPageBreak/>
        <w:t>participants. The options of responses for each question stayed at five throughout (Appendix 2), with most questionnaires using this scale tend to implement between four and seven (</w:t>
      </w:r>
      <w:proofErr w:type="spellStart"/>
      <w:r w:rsidRPr="002838F2">
        <w:rPr>
          <w:rFonts w:asciiTheme="majorHAnsi" w:eastAsia="Calibri" w:hAnsiTheme="majorHAnsi" w:cstheme="majorHAnsi"/>
          <w:sz w:val="24"/>
          <w:szCs w:val="24"/>
          <w:highlight w:val="white"/>
        </w:rPr>
        <w:t>Wakita</w:t>
      </w:r>
      <w:proofErr w:type="spellEnd"/>
      <w:r w:rsidRPr="002838F2">
        <w:rPr>
          <w:rFonts w:asciiTheme="majorHAnsi" w:eastAsia="Calibri" w:hAnsiTheme="majorHAnsi" w:cstheme="majorHAnsi"/>
          <w:sz w:val="24"/>
          <w:szCs w:val="24"/>
          <w:highlight w:val="white"/>
        </w:rPr>
        <w:t xml:space="preserve">, </w:t>
      </w:r>
      <w:proofErr w:type="spellStart"/>
      <w:r w:rsidRPr="002838F2">
        <w:rPr>
          <w:rFonts w:asciiTheme="majorHAnsi" w:eastAsia="Calibri" w:hAnsiTheme="majorHAnsi" w:cstheme="majorHAnsi"/>
          <w:sz w:val="24"/>
          <w:szCs w:val="24"/>
          <w:highlight w:val="white"/>
        </w:rPr>
        <w:t>Ueshima</w:t>
      </w:r>
      <w:proofErr w:type="spellEnd"/>
      <w:r w:rsidRPr="002838F2">
        <w:rPr>
          <w:rFonts w:asciiTheme="majorHAnsi" w:eastAsia="Calibri" w:hAnsiTheme="majorHAnsi" w:cstheme="majorHAnsi"/>
          <w:sz w:val="24"/>
          <w:szCs w:val="24"/>
          <w:highlight w:val="white"/>
        </w:rPr>
        <w:t>, &amp; Noguchi, 2012).</w:t>
      </w:r>
    </w:p>
    <w:p w14:paraId="00000029" w14:textId="2B672979"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Merriam and </w:t>
      </w:r>
      <w:proofErr w:type="spellStart"/>
      <w:r w:rsidRPr="002838F2">
        <w:rPr>
          <w:rFonts w:asciiTheme="majorHAnsi" w:eastAsia="Calibri" w:hAnsiTheme="majorHAnsi" w:cstheme="majorHAnsi"/>
          <w:sz w:val="24"/>
          <w:szCs w:val="24"/>
        </w:rPr>
        <w:t>Tisdell</w:t>
      </w:r>
      <w:proofErr w:type="spellEnd"/>
      <w:r w:rsidRPr="002838F2">
        <w:rPr>
          <w:rFonts w:asciiTheme="majorHAnsi" w:eastAsia="Calibri" w:hAnsiTheme="majorHAnsi" w:cstheme="majorHAnsi"/>
          <w:sz w:val="24"/>
          <w:szCs w:val="24"/>
        </w:rPr>
        <w:t xml:space="preserve"> (2016) underline how observations are research tools but only when systematic - by this, meaning to use it as a method is to have deliberate use of the study to collect behaviours, so it can relate to a distinctive research topic. There are implications when it comes towards observations being a highly subjective tool (Merriam and </w:t>
      </w:r>
      <w:proofErr w:type="spellStart"/>
      <w:r w:rsidRPr="002838F2">
        <w:rPr>
          <w:rFonts w:asciiTheme="majorHAnsi" w:eastAsia="Calibri" w:hAnsiTheme="majorHAnsi" w:cstheme="majorHAnsi"/>
          <w:sz w:val="24"/>
          <w:szCs w:val="24"/>
        </w:rPr>
        <w:t>Tisdell</w:t>
      </w:r>
      <w:proofErr w:type="spellEnd"/>
      <w:r w:rsidRPr="002838F2">
        <w:rPr>
          <w:rFonts w:asciiTheme="majorHAnsi" w:eastAsia="Calibri" w:hAnsiTheme="majorHAnsi" w:cstheme="majorHAnsi"/>
          <w:sz w:val="24"/>
          <w:szCs w:val="24"/>
        </w:rPr>
        <w:t>, 2016</w:t>
      </w:r>
      <w:r w:rsidR="0005530D" w:rsidRPr="002838F2">
        <w:rPr>
          <w:rFonts w:asciiTheme="majorHAnsi" w:eastAsia="Calibri" w:hAnsiTheme="majorHAnsi" w:cstheme="majorHAnsi"/>
          <w:sz w:val="24"/>
          <w:szCs w:val="24"/>
        </w:rPr>
        <w:t>) as</w:t>
      </w:r>
      <w:r w:rsidRPr="002838F2">
        <w:rPr>
          <w:rFonts w:asciiTheme="majorHAnsi" w:eastAsia="Calibri" w:hAnsiTheme="majorHAnsi" w:cstheme="majorHAnsi"/>
          <w:sz w:val="24"/>
          <w:szCs w:val="24"/>
        </w:rPr>
        <w:t xml:space="preserve"> well as the skills of the observer, if they are to the ‘standards’ especially in comparison to an experienced researcher - particularly when it comes to the idea of writing descriptively, recording of field notes and paying attention methodically (Patton, 2015). Despite this, it is important in this field that researchers' experiences are not compared with new researchers as comparing the two would be unfair (Merriam and </w:t>
      </w:r>
      <w:proofErr w:type="spellStart"/>
      <w:r w:rsidRPr="002838F2">
        <w:rPr>
          <w:rFonts w:asciiTheme="majorHAnsi" w:eastAsia="Calibri" w:hAnsiTheme="majorHAnsi" w:cstheme="majorHAnsi"/>
          <w:sz w:val="24"/>
          <w:szCs w:val="24"/>
        </w:rPr>
        <w:t>Tisdell</w:t>
      </w:r>
      <w:proofErr w:type="spellEnd"/>
      <w:r w:rsidRPr="002838F2">
        <w:rPr>
          <w:rFonts w:asciiTheme="majorHAnsi" w:eastAsia="Calibri" w:hAnsiTheme="majorHAnsi" w:cstheme="majorHAnsi"/>
          <w:sz w:val="24"/>
          <w:szCs w:val="24"/>
        </w:rPr>
        <w:t>, 2016).</w:t>
      </w:r>
    </w:p>
    <w:p w14:paraId="0000002A"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In terms of what to precisely observe, Schensul and LeCompte (2013) understand that through the continuation of observation, allowing it to become repeated, will allow for the ideas of patterns of behaviours or social relationships to become clearer of what exactly will be viewed. What to observe also links towards the structure of an observation. With two different forms being structured and unstructured, it is important to validate which form to undergo when completing an observation, with Pool and Hampshire (2020) outlining how an unstructured observation is an authentic experience presenting the skills of a child in their usual environment and daily routine - void from any pressures being placed upon them. Whereas a structured observation can limit the ways in which a child can present themselves, potentially making the participants present themselves in an unusual manner. (Pool and Hampshire, 2020).</w:t>
      </w:r>
    </w:p>
    <w:p w14:paraId="0000002B"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There are challenges when it comes to using observations as a research method, one is through the means of remembering to record notes as they are happening for accurate representation, as one could make this mistake and write up afterwards - leading to inaccuracies taking place (</w:t>
      </w:r>
      <w:proofErr w:type="spellStart"/>
      <w:r w:rsidRPr="002838F2">
        <w:rPr>
          <w:rFonts w:asciiTheme="majorHAnsi" w:eastAsia="Calibri" w:hAnsiTheme="majorHAnsi" w:cstheme="majorHAnsi"/>
          <w:sz w:val="24"/>
          <w:szCs w:val="24"/>
        </w:rPr>
        <w:t>Cresswell</w:t>
      </w:r>
      <w:proofErr w:type="spellEnd"/>
      <w:r w:rsidRPr="002838F2">
        <w:rPr>
          <w:rFonts w:asciiTheme="majorHAnsi" w:eastAsia="Calibri" w:hAnsiTheme="majorHAnsi" w:cstheme="majorHAnsi"/>
          <w:sz w:val="24"/>
          <w:szCs w:val="24"/>
        </w:rPr>
        <w:t xml:space="preserve">, 2007). Secondly, if an observer begins to become too integrated with the participants whilst conducting the research - it can lead to a potential backlash from the participants as shown from </w:t>
      </w:r>
      <w:proofErr w:type="spellStart"/>
      <w:r w:rsidRPr="002838F2">
        <w:rPr>
          <w:rFonts w:asciiTheme="majorHAnsi" w:eastAsia="Calibri" w:hAnsiTheme="majorHAnsi" w:cstheme="majorHAnsi"/>
          <w:sz w:val="24"/>
          <w:szCs w:val="24"/>
        </w:rPr>
        <w:t>Ezeh</w:t>
      </w:r>
      <w:proofErr w:type="spellEnd"/>
      <w:r w:rsidRPr="002838F2">
        <w:rPr>
          <w:rFonts w:asciiTheme="majorHAnsi" w:eastAsia="Calibri" w:hAnsiTheme="majorHAnsi" w:cstheme="majorHAnsi"/>
          <w:sz w:val="24"/>
          <w:szCs w:val="24"/>
        </w:rPr>
        <w:t xml:space="preserve"> (2003) who whilst completing research with a small </w:t>
      </w:r>
      <w:r w:rsidRPr="002838F2">
        <w:rPr>
          <w:rFonts w:asciiTheme="majorHAnsi" w:eastAsia="Calibri" w:hAnsiTheme="majorHAnsi" w:cstheme="majorHAnsi"/>
          <w:sz w:val="24"/>
          <w:szCs w:val="24"/>
        </w:rPr>
        <w:lastRenderedPageBreak/>
        <w:t xml:space="preserve">community was then accused of human relation issues. Ensuring the observations include prolonged engagement as well as remaining persistent in building trust with the participants is suggested to add to the validity of a study (Ely </w:t>
      </w:r>
      <w:r w:rsidRPr="002838F2">
        <w:rPr>
          <w:rFonts w:asciiTheme="majorHAnsi" w:eastAsia="Calibri" w:hAnsiTheme="majorHAnsi" w:cstheme="majorHAnsi"/>
          <w:i/>
          <w:sz w:val="24"/>
          <w:szCs w:val="24"/>
        </w:rPr>
        <w:t>et al</w:t>
      </w:r>
      <w:r w:rsidRPr="002838F2">
        <w:rPr>
          <w:rFonts w:asciiTheme="majorHAnsi" w:eastAsia="Calibri" w:hAnsiTheme="majorHAnsi" w:cstheme="majorHAnsi"/>
          <w:sz w:val="24"/>
          <w:szCs w:val="24"/>
        </w:rPr>
        <w:t xml:space="preserve">. 1991). Including detailed research when conducting a qualitative study through the means of detailed notes can enhance the level of reliability when it comes to a research study (Silverman, 2005). </w:t>
      </w:r>
    </w:p>
    <w:p w14:paraId="0000002C" w14:textId="5EB154CB"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An observation schedule (Appendix 3) was created when observing specific consented pupils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gather all the necessary information which included time the observation took place with the notes alongside - along with details regarding which participant was involved, what task was taking place and where the task was. </w:t>
      </w:r>
    </w:p>
    <w:p w14:paraId="0000002E" w14:textId="740C04A4" w:rsidR="00AE4295" w:rsidRPr="002838F2" w:rsidRDefault="00000000" w:rsidP="002838F2">
      <w:pPr>
        <w:spacing w:before="240" w:after="240" w:line="360" w:lineRule="auto"/>
        <w:rPr>
          <w:rFonts w:asciiTheme="majorHAnsi" w:eastAsia="Calibri" w:hAnsiTheme="majorHAnsi" w:cstheme="majorHAnsi"/>
          <w:sz w:val="24"/>
          <w:szCs w:val="24"/>
          <w:shd w:val="clear" w:color="auto" w:fill="FFE599"/>
        </w:rPr>
      </w:pPr>
      <w:r w:rsidRPr="002838F2">
        <w:rPr>
          <w:rFonts w:asciiTheme="majorHAnsi" w:eastAsia="Calibri" w:hAnsiTheme="majorHAnsi" w:cstheme="majorHAnsi"/>
          <w:color w:val="0D0D0D"/>
          <w:sz w:val="24"/>
          <w:szCs w:val="24"/>
        </w:rPr>
        <w:t>While semi-structured interviews with teachers were initially planned as part of the research methodology, logistical constraints prevented their implementation within the scope of this study. Therefore, the focus of data collection was primarily on pupil questionnaires and classroom observations.</w:t>
      </w:r>
    </w:p>
    <w:p w14:paraId="45C67424" w14:textId="1B16E428" w:rsidR="0005530D" w:rsidRPr="002838F2" w:rsidRDefault="0005530D" w:rsidP="002838F2">
      <w:pPr>
        <w:spacing w:before="240" w:after="240" w:line="360" w:lineRule="auto"/>
        <w:jc w:val="center"/>
        <w:rPr>
          <w:rFonts w:asciiTheme="majorHAnsi" w:eastAsia="Calibri" w:hAnsiTheme="majorHAnsi" w:cstheme="majorHAnsi"/>
          <w:sz w:val="28"/>
          <w:szCs w:val="28"/>
          <w:u w:val="single"/>
        </w:rPr>
      </w:pPr>
      <w:r w:rsidRPr="002838F2">
        <w:rPr>
          <w:rFonts w:asciiTheme="majorHAnsi" w:eastAsia="Calibri" w:hAnsiTheme="majorHAnsi" w:cstheme="majorHAnsi"/>
          <w:sz w:val="28"/>
          <w:szCs w:val="28"/>
          <w:u w:val="single"/>
        </w:rPr>
        <w:t>Data Presentation and Analysis Method</w:t>
      </w:r>
    </w:p>
    <w:p w14:paraId="0000002F" w14:textId="7E4204FE"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In this section, it will present the approach towards analysing the data which has been retrieved in this study, relating to any relevant literature where necessary to support. The data will be presented through a descriptive overview of the key findings and any trends spotted. </w:t>
      </w:r>
    </w:p>
    <w:p w14:paraId="00000030" w14:textId="5A6042BC"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The use of qualitative and quantitative approaches will be enforced. Quantitative data taken from the ‘</w:t>
      </w:r>
      <w:proofErr w:type="spellStart"/>
      <w:r w:rsidRPr="002838F2">
        <w:rPr>
          <w:rFonts w:asciiTheme="majorHAnsi" w:eastAsia="Calibri" w:hAnsiTheme="majorHAnsi" w:cstheme="majorHAnsi"/>
          <w:sz w:val="24"/>
          <w:szCs w:val="24"/>
        </w:rPr>
        <w:t>likert</w:t>
      </w:r>
      <w:proofErr w:type="spellEnd"/>
      <w:r w:rsidRPr="002838F2">
        <w:rPr>
          <w:rFonts w:asciiTheme="majorHAnsi" w:eastAsia="Calibri" w:hAnsiTheme="majorHAnsi" w:cstheme="majorHAnsi"/>
          <w:sz w:val="24"/>
          <w:szCs w:val="24"/>
        </w:rPr>
        <w:t>-scale’ questionnaires will allow room for descriptive analysis to discover key findings and trends. Aligning with the nature of a ‘</w:t>
      </w:r>
      <w:proofErr w:type="spellStart"/>
      <w:r w:rsidRPr="002838F2">
        <w:rPr>
          <w:rFonts w:asciiTheme="majorHAnsi" w:eastAsia="Calibri" w:hAnsiTheme="majorHAnsi" w:cstheme="majorHAnsi"/>
          <w:sz w:val="24"/>
          <w:szCs w:val="24"/>
        </w:rPr>
        <w:t>likert</w:t>
      </w:r>
      <w:proofErr w:type="spellEnd"/>
      <w:r w:rsidRPr="002838F2">
        <w:rPr>
          <w:rFonts w:asciiTheme="majorHAnsi" w:eastAsia="Calibri" w:hAnsiTheme="majorHAnsi" w:cstheme="majorHAnsi"/>
          <w:sz w:val="24"/>
          <w:szCs w:val="24"/>
        </w:rPr>
        <w:t xml:space="preserve">-scale’ response allows for good interpretation to be made, facilitating concise summarisation (Field, 2013). Statistics means will be used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summarise any numerical data with thematic analysis employed identifying any patterns explored with qualitative data (Braun and Clarke, 2006). Approaching it in this manner allows for a mixed method design with a comprehensive understanding of research.</w:t>
      </w:r>
    </w:p>
    <w:p w14:paraId="00000031"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Qualitative data collected through the means of the </w:t>
      </w:r>
      <w:proofErr w:type="spellStart"/>
      <w:r w:rsidRPr="002838F2">
        <w:rPr>
          <w:rFonts w:asciiTheme="majorHAnsi" w:eastAsia="Calibri" w:hAnsiTheme="majorHAnsi" w:cstheme="majorHAnsi"/>
          <w:sz w:val="24"/>
          <w:szCs w:val="24"/>
        </w:rPr>
        <w:t>likert</w:t>
      </w:r>
      <w:proofErr w:type="spellEnd"/>
      <w:r w:rsidRPr="002838F2">
        <w:rPr>
          <w:rFonts w:asciiTheme="majorHAnsi" w:eastAsia="Calibri" w:hAnsiTheme="majorHAnsi" w:cstheme="majorHAnsi"/>
          <w:sz w:val="24"/>
          <w:szCs w:val="24"/>
        </w:rPr>
        <w:t xml:space="preserve">-scale questionnaire will be analysed to identify any trends. Responses will be summarised manually with descriptive statistics (such </w:t>
      </w:r>
      <w:r w:rsidRPr="002838F2">
        <w:rPr>
          <w:rFonts w:asciiTheme="majorHAnsi" w:eastAsia="Calibri" w:hAnsiTheme="majorHAnsi" w:cstheme="majorHAnsi"/>
          <w:sz w:val="24"/>
          <w:szCs w:val="24"/>
        </w:rPr>
        <w:lastRenderedPageBreak/>
        <w:t xml:space="preserve">as mean, median, variability). To cement any trust within the analysis - credibility, transferability and dependability will be adhered to (Lincoln and Guba, 1985). </w:t>
      </w:r>
    </w:p>
    <w:p w14:paraId="00000032"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In addition to the questionnaire data, with the use of observations being conducted, will be analysed using thematic analysis. Observations which are recorded according to the structure of the observation schedule, will also be reviewed to identify any themes involving behaviour and interactions. The use of a thematic analysis allows for an in-depth exploration of the data.</w:t>
      </w:r>
    </w:p>
    <w:p w14:paraId="00000033"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Combining analysis from both the questionnaire and observations will allow for an extensive awareness of the research - acknowledging the importance of both qualitative and quantitative data.</w:t>
      </w:r>
    </w:p>
    <w:p w14:paraId="1EB04DAD" w14:textId="5E7A150B" w:rsidR="0005530D" w:rsidRPr="002838F2" w:rsidRDefault="0005530D" w:rsidP="002838F2">
      <w:pPr>
        <w:spacing w:before="240" w:after="240" w:line="360" w:lineRule="auto"/>
        <w:jc w:val="center"/>
        <w:rPr>
          <w:rFonts w:asciiTheme="majorHAnsi" w:eastAsia="Calibri" w:hAnsiTheme="majorHAnsi" w:cstheme="majorHAnsi"/>
          <w:sz w:val="28"/>
          <w:szCs w:val="28"/>
          <w:u w:val="single"/>
        </w:rPr>
      </w:pPr>
      <w:r w:rsidRPr="002838F2">
        <w:rPr>
          <w:rFonts w:asciiTheme="majorHAnsi" w:eastAsia="Calibri" w:hAnsiTheme="majorHAnsi" w:cstheme="majorHAnsi"/>
          <w:sz w:val="28"/>
          <w:szCs w:val="28"/>
          <w:u w:val="single"/>
        </w:rPr>
        <w:t>Ethical Considerations</w:t>
      </w:r>
    </w:p>
    <w:p w14:paraId="00000035" w14:textId="4D35A964" w:rsidR="00AE4295" w:rsidRPr="002838F2" w:rsidRDefault="0005530D"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Pupils’</w:t>
      </w:r>
      <w:r w:rsidR="00000000" w:rsidRPr="002838F2">
        <w:rPr>
          <w:rFonts w:asciiTheme="majorHAnsi" w:eastAsia="Calibri" w:hAnsiTheme="majorHAnsi" w:cstheme="majorHAnsi"/>
          <w:sz w:val="24"/>
          <w:szCs w:val="24"/>
        </w:rPr>
        <w:t xml:space="preserve"> parents/guardians were informed of the study taking place and were asked for consent for their child to take part in the study. They were informed of all the information available in the consent form (Appendix 4), which also explains to them how the name of their child will be anonymised throughout, data will not be shared and how the data will be deleted immediately if the participant requests. Pupils were asked for their assent verbally to take part in the study and what the study is. </w:t>
      </w:r>
    </w:p>
    <w:p w14:paraId="00000036" w14:textId="6A480486"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Data will remain anonymous and stored until the completion of the project, then deleted. In accordance with the DPA (2018), participants have the right to ask and see what data is being held, linking to them. Only the researcher has access to the raw </w:t>
      </w:r>
      <w:r w:rsidR="0005530D" w:rsidRPr="002838F2">
        <w:rPr>
          <w:rFonts w:asciiTheme="majorHAnsi" w:eastAsia="Calibri" w:hAnsiTheme="majorHAnsi" w:cstheme="majorHAnsi"/>
          <w:sz w:val="24"/>
          <w:szCs w:val="24"/>
        </w:rPr>
        <w:t>data,</w:t>
      </w:r>
      <w:r w:rsidRPr="002838F2">
        <w:rPr>
          <w:rFonts w:asciiTheme="majorHAnsi" w:eastAsia="Calibri" w:hAnsiTheme="majorHAnsi" w:cstheme="majorHAnsi"/>
          <w:sz w:val="24"/>
          <w:szCs w:val="24"/>
        </w:rPr>
        <w:t xml:space="preserve"> and nothing will be shared. No personal data was collected </w:t>
      </w:r>
      <w:r w:rsidR="0005530D" w:rsidRPr="002838F2">
        <w:rPr>
          <w:rFonts w:asciiTheme="majorHAnsi" w:eastAsia="Calibri" w:hAnsiTheme="majorHAnsi" w:cstheme="majorHAnsi"/>
          <w:sz w:val="24"/>
          <w:szCs w:val="24"/>
        </w:rPr>
        <w:t>in regard to</w:t>
      </w:r>
      <w:r w:rsidRPr="002838F2">
        <w:rPr>
          <w:rFonts w:asciiTheme="majorHAnsi" w:eastAsia="Calibri" w:hAnsiTheme="majorHAnsi" w:cstheme="majorHAnsi"/>
          <w:sz w:val="24"/>
          <w:szCs w:val="24"/>
        </w:rPr>
        <w:t xml:space="preserve"> observations/questionnaires. In accordance with BERA (2018) guidelines, ensuring that anonymity and confidentiality is held is of priority. No personal data will be gathered or retained, individuals and the school will not be identifiable. The school is anonymised as ‘School X’ in any notes/data analysis. Pseudonyms will also be </w:t>
      </w:r>
      <w:r w:rsidR="0005530D" w:rsidRPr="002838F2">
        <w:rPr>
          <w:rFonts w:asciiTheme="majorHAnsi" w:eastAsia="Calibri" w:hAnsiTheme="majorHAnsi" w:cstheme="majorHAnsi"/>
          <w:sz w:val="24"/>
          <w:szCs w:val="24"/>
        </w:rPr>
        <w:t>used,</w:t>
      </w:r>
      <w:r w:rsidRPr="002838F2">
        <w:rPr>
          <w:rFonts w:asciiTheme="majorHAnsi" w:eastAsia="Calibri" w:hAnsiTheme="majorHAnsi" w:cstheme="majorHAnsi"/>
          <w:sz w:val="24"/>
          <w:szCs w:val="24"/>
        </w:rPr>
        <w:t xml:space="preserve"> when necessary, participants also hold the option to withdraw from the study verbally with any information disposed of (Appendix 1).</w:t>
      </w:r>
    </w:p>
    <w:p w14:paraId="6FFC7021" w14:textId="77777777" w:rsidR="002838F2" w:rsidRDefault="002838F2" w:rsidP="002838F2">
      <w:pPr>
        <w:spacing w:before="240" w:after="240" w:line="360" w:lineRule="auto"/>
        <w:jc w:val="center"/>
        <w:rPr>
          <w:rFonts w:asciiTheme="majorHAnsi" w:eastAsia="Calibri" w:hAnsiTheme="majorHAnsi" w:cstheme="majorHAnsi"/>
          <w:color w:val="0D0D0D"/>
          <w:sz w:val="24"/>
          <w:szCs w:val="24"/>
          <w:highlight w:val="white"/>
          <w:u w:val="single"/>
        </w:rPr>
      </w:pPr>
    </w:p>
    <w:p w14:paraId="48897011" w14:textId="6258492F" w:rsidR="0005530D" w:rsidRPr="002838F2" w:rsidRDefault="0005530D" w:rsidP="002838F2">
      <w:pPr>
        <w:spacing w:before="240" w:after="240" w:line="360" w:lineRule="auto"/>
        <w:jc w:val="center"/>
        <w:rPr>
          <w:rFonts w:asciiTheme="majorHAnsi" w:eastAsia="Calibri" w:hAnsiTheme="majorHAnsi" w:cstheme="majorHAnsi"/>
          <w:color w:val="0D0D0D"/>
          <w:sz w:val="28"/>
          <w:szCs w:val="28"/>
          <w:highlight w:val="white"/>
          <w:u w:val="single"/>
        </w:rPr>
      </w:pPr>
      <w:r w:rsidRPr="002838F2">
        <w:rPr>
          <w:rFonts w:asciiTheme="majorHAnsi" w:eastAsia="Calibri" w:hAnsiTheme="majorHAnsi" w:cstheme="majorHAnsi"/>
          <w:color w:val="0D0D0D"/>
          <w:sz w:val="28"/>
          <w:szCs w:val="28"/>
          <w:highlight w:val="white"/>
          <w:u w:val="single"/>
        </w:rPr>
        <w:lastRenderedPageBreak/>
        <w:t>Discussion of Results</w:t>
      </w:r>
    </w:p>
    <w:p w14:paraId="00000038" w14:textId="49A48B86"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color w:val="0D0D0D"/>
          <w:sz w:val="24"/>
          <w:szCs w:val="24"/>
          <w:highlight w:val="white"/>
        </w:rPr>
        <w:t xml:space="preserve">In this section, we present the trends and patterns of our research study and analyse their implications for teaching practice and literacy attainment among multilingual pupils in a Year 2 classroom. The findings are interpreted in the context of relevant literature to provide insights into effective differentiated teaching strategies and their impact on literacy </w:t>
      </w:r>
      <w:r w:rsidR="0005530D" w:rsidRPr="002838F2">
        <w:rPr>
          <w:rFonts w:asciiTheme="majorHAnsi" w:eastAsia="Calibri" w:hAnsiTheme="majorHAnsi" w:cstheme="majorHAnsi"/>
          <w:color w:val="0D0D0D"/>
          <w:sz w:val="24"/>
          <w:szCs w:val="24"/>
          <w:highlight w:val="white"/>
        </w:rPr>
        <w:t>development.</w:t>
      </w:r>
    </w:p>
    <w:p w14:paraId="00000039" w14:textId="6EF41359"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From the results garnered, we can view several trends which can be discussed linking towards the effectiveness of differentiated teaching upon a </w:t>
      </w:r>
      <w:r w:rsidR="00CC286A" w:rsidRPr="002838F2">
        <w:rPr>
          <w:rFonts w:asciiTheme="majorHAnsi" w:eastAsia="Calibri" w:hAnsiTheme="majorHAnsi" w:cstheme="majorHAnsi"/>
          <w:sz w:val="24"/>
          <w:szCs w:val="24"/>
        </w:rPr>
        <w:t>child’s</w:t>
      </w:r>
      <w:r w:rsidRPr="002838F2">
        <w:rPr>
          <w:rFonts w:asciiTheme="majorHAnsi" w:eastAsia="Calibri" w:hAnsiTheme="majorHAnsi" w:cstheme="majorHAnsi"/>
          <w:sz w:val="24"/>
          <w:szCs w:val="24"/>
        </w:rPr>
        <w:t xml:space="preserve"> attainment as well as their mindset towards it. It is shown in the results how majority of participants involved expressed high levels of enjoyment when it comes to their learning which links directly towards the reported enjoyment of their lessons - suggesting an overall positive attitude towards the learning process and classroom activities. I made the questionnaire relevant towards the age of the pupils through making it accessible with one of these ways of allowing it to be more accessible was through using it as a colouring/drawing exercise, linking in with reading </w:t>
      </w:r>
      <w:r w:rsidR="0005530D" w:rsidRPr="002838F2">
        <w:rPr>
          <w:rFonts w:asciiTheme="majorHAnsi" w:eastAsia="Calibri" w:hAnsiTheme="majorHAnsi" w:cstheme="majorHAnsi"/>
          <w:sz w:val="24"/>
          <w:szCs w:val="24"/>
        </w:rPr>
        <w:t xml:space="preserve">in order to </w:t>
      </w:r>
      <w:r w:rsidRPr="002838F2">
        <w:rPr>
          <w:rFonts w:asciiTheme="majorHAnsi" w:eastAsia="Calibri" w:hAnsiTheme="majorHAnsi" w:cstheme="majorHAnsi"/>
          <w:sz w:val="24"/>
          <w:szCs w:val="24"/>
        </w:rPr>
        <w:t xml:space="preserve">get the most engagement from the class. Which when linking towards their answers regarding their enjoyment of receiving a varied level of lessons, correlates strongly with the answers received on what type of learning they prefer in terms of either writing; reading; talking; acting or drawing.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(2013) outline how there are many activities that </w:t>
      </w:r>
      <w:r w:rsidR="0005530D" w:rsidRPr="002838F2">
        <w:rPr>
          <w:rFonts w:asciiTheme="majorHAnsi" w:eastAsia="Calibri" w:hAnsiTheme="majorHAnsi" w:cstheme="majorHAnsi"/>
          <w:sz w:val="24"/>
          <w:szCs w:val="24"/>
        </w:rPr>
        <w:t>c</w:t>
      </w:r>
      <w:r w:rsidRPr="002838F2">
        <w:rPr>
          <w:rFonts w:asciiTheme="majorHAnsi" w:eastAsia="Calibri" w:hAnsiTheme="majorHAnsi" w:cstheme="majorHAnsi"/>
          <w:sz w:val="24"/>
          <w:szCs w:val="24"/>
        </w:rPr>
        <w:t xml:space="preserve">an involve oral activity that can allow for more room to hit the varied differentiation levels, particularly when learning a new language. </w:t>
      </w:r>
    </w:p>
    <w:p w14:paraId="0000003A" w14:textId="7777777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I observed during various lessons that involved literacy with one being during a reading lesson. In these observations I made note of how multilingual pupils were responding to their given task, any events which presented a contribution to the level of engagement, and any moments aside from the activity provided in which pupils may be engaging with one another. An activity in which Child 1 was taking part in involved practicing spellings of words they have been practicing previously. During this activity I observed Child 1 (without interference), watched them begin by attempted to spell the words - before seemingly finding it too difficult so instead practiced reading the words on repeat for 8 minutes. After this time, Child 1 then began to start practice spelling these words. Although Child 1 may not have been confident in spelling the </w:t>
      </w:r>
      <w:r w:rsidRPr="002838F2">
        <w:rPr>
          <w:rFonts w:asciiTheme="majorHAnsi" w:eastAsia="Calibri" w:hAnsiTheme="majorHAnsi" w:cstheme="majorHAnsi"/>
          <w:sz w:val="24"/>
          <w:szCs w:val="24"/>
        </w:rPr>
        <w:lastRenderedPageBreak/>
        <w:t xml:space="preserve">words they appeared to try a different strategy to help them begin to understand the language. Despite the fact that this may feel beneficial to learn the language in this way to the child, </w:t>
      </w:r>
      <w:proofErr w:type="spellStart"/>
      <w:r w:rsidRPr="002838F2">
        <w:rPr>
          <w:rFonts w:asciiTheme="majorHAnsi" w:eastAsia="Calibri" w:hAnsiTheme="majorHAnsi" w:cstheme="majorHAnsi"/>
          <w:sz w:val="24"/>
          <w:szCs w:val="24"/>
        </w:rPr>
        <w:t>Macaro</w:t>
      </w:r>
      <w:proofErr w:type="spellEnd"/>
      <w:r w:rsidRPr="002838F2">
        <w:rPr>
          <w:rFonts w:asciiTheme="majorHAnsi" w:eastAsia="Calibri" w:hAnsiTheme="majorHAnsi" w:cstheme="majorHAnsi"/>
          <w:sz w:val="24"/>
          <w:szCs w:val="24"/>
        </w:rPr>
        <w:t xml:space="preserve"> and Balfour (2004) emphasise how pupils learn a new language best through writing - linking it towards an impact upon the communication levels which is supported through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(2013) outlining how understanding the mechanics of writing a new language correlates with the understanding of letters and words, otherwise a problem can occur with interpreting a new language using same strategies to their home language which may not link (Coffin </w:t>
      </w:r>
      <w:r w:rsidRPr="002838F2">
        <w:rPr>
          <w:rFonts w:asciiTheme="majorHAnsi" w:eastAsia="Calibri" w:hAnsiTheme="majorHAnsi" w:cstheme="majorHAnsi"/>
          <w:i/>
          <w:sz w:val="24"/>
          <w:szCs w:val="24"/>
        </w:rPr>
        <w:t>et al</w:t>
      </w:r>
      <w:r w:rsidRPr="002838F2">
        <w:rPr>
          <w:rFonts w:asciiTheme="majorHAnsi" w:eastAsia="Calibri" w:hAnsiTheme="majorHAnsi" w:cstheme="majorHAnsi"/>
          <w:sz w:val="24"/>
          <w:szCs w:val="24"/>
        </w:rPr>
        <w:t>., 2003). Child 1 eventually required instruction to practice writing their spellings, to which they did for 10 minutes before putting the whiteboard and pen away without instruction.</w:t>
      </w:r>
    </w:p>
    <w:p w14:paraId="0000003B" w14:textId="2401FD35"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In terms of the confidence levels of the pupils when it comes to reading, although most participants may have responded to high levels of confidence, there were still pupils who expressed that they were not confident with their reading. In comparison to the observations, similarly, pupils differed in how they were perceived when reading. Whilst Child 2 was reading a story on a digital device, instead of reading it to themselves, they used the audio function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have the text read to them rather than reading it themselves. When in comparison Child 3 and Child 4, whom all three pupils have similar levels of English, Child 3 and Child 4 read the text themselves without the use of audio support. Despite this,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(2013) outline an important factor when it comes to learning a new language in that the best introduction is through listening and through listening to a new language should be the main material when it comes to learning a new language within the classroom (Brinton,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-Murcia, 2013). Potentially through this, to help aid the confidence of pupils when it comes to reading, increasing the amount of time spent of a pupil reading with the aid of the text being read to them might allow their confidence levels to improve - however this could then lead to a multilingual learner becoming dependent on this aspect of learning as they become older, therefore it is crucial to find the correct balance in integrating audio support with independent reading opportunities - fostering confidence.</w:t>
      </w:r>
    </w:p>
    <w:p w14:paraId="0000003C" w14:textId="074417F7"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lastRenderedPageBreak/>
        <w:t xml:space="preserve">Brinton, Snow and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(2013) emphasise an importance in varying teaching strategies, advocating for the use of listening activities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learn new material. This supports the notion that engaging multilingual learners through different modes of learning can foster a supportive learning environment, contributing towards the confidence of the pupils and leading towards pupils feeling more confident in seeking advice from teachers, which is certainly an aspect that needs to be targeted. Therefore, incorporating diverse teaching strategies, and aligning this with the needs of a multilingual learner can facilitate their language development, as well as their experiences within education.</w:t>
      </w:r>
    </w:p>
    <w:p w14:paraId="0000003D" w14:textId="7F635110"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Despite the promising insights gained from the questionnaire and observations, challenges still surfaced in this research process which need to be considered. Most notably, due to the nature of this study consent was required from parents of the participants which was a logistical hurdle due to the language barrier in place by many parents who cannot read English. Due to this, I spoke to parents individually and explained the process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receive consent which resulted in a time-consuming process and ultimately led to a lower number of participant than desired. Limited sample size can provide implications towards the generalisability of the findings as well as the reliability. With the potential of having more participants involved would add to both the reliability of the study and the validity of discovering the effectiveness of the project. Additionally, time constraints also hindered the possibility of conducting interviews with teachers who would provide a valuable source of qualitative analysis in the effectiveness of teaching strategies. It may have limited the depth of understanding in this sector which may have provided links towards literature and other studies. Despite these challenges, having the input from a small sample size of varied learners still allowed for an insight on the differentiated strategies felt by those most affected - the learners.</w:t>
      </w:r>
    </w:p>
    <w:p w14:paraId="68538BE7" w14:textId="0408F8B8" w:rsidR="0005530D" w:rsidRPr="002838F2" w:rsidRDefault="0005530D" w:rsidP="002838F2">
      <w:pPr>
        <w:spacing w:before="240" w:after="240" w:line="360" w:lineRule="auto"/>
        <w:jc w:val="center"/>
        <w:rPr>
          <w:rFonts w:asciiTheme="majorHAnsi" w:eastAsia="Calibri" w:hAnsiTheme="majorHAnsi" w:cstheme="majorHAnsi"/>
          <w:sz w:val="28"/>
          <w:szCs w:val="28"/>
          <w:u w:val="single"/>
        </w:rPr>
      </w:pPr>
      <w:r w:rsidRPr="002838F2">
        <w:rPr>
          <w:rFonts w:asciiTheme="majorHAnsi" w:eastAsia="Calibri" w:hAnsiTheme="majorHAnsi" w:cstheme="majorHAnsi"/>
          <w:sz w:val="28"/>
          <w:szCs w:val="28"/>
          <w:u w:val="single"/>
        </w:rPr>
        <w:t>Conclusion and Recommendations</w:t>
      </w:r>
    </w:p>
    <w:p w14:paraId="0000003F" w14:textId="5945DD9C"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In conclusion, the methods employed within this research provided insights in the effectiveness of differentiated teaching strategies on multilingual learners. While the data collection methods used were suitable to discover different perspective of the dynamics involved, there were still limitations such as language barriers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gain consent, which impacted the reliability and </w:t>
      </w:r>
      <w:r w:rsidRPr="002838F2">
        <w:rPr>
          <w:rFonts w:asciiTheme="majorHAnsi" w:eastAsia="Calibri" w:hAnsiTheme="majorHAnsi" w:cstheme="majorHAnsi"/>
          <w:sz w:val="24"/>
          <w:szCs w:val="24"/>
        </w:rPr>
        <w:lastRenderedPageBreak/>
        <w:t xml:space="preserve">generalisability of these findings. Moving forward, efforts to integrate the consent process </w:t>
      </w:r>
      <w:r w:rsidR="0005530D" w:rsidRPr="002838F2">
        <w:rPr>
          <w:rFonts w:asciiTheme="majorHAnsi" w:eastAsia="Calibri" w:hAnsiTheme="majorHAnsi" w:cstheme="majorHAnsi"/>
          <w:sz w:val="24"/>
          <w:szCs w:val="24"/>
        </w:rPr>
        <w:t>to</w:t>
      </w:r>
      <w:r w:rsidRPr="002838F2">
        <w:rPr>
          <w:rFonts w:asciiTheme="majorHAnsi" w:eastAsia="Calibri" w:hAnsiTheme="majorHAnsi" w:cstheme="majorHAnsi"/>
          <w:sz w:val="24"/>
          <w:szCs w:val="24"/>
        </w:rPr>
        <w:t xml:space="preserve"> increase upon the sample size would allow for the reliability of this study to be greatly increased, as well as the validity - in terms of future research processes. Having the opportunity and time to conduct interviews with teachers to gain an </w:t>
      </w:r>
      <w:r w:rsidR="0005530D" w:rsidRPr="002838F2">
        <w:rPr>
          <w:rFonts w:asciiTheme="majorHAnsi" w:eastAsia="Calibri" w:hAnsiTheme="majorHAnsi" w:cstheme="majorHAnsi"/>
          <w:sz w:val="24"/>
          <w:szCs w:val="24"/>
        </w:rPr>
        <w:t>in-depth</w:t>
      </w:r>
      <w:r w:rsidRPr="002838F2">
        <w:rPr>
          <w:rFonts w:asciiTheme="majorHAnsi" w:eastAsia="Calibri" w:hAnsiTheme="majorHAnsi" w:cstheme="majorHAnsi"/>
          <w:sz w:val="24"/>
          <w:szCs w:val="24"/>
        </w:rPr>
        <w:t xml:space="preserve"> insight with those at the forefront of the learning will again add to the depth of analysis. Future research will prioritise addressing these challenges to ensure the reliability, validity and generalisability is maximised to its potential.</w:t>
      </w:r>
    </w:p>
    <w:p w14:paraId="390AEF9F" w14:textId="1CA8AF0D" w:rsidR="000F4E4A" w:rsidRPr="002838F2" w:rsidRDefault="000F4E4A"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Having the opportunity to conduct interviews with teachers would also allow for insight into pedagogical approaches aligning with the professional standards and therefore enriching the depth of data and analysis. </w:t>
      </w:r>
    </w:p>
    <w:p w14:paraId="00000054" w14:textId="4BD4AD58" w:rsidR="00AE4295" w:rsidRPr="002838F2" w:rsidRDefault="00000000"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Looking into recommendations for future practice to enhance upon the learning of multilingual students, having the important aspect of implementing differentiated teaching strategies to cater to the learning preference of pupils, such as listening activities and visual aids, can allow for a more supportive learning environment in which a multilingual learner can thrive within. Furthermore, future research should explore the interventions such as workshops for teachers on providing effective strategies to maximise the learning of multilingual pupils. This research underlines the importance of an ongoing inquiry and collaboration in improving upon a classroom filled with equity and inclusivity.</w:t>
      </w:r>
    </w:p>
    <w:p w14:paraId="18AEDBBA" w14:textId="77777777" w:rsidR="002838F2" w:rsidRDefault="002838F2" w:rsidP="002838F2">
      <w:pPr>
        <w:spacing w:before="240" w:after="240" w:line="360" w:lineRule="auto"/>
        <w:rPr>
          <w:rFonts w:asciiTheme="majorHAnsi" w:eastAsia="Calibri" w:hAnsiTheme="majorHAnsi" w:cstheme="majorHAnsi"/>
          <w:sz w:val="24"/>
          <w:szCs w:val="24"/>
        </w:rPr>
      </w:pPr>
    </w:p>
    <w:p w14:paraId="2D5D8D75" w14:textId="77777777" w:rsidR="002838F2" w:rsidRDefault="002838F2" w:rsidP="002838F2">
      <w:pPr>
        <w:spacing w:before="240" w:after="240" w:line="360" w:lineRule="auto"/>
        <w:rPr>
          <w:rFonts w:asciiTheme="majorHAnsi" w:eastAsia="Calibri" w:hAnsiTheme="majorHAnsi" w:cstheme="majorHAnsi"/>
          <w:sz w:val="24"/>
          <w:szCs w:val="24"/>
        </w:rPr>
      </w:pPr>
    </w:p>
    <w:p w14:paraId="5975F990" w14:textId="77777777" w:rsidR="002838F2" w:rsidRDefault="002838F2" w:rsidP="002838F2">
      <w:pPr>
        <w:spacing w:before="240" w:after="240" w:line="360" w:lineRule="auto"/>
        <w:rPr>
          <w:rFonts w:asciiTheme="majorHAnsi" w:eastAsia="Calibri" w:hAnsiTheme="majorHAnsi" w:cstheme="majorHAnsi"/>
          <w:sz w:val="24"/>
          <w:szCs w:val="24"/>
        </w:rPr>
      </w:pPr>
    </w:p>
    <w:p w14:paraId="46DEF0A7" w14:textId="77777777" w:rsidR="002838F2" w:rsidRDefault="002838F2" w:rsidP="002838F2">
      <w:pPr>
        <w:spacing w:before="240" w:after="240" w:line="360" w:lineRule="auto"/>
        <w:rPr>
          <w:rFonts w:asciiTheme="majorHAnsi" w:eastAsia="Calibri" w:hAnsiTheme="majorHAnsi" w:cstheme="majorHAnsi"/>
          <w:sz w:val="24"/>
          <w:szCs w:val="24"/>
        </w:rPr>
      </w:pPr>
    </w:p>
    <w:p w14:paraId="64CD0C58" w14:textId="77777777" w:rsidR="002838F2" w:rsidRDefault="002838F2" w:rsidP="002838F2">
      <w:pPr>
        <w:spacing w:before="240" w:after="240" w:line="360" w:lineRule="auto"/>
        <w:rPr>
          <w:rFonts w:asciiTheme="majorHAnsi" w:eastAsia="Calibri" w:hAnsiTheme="majorHAnsi" w:cstheme="majorHAnsi"/>
          <w:sz w:val="24"/>
          <w:szCs w:val="24"/>
        </w:rPr>
      </w:pPr>
    </w:p>
    <w:p w14:paraId="4D35F7D6" w14:textId="77777777" w:rsidR="002838F2" w:rsidRPr="002838F2" w:rsidRDefault="002838F2" w:rsidP="002838F2">
      <w:pPr>
        <w:spacing w:before="240" w:after="240" w:line="360" w:lineRule="auto"/>
        <w:rPr>
          <w:rFonts w:asciiTheme="majorHAnsi" w:eastAsia="Calibri" w:hAnsiTheme="majorHAnsi" w:cstheme="majorHAnsi"/>
          <w:sz w:val="24"/>
          <w:szCs w:val="24"/>
        </w:rPr>
      </w:pPr>
    </w:p>
    <w:p w14:paraId="4F04993E" w14:textId="77777777" w:rsidR="002838F2" w:rsidRPr="002838F2" w:rsidRDefault="002838F2" w:rsidP="002838F2">
      <w:pPr>
        <w:spacing w:line="360" w:lineRule="auto"/>
        <w:rPr>
          <w:rFonts w:asciiTheme="majorHAnsi" w:eastAsia="Calibri" w:hAnsiTheme="majorHAnsi" w:cstheme="majorHAnsi"/>
          <w:sz w:val="24"/>
          <w:szCs w:val="24"/>
          <w:u w:val="single"/>
        </w:rPr>
      </w:pPr>
      <w:r w:rsidRPr="002838F2">
        <w:rPr>
          <w:rFonts w:asciiTheme="majorHAnsi" w:eastAsia="Calibri" w:hAnsiTheme="majorHAnsi" w:cstheme="majorHAnsi"/>
          <w:sz w:val="24"/>
          <w:szCs w:val="24"/>
          <w:u w:val="single"/>
        </w:rPr>
        <w:lastRenderedPageBreak/>
        <w:t>Reference list</w:t>
      </w:r>
    </w:p>
    <w:p w14:paraId="7E77C725" w14:textId="77777777" w:rsidR="002838F2" w:rsidRPr="002838F2" w:rsidRDefault="002838F2" w:rsidP="002838F2">
      <w:pPr>
        <w:spacing w:before="240" w:after="240" w:line="360" w:lineRule="auto"/>
        <w:rPr>
          <w:rFonts w:asciiTheme="majorHAnsi" w:eastAsia="Calibri" w:hAnsiTheme="majorHAnsi" w:cstheme="majorHAnsi"/>
          <w:color w:val="3A3A3A"/>
          <w:sz w:val="24"/>
          <w:szCs w:val="24"/>
        </w:rPr>
      </w:pPr>
      <w:r w:rsidRPr="002838F2">
        <w:rPr>
          <w:rFonts w:asciiTheme="majorHAnsi" w:eastAsia="Calibri" w:hAnsiTheme="majorHAnsi" w:cstheme="majorHAnsi"/>
          <w:sz w:val="24"/>
          <w:szCs w:val="24"/>
        </w:rPr>
        <w:t xml:space="preserve">Bailey, L. and Sowden, H. (2021) “Reflective accounts of teaching literacy to pupils with English as an additional language (EAL) in primary education,” </w:t>
      </w:r>
      <w:r w:rsidRPr="002838F2">
        <w:rPr>
          <w:rFonts w:asciiTheme="majorHAnsi" w:eastAsia="Calibri" w:hAnsiTheme="majorHAnsi" w:cstheme="majorHAnsi"/>
          <w:i/>
          <w:sz w:val="24"/>
          <w:szCs w:val="24"/>
        </w:rPr>
        <w:t>English in education</w:t>
      </w:r>
      <w:r w:rsidRPr="002838F2">
        <w:rPr>
          <w:rFonts w:asciiTheme="majorHAnsi" w:eastAsia="Calibri" w:hAnsiTheme="majorHAnsi" w:cstheme="majorHAnsi"/>
          <w:sz w:val="24"/>
          <w:szCs w:val="24"/>
        </w:rPr>
        <w:t>, 55(4), pp. 286–300. Available at:</w:t>
      </w:r>
      <w:r w:rsidRPr="002838F2">
        <w:rPr>
          <w:rFonts w:asciiTheme="majorHAnsi" w:eastAsia="Calibri" w:hAnsiTheme="majorHAnsi" w:cstheme="majorHAnsi"/>
          <w:color w:val="3A3A3A"/>
          <w:sz w:val="24"/>
          <w:szCs w:val="24"/>
        </w:rPr>
        <w:t xml:space="preserve"> </w:t>
      </w:r>
      <w:hyperlink r:id="rId7">
        <w:r w:rsidRPr="002838F2">
          <w:rPr>
            <w:rFonts w:asciiTheme="majorHAnsi" w:eastAsia="Calibri" w:hAnsiTheme="majorHAnsi" w:cstheme="majorHAnsi"/>
            <w:color w:val="1155CC"/>
            <w:sz w:val="24"/>
            <w:szCs w:val="24"/>
            <w:u w:val="single"/>
          </w:rPr>
          <w:t>https://doi.org/10.1080/04250494.2021.1895670</w:t>
        </w:r>
      </w:hyperlink>
      <w:r w:rsidRPr="002838F2">
        <w:rPr>
          <w:rFonts w:asciiTheme="majorHAnsi" w:eastAsia="Calibri" w:hAnsiTheme="majorHAnsi" w:cstheme="majorHAnsi"/>
          <w:color w:val="3A3A3A"/>
          <w:sz w:val="24"/>
          <w:szCs w:val="24"/>
        </w:rPr>
        <w:t xml:space="preserve">. </w:t>
      </w:r>
    </w:p>
    <w:p w14:paraId="541FDEA9" w14:textId="77777777" w:rsidR="002838F2" w:rsidRPr="002838F2" w:rsidRDefault="002838F2" w:rsidP="002838F2">
      <w:pPr>
        <w:spacing w:line="360" w:lineRule="auto"/>
        <w:rPr>
          <w:rFonts w:asciiTheme="majorHAnsi" w:eastAsia="Calibri" w:hAnsiTheme="majorHAnsi" w:cstheme="majorHAnsi"/>
          <w:color w:val="3A3A3A"/>
          <w:sz w:val="24"/>
          <w:szCs w:val="24"/>
        </w:rPr>
      </w:pPr>
      <w:r w:rsidRPr="002838F2">
        <w:rPr>
          <w:rFonts w:asciiTheme="majorHAnsi" w:eastAsia="Calibri" w:hAnsiTheme="majorHAnsi" w:cstheme="majorHAnsi"/>
          <w:sz w:val="24"/>
          <w:szCs w:val="24"/>
        </w:rPr>
        <w:t xml:space="preserve">Bolos, N. (2012) “Successful Strategies for Teaching Reading to Middle Grades English Language Learners: Teachers Can Employ a Variety of Classroom-Tested Strategies to Teach Reading to English Language Learners,” </w:t>
      </w:r>
      <w:r w:rsidRPr="002838F2">
        <w:rPr>
          <w:rFonts w:asciiTheme="majorHAnsi" w:eastAsia="Calibri" w:hAnsiTheme="majorHAnsi" w:cstheme="majorHAnsi"/>
          <w:i/>
          <w:sz w:val="24"/>
          <w:szCs w:val="24"/>
        </w:rPr>
        <w:t>Middle school journal</w:t>
      </w:r>
      <w:r w:rsidRPr="002838F2">
        <w:rPr>
          <w:rFonts w:asciiTheme="majorHAnsi" w:eastAsia="Calibri" w:hAnsiTheme="majorHAnsi" w:cstheme="majorHAnsi"/>
          <w:sz w:val="24"/>
          <w:szCs w:val="24"/>
        </w:rPr>
        <w:t>, 44(2), pp. 14–20. Available at</w:t>
      </w:r>
      <w:r w:rsidRPr="002838F2">
        <w:rPr>
          <w:rFonts w:asciiTheme="majorHAnsi" w:eastAsia="Calibri" w:hAnsiTheme="majorHAnsi" w:cstheme="majorHAnsi"/>
          <w:color w:val="3A3A3A"/>
          <w:sz w:val="24"/>
          <w:szCs w:val="24"/>
        </w:rPr>
        <w:t xml:space="preserve">: </w:t>
      </w:r>
      <w:hyperlink r:id="rId8">
        <w:r w:rsidRPr="002838F2">
          <w:rPr>
            <w:rFonts w:asciiTheme="majorHAnsi" w:eastAsia="Calibri" w:hAnsiTheme="majorHAnsi" w:cstheme="majorHAnsi"/>
            <w:color w:val="1155CC"/>
            <w:sz w:val="24"/>
            <w:szCs w:val="24"/>
            <w:u w:val="single"/>
          </w:rPr>
          <w:t>https://doi.org/10.1080/00940771.2012.11461843</w:t>
        </w:r>
      </w:hyperlink>
      <w:r w:rsidRPr="002838F2">
        <w:rPr>
          <w:rFonts w:asciiTheme="majorHAnsi" w:eastAsia="Calibri" w:hAnsiTheme="majorHAnsi" w:cstheme="majorHAnsi"/>
          <w:color w:val="3A3A3A"/>
          <w:sz w:val="24"/>
          <w:szCs w:val="24"/>
        </w:rPr>
        <w:t xml:space="preserve">. </w:t>
      </w:r>
    </w:p>
    <w:p w14:paraId="65ADDBEC"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59DAE777"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Brace, I. (2008) </w:t>
      </w:r>
      <w:r w:rsidRPr="002838F2">
        <w:rPr>
          <w:rFonts w:asciiTheme="majorHAnsi" w:eastAsia="Calibri" w:hAnsiTheme="majorHAnsi" w:cstheme="majorHAnsi"/>
          <w:i/>
          <w:sz w:val="24"/>
          <w:szCs w:val="24"/>
        </w:rPr>
        <w:t>Questionnaire design : how to plan, structure and write survey material for effective market research</w:t>
      </w:r>
      <w:r w:rsidRPr="002838F2">
        <w:rPr>
          <w:rFonts w:asciiTheme="majorHAnsi" w:eastAsia="Calibri" w:hAnsiTheme="majorHAnsi" w:cstheme="majorHAnsi"/>
          <w:sz w:val="24"/>
          <w:szCs w:val="24"/>
          <w:highlight w:val="white"/>
        </w:rPr>
        <w:t>. 2nd ed. London: Kogan Page.</w:t>
      </w:r>
    </w:p>
    <w:p w14:paraId="3DEEAE4D"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08A1934C" w14:textId="77777777" w:rsidR="002838F2" w:rsidRPr="002838F2" w:rsidRDefault="002838F2" w:rsidP="002838F2">
      <w:pPr>
        <w:spacing w:line="360" w:lineRule="auto"/>
        <w:rPr>
          <w:rFonts w:asciiTheme="majorHAnsi" w:eastAsia="Calibri" w:hAnsiTheme="majorHAnsi" w:cstheme="majorHAnsi"/>
          <w:color w:val="3A3A3A"/>
          <w:sz w:val="24"/>
          <w:szCs w:val="24"/>
          <w:highlight w:val="white"/>
        </w:rPr>
      </w:pPr>
      <w:r w:rsidRPr="002838F2">
        <w:rPr>
          <w:rFonts w:asciiTheme="majorHAnsi" w:eastAsia="Calibri" w:hAnsiTheme="majorHAnsi" w:cstheme="majorHAnsi"/>
          <w:sz w:val="24"/>
          <w:szCs w:val="24"/>
          <w:highlight w:val="white"/>
        </w:rPr>
        <w:t xml:space="preserve">Braun, V. and Clarke, V. (2006) ‘Using thematic analysis in psychology’, </w:t>
      </w:r>
      <w:r w:rsidRPr="002838F2">
        <w:rPr>
          <w:rFonts w:asciiTheme="majorHAnsi" w:eastAsia="Calibri" w:hAnsiTheme="majorHAnsi" w:cstheme="majorHAnsi"/>
          <w:i/>
          <w:sz w:val="24"/>
          <w:szCs w:val="24"/>
          <w:highlight w:val="white"/>
        </w:rPr>
        <w:t>Qualitative research in psychology</w:t>
      </w:r>
      <w:r w:rsidRPr="002838F2">
        <w:rPr>
          <w:rFonts w:asciiTheme="majorHAnsi" w:eastAsia="Calibri" w:hAnsiTheme="majorHAnsi" w:cstheme="majorHAnsi"/>
          <w:sz w:val="24"/>
          <w:szCs w:val="24"/>
          <w:highlight w:val="white"/>
        </w:rPr>
        <w:t>, 3(2), pp. 77–101. Available at:</w:t>
      </w:r>
      <w:r w:rsidRPr="002838F2">
        <w:rPr>
          <w:rFonts w:asciiTheme="majorHAnsi" w:eastAsia="Calibri" w:hAnsiTheme="majorHAnsi" w:cstheme="majorHAnsi"/>
          <w:color w:val="3A3A3A"/>
          <w:sz w:val="24"/>
          <w:szCs w:val="24"/>
          <w:highlight w:val="white"/>
        </w:rPr>
        <w:t xml:space="preserve"> </w:t>
      </w:r>
      <w:hyperlink r:id="rId9">
        <w:r w:rsidRPr="002838F2">
          <w:rPr>
            <w:rFonts w:asciiTheme="majorHAnsi" w:eastAsia="Calibri" w:hAnsiTheme="majorHAnsi" w:cstheme="majorHAnsi"/>
            <w:color w:val="1155CC"/>
            <w:sz w:val="24"/>
            <w:szCs w:val="24"/>
            <w:highlight w:val="white"/>
            <w:u w:val="single"/>
          </w:rPr>
          <w:t>https://doi.org/10.1191/1478088706qp063oa</w:t>
        </w:r>
      </w:hyperlink>
      <w:r w:rsidRPr="002838F2">
        <w:rPr>
          <w:rFonts w:asciiTheme="majorHAnsi" w:eastAsia="Calibri" w:hAnsiTheme="majorHAnsi" w:cstheme="majorHAnsi"/>
          <w:color w:val="3A3A3A"/>
          <w:sz w:val="24"/>
          <w:szCs w:val="24"/>
          <w:highlight w:val="white"/>
        </w:rPr>
        <w:t xml:space="preserve">. </w:t>
      </w:r>
    </w:p>
    <w:p w14:paraId="399C7D7D" w14:textId="77777777" w:rsidR="002838F2" w:rsidRPr="002838F2" w:rsidRDefault="002838F2" w:rsidP="002838F2">
      <w:pPr>
        <w:spacing w:line="360" w:lineRule="auto"/>
        <w:rPr>
          <w:rFonts w:asciiTheme="majorHAnsi" w:eastAsia="Calibri" w:hAnsiTheme="majorHAnsi" w:cstheme="majorHAnsi"/>
          <w:sz w:val="24"/>
          <w:szCs w:val="24"/>
        </w:rPr>
      </w:pPr>
    </w:p>
    <w:p w14:paraId="4386E4B3"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Brinton, D., Snow, M. A., </w:t>
      </w:r>
      <w:proofErr w:type="spellStart"/>
      <w:r w:rsidRPr="002838F2">
        <w:rPr>
          <w:rFonts w:asciiTheme="majorHAnsi" w:eastAsia="Calibri" w:hAnsiTheme="majorHAnsi" w:cstheme="majorHAnsi"/>
          <w:sz w:val="24"/>
          <w:szCs w:val="24"/>
        </w:rPr>
        <w:t>Celce</w:t>
      </w:r>
      <w:proofErr w:type="spellEnd"/>
      <w:r w:rsidRPr="002838F2">
        <w:rPr>
          <w:rFonts w:asciiTheme="majorHAnsi" w:eastAsia="Calibri" w:hAnsiTheme="majorHAnsi" w:cstheme="majorHAnsi"/>
          <w:sz w:val="24"/>
          <w:szCs w:val="24"/>
        </w:rPr>
        <w:t xml:space="preserve">-Murcia, M. (2013) </w:t>
      </w:r>
      <w:r w:rsidRPr="002838F2">
        <w:rPr>
          <w:rFonts w:asciiTheme="majorHAnsi" w:eastAsia="Calibri" w:hAnsiTheme="majorHAnsi" w:cstheme="majorHAnsi"/>
          <w:i/>
          <w:sz w:val="24"/>
          <w:szCs w:val="24"/>
        </w:rPr>
        <w:t>Teaching English as a Second or Foreign Language</w:t>
      </w:r>
      <w:r w:rsidRPr="002838F2">
        <w:rPr>
          <w:rFonts w:asciiTheme="majorHAnsi" w:eastAsia="Calibri" w:hAnsiTheme="majorHAnsi" w:cstheme="majorHAnsi"/>
          <w:sz w:val="24"/>
          <w:szCs w:val="24"/>
        </w:rPr>
        <w:t xml:space="preserve">. 4 </w:t>
      </w:r>
      <w:proofErr w:type="spellStart"/>
      <w:r w:rsidRPr="002838F2">
        <w:rPr>
          <w:rFonts w:asciiTheme="majorHAnsi" w:eastAsia="Calibri" w:hAnsiTheme="majorHAnsi" w:cstheme="majorHAnsi"/>
          <w:sz w:val="24"/>
          <w:szCs w:val="24"/>
        </w:rPr>
        <w:t>edn</w:t>
      </w:r>
      <w:proofErr w:type="spellEnd"/>
      <w:r w:rsidRPr="002838F2">
        <w:rPr>
          <w:rFonts w:asciiTheme="majorHAnsi" w:eastAsia="Calibri" w:hAnsiTheme="majorHAnsi" w:cstheme="majorHAnsi"/>
          <w:sz w:val="24"/>
          <w:szCs w:val="24"/>
        </w:rPr>
        <w:t>. Cengage Learning: N/A.</w:t>
      </w:r>
    </w:p>
    <w:p w14:paraId="29007B06" w14:textId="77777777" w:rsidR="002838F2" w:rsidRPr="002838F2" w:rsidRDefault="002838F2" w:rsidP="002838F2">
      <w:pPr>
        <w:spacing w:line="360" w:lineRule="auto"/>
        <w:rPr>
          <w:rFonts w:asciiTheme="majorHAnsi" w:eastAsia="Calibri" w:hAnsiTheme="majorHAnsi" w:cstheme="majorHAnsi"/>
          <w:sz w:val="24"/>
          <w:szCs w:val="24"/>
        </w:rPr>
      </w:pPr>
    </w:p>
    <w:p w14:paraId="127C6069"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Bruner, J. (1960) </w:t>
      </w:r>
      <w:r w:rsidRPr="002838F2">
        <w:rPr>
          <w:rFonts w:asciiTheme="majorHAnsi" w:eastAsia="Calibri" w:hAnsiTheme="majorHAnsi" w:cstheme="majorHAnsi"/>
          <w:i/>
          <w:sz w:val="24"/>
          <w:szCs w:val="24"/>
        </w:rPr>
        <w:t>The Process of Education</w:t>
      </w:r>
      <w:r w:rsidRPr="002838F2">
        <w:rPr>
          <w:rFonts w:asciiTheme="majorHAnsi" w:eastAsia="Calibri" w:hAnsiTheme="majorHAnsi" w:cstheme="majorHAnsi"/>
          <w:sz w:val="24"/>
          <w:szCs w:val="24"/>
        </w:rPr>
        <w:t xml:space="preserve">. Cambridge, Massachusetts, London, England: Harvard University Press </w:t>
      </w:r>
    </w:p>
    <w:p w14:paraId="488B5DB5" w14:textId="77777777" w:rsidR="002838F2" w:rsidRPr="002838F2" w:rsidRDefault="002838F2" w:rsidP="002838F2">
      <w:pPr>
        <w:spacing w:line="360" w:lineRule="auto"/>
        <w:rPr>
          <w:rFonts w:asciiTheme="majorHAnsi" w:eastAsia="Calibri" w:hAnsiTheme="majorHAnsi" w:cstheme="majorHAnsi"/>
          <w:sz w:val="24"/>
          <w:szCs w:val="24"/>
        </w:rPr>
      </w:pPr>
    </w:p>
    <w:p w14:paraId="2596C01F" w14:textId="77777777" w:rsidR="002838F2" w:rsidRPr="002838F2" w:rsidRDefault="002838F2" w:rsidP="002838F2">
      <w:pPr>
        <w:spacing w:line="360" w:lineRule="auto"/>
        <w:rPr>
          <w:rFonts w:asciiTheme="majorHAnsi" w:eastAsia="Calibri" w:hAnsiTheme="majorHAnsi" w:cstheme="majorHAnsi"/>
          <w:sz w:val="24"/>
          <w:szCs w:val="24"/>
        </w:rPr>
      </w:pPr>
      <w:proofErr w:type="spellStart"/>
      <w:r w:rsidRPr="002838F2">
        <w:rPr>
          <w:rFonts w:asciiTheme="majorHAnsi" w:eastAsia="Calibri" w:hAnsiTheme="majorHAnsi" w:cstheme="majorHAnsi"/>
          <w:sz w:val="24"/>
          <w:szCs w:val="24"/>
        </w:rPr>
        <w:t>Choudry</w:t>
      </w:r>
      <w:proofErr w:type="spellEnd"/>
      <w:r w:rsidRPr="002838F2">
        <w:rPr>
          <w:rFonts w:asciiTheme="majorHAnsi" w:eastAsia="Calibri" w:hAnsiTheme="majorHAnsi" w:cstheme="majorHAnsi"/>
          <w:sz w:val="24"/>
          <w:szCs w:val="24"/>
        </w:rPr>
        <w:t xml:space="preserve">, S. (2021) </w:t>
      </w:r>
      <w:r w:rsidRPr="002838F2">
        <w:rPr>
          <w:rFonts w:asciiTheme="majorHAnsi" w:eastAsia="Calibri" w:hAnsiTheme="majorHAnsi" w:cstheme="majorHAnsi"/>
          <w:i/>
          <w:sz w:val="24"/>
          <w:szCs w:val="24"/>
        </w:rPr>
        <w:t>Equitable Education : What everyone working in education should know about closing the attainment gap for all pupils</w:t>
      </w:r>
      <w:r w:rsidRPr="002838F2">
        <w:rPr>
          <w:rFonts w:asciiTheme="majorHAnsi" w:eastAsia="Calibri" w:hAnsiTheme="majorHAnsi" w:cstheme="majorHAnsi"/>
          <w:sz w:val="24"/>
          <w:szCs w:val="24"/>
        </w:rPr>
        <w:t>. St Albans: Critical Publishing.</w:t>
      </w:r>
    </w:p>
    <w:p w14:paraId="23553729" w14:textId="77777777" w:rsidR="002838F2" w:rsidRPr="002838F2" w:rsidRDefault="002838F2" w:rsidP="002838F2">
      <w:pPr>
        <w:spacing w:line="360" w:lineRule="auto"/>
        <w:rPr>
          <w:rFonts w:asciiTheme="majorHAnsi" w:eastAsia="Calibri" w:hAnsiTheme="majorHAnsi" w:cstheme="majorHAnsi"/>
          <w:sz w:val="24"/>
          <w:szCs w:val="24"/>
        </w:rPr>
      </w:pPr>
    </w:p>
    <w:p w14:paraId="1731E7D4"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Coffin, C. J., Curry, J. C., Goodman, S., </w:t>
      </w:r>
      <w:proofErr w:type="spellStart"/>
      <w:r w:rsidRPr="002838F2">
        <w:rPr>
          <w:rFonts w:asciiTheme="majorHAnsi" w:eastAsia="Calibri" w:hAnsiTheme="majorHAnsi" w:cstheme="majorHAnsi"/>
          <w:sz w:val="24"/>
          <w:szCs w:val="24"/>
        </w:rPr>
        <w:t>Hewings</w:t>
      </w:r>
      <w:proofErr w:type="spellEnd"/>
      <w:r w:rsidRPr="002838F2">
        <w:rPr>
          <w:rFonts w:asciiTheme="majorHAnsi" w:eastAsia="Calibri" w:hAnsiTheme="majorHAnsi" w:cstheme="majorHAnsi"/>
          <w:sz w:val="24"/>
          <w:szCs w:val="24"/>
        </w:rPr>
        <w:t>, A., Lillis, T., Swann, J. (2003) Teaching Academic Writing: A Toolkit for Higher Education. London and New York: Routledge</w:t>
      </w:r>
    </w:p>
    <w:p w14:paraId="709771E0"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7CF8919D" w14:textId="77777777" w:rsidR="002838F2" w:rsidRPr="002838F2" w:rsidRDefault="002838F2" w:rsidP="002838F2">
      <w:pPr>
        <w:spacing w:line="360" w:lineRule="auto"/>
        <w:rPr>
          <w:rFonts w:asciiTheme="majorHAnsi" w:eastAsia="Calibri" w:hAnsiTheme="majorHAnsi" w:cstheme="majorHAnsi"/>
          <w:sz w:val="24"/>
          <w:szCs w:val="24"/>
          <w:highlight w:val="white"/>
        </w:rPr>
      </w:pPr>
      <w:proofErr w:type="spellStart"/>
      <w:r w:rsidRPr="002838F2">
        <w:rPr>
          <w:rFonts w:asciiTheme="majorHAnsi" w:eastAsia="Calibri" w:hAnsiTheme="majorHAnsi" w:cstheme="majorHAnsi"/>
          <w:sz w:val="24"/>
          <w:szCs w:val="24"/>
          <w:highlight w:val="white"/>
        </w:rPr>
        <w:lastRenderedPageBreak/>
        <w:t>Cresswell</w:t>
      </w:r>
      <w:proofErr w:type="spellEnd"/>
      <w:r w:rsidRPr="002838F2">
        <w:rPr>
          <w:rFonts w:asciiTheme="majorHAnsi" w:eastAsia="Calibri" w:hAnsiTheme="majorHAnsi" w:cstheme="majorHAnsi"/>
          <w:sz w:val="24"/>
          <w:szCs w:val="24"/>
          <w:highlight w:val="white"/>
        </w:rPr>
        <w:t xml:space="preserve">, J. (2007) </w:t>
      </w:r>
      <w:r w:rsidRPr="002838F2">
        <w:rPr>
          <w:rFonts w:asciiTheme="majorHAnsi" w:eastAsia="Calibri" w:hAnsiTheme="majorHAnsi" w:cstheme="majorHAnsi"/>
          <w:i/>
          <w:sz w:val="24"/>
          <w:szCs w:val="24"/>
          <w:highlight w:val="white"/>
        </w:rPr>
        <w:t>Quality Inquiry and Research Design: Choosing Among Five Approaches</w:t>
      </w:r>
      <w:r w:rsidRPr="002838F2">
        <w:rPr>
          <w:rFonts w:asciiTheme="majorHAnsi" w:eastAsia="Calibri" w:hAnsiTheme="majorHAnsi" w:cstheme="majorHAnsi"/>
          <w:sz w:val="24"/>
          <w:szCs w:val="24"/>
          <w:highlight w:val="white"/>
        </w:rPr>
        <w:t xml:space="preserve">. 2 </w:t>
      </w:r>
      <w:proofErr w:type="spellStart"/>
      <w:r w:rsidRPr="002838F2">
        <w:rPr>
          <w:rFonts w:asciiTheme="majorHAnsi" w:eastAsia="Calibri" w:hAnsiTheme="majorHAnsi" w:cstheme="majorHAnsi"/>
          <w:sz w:val="24"/>
          <w:szCs w:val="24"/>
          <w:highlight w:val="white"/>
        </w:rPr>
        <w:t>edn</w:t>
      </w:r>
      <w:proofErr w:type="spellEnd"/>
      <w:r w:rsidRPr="002838F2">
        <w:rPr>
          <w:rFonts w:asciiTheme="majorHAnsi" w:eastAsia="Calibri" w:hAnsiTheme="majorHAnsi" w:cstheme="majorHAnsi"/>
          <w:sz w:val="24"/>
          <w:szCs w:val="24"/>
          <w:highlight w:val="white"/>
        </w:rPr>
        <w:t xml:space="preserve">. Nebraska: Sage </w:t>
      </w:r>
    </w:p>
    <w:p w14:paraId="66F71BF5" w14:textId="77777777" w:rsidR="002838F2" w:rsidRPr="002838F2" w:rsidRDefault="002838F2" w:rsidP="002838F2">
      <w:pPr>
        <w:spacing w:line="360" w:lineRule="auto"/>
        <w:rPr>
          <w:rFonts w:asciiTheme="majorHAnsi" w:eastAsia="Calibri" w:hAnsiTheme="majorHAnsi" w:cstheme="majorHAnsi"/>
          <w:sz w:val="24"/>
          <w:szCs w:val="24"/>
        </w:rPr>
      </w:pPr>
    </w:p>
    <w:p w14:paraId="30F883CF"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Danaher, M. (1996) ‘Teaching listening skills to JFL students in Australia’, </w:t>
      </w:r>
      <w:r w:rsidRPr="002838F2">
        <w:rPr>
          <w:rFonts w:asciiTheme="majorHAnsi" w:eastAsia="Calibri" w:hAnsiTheme="majorHAnsi" w:cstheme="majorHAnsi"/>
          <w:i/>
          <w:sz w:val="24"/>
          <w:szCs w:val="24"/>
        </w:rPr>
        <w:t>The Language Learning Journal</w:t>
      </w:r>
      <w:r w:rsidRPr="002838F2">
        <w:rPr>
          <w:rFonts w:asciiTheme="majorHAnsi" w:eastAsia="Calibri" w:hAnsiTheme="majorHAnsi" w:cstheme="majorHAnsi"/>
          <w:sz w:val="24"/>
          <w:szCs w:val="24"/>
        </w:rPr>
        <w:t xml:space="preserve">, 13(1), pp. 42–44. </w:t>
      </w:r>
      <w:hyperlink r:id="rId10">
        <w:r w:rsidRPr="002838F2">
          <w:rPr>
            <w:rFonts w:asciiTheme="majorHAnsi" w:eastAsia="Calibri" w:hAnsiTheme="majorHAnsi" w:cstheme="majorHAnsi"/>
            <w:color w:val="1155CC"/>
            <w:sz w:val="24"/>
            <w:szCs w:val="24"/>
            <w:u w:val="single"/>
          </w:rPr>
          <w:t>https://doi.org/10.1080/09571739685200131</w:t>
        </w:r>
      </w:hyperlink>
    </w:p>
    <w:p w14:paraId="48E57510" w14:textId="77777777" w:rsidR="002838F2" w:rsidRPr="002838F2" w:rsidRDefault="002838F2" w:rsidP="002838F2">
      <w:pPr>
        <w:spacing w:line="360" w:lineRule="auto"/>
        <w:rPr>
          <w:rFonts w:asciiTheme="majorHAnsi" w:eastAsia="Calibri" w:hAnsiTheme="majorHAnsi" w:cstheme="majorHAnsi"/>
          <w:sz w:val="24"/>
          <w:szCs w:val="24"/>
        </w:rPr>
      </w:pPr>
    </w:p>
    <w:p w14:paraId="25C8D0FD" w14:textId="77777777" w:rsidR="002838F2" w:rsidRPr="002838F2" w:rsidRDefault="002838F2" w:rsidP="002838F2">
      <w:pPr>
        <w:spacing w:line="360" w:lineRule="auto"/>
        <w:rPr>
          <w:rFonts w:asciiTheme="majorHAnsi" w:eastAsia="Calibri" w:hAnsiTheme="majorHAnsi" w:cstheme="majorHAnsi"/>
          <w:color w:val="222222"/>
          <w:sz w:val="24"/>
          <w:szCs w:val="24"/>
        </w:rPr>
      </w:pPr>
      <w:proofErr w:type="spellStart"/>
      <w:r w:rsidRPr="002838F2">
        <w:rPr>
          <w:rFonts w:asciiTheme="majorHAnsi" w:eastAsia="Calibri" w:hAnsiTheme="majorHAnsi" w:cstheme="majorHAnsi"/>
          <w:sz w:val="24"/>
          <w:szCs w:val="24"/>
        </w:rPr>
        <w:t>Demie</w:t>
      </w:r>
      <w:proofErr w:type="spellEnd"/>
      <w:r w:rsidRPr="002838F2">
        <w:rPr>
          <w:rFonts w:asciiTheme="majorHAnsi" w:eastAsia="Calibri" w:hAnsiTheme="majorHAnsi" w:cstheme="majorHAnsi"/>
          <w:sz w:val="24"/>
          <w:szCs w:val="24"/>
        </w:rPr>
        <w:t xml:space="preserve">, F. 2013. “English as an Additional Language Pupils: How Long Does It Take to Acquire English Fluency?” Language and Education 27 (1): 59–69. </w:t>
      </w:r>
      <w:hyperlink r:id="rId11">
        <w:r w:rsidRPr="002838F2">
          <w:rPr>
            <w:rFonts w:asciiTheme="majorHAnsi" w:eastAsia="Calibri" w:hAnsiTheme="majorHAnsi" w:cstheme="majorHAnsi"/>
            <w:color w:val="1155CC"/>
            <w:sz w:val="24"/>
            <w:szCs w:val="24"/>
            <w:u w:val="single"/>
          </w:rPr>
          <w:t>https://doi.org/10.1080/09500782.2012.682580</w:t>
        </w:r>
      </w:hyperlink>
      <w:r w:rsidRPr="002838F2">
        <w:rPr>
          <w:rFonts w:asciiTheme="majorHAnsi" w:eastAsia="Calibri" w:hAnsiTheme="majorHAnsi" w:cstheme="majorHAnsi"/>
          <w:color w:val="222222"/>
          <w:sz w:val="24"/>
          <w:szCs w:val="24"/>
        </w:rPr>
        <w:t xml:space="preserve"> </w:t>
      </w:r>
    </w:p>
    <w:p w14:paraId="24063C26" w14:textId="77777777" w:rsidR="002838F2" w:rsidRPr="002838F2" w:rsidRDefault="002838F2" w:rsidP="002838F2">
      <w:pPr>
        <w:spacing w:line="360" w:lineRule="auto"/>
        <w:rPr>
          <w:rFonts w:asciiTheme="majorHAnsi" w:eastAsia="Calibri" w:hAnsiTheme="majorHAnsi" w:cstheme="majorHAnsi"/>
          <w:sz w:val="24"/>
          <w:szCs w:val="24"/>
        </w:rPr>
      </w:pPr>
    </w:p>
    <w:p w14:paraId="1E3E4729" w14:textId="77777777" w:rsidR="002838F2" w:rsidRPr="002838F2" w:rsidRDefault="002838F2" w:rsidP="002838F2">
      <w:pPr>
        <w:spacing w:line="360" w:lineRule="auto"/>
        <w:rPr>
          <w:rFonts w:asciiTheme="majorHAnsi" w:eastAsia="Calibri" w:hAnsiTheme="majorHAnsi" w:cstheme="majorHAnsi"/>
          <w:sz w:val="24"/>
          <w:szCs w:val="24"/>
        </w:rPr>
      </w:pPr>
      <w:proofErr w:type="spellStart"/>
      <w:r w:rsidRPr="002838F2">
        <w:rPr>
          <w:rFonts w:asciiTheme="majorHAnsi" w:eastAsia="Calibri" w:hAnsiTheme="majorHAnsi" w:cstheme="majorHAnsi"/>
          <w:sz w:val="24"/>
          <w:szCs w:val="24"/>
        </w:rPr>
        <w:t>Demie</w:t>
      </w:r>
      <w:proofErr w:type="spellEnd"/>
      <w:r w:rsidRPr="002838F2">
        <w:rPr>
          <w:rFonts w:asciiTheme="majorHAnsi" w:eastAsia="Calibri" w:hAnsiTheme="majorHAnsi" w:cstheme="majorHAnsi"/>
          <w:sz w:val="24"/>
          <w:szCs w:val="24"/>
        </w:rPr>
        <w:t xml:space="preserve">, F. 2018. “English as an Additional Language and Attainment in Primary Schools in England.” Journal of Multilingual and Multicultural Development 39 (3): pp. 210–223. </w:t>
      </w:r>
      <w:hyperlink r:id="rId12" w:history="1">
        <w:r w:rsidRPr="002838F2">
          <w:rPr>
            <w:rStyle w:val="Hyperlink"/>
            <w:rFonts w:asciiTheme="majorHAnsi" w:eastAsia="Calibri" w:hAnsiTheme="majorHAnsi" w:cstheme="majorHAnsi"/>
            <w:sz w:val="24"/>
            <w:szCs w:val="24"/>
          </w:rPr>
          <w:t>https://doi.org/10.1080/01434632.2017.1348508</w:t>
        </w:r>
      </w:hyperlink>
    </w:p>
    <w:p w14:paraId="563CC310" w14:textId="77777777" w:rsidR="002838F2" w:rsidRPr="002838F2" w:rsidRDefault="002838F2" w:rsidP="002838F2">
      <w:pPr>
        <w:spacing w:line="360" w:lineRule="auto"/>
        <w:rPr>
          <w:rFonts w:asciiTheme="majorHAnsi" w:eastAsia="Calibri" w:hAnsiTheme="majorHAnsi" w:cstheme="majorHAnsi"/>
          <w:sz w:val="24"/>
          <w:szCs w:val="24"/>
        </w:rPr>
      </w:pPr>
    </w:p>
    <w:p w14:paraId="74142E7A" w14:textId="77777777" w:rsidR="002838F2" w:rsidRPr="002838F2" w:rsidRDefault="002838F2" w:rsidP="002838F2">
      <w:pPr>
        <w:spacing w:line="360" w:lineRule="auto"/>
        <w:rPr>
          <w:rFonts w:asciiTheme="majorHAnsi" w:eastAsia="Calibri" w:hAnsiTheme="majorHAnsi" w:cstheme="majorHAnsi"/>
          <w:color w:val="3A3A3A"/>
          <w:sz w:val="24"/>
          <w:szCs w:val="24"/>
        </w:rPr>
      </w:pPr>
      <w:r w:rsidRPr="002838F2">
        <w:rPr>
          <w:rFonts w:asciiTheme="majorHAnsi" w:eastAsia="Calibri" w:hAnsiTheme="majorHAnsi" w:cstheme="majorHAnsi"/>
          <w:sz w:val="24"/>
          <w:szCs w:val="24"/>
        </w:rPr>
        <w:t>Department for Education and Skills (2005) “Aiming High: Guidance on the Assessment of Pupils Learning English as an Additional Language”. Online (no longer accessible) at:</w:t>
      </w:r>
      <w:r w:rsidRPr="002838F2">
        <w:rPr>
          <w:rFonts w:asciiTheme="majorHAnsi" w:eastAsia="Calibri" w:hAnsiTheme="majorHAnsi" w:cstheme="majorHAnsi"/>
          <w:color w:val="222222"/>
          <w:sz w:val="24"/>
          <w:szCs w:val="24"/>
        </w:rPr>
        <w:t xml:space="preserve"> </w:t>
      </w:r>
      <w:hyperlink r:id="rId13">
        <w:r w:rsidRPr="002838F2">
          <w:rPr>
            <w:rFonts w:asciiTheme="majorHAnsi" w:eastAsia="Calibri" w:hAnsiTheme="majorHAnsi" w:cstheme="majorHAnsi"/>
            <w:color w:val="1155CC"/>
            <w:sz w:val="24"/>
            <w:szCs w:val="24"/>
            <w:u w:val="single"/>
          </w:rPr>
          <w:t>http://www.education.gov.uk/publications//eOrderingDownload/5865-DfES-AimingHigh%201469.pdf</w:t>
        </w:r>
      </w:hyperlink>
      <w:r w:rsidRPr="002838F2">
        <w:rPr>
          <w:rFonts w:asciiTheme="majorHAnsi" w:eastAsia="Calibri" w:hAnsiTheme="majorHAnsi" w:cstheme="majorHAnsi"/>
          <w:color w:val="222222"/>
          <w:sz w:val="24"/>
          <w:szCs w:val="24"/>
        </w:rPr>
        <w:t xml:space="preserve"> </w:t>
      </w:r>
      <w:r w:rsidRPr="002838F2">
        <w:rPr>
          <w:rFonts w:asciiTheme="majorHAnsi" w:eastAsia="Calibri" w:hAnsiTheme="majorHAnsi" w:cstheme="majorHAnsi"/>
          <w:sz w:val="24"/>
          <w:szCs w:val="24"/>
        </w:rPr>
        <w:t xml:space="preserve">cited in Bailey, L. and Sowden, H. (2021) “Reflective accounts of teaching literacy to pupils with English as an additional language (EAL) in primary education,” </w:t>
      </w:r>
      <w:r w:rsidRPr="002838F2">
        <w:rPr>
          <w:rFonts w:asciiTheme="majorHAnsi" w:eastAsia="Calibri" w:hAnsiTheme="majorHAnsi" w:cstheme="majorHAnsi"/>
          <w:i/>
          <w:sz w:val="24"/>
          <w:szCs w:val="24"/>
        </w:rPr>
        <w:t>English in education</w:t>
      </w:r>
      <w:r w:rsidRPr="002838F2">
        <w:rPr>
          <w:rFonts w:asciiTheme="majorHAnsi" w:eastAsia="Calibri" w:hAnsiTheme="majorHAnsi" w:cstheme="majorHAnsi"/>
          <w:sz w:val="24"/>
          <w:szCs w:val="24"/>
        </w:rPr>
        <w:t xml:space="preserve">, 55(4), pp. 286–300. Available at: </w:t>
      </w:r>
      <w:hyperlink r:id="rId14">
        <w:r w:rsidRPr="002838F2">
          <w:rPr>
            <w:rFonts w:asciiTheme="majorHAnsi" w:eastAsia="Calibri" w:hAnsiTheme="majorHAnsi" w:cstheme="majorHAnsi"/>
            <w:color w:val="1155CC"/>
            <w:sz w:val="24"/>
            <w:szCs w:val="24"/>
            <w:u w:val="single"/>
          </w:rPr>
          <w:t>https://doi.org/10.1080/04250494.2021.1895670</w:t>
        </w:r>
      </w:hyperlink>
    </w:p>
    <w:p w14:paraId="4547ED37" w14:textId="77777777" w:rsidR="002838F2" w:rsidRPr="002838F2" w:rsidRDefault="002838F2" w:rsidP="002838F2">
      <w:pPr>
        <w:spacing w:line="360" w:lineRule="auto"/>
        <w:rPr>
          <w:rFonts w:asciiTheme="majorHAnsi" w:eastAsia="Calibri" w:hAnsiTheme="majorHAnsi" w:cstheme="majorHAnsi"/>
          <w:sz w:val="24"/>
          <w:szCs w:val="24"/>
        </w:rPr>
      </w:pPr>
    </w:p>
    <w:p w14:paraId="73642A39" w14:textId="77777777" w:rsidR="002838F2" w:rsidRPr="002838F2" w:rsidRDefault="002838F2" w:rsidP="002838F2">
      <w:pPr>
        <w:spacing w:line="360" w:lineRule="auto"/>
        <w:rPr>
          <w:rFonts w:asciiTheme="majorHAnsi" w:eastAsia="Calibri" w:hAnsiTheme="majorHAnsi" w:cstheme="majorHAnsi"/>
          <w:color w:val="222222"/>
          <w:sz w:val="24"/>
          <w:szCs w:val="24"/>
        </w:rPr>
      </w:pPr>
      <w:r w:rsidRPr="002838F2">
        <w:rPr>
          <w:rFonts w:asciiTheme="majorHAnsi" w:eastAsia="Calibri" w:hAnsiTheme="majorHAnsi" w:cstheme="majorHAnsi"/>
          <w:sz w:val="24"/>
          <w:szCs w:val="24"/>
        </w:rPr>
        <w:t xml:space="preserve">DfES. 2010. “Phonics Teaching Materials: Core Criteria and the Self-assessment Process.” Online (no longer accessible) at: </w:t>
      </w:r>
      <w:hyperlink r:id="rId15">
        <w:r w:rsidRPr="002838F2">
          <w:rPr>
            <w:rFonts w:asciiTheme="majorHAnsi" w:eastAsia="Calibri" w:hAnsiTheme="majorHAnsi" w:cstheme="majorHAnsi"/>
            <w:color w:val="1155CC"/>
            <w:sz w:val="24"/>
            <w:szCs w:val="24"/>
            <w:u w:val="single"/>
          </w:rPr>
          <w:t>https://assets.publishing.service.gov.uk/government/uploads/system/uploads/attachment_data/file/298420/phonics_core_criteria_and_the_self-assessment_process.pdf</w:t>
        </w:r>
      </w:hyperlink>
      <w:r w:rsidRPr="002838F2">
        <w:rPr>
          <w:rFonts w:asciiTheme="majorHAnsi" w:eastAsia="Calibri" w:hAnsiTheme="majorHAnsi" w:cstheme="majorHAnsi"/>
          <w:color w:val="222222"/>
          <w:sz w:val="24"/>
          <w:szCs w:val="24"/>
        </w:rPr>
        <w:t xml:space="preserve"> cited in </w:t>
      </w:r>
      <w:r w:rsidRPr="002838F2">
        <w:rPr>
          <w:rFonts w:asciiTheme="majorHAnsi" w:eastAsia="Calibri" w:hAnsiTheme="majorHAnsi" w:cstheme="majorHAnsi"/>
          <w:sz w:val="24"/>
          <w:szCs w:val="24"/>
        </w:rPr>
        <w:t xml:space="preserve">Bailey, L. and Sowden, H. (2021) “Reflective accounts of teaching literacy to pupils with English as an additional language (EAL) in primary education,” </w:t>
      </w:r>
      <w:r w:rsidRPr="002838F2">
        <w:rPr>
          <w:rFonts w:asciiTheme="majorHAnsi" w:eastAsia="Calibri" w:hAnsiTheme="majorHAnsi" w:cstheme="majorHAnsi"/>
          <w:i/>
          <w:sz w:val="24"/>
          <w:szCs w:val="24"/>
        </w:rPr>
        <w:t>English in education</w:t>
      </w:r>
      <w:r w:rsidRPr="002838F2">
        <w:rPr>
          <w:rFonts w:asciiTheme="majorHAnsi" w:eastAsia="Calibri" w:hAnsiTheme="majorHAnsi" w:cstheme="majorHAnsi"/>
          <w:sz w:val="24"/>
          <w:szCs w:val="24"/>
        </w:rPr>
        <w:t>, 55(4), pp. 286–300. Available at</w:t>
      </w:r>
      <w:r w:rsidRPr="002838F2">
        <w:rPr>
          <w:rFonts w:asciiTheme="majorHAnsi" w:eastAsia="Calibri" w:hAnsiTheme="majorHAnsi" w:cstheme="majorHAnsi"/>
          <w:color w:val="3A3A3A"/>
          <w:sz w:val="24"/>
          <w:szCs w:val="24"/>
        </w:rPr>
        <w:t xml:space="preserve">: </w:t>
      </w:r>
      <w:hyperlink r:id="rId16">
        <w:r w:rsidRPr="002838F2">
          <w:rPr>
            <w:rFonts w:asciiTheme="majorHAnsi" w:eastAsia="Calibri" w:hAnsiTheme="majorHAnsi" w:cstheme="majorHAnsi"/>
            <w:color w:val="1155CC"/>
            <w:sz w:val="24"/>
            <w:szCs w:val="24"/>
            <w:u w:val="single"/>
          </w:rPr>
          <w:t>https://doi.org/10.1080/04250494.2021.1895670</w:t>
        </w:r>
      </w:hyperlink>
      <w:r w:rsidRPr="002838F2">
        <w:rPr>
          <w:rFonts w:asciiTheme="majorHAnsi" w:eastAsia="Calibri" w:hAnsiTheme="majorHAnsi" w:cstheme="majorHAnsi"/>
          <w:color w:val="222222"/>
          <w:sz w:val="24"/>
          <w:szCs w:val="24"/>
        </w:rPr>
        <w:t>.</w:t>
      </w:r>
    </w:p>
    <w:p w14:paraId="64B4C557"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06038588"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Ely, M., </w:t>
      </w:r>
      <w:proofErr w:type="spellStart"/>
      <w:r w:rsidRPr="002838F2">
        <w:rPr>
          <w:rFonts w:asciiTheme="majorHAnsi" w:eastAsia="Calibri" w:hAnsiTheme="majorHAnsi" w:cstheme="majorHAnsi"/>
          <w:sz w:val="24"/>
          <w:szCs w:val="24"/>
          <w:highlight w:val="white"/>
        </w:rPr>
        <w:t>Anzul</w:t>
      </w:r>
      <w:proofErr w:type="spellEnd"/>
      <w:r w:rsidRPr="002838F2">
        <w:rPr>
          <w:rFonts w:asciiTheme="majorHAnsi" w:eastAsia="Calibri" w:hAnsiTheme="majorHAnsi" w:cstheme="majorHAnsi"/>
          <w:sz w:val="24"/>
          <w:szCs w:val="24"/>
          <w:highlight w:val="white"/>
        </w:rPr>
        <w:t xml:space="preserve">, M., Friedman, T., Garner, D., &amp; Steinmetz, A. C. (1991) </w:t>
      </w:r>
      <w:r w:rsidRPr="002838F2">
        <w:rPr>
          <w:rFonts w:asciiTheme="majorHAnsi" w:eastAsia="Calibri" w:hAnsiTheme="majorHAnsi" w:cstheme="majorHAnsi"/>
          <w:i/>
          <w:sz w:val="24"/>
          <w:szCs w:val="24"/>
          <w:highlight w:val="white"/>
        </w:rPr>
        <w:t>Doing qualitative research: Circles within Circles</w:t>
      </w:r>
      <w:r w:rsidRPr="002838F2">
        <w:rPr>
          <w:rFonts w:asciiTheme="majorHAnsi" w:eastAsia="Calibri" w:hAnsiTheme="majorHAnsi" w:cstheme="majorHAnsi"/>
          <w:sz w:val="24"/>
          <w:szCs w:val="24"/>
          <w:highlight w:val="white"/>
        </w:rPr>
        <w:t>. New York: Falmer Press</w:t>
      </w:r>
    </w:p>
    <w:p w14:paraId="50266D99"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6D477373" w14:textId="77777777" w:rsidR="002838F2" w:rsidRPr="002838F2" w:rsidRDefault="002838F2" w:rsidP="002838F2">
      <w:pPr>
        <w:spacing w:line="360" w:lineRule="auto"/>
        <w:rPr>
          <w:rFonts w:asciiTheme="majorHAnsi" w:eastAsia="Calibri" w:hAnsiTheme="majorHAnsi" w:cstheme="majorHAnsi"/>
          <w:sz w:val="24"/>
          <w:szCs w:val="24"/>
          <w:highlight w:val="white"/>
        </w:rPr>
      </w:pPr>
      <w:proofErr w:type="spellStart"/>
      <w:r w:rsidRPr="002838F2">
        <w:rPr>
          <w:rFonts w:asciiTheme="majorHAnsi" w:eastAsia="Calibri" w:hAnsiTheme="majorHAnsi" w:cstheme="majorHAnsi"/>
          <w:sz w:val="24"/>
          <w:szCs w:val="24"/>
          <w:highlight w:val="white"/>
        </w:rPr>
        <w:t>Ezeh</w:t>
      </w:r>
      <w:proofErr w:type="spellEnd"/>
      <w:r w:rsidRPr="002838F2">
        <w:rPr>
          <w:rFonts w:asciiTheme="majorHAnsi" w:eastAsia="Calibri" w:hAnsiTheme="majorHAnsi" w:cstheme="majorHAnsi"/>
          <w:sz w:val="24"/>
          <w:szCs w:val="24"/>
          <w:highlight w:val="white"/>
        </w:rPr>
        <w:t xml:space="preserve">, P. J. (2003) “Integration and its challenges in participant observation” </w:t>
      </w:r>
      <w:r w:rsidRPr="002838F2">
        <w:rPr>
          <w:rFonts w:asciiTheme="majorHAnsi" w:eastAsia="Calibri" w:hAnsiTheme="majorHAnsi" w:cstheme="majorHAnsi"/>
          <w:i/>
          <w:sz w:val="24"/>
          <w:szCs w:val="24"/>
          <w:highlight w:val="white"/>
        </w:rPr>
        <w:t>Qualitative Research</w:t>
      </w:r>
      <w:r w:rsidRPr="002838F2">
        <w:rPr>
          <w:rFonts w:asciiTheme="majorHAnsi" w:eastAsia="Calibri" w:hAnsiTheme="majorHAnsi" w:cstheme="majorHAnsi"/>
          <w:sz w:val="24"/>
          <w:szCs w:val="24"/>
          <w:highlight w:val="white"/>
        </w:rPr>
        <w:t>, 2, pp. 191-205.</w:t>
      </w:r>
    </w:p>
    <w:p w14:paraId="6925000E" w14:textId="77777777" w:rsidR="002838F2" w:rsidRPr="002838F2" w:rsidRDefault="002838F2"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Field, A. (2013) </w:t>
      </w:r>
      <w:r w:rsidRPr="002838F2">
        <w:rPr>
          <w:rFonts w:asciiTheme="majorHAnsi" w:eastAsia="Calibri" w:hAnsiTheme="majorHAnsi" w:cstheme="majorHAnsi"/>
          <w:i/>
          <w:sz w:val="24"/>
          <w:szCs w:val="24"/>
          <w:highlight w:val="white"/>
        </w:rPr>
        <w:t>Discovering Statistics Using IBM SPSS</w:t>
      </w:r>
      <w:r w:rsidRPr="002838F2">
        <w:rPr>
          <w:rFonts w:asciiTheme="majorHAnsi" w:eastAsia="Calibri" w:hAnsiTheme="majorHAnsi" w:cstheme="majorHAnsi"/>
          <w:sz w:val="24"/>
          <w:szCs w:val="24"/>
          <w:highlight w:val="white"/>
        </w:rPr>
        <w:t>. 4th ed. Sage.</w:t>
      </w:r>
    </w:p>
    <w:p w14:paraId="4B800DE6"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Fowler, F. J. (2014) </w:t>
      </w:r>
      <w:r w:rsidRPr="002838F2">
        <w:rPr>
          <w:rFonts w:asciiTheme="majorHAnsi" w:eastAsia="Calibri" w:hAnsiTheme="majorHAnsi" w:cstheme="majorHAnsi"/>
          <w:i/>
          <w:sz w:val="24"/>
          <w:szCs w:val="24"/>
          <w:highlight w:val="white"/>
        </w:rPr>
        <w:t>Survey Research Methods</w:t>
      </w:r>
      <w:r w:rsidRPr="002838F2">
        <w:rPr>
          <w:rFonts w:asciiTheme="majorHAnsi" w:eastAsia="Calibri" w:hAnsiTheme="majorHAnsi" w:cstheme="majorHAnsi"/>
          <w:sz w:val="24"/>
          <w:szCs w:val="24"/>
          <w:highlight w:val="white"/>
        </w:rPr>
        <w:t>. 5th ed. California: Sage.</w:t>
      </w:r>
    </w:p>
    <w:p w14:paraId="0AA21137" w14:textId="77777777" w:rsidR="002838F2" w:rsidRPr="002838F2" w:rsidRDefault="002838F2" w:rsidP="002838F2">
      <w:pPr>
        <w:spacing w:line="360" w:lineRule="auto"/>
        <w:rPr>
          <w:rFonts w:asciiTheme="majorHAnsi" w:eastAsia="Calibri" w:hAnsiTheme="majorHAnsi" w:cstheme="majorHAnsi"/>
          <w:sz w:val="24"/>
          <w:szCs w:val="24"/>
        </w:rPr>
      </w:pPr>
    </w:p>
    <w:p w14:paraId="067B2A99" w14:textId="77777777" w:rsidR="002838F2" w:rsidRPr="002838F2" w:rsidRDefault="002838F2" w:rsidP="002838F2">
      <w:pPr>
        <w:spacing w:line="360" w:lineRule="auto"/>
        <w:rPr>
          <w:rFonts w:asciiTheme="majorHAnsi" w:eastAsia="Calibri" w:hAnsiTheme="majorHAnsi" w:cstheme="majorHAnsi"/>
          <w:sz w:val="24"/>
          <w:szCs w:val="24"/>
        </w:rPr>
      </w:pPr>
      <w:proofErr w:type="spellStart"/>
      <w:r w:rsidRPr="002838F2">
        <w:rPr>
          <w:rFonts w:asciiTheme="majorHAnsi" w:eastAsia="Calibri" w:hAnsiTheme="majorHAnsi" w:cstheme="majorHAnsi"/>
          <w:sz w:val="24"/>
          <w:szCs w:val="24"/>
        </w:rPr>
        <w:t>Gerring</w:t>
      </w:r>
      <w:proofErr w:type="spellEnd"/>
      <w:r w:rsidRPr="002838F2">
        <w:rPr>
          <w:rFonts w:asciiTheme="majorHAnsi" w:eastAsia="Calibri" w:hAnsiTheme="majorHAnsi" w:cstheme="majorHAnsi"/>
          <w:sz w:val="24"/>
          <w:szCs w:val="24"/>
        </w:rPr>
        <w:t xml:space="preserve">, J. (2007) </w:t>
      </w:r>
      <w:r w:rsidRPr="002838F2">
        <w:rPr>
          <w:rFonts w:asciiTheme="majorHAnsi" w:eastAsia="Calibri" w:hAnsiTheme="majorHAnsi" w:cstheme="majorHAnsi"/>
          <w:i/>
          <w:sz w:val="24"/>
          <w:szCs w:val="24"/>
        </w:rPr>
        <w:t>Case study research : principles and practices</w:t>
      </w:r>
      <w:r w:rsidRPr="002838F2">
        <w:rPr>
          <w:rFonts w:asciiTheme="majorHAnsi" w:eastAsia="Calibri" w:hAnsiTheme="majorHAnsi" w:cstheme="majorHAnsi"/>
          <w:sz w:val="24"/>
          <w:szCs w:val="24"/>
        </w:rPr>
        <w:t>. Cambridge: Cambridge University Press.</w:t>
      </w:r>
    </w:p>
    <w:p w14:paraId="3E1DEB3A" w14:textId="77777777" w:rsidR="002838F2" w:rsidRPr="002838F2" w:rsidRDefault="002838F2" w:rsidP="002838F2">
      <w:pPr>
        <w:spacing w:line="360" w:lineRule="auto"/>
        <w:rPr>
          <w:rFonts w:asciiTheme="majorHAnsi" w:eastAsia="Calibri" w:hAnsiTheme="majorHAnsi" w:cstheme="majorHAnsi"/>
          <w:sz w:val="24"/>
          <w:szCs w:val="24"/>
        </w:rPr>
      </w:pPr>
    </w:p>
    <w:p w14:paraId="1CD5DA07"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Hancock, D.R., </w:t>
      </w:r>
      <w:proofErr w:type="spellStart"/>
      <w:r w:rsidRPr="002838F2">
        <w:rPr>
          <w:rFonts w:asciiTheme="majorHAnsi" w:eastAsia="Calibri" w:hAnsiTheme="majorHAnsi" w:cstheme="majorHAnsi"/>
          <w:sz w:val="24"/>
          <w:szCs w:val="24"/>
        </w:rPr>
        <w:t>Algozzine</w:t>
      </w:r>
      <w:proofErr w:type="spellEnd"/>
      <w:r w:rsidRPr="002838F2">
        <w:rPr>
          <w:rFonts w:asciiTheme="majorHAnsi" w:eastAsia="Calibri" w:hAnsiTheme="majorHAnsi" w:cstheme="majorHAnsi"/>
          <w:sz w:val="24"/>
          <w:szCs w:val="24"/>
        </w:rPr>
        <w:t xml:space="preserve">, B. and Lim, J.H. (2021) </w:t>
      </w:r>
      <w:r w:rsidRPr="002838F2">
        <w:rPr>
          <w:rFonts w:asciiTheme="majorHAnsi" w:eastAsia="Calibri" w:hAnsiTheme="majorHAnsi" w:cstheme="majorHAnsi"/>
          <w:i/>
          <w:sz w:val="24"/>
          <w:szCs w:val="24"/>
        </w:rPr>
        <w:t>Doing Case Study Research : A Practical Guide for Beginning Researchers.</w:t>
      </w:r>
      <w:r w:rsidRPr="002838F2">
        <w:rPr>
          <w:rFonts w:asciiTheme="majorHAnsi" w:eastAsia="Calibri" w:hAnsiTheme="majorHAnsi" w:cstheme="majorHAnsi"/>
          <w:sz w:val="24"/>
          <w:szCs w:val="24"/>
        </w:rPr>
        <w:t xml:space="preserve"> 4th ed. New York, NY: Teachers College Press.</w:t>
      </w:r>
    </w:p>
    <w:p w14:paraId="5319FCBC" w14:textId="77777777" w:rsidR="002838F2" w:rsidRPr="002838F2" w:rsidRDefault="002838F2" w:rsidP="002838F2">
      <w:pPr>
        <w:spacing w:before="240" w:after="240" w:line="360" w:lineRule="auto"/>
        <w:rPr>
          <w:rFonts w:asciiTheme="majorHAnsi" w:eastAsia="Calibri" w:hAnsiTheme="majorHAnsi" w:cstheme="majorHAnsi"/>
          <w:color w:val="3A3A3A"/>
          <w:sz w:val="24"/>
          <w:szCs w:val="24"/>
        </w:rPr>
      </w:pPr>
      <w:proofErr w:type="spellStart"/>
      <w:r w:rsidRPr="002838F2">
        <w:rPr>
          <w:rFonts w:asciiTheme="majorHAnsi" w:eastAsia="Calibri" w:hAnsiTheme="majorHAnsi" w:cstheme="majorHAnsi"/>
          <w:sz w:val="24"/>
          <w:szCs w:val="24"/>
        </w:rPr>
        <w:t>Hollweck</w:t>
      </w:r>
      <w:proofErr w:type="spellEnd"/>
      <w:r w:rsidRPr="002838F2">
        <w:rPr>
          <w:rFonts w:asciiTheme="majorHAnsi" w:eastAsia="Calibri" w:hAnsiTheme="majorHAnsi" w:cstheme="majorHAnsi"/>
          <w:sz w:val="24"/>
          <w:szCs w:val="24"/>
        </w:rPr>
        <w:t xml:space="preserve">, T. (2015) “Robert K. Yin. (2014). Case Study Research Design and Methods (5th ed.),” </w:t>
      </w:r>
      <w:r w:rsidRPr="002838F2">
        <w:rPr>
          <w:rFonts w:asciiTheme="majorHAnsi" w:eastAsia="Calibri" w:hAnsiTheme="majorHAnsi" w:cstheme="majorHAnsi"/>
          <w:i/>
          <w:sz w:val="24"/>
          <w:szCs w:val="24"/>
        </w:rPr>
        <w:t>Canadian journal of program evaluation</w:t>
      </w:r>
      <w:r w:rsidRPr="002838F2">
        <w:rPr>
          <w:rFonts w:asciiTheme="majorHAnsi" w:eastAsia="Calibri" w:hAnsiTheme="majorHAnsi" w:cstheme="majorHAnsi"/>
          <w:sz w:val="24"/>
          <w:szCs w:val="24"/>
        </w:rPr>
        <w:t xml:space="preserve">, 30(1), pp. 108–110. Available at: </w:t>
      </w:r>
      <w:hyperlink r:id="rId17">
        <w:r w:rsidRPr="002838F2">
          <w:rPr>
            <w:rFonts w:asciiTheme="majorHAnsi" w:eastAsia="Calibri" w:hAnsiTheme="majorHAnsi" w:cstheme="majorHAnsi"/>
            <w:color w:val="1155CC"/>
            <w:sz w:val="24"/>
            <w:szCs w:val="24"/>
            <w:u w:val="single"/>
          </w:rPr>
          <w:t>https://doi.org/10.3138/cjpe.30.1.108</w:t>
        </w:r>
      </w:hyperlink>
      <w:r w:rsidRPr="002838F2">
        <w:rPr>
          <w:rFonts w:asciiTheme="majorHAnsi" w:eastAsia="Calibri" w:hAnsiTheme="majorHAnsi" w:cstheme="majorHAnsi"/>
          <w:color w:val="3A3A3A"/>
          <w:sz w:val="24"/>
          <w:szCs w:val="24"/>
        </w:rPr>
        <w:t xml:space="preserve">. </w:t>
      </w:r>
    </w:p>
    <w:p w14:paraId="270188FF"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00F16A2B" w14:textId="77777777" w:rsidR="002838F2" w:rsidRPr="002838F2" w:rsidRDefault="002838F2" w:rsidP="002838F2">
      <w:pPr>
        <w:spacing w:line="360" w:lineRule="auto"/>
        <w:rPr>
          <w:rFonts w:asciiTheme="majorHAnsi" w:eastAsia="Calibri" w:hAnsiTheme="majorHAnsi" w:cstheme="majorHAnsi"/>
          <w:color w:val="3A3A3A"/>
          <w:sz w:val="24"/>
          <w:szCs w:val="24"/>
          <w:highlight w:val="white"/>
        </w:rPr>
      </w:pPr>
      <w:r w:rsidRPr="002838F2">
        <w:rPr>
          <w:rFonts w:asciiTheme="majorHAnsi" w:eastAsia="Calibri" w:hAnsiTheme="majorHAnsi" w:cstheme="majorHAnsi"/>
          <w:sz w:val="24"/>
          <w:szCs w:val="24"/>
          <w:highlight w:val="white"/>
        </w:rPr>
        <w:t xml:space="preserve">Ivanov, O.A., Ivanova, V.V. and </w:t>
      </w:r>
      <w:proofErr w:type="spellStart"/>
      <w:r w:rsidRPr="002838F2">
        <w:rPr>
          <w:rFonts w:asciiTheme="majorHAnsi" w:eastAsia="Calibri" w:hAnsiTheme="majorHAnsi" w:cstheme="majorHAnsi"/>
          <w:sz w:val="24"/>
          <w:szCs w:val="24"/>
          <w:highlight w:val="white"/>
        </w:rPr>
        <w:t>Saltan</w:t>
      </w:r>
      <w:proofErr w:type="spellEnd"/>
      <w:r w:rsidRPr="002838F2">
        <w:rPr>
          <w:rFonts w:asciiTheme="majorHAnsi" w:eastAsia="Calibri" w:hAnsiTheme="majorHAnsi" w:cstheme="majorHAnsi"/>
          <w:sz w:val="24"/>
          <w:szCs w:val="24"/>
          <w:highlight w:val="white"/>
        </w:rPr>
        <w:t xml:space="preserve">, A.A. (2018) ‘Likert-scale questionnaires as an educational tool in teaching discrete mathematics’, </w:t>
      </w:r>
      <w:r w:rsidRPr="002838F2">
        <w:rPr>
          <w:rFonts w:asciiTheme="majorHAnsi" w:eastAsia="Calibri" w:hAnsiTheme="majorHAnsi" w:cstheme="majorHAnsi"/>
          <w:i/>
          <w:sz w:val="24"/>
          <w:szCs w:val="24"/>
          <w:highlight w:val="white"/>
        </w:rPr>
        <w:t>International journal of mathematical education in science and technology</w:t>
      </w:r>
      <w:r w:rsidRPr="002838F2">
        <w:rPr>
          <w:rFonts w:asciiTheme="majorHAnsi" w:eastAsia="Calibri" w:hAnsiTheme="majorHAnsi" w:cstheme="majorHAnsi"/>
          <w:sz w:val="24"/>
          <w:szCs w:val="24"/>
          <w:highlight w:val="white"/>
        </w:rPr>
        <w:t xml:space="preserve">, 49(7), pp. 1110–1118. Available at: </w:t>
      </w:r>
      <w:hyperlink r:id="rId18">
        <w:r w:rsidRPr="002838F2">
          <w:rPr>
            <w:rFonts w:asciiTheme="majorHAnsi" w:eastAsia="Calibri" w:hAnsiTheme="majorHAnsi" w:cstheme="majorHAnsi"/>
            <w:color w:val="1155CC"/>
            <w:sz w:val="24"/>
            <w:szCs w:val="24"/>
            <w:highlight w:val="white"/>
            <w:u w:val="single"/>
          </w:rPr>
          <w:t>https://doi.org/10.1080/0020739X.2017.1423121</w:t>
        </w:r>
      </w:hyperlink>
      <w:r w:rsidRPr="002838F2">
        <w:rPr>
          <w:rFonts w:asciiTheme="majorHAnsi" w:eastAsia="Calibri" w:hAnsiTheme="majorHAnsi" w:cstheme="majorHAnsi"/>
          <w:color w:val="3A3A3A"/>
          <w:sz w:val="24"/>
          <w:szCs w:val="24"/>
          <w:highlight w:val="white"/>
        </w:rPr>
        <w:t xml:space="preserve">. </w:t>
      </w:r>
    </w:p>
    <w:p w14:paraId="4882AAB1"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57DB358C" w14:textId="77777777" w:rsidR="002838F2" w:rsidRPr="002838F2" w:rsidRDefault="002838F2" w:rsidP="002838F2">
      <w:pPr>
        <w:spacing w:line="360" w:lineRule="auto"/>
        <w:rPr>
          <w:rFonts w:asciiTheme="majorHAnsi" w:eastAsia="Calibri" w:hAnsiTheme="majorHAnsi" w:cstheme="majorHAnsi"/>
          <w:color w:val="3A3A3A"/>
          <w:sz w:val="24"/>
          <w:szCs w:val="24"/>
          <w:highlight w:val="white"/>
        </w:rPr>
      </w:pPr>
      <w:r w:rsidRPr="002838F2">
        <w:rPr>
          <w:rFonts w:asciiTheme="majorHAnsi" w:eastAsia="Calibri" w:hAnsiTheme="majorHAnsi" w:cstheme="majorHAnsi"/>
          <w:sz w:val="24"/>
          <w:szCs w:val="24"/>
          <w:highlight w:val="white"/>
        </w:rPr>
        <w:t xml:space="preserve">Kuhlmann, T., </w:t>
      </w:r>
      <w:proofErr w:type="spellStart"/>
      <w:r w:rsidRPr="002838F2">
        <w:rPr>
          <w:rFonts w:asciiTheme="majorHAnsi" w:eastAsia="Calibri" w:hAnsiTheme="majorHAnsi" w:cstheme="majorHAnsi"/>
          <w:sz w:val="24"/>
          <w:szCs w:val="24"/>
          <w:highlight w:val="white"/>
        </w:rPr>
        <w:t>Dantlgraber</w:t>
      </w:r>
      <w:proofErr w:type="spellEnd"/>
      <w:r w:rsidRPr="002838F2">
        <w:rPr>
          <w:rFonts w:asciiTheme="majorHAnsi" w:eastAsia="Calibri" w:hAnsiTheme="majorHAnsi" w:cstheme="majorHAnsi"/>
          <w:sz w:val="24"/>
          <w:szCs w:val="24"/>
          <w:highlight w:val="white"/>
        </w:rPr>
        <w:t xml:space="preserve">, M. and </w:t>
      </w:r>
      <w:proofErr w:type="spellStart"/>
      <w:r w:rsidRPr="002838F2">
        <w:rPr>
          <w:rFonts w:asciiTheme="majorHAnsi" w:eastAsia="Calibri" w:hAnsiTheme="majorHAnsi" w:cstheme="majorHAnsi"/>
          <w:sz w:val="24"/>
          <w:szCs w:val="24"/>
          <w:highlight w:val="white"/>
        </w:rPr>
        <w:t>Reips</w:t>
      </w:r>
      <w:proofErr w:type="spellEnd"/>
      <w:r w:rsidRPr="002838F2">
        <w:rPr>
          <w:rFonts w:asciiTheme="majorHAnsi" w:eastAsia="Calibri" w:hAnsiTheme="majorHAnsi" w:cstheme="majorHAnsi"/>
          <w:sz w:val="24"/>
          <w:szCs w:val="24"/>
          <w:highlight w:val="white"/>
        </w:rPr>
        <w:t xml:space="preserve">, U.-D. (2017) ‘Investigating measurement equivalence of visual analogue scales and Likert-type scales in Internet-based personality questionnaires’, </w:t>
      </w:r>
      <w:proofErr w:type="spellStart"/>
      <w:r w:rsidRPr="002838F2">
        <w:rPr>
          <w:rFonts w:asciiTheme="majorHAnsi" w:eastAsia="Calibri" w:hAnsiTheme="majorHAnsi" w:cstheme="majorHAnsi"/>
          <w:i/>
          <w:sz w:val="24"/>
          <w:szCs w:val="24"/>
          <w:highlight w:val="white"/>
        </w:rPr>
        <w:t>Behavior</w:t>
      </w:r>
      <w:proofErr w:type="spellEnd"/>
      <w:r w:rsidRPr="002838F2">
        <w:rPr>
          <w:rFonts w:asciiTheme="majorHAnsi" w:eastAsia="Calibri" w:hAnsiTheme="majorHAnsi" w:cstheme="majorHAnsi"/>
          <w:i/>
          <w:sz w:val="24"/>
          <w:szCs w:val="24"/>
          <w:highlight w:val="white"/>
        </w:rPr>
        <w:t xml:space="preserve"> research methods</w:t>
      </w:r>
      <w:r w:rsidRPr="002838F2">
        <w:rPr>
          <w:rFonts w:asciiTheme="majorHAnsi" w:eastAsia="Calibri" w:hAnsiTheme="majorHAnsi" w:cstheme="majorHAnsi"/>
          <w:sz w:val="24"/>
          <w:szCs w:val="24"/>
          <w:highlight w:val="white"/>
        </w:rPr>
        <w:t xml:space="preserve">, 49(6), pp. 2173–2181. Available at: </w:t>
      </w:r>
      <w:hyperlink r:id="rId19">
        <w:r w:rsidRPr="002838F2">
          <w:rPr>
            <w:rFonts w:asciiTheme="majorHAnsi" w:eastAsia="Calibri" w:hAnsiTheme="majorHAnsi" w:cstheme="majorHAnsi"/>
            <w:color w:val="1155CC"/>
            <w:sz w:val="24"/>
            <w:szCs w:val="24"/>
            <w:highlight w:val="white"/>
            <w:u w:val="single"/>
          </w:rPr>
          <w:t>https://doi.org/10.3758/s13428-016-0850-x</w:t>
        </w:r>
      </w:hyperlink>
      <w:r w:rsidRPr="002838F2">
        <w:rPr>
          <w:rFonts w:asciiTheme="majorHAnsi" w:eastAsia="Calibri" w:hAnsiTheme="majorHAnsi" w:cstheme="majorHAnsi"/>
          <w:color w:val="3A3A3A"/>
          <w:sz w:val="24"/>
          <w:szCs w:val="24"/>
          <w:highlight w:val="white"/>
        </w:rPr>
        <w:t xml:space="preserve"> </w:t>
      </w:r>
    </w:p>
    <w:p w14:paraId="0FA21AB9" w14:textId="77777777" w:rsidR="002838F2" w:rsidRPr="002838F2" w:rsidRDefault="002838F2"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lastRenderedPageBreak/>
        <w:t xml:space="preserve">Lincoln, Y. and Guba, E.G. (1985) </w:t>
      </w:r>
      <w:r w:rsidRPr="002838F2">
        <w:rPr>
          <w:rFonts w:asciiTheme="majorHAnsi" w:eastAsia="Calibri" w:hAnsiTheme="majorHAnsi" w:cstheme="majorHAnsi"/>
          <w:i/>
          <w:sz w:val="24"/>
          <w:szCs w:val="24"/>
          <w:highlight w:val="white"/>
        </w:rPr>
        <w:t>Naturalistic Inquiry</w:t>
      </w:r>
      <w:r w:rsidRPr="002838F2">
        <w:rPr>
          <w:rFonts w:asciiTheme="majorHAnsi" w:eastAsia="Calibri" w:hAnsiTheme="majorHAnsi" w:cstheme="majorHAnsi"/>
          <w:sz w:val="24"/>
          <w:szCs w:val="24"/>
          <w:highlight w:val="white"/>
        </w:rPr>
        <w:t xml:space="preserve">. Newbury Park, </w:t>
      </w:r>
      <w:proofErr w:type="spellStart"/>
      <w:r w:rsidRPr="002838F2">
        <w:rPr>
          <w:rFonts w:asciiTheme="majorHAnsi" w:eastAsia="Calibri" w:hAnsiTheme="majorHAnsi" w:cstheme="majorHAnsi"/>
          <w:sz w:val="24"/>
          <w:szCs w:val="24"/>
          <w:highlight w:val="white"/>
        </w:rPr>
        <w:t>CA:Sage</w:t>
      </w:r>
      <w:proofErr w:type="spellEnd"/>
    </w:p>
    <w:p w14:paraId="58E7DD08" w14:textId="77777777" w:rsidR="002838F2" w:rsidRPr="002838F2" w:rsidRDefault="002838F2" w:rsidP="002838F2">
      <w:pPr>
        <w:spacing w:line="360" w:lineRule="auto"/>
        <w:rPr>
          <w:rFonts w:asciiTheme="majorHAnsi" w:eastAsia="Calibri" w:hAnsiTheme="majorHAnsi" w:cstheme="majorHAnsi"/>
          <w:sz w:val="24"/>
          <w:szCs w:val="24"/>
        </w:rPr>
      </w:pPr>
      <w:proofErr w:type="spellStart"/>
      <w:r w:rsidRPr="002838F2">
        <w:rPr>
          <w:rFonts w:asciiTheme="majorHAnsi" w:eastAsia="Calibri" w:hAnsiTheme="majorHAnsi" w:cstheme="majorHAnsi"/>
          <w:sz w:val="24"/>
          <w:szCs w:val="24"/>
        </w:rPr>
        <w:t>Macaro</w:t>
      </w:r>
      <w:proofErr w:type="spellEnd"/>
      <w:r w:rsidRPr="002838F2">
        <w:rPr>
          <w:rFonts w:asciiTheme="majorHAnsi" w:eastAsia="Calibri" w:hAnsiTheme="majorHAnsi" w:cstheme="majorHAnsi"/>
          <w:sz w:val="24"/>
          <w:szCs w:val="24"/>
        </w:rPr>
        <w:t xml:space="preserve">, E. and Balfour, R. (2004) “Teaching and learning a second language: a guide to recent research and its applications,” </w:t>
      </w:r>
      <w:r w:rsidRPr="002838F2">
        <w:rPr>
          <w:rFonts w:asciiTheme="majorHAnsi" w:eastAsia="Calibri" w:hAnsiTheme="majorHAnsi" w:cstheme="majorHAnsi"/>
          <w:i/>
          <w:sz w:val="24"/>
          <w:szCs w:val="24"/>
        </w:rPr>
        <w:t>British journal of educational studies</w:t>
      </w:r>
      <w:r w:rsidRPr="002838F2">
        <w:rPr>
          <w:rFonts w:asciiTheme="majorHAnsi" w:eastAsia="Calibri" w:hAnsiTheme="majorHAnsi" w:cstheme="majorHAnsi"/>
          <w:sz w:val="24"/>
          <w:szCs w:val="24"/>
        </w:rPr>
        <w:t>, pp. 325–327.</w:t>
      </w:r>
    </w:p>
    <w:p w14:paraId="52177417" w14:textId="77777777" w:rsidR="002838F2" w:rsidRPr="002838F2" w:rsidRDefault="002838F2" w:rsidP="002838F2">
      <w:pPr>
        <w:spacing w:line="360" w:lineRule="auto"/>
        <w:rPr>
          <w:rFonts w:asciiTheme="majorHAnsi" w:eastAsia="Calibri" w:hAnsiTheme="majorHAnsi" w:cstheme="majorHAnsi"/>
          <w:sz w:val="24"/>
          <w:szCs w:val="24"/>
        </w:rPr>
      </w:pPr>
      <w:bookmarkStart w:id="0" w:name="_rvau2x3k04iz" w:colFirst="0" w:colLast="0"/>
      <w:bookmarkEnd w:id="0"/>
    </w:p>
    <w:p w14:paraId="68CD7DAE"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Merriam-Webster (2023) </w:t>
      </w:r>
      <w:r w:rsidRPr="002838F2">
        <w:rPr>
          <w:rFonts w:asciiTheme="majorHAnsi" w:eastAsia="Calibri" w:hAnsiTheme="majorHAnsi" w:cstheme="majorHAnsi"/>
          <w:i/>
          <w:sz w:val="24"/>
          <w:szCs w:val="24"/>
        </w:rPr>
        <w:t>Definition of ‘Case Study’</w:t>
      </w:r>
      <w:r w:rsidRPr="002838F2">
        <w:rPr>
          <w:rFonts w:asciiTheme="majorHAnsi" w:eastAsia="Calibri" w:hAnsiTheme="majorHAnsi" w:cstheme="majorHAnsi"/>
          <w:sz w:val="24"/>
          <w:szCs w:val="24"/>
        </w:rPr>
        <w:t xml:space="preserve">. Available from: </w:t>
      </w:r>
      <w:hyperlink r:id="rId20">
        <w:r w:rsidRPr="002838F2">
          <w:rPr>
            <w:rFonts w:asciiTheme="majorHAnsi" w:eastAsia="Calibri" w:hAnsiTheme="majorHAnsi" w:cstheme="majorHAnsi"/>
            <w:color w:val="1155CC"/>
            <w:sz w:val="24"/>
            <w:szCs w:val="24"/>
            <w:u w:val="single"/>
          </w:rPr>
          <w:t>https://www.merriam-webster.com/dictionary/case%20study</w:t>
        </w:r>
      </w:hyperlink>
      <w:r w:rsidRPr="002838F2">
        <w:rPr>
          <w:rFonts w:asciiTheme="majorHAnsi" w:eastAsia="Calibri" w:hAnsiTheme="majorHAnsi" w:cstheme="majorHAnsi"/>
          <w:color w:val="202124"/>
          <w:sz w:val="24"/>
          <w:szCs w:val="24"/>
        </w:rPr>
        <w:t xml:space="preserve"> </w:t>
      </w:r>
      <w:r w:rsidRPr="002838F2">
        <w:rPr>
          <w:rFonts w:asciiTheme="majorHAnsi" w:eastAsia="Calibri" w:hAnsiTheme="majorHAnsi" w:cstheme="majorHAnsi"/>
          <w:sz w:val="24"/>
          <w:szCs w:val="24"/>
        </w:rPr>
        <w:t>(Accessed 20th April 2024).</w:t>
      </w:r>
    </w:p>
    <w:p w14:paraId="2E5B688F"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03C70274"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Merriam, S.B. and </w:t>
      </w:r>
      <w:proofErr w:type="spellStart"/>
      <w:r w:rsidRPr="002838F2">
        <w:rPr>
          <w:rFonts w:asciiTheme="majorHAnsi" w:eastAsia="Calibri" w:hAnsiTheme="majorHAnsi" w:cstheme="majorHAnsi"/>
          <w:sz w:val="24"/>
          <w:szCs w:val="24"/>
          <w:highlight w:val="white"/>
        </w:rPr>
        <w:t>Tisdell</w:t>
      </w:r>
      <w:proofErr w:type="spellEnd"/>
      <w:r w:rsidRPr="002838F2">
        <w:rPr>
          <w:rFonts w:asciiTheme="majorHAnsi" w:eastAsia="Calibri" w:hAnsiTheme="majorHAnsi" w:cstheme="majorHAnsi"/>
          <w:sz w:val="24"/>
          <w:szCs w:val="24"/>
          <w:highlight w:val="white"/>
        </w:rPr>
        <w:t xml:space="preserve">, E.J. (2016) </w:t>
      </w:r>
      <w:r w:rsidRPr="002838F2">
        <w:rPr>
          <w:rFonts w:asciiTheme="majorHAnsi" w:eastAsia="Calibri" w:hAnsiTheme="majorHAnsi" w:cstheme="majorHAnsi"/>
          <w:i/>
          <w:sz w:val="24"/>
          <w:szCs w:val="24"/>
        </w:rPr>
        <w:t>Qualitative research : a guide to design and implementation</w:t>
      </w:r>
      <w:r w:rsidRPr="002838F2">
        <w:rPr>
          <w:rFonts w:asciiTheme="majorHAnsi" w:eastAsia="Calibri" w:hAnsiTheme="majorHAnsi" w:cstheme="majorHAnsi"/>
          <w:sz w:val="24"/>
          <w:szCs w:val="24"/>
          <w:highlight w:val="white"/>
        </w:rPr>
        <w:t>. Fourth edition. San Francisco, CA: Jossey-Bass, a Wiley Brand.</w:t>
      </w:r>
    </w:p>
    <w:p w14:paraId="04B5E114" w14:textId="77777777" w:rsidR="002838F2" w:rsidRPr="002838F2" w:rsidRDefault="002838F2" w:rsidP="002838F2">
      <w:pPr>
        <w:spacing w:line="360" w:lineRule="auto"/>
        <w:rPr>
          <w:rFonts w:asciiTheme="majorHAnsi" w:eastAsia="Calibri" w:hAnsiTheme="majorHAnsi" w:cstheme="majorHAnsi"/>
          <w:sz w:val="24"/>
          <w:szCs w:val="24"/>
        </w:rPr>
      </w:pPr>
    </w:p>
    <w:p w14:paraId="508873F0" w14:textId="77777777" w:rsidR="002838F2" w:rsidRPr="002838F2" w:rsidRDefault="002838F2" w:rsidP="002838F2">
      <w:pPr>
        <w:spacing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 xml:space="preserve">Milton, J., and </w:t>
      </w:r>
      <w:proofErr w:type="spellStart"/>
      <w:r w:rsidRPr="002838F2">
        <w:rPr>
          <w:rFonts w:asciiTheme="majorHAnsi" w:eastAsia="Calibri" w:hAnsiTheme="majorHAnsi" w:cstheme="majorHAnsi"/>
          <w:sz w:val="24"/>
          <w:szCs w:val="24"/>
        </w:rPr>
        <w:t>Roghani</w:t>
      </w:r>
      <w:proofErr w:type="spellEnd"/>
      <w:r w:rsidRPr="002838F2">
        <w:rPr>
          <w:rFonts w:asciiTheme="majorHAnsi" w:eastAsia="Calibri" w:hAnsiTheme="majorHAnsi" w:cstheme="majorHAnsi"/>
          <w:sz w:val="24"/>
          <w:szCs w:val="24"/>
        </w:rPr>
        <w:t>, S. (2015) “Measuring Child L2 Vocabulary Acquisition through Immersion in School.”</w:t>
      </w:r>
    </w:p>
    <w:p w14:paraId="1DD49675"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7F9CB8ED"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Patton, M. Q. (2015) </w:t>
      </w:r>
      <w:r w:rsidRPr="002838F2">
        <w:rPr>
          <w:rFonts w:asciiTheme="majorHAnsi" w:eastAsia="Calibri" w:hAnsiTheme="majorHAnsi" w:cstheme="majorHAnsi"/>
          <w:i/>
          <w:sz w:val="24"/>
          <w:szCs w:val="24"/>
          <w:highlight w:val="white"/>
        </w:rPr>
        <w:t>Qualitative research and evaluation methods.</w:t>
      </w:r>
      <w:r w:rsidRPr="002838F2">
        <w:rPr>
          <w:rFonts w:asciiTheme="majorHAnsi" w:eastAsia="Calibri" w:hAnsiTheme="majorHAnsi" w:cstheme="majorHAnsi"/>
          <w:sz w:val="24"/>
          <w:szCs w:val="24"/>
          <w:highlight w:val="white"/>
        </w:rPr>
        <w:t xml:space="preserve"> 4th ed. Thousand Oaks, CA: Sage.</w:t>
      </w:r>
    </w:p>
    <w:p w14:paraId="3A6F65AB"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5E9C177A" w14:textId="77777777" w:rsidR="002838F2" w:rsidRPr="002838F2" w:rsidRDefault="002838F2" w:rsidP="002838F2">
      <w:pPr>
        <w:spacing w:line="360" w:lineRule="auto"/>
        <w:rPr>
          <w:rFonts w:asciiTheme="majorHAnsi" w:eastAsia="Calibri" w:hAnsiTheme="majorHAnsi" w:cstheme="majorHAnsi"/>
          <w:color w:val="3A3A3A"/>
          <w:sz w:val="24"/>
          <w:szCs w:val="24"/>
          <w:highlight w:val="white"/>
        </w:rPr>
      </w:pPr>
      <w:r w:rsidRPr="002838F2">
        <w:rPr>
          <w:rFonts w:asciiTheme="majorHAnsi" w:eastAsia="Calibri" w:hAnsiTheme="majorHAnsi" w:cstheme="majorHAnsi"/>
          <w:sz w:val="24"/>
          <w:szCs w:val="24"/>
          <w:highlight w:val="white"/>
        </w:rPr>
        <w:t xml:space="preserve">Pool, J. L., and Hampshire, P. (2020) “Planning for Authentic Assessment Using Unstructured and Structured Observation in the Preschool Classroom,” </w:t>
      </w:r>
      <w:r w:rsidRPr="002838F2">
        <w:rPr>
          <w:rFonts w:asciiTheme="majorHAnsi" w:eastAsia="Calibri" w:hAnsiTheme="majorHAnsi" w:cstheme="majorHAnsi"/>
          <w:i/>
          <w:sz w:val="24"/>
          <w:szCs w:val="24"/>
          <w:highlight w:val="white"/>
        </w:rPr>
        <w:t>Young exceptional children</w:t>
      </w:r>
      <w:r w:rsidRPr="002838F2">
        <w:rPr>
          <w:rFonts w:asciiTheme="majorHAnsi" w:eastAsia="Calibri" w:hAnsiTheme="majorHAnsi" w:cstheme="majorHAnsi"/>
          <w:sz w:val="24"/>
          <w:szCs w:val="24"/>
          <w:highlight w:val="white"/>
        </w:rPr>
        <w:t>, 23(3), pp. 143–156. Available at:</w:t>
      </w:r>
      <w:r w:rsidRPr="002838F2">
        <w:rPr>
          <w:rFonts w:asciiTheme="majorHAnsi" w:eastAsia="Calibri" w:hAnsiTheme="majorHAnsi" w:cstheme="majorHAnsi"/>
          <w:color w:val="3A3A3A"/>
          <w:sz w:val="24"/>
          <w:szCs w:val="24"/>
          <w:highlight w:val="white"/>
        </w:rPr>
        <w:t xml:space="preserve"> </w:t>
      </w:r>
      <w:hyperlink r:id="rId21">
        <w:r w:rsidRPr="002838F2">
          <w:rPr>
            <w:rFonts w:asciiTheme="majorHAnsi" w:eastAsia="Calibri" w:hAnsiTheme="majorHAnsi" w:cstheme="majorHAnsi"/>
            <w:color w:val="1155CC"/>
            <w:sz w:val="24"/>
            <w:szCs w:val="24"/>
            <w:highlight w:val="white"/>
            <w:u w:val="single"/>
          </w:rPr>
          <w:t>https://doi.org/10.1177/1096250619846919</w:t>
        </w:r>
      </w:hyperlink>
      <w:r w:rsidRPr="002838F2">
        <w:rPr>
          <w:rFonts w:asciiTheme="majorHAnsi" w:eastAsia="Calibri" w:hAnsiTheme="majorHAnsi" w:cstheme="majorHAnsi"/>
          <w:color w:val="3A3A3A"/>
          <w:sz w:val="24"/>
          <w:szCs w:val="24"/>
          <w:highlight w:val="white"/>
        </w:rPr>
        <w:t xml:space="preserve">. </w:t>
      </w:r>
    </w:p>
    <w:p w14:paraId="253D92AA" w14:textId="77777777" w:rsidR="002838F2" w:rsidRPr="002838F2" w:rsidRDefault="002838F2" w:rsidP="002838F2">
      <w:pPr>
        <w:pStyle w:val="Heading1"/>
        <w:keepNext w:val="0"/>
        <w:keepLines w:val="0"/>
        <w:spacing w:before="0" w:after="0" w:line="360" w:lineRule="auto"/>
        <w:rPr>
          <w:rFonts w:asciiTheme="majorHAnsi" w:eastAsia="Calibri" w:hAnsiTheme="majorHAnsi" w:cstheme="majorHAnsi"/>
          <w:sz w:val="24"/>
          <w:szCs w:val="24"/>
          <w:highlight w:val="white"/>
        </w:rPr>
      </w:pPr>
    </w:p>
    <w:p w14:paraId="46305A73" w14:textId="77777777" w:rsidR="002838F2" w:rsidRPr="002838F2" w:rsidRDefault="002838F2" w:rsidP="002838F2">
      <w:pPr>
        <w:pStyle w:val="Heading1"/>
        <w:keepNext w:val="0"/>
        <w:keepLines w:val="0"/>
        <w:spacing w:before="0" w:after="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Rea, L. M., Parker, R. A. (2005) </w:t>
      </w:r>
      <w:r w:rsidRPr="002838F2">
        <w:rPr>
          <w:rFonts w:asciiTheme="majorHAnsi" w:eastAsia="Calibri" w:hAnsiTheme="majorHAnsi" w:cstheme="majorHAnsi"/>
          <w:i/>
          <w:sz w:val="24"/>
          <w:szCs w:val="24"/>
          <w:highlight w:val="white"/>
        </w:rPr>
        <w:t>Designing and Conducting Survey Research: A Comprehensive Guide</w:t>
      </w:r>
      <w:r w:rsidRPr="002838F2">
        <w:rPr>
          <w:rFonts w:asciiTheme="majorHAnsi" w:eastAsia="Calibri" w:hAnsiTheme="majorHAnsi" w:cstheme="majorHAnsi"/>
          <w:sz w:val="24"/>
          <w:szCs w:val="24"/>
          <w:highlight w:val="white"/>
        </w:rPr>
        <w:t>. 3rd ed. John Wiley &amp; Sons</w:t>
      </w:r>
    </w:p>
    <w:p w14:paraId="480ACDAF" w14:textId="77777777" w:rsidR="002838F2" w:rsidRPr="002838F2" w:rsidRDefault="002838F2" w:rsidP="002838F2">
      <w:pPr>
        <w:spacing w:before="240" w:after="240" w:line="360" w:lineRule="auto"/>
        <w:rPr>
          <w:rFonts w:asciiTheme="majorHAnsi" w:eastAsia="Calibri" w:hAnsiTheme="majorHAnsi" w:cstheme="majorHAnsi"/>
          <w:sz w:val="24"/>
          <w:szCs w:val="24"/>
        </w:rPr>
      </w:pPr>
      <w:r w:rsidRPr="002838F2">
        <w:rPr>
          <w:rFonts w:asciiTheme="majorHAnsi" w:eastAsia="Calibri" w:hAnsiTheme="majorHAnsi" w:cstheme="majorHAnsi"/>
          <w:sz w:val="24"/>
          <w:szCs w:val="24"/>
        </w:rPr>
        <w:t>Robert K. Yin. (2014)</w:t>
      </w:r>
      <w:r w:rsidRPr="002838F2">
        <w:rPr>
          <w:rFonts w:asciiTheme="majorHAnsi" w:eastAsia="Calibri" w:hAnsiTheme="majorHAnsi" w:cstheme="majorHAnsi"/>
          <w:i/>
          <w:sz w:val="24"/>
          <w:szCs w:val="24"/>
        </w:rPr>
        <w:t xml:space="preserve"> Case Study Research Design and Methods (5th ed.). </w:t>
      </w:r>
      <w:r w:rsidRPr="002838F2">
        <w:rPr>
          <w:rFonts w:asciiTheme="majorHAnsi" w:eastAsia="Calibri" w:hAnsiTheme="majorHAnsi" w:cstheme="majorHAnsi"/>
          <w:sz w:val="24"/>
          <w:szCs w:val="24"/>
        </w:rPr>
        <w:t>Thousand Oaks, CA: Sage.</w:t>
      </w:r>
    </w:p>
    <w:p w14:paraId="61819F98"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44D46F12" w14:textId="77777777" w:rsidR="002838F2" w:rsidRPr="002838F2" w:rsidRDefault="002838F2" w:rsidP="002838F2">
      <w:pPr>
        <w:spacing w:line="360" w:lineRule="auto"/>
        <w:rPr>
          <w:rFonts w:asciiTheme="majorHAnsi" w:eastAsia="Calibri" w:hAnsiTheme="majorHAnsi" w:cstheme="majorHAnsi"/>
          <w:i/>
          <w:sz w:val="24"/>
          <w:szCs w:val="24"/>
          <w:highlight w:val="white"/>
        </w:rPr>
      </w:pPr>
      <w:r w:rsidRPr="002838F2">
        <w:rPr>
          <w:rFonts w:asciiTheme="majorHAnsi" w:eastAsia="Calibri" w:hAnsiTheme="majorHAnsi" w:cstheme="majorHAnsi"/>
          <w:sz w:val="24"/>
          <w:szCs w:val="24"/>
          <w:highlight w:val="white"/>
        </w:rPr>
        <w:t xml:space="preserve">Schensul, J. J. &amp; LeCompte, M. D. (2013) </w:t>
      </w:r>
      <w:r w:rsidRPr="002838F2">
        <w:rPr>
          <w:rFonts w:asciiTheme="majorHAnsi" w:eastAsia="Calibri" w:hAnsiTheme="majorHAnsi" w:cstheme="majorHAnsi"/>
          <w:i/>
          <w:sz w:val="24"/>
          <w:szCs w:val="24"/>
          <w:highlight w:val="white"/>
        </w:rPr>
        <w:t>Essential Ethnographic Methods: A Mixed Methods Approach</w:t>
      </w:r>
      <w:r w:rsidRPr="002838F2">
        <w:rPr>
          <w:rFonts w:asciiTheme="majorHAnsi" w:eastAsia="Calibri" w:hAnsiTheme="majorHAnsi" w:cstheme="majorHAnsi"/>
          <w:sz w:val="24"/>
          <w:szCs w:val="24"/>
          <w:highlight w:val="white"/>
        </w:rPr>
        <w:t xml:space="preserve">. 2nd ed. Lanham, MD: </w:t>
      </w:r>
      <w:proofErr w:type="spellStart"/>
      <w:r w:rsidRPr="002838F2">
        <w:rPr>
          <w:rFonts w:asciiTheme="majorHAnsi" w:eastAsia="Calibri" w:hAnsiTheme="majorHAnsi" w:cstheme="majorHAnsi"/>
          <w:sz w:val="24"/>
          <w:szCs w:val="24"/>
          <w:highlight w:val="white"/>
        </w:rPr>
        <w:t>AltaMira</w:t>
      </w:r>
      <w:proofErr w:type="spellEnd"/>
      <w:r w:rsidRPr="002838F2">
        <w:rPr>
          <w:rFonts w:asciiTheme="majorHAnsi" w:eastAsia="Calibri" w:hAnsiTheme="majorHAnsi" w:cstheme="majorHAnsi"/>
          <w:sz w:val="24"/>
          <w:szCs w:val="24"/>
          <w:highlight w:val="white"/>
        </w:rPr>
        <w:t xml:space="preserve"> Press.</w:t>
      </w:r>
    </w:p>
    <w:p w14:paraId="24B5F21D" w14:textId="77777777" w:rsidR="002838F2" w:rsidRPr="002838F2" w:rsidRDefault="002838F2" w:rsidP="002838F2">
      <w:pPr>
        <w:spacing w:line="360" w:lineRule="auto"/>
        <w:rPr>
          <w:rFonts w:asciiTheme="majorHAnsi" w:eastAsia="Calibri" w:hAnsiTheme="majorHAnsi" w:cstheme="majorHAnsi"/>
          <w:sz w:val="24"/>
          <w:szCs w:val="24"/>
          <w:highlight w:val="white"/>
        </w:rPr>
      </w:pPr>
    </w:p>
    <w:p w14:paraId="7315FD93" w14:textId="77777777" w:rsidR="002838F2" w:rsidRPr="002838F2" w:rsidRDefault="002838F2" w:rsidP="002838F2">
      <w:pPr>
        <w:spacing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lastRenderedPageBreak/>
        <w:t xml:space="preserve">Silverman, D. (2005) </w:t>
      </w:r>
      <w:r w:rsidRPr="002838F2">
        <w:rPr>
          <w:rFonts w:asciiTheme="majorHAnsi" w:eastAsia="Calibri" w:hAnsiTheme="majorHAnsi" w:cstheme="majorHAnsi"/>
          <w:i/>
          <w:sz w:val="24"/>
          <w:szCs w:val="24"/>
          <w:highlight w:val="white"/>
        </w:rPr>
        <w:t>Doing qualitative research: A practical Handbook</w:t>
      </w:r>
      <w:r w:rsidRPr="002838F2">
        <w:rPr>
          <w:rFonts w:asciiTheme="majorHAnsi" w:eastAsia="Calibri" w:hAnsiTheme="majorHAnsi" w:cstheme="majorHAnsi"/>
          <w:sz w:val="24"/>
          <w:szCs w:val="24"/>
          <w:highlight w:val="white"/>
        </w:rPr>
        <w:t>. 2nd ed. London: Sage</w:t>
      </w:r>
    </w:p>
    <w:p w14:paraId="2DADF5B4" w14:textId="77777777" w:rsidR="002838F2" w:rsidRPr="002838F2" w:rsidRDefault="002838F2" w:rsidP="002838F2">
      <w:pPr>
        <w:spacing w:line="360" w:lineRule="auto"/>
        <w:rPr>
          <w:rFonts w:asciiTheme="majorHAnsi" w:eastAsia="Calibri" w:hAnsiTheme="majorHAnsi" w:cstheme="majorHAnsi"/>
          <w:sz w:val="24"/>
          <w:szCs w:val="24"/>
        </w:rPr>
      </w:pPr>
    </w:p>
    <w:p w14:paraId="05B7B344" w14:textId="77777777" w:rsidR="002838F2" w:rsidRPr="002838F2" w:rsidRDefault="002838F2" w:rsidP="002838F2">
      <w:pPr>
        <w:spacing w:line="360" w:lineRule="auto"/>
        <w:rPr>
          <w:rFonts w:asciiTheme="majorHAnsi" w:eastAsia="Calibri" w:hAnsiTheme="majorHAnsi" w:cstheme="majorHAnsi"/>
          <w:color w:val="222222"/>
          <w:sz w:val="24"/>
          <w:szCs w:val="24"/>
        </w:rPr>
      </w:pPr>
      <w:r w:rsidRPr="002838F2">
        <w:rPr>
          <w:rFonts w:asciiTheme="majorHAnsi" w:eastAsia="Calibri" w:hAnsiTheme="majorHAnsi" w:cstheme="majorHAnsi"/>
          <w:sz w:val="24"/>
          <w:szCs w:val="24"/>
        </w:rPr>
        <w:t xml:space="preserve">Smith, S. and Murphy, V. (2015) “Measuring Productive Elements of Multi-word Phrase Vocabulary Knowledge among Children with English as an Additional Language.” </w:t>
      </w:r>
      <w:r w:rsidRPr="002838F2">
        <w:rPr>
          <w:rFonts w:asciiTheme="majorHAnsi" w:eastAsia="Calibri" w:hAnsiTheme="majorHAnsi" w:cstheme="majorHAnsi"/>
          <w:i/>
          <w:sz w:val="24"/>
          <w:szCs w:val="24"/>
        </w:rPr>
        <w:t>Reading and Writing</w:t>
      </w:r>
      <w:r w:rsidRPr="002838F2">
        <w:rPr>
          <w:rFonts w:asciiTheme="majorHAnsi" w:eastAsia="Calibri" w:hAnsiTheme="majorHAnsi" w:cstheme="majorHAnsi"/>
          <w:sz w:val="24"/>
          <w:szCs w:val="24"/>
        </w:rPr>
        <w:t xml:space="preserve"> 28 (2) pp.347-369</w:t>
      </w:r>
      <w:r w:rsidRPr="002838F2">
        <w:rPr>
          <w:rFonts w:asciiTheme="majorHAnsi" w:eastAsia="Calibri" w:hAnsiTheme="majorHAnsi" w:cstheme="majorHAnsi"/>
          <w:color w:val="3A3A3A"/>
          <w:sz w:val="24"/>
          <w:szCs w:val="24"/>
        </w:rPr>
        <w:t xml:space="preserve">. </w:t>
      </w:r>
      <w:hyperlink r:id="rId22">
        <w:r w:rsidRPr="002838F2">
          <w:rPr>
            <w:rFonts w:asciiTheme="majorHAnsi" w:eastAsia="Calibri" w:hAnsiTheme="majorHAnsi" w:cstheme="majorHAnsi"/>
            <w:color w:val="1155CC"/>
            <w:sz w:val="24"/>
            <w:szCs w:val="24"/>
            <w:u w:val="single"/>
          </w:rPr>
          <w:t>https://doi.org/10.1007/s11145-014-9527-y</w:t>
        </w:r>
      </w:hyperlink>
      <w:r w:rsidRPr="002838F2">
        <w:rPr>
          <w:rFonts w:asciiTheme="majorHAnsi" w:eastAsia="Calibri" w:hAnsiTheme="majorHAnsi" w:cstheme="majorHAnsi"/>
          <w:color w:val="222222"/>
          <w:sz w:val="24"/>
          <w:szCs w:val="24"/>
        </w:rPr>
        <w:t xml:space="preserve"> </w:t>
      </w:r>
    </w:p>
    <w:p w14:paraId="7364E602" w14:textId="77777777" w:rsidR="002838F2" w:rsidRPr="002838F2" w:rsidRDefault="002838F2" w:rsidP="002838F2">
      <w:pPr>
        <w:spacing w:line="360" w:lineRule="auto"/>
        <w:rPr>
          <w:rFonts w:asciiTheme="majorHAnsi" w:eastAsia="Calibri" w:hAnsiTheme="majorHAnsi" w:cstheme="majorHAnsi"/>
          <w:sz w:val="24"/>
          <w:szCs w:val="24"/>
        </w:rPr>
      </w:pPr>
    </w:p>
    <w:p w14:paraId="00D8BE4F" w14:textId="77777777" w:rsidR="002838F2" w:rsidRPr="002838F2" w:rsidRDefault="002838F2" w:rsidP="002838F2">
      <w:pPr>
        <w:spacing w:line="360" w:lineRule="auto"/>
        <w:rPr>
          <w:rFonts w:asciiTheme="majorHAnsi" w:eastAsia="Calibri" w:hAnsiTheme="majorHAnsi" w:cstheme="majorHAnsi"/>
          <w:color w:val="3A3A3A"/>
          <w:sz w:val="24"/>
          <w:szCs w:val="24"/>
        </w:rPr>
      </w:pPr>
      <w:r w:rsidRPr="002838F2">
        <w:rPr>
          <w:rFonts w:asciiTheme="majorHAnsi" w:eastAsia="Calibri" w:hAnsiTheme="majorHAnsi" w:cstheme="majorHAnsi"/>
          <w:sz w:val="24"/>
          <w:szCs w:val="24"/>
        </w:rPr>
        <w:t xml:space="preserve">Snow, C.E. and </w:t>
      </w:r>
      <w:proofErr w:type="spellStart"/>
      <w:r w:rsidRPr="002838F2">
        <w:rPr>
          <w:rFonts w:asciiTheme="majorHAnsi" w:eastAsia="Calibri" w:hAnsiTheme="majorHAnsi" w:cstheme="majorHAnsi"/>
          <w:sz w:val="24"/>
          <w:szCs w:val="24"/>
        </w:rPr>
        <w:t>Hoefnagel-Höhle</w:t>
      </w:r>
      <w:proofErr w:type="spellEnd"/>
      <w:r w:rsidRPr="002838F2">
        <w:rPr>
          <w:rFonts w:asciiTheme="majorHAnsi" w:eastAsia="Calibri" w:hAnsiTheme="majorHAnsi" w:cstheme="majorHAnsi"/>
          <w:sz w:val="24"/>
          <w:szCs w:val="24"/>
        </w:rPr>
        <w:t xml:space="preserve">, M. (1978) “The Critical Period for Language Acquisition: Evidence from Second Language Learning,” </w:t>
      </w:r>
      <w:r w:rsidRPr="002838F2">
        <w:rPr>
          <w:rFonts w:asciiTheme="majorHAnsi" w:eastAsia="Calibri" w:hAnsiTheme="majorHAnsi" w:cstheme="majorHAnsi"/>
          <w:i/>
          <w:sz w:val="24"/>
          <w:szCs w:val="24"/>
        </w:rPr>
        <w:t>Child development</w:t>
      </w:r>
      <w:r w:rsidRPr="002838F2">
        <w:rPr>
          <w:rFonts w:asciiTheme="majorHAnsi" w:eastAsia="Calibri" w:hAnsiTheme="majorHAnsi" w:cstheme="majorHAnsi"/>
          <w:sz w:val="24"/>
          <w:szCs w:val="24"/>
        </w:rPr>
        <w:t xml:space="preserve">, 49(4), pp. 1114–1128. Available at: </w:t>
      </w:r>
      <w:hyperlink r:id="rId23">
        <w:r w:rsidRPr="002838F2">
          <w:rPr>
            <w:rFonts w:asciiTheme="majorHAnsi" w:eastAsia="Calibri" w:hAnsiTheme="majorHAnsi" w:cstheme="majorHAnsi"/>
            <w:color w:val="1155CC"/>
            <w:sz w:val="24"/>
            <w:szCs w:val="24"/>
            <w:u w:val="single"/>
          </w:rPr>
          <w:t>https://doi.org/10.2307/1128751</w:t>
        </w:r>
      </w:hyperlink>
      <w:r w:rsidRPr="002838F2">
        <w:rPr>
          <w:rFonts w:asciiTheme="majorHAnsi" w:eastAsia="Calibri" w:hAnsiTheme="majorHAnsi" w:cstheme="majorHAnsi"/>
          <w:color w:val="3A3A3A"/>
          <w:sz w:val="24"/>
          <w:szCs w:val="24"/>
        </w:rPr>
        <w:t xml:space="preserve">. </w:t>
      </w:r>
    </w:p>
    <w:p w14:paraId="16099F9D" w14:textId="77777777" w:rsidR="002838F2" w:rsidRPr="002838F2" w:rsidRDefault="002838F2" w:rsidP="002838F2">
      <w:pPr>
        <w:spacing w:line="360" w:lineRule="auto"/>
        <w:rPr>
          <w:rFonts w:asciiTheme="majorHAnsi" w:eastAsia="Calibri" w:hAnsiTheme="majorHAnsi" w:cstheme="majorHAnsi"/>
          <w:color w:val="131413"/>
          <w:sz w:val="24"/>
          <w:szCs w:val="24"/>
          <w:highlight w:val="white"/>
        </w:rPr>
      </w:pPr>
    </w:p>
    <w:p w14:paraId="0A3D0562" w14:textId="77777777" w:rsidR="002838F2" w:rsidRPr="002838F2" w:rsidRDefault="002838F2" w:rsidP="002838F2">
      <w:pPr>
        <w:spacing w:line="360" w:lineRule="auto"/>
        <w:rPr>
          <w:rFonts w:asciiTheme="majorHAnsi" w:eastAsia="Calibri" w:hAnsiTheme="majorHAnsi" w:cstheme="majorHAnsi"/>
          <w:color w:val="3A2A97"/>
          <w:sz w:val="24"/>
          <w:szCs w:val="24"/>
          <w:highlight w:val="white"/>
        </w:rPr>
      </w:pPr>
      <w:proofErr w:type="spellStart"/>
      <w:r w:rsidRPr="002838F2">
        <w:rPr>
          <w:rFonts w:asciiTheme="majorHAnsi" w:eastAsia="Calibri" w:hAnsiTheme="majorHAnsi" w:cstheme="majorHAnsi"/>
          <w:color w:val="131413"/>
          <w:sz w:val="24"/>
          <w:szCs w:val="24"/>
          <w:highlight w:val="white"/>
        </w:rPr>
        <w:t>Wakita</w:t>
      </w:r>
      <w:proofErr w:type="spellEnd"/>
      <w:r w:rsidRPr="002838F2">
        <w:rPr>
          <w:rFonts w:asciiTheme="majorHAnsi" w:eastAsia="Calibri" w:hAnsiTheme="majorHAnsi" w:cstheme="majorHAnsi"/>
          <w:color w:val="131413"/>
          <w:sz w:val="24"/>
          <w:szCs w:val="24"/>
          <w:highlight w:val="white"/>
        </w:rPr>
        <w:t xml:space="preserve">, T., </w:t>
      </w:r>
      <w:proofErr w:type="spellStart"/>
      <w:r w:rsidRPr="002838F2">
        <w:rPr>
          <w:rFonts w:asciiTheme="majorHAnsi" w:eastAsia="Calibri" w:hAnsiTheme="majorHAnsi" w:cstheme="majorHAnsi"/>
          <w:color w:val="131413"/>
          <w:sz w:val="24"/>
          <w:szCs w:val="24"/>
          <w:highlight w:val="white"/>
        </w:rPr>
        <w:t>Ueshima</w:t>
      </w:r>
      <w:proofErr w:type="spellEnd"/>
      <w:r w:rsidRPr="002838F2">
        <w:rPr>
          <w:rFonts w:asciiTheme="majorHAnsi" w:eastAsia="Calibri" w:hAnsiTheme="majorHAnsi" w:cstheme="majorHAnsi"/>
          <w:color w:val="131413"/>
          <w:sz w:val="24"/>
          <w:szCs w:val="24"/>
          <w:highlight w:val="white"/>
        </w:rPr>
        <w:t xml:space="preserve">, N., &amp; Noguchi, H. (2012). ‘Psychological distance between categories in the </w:t>
      </w:r>
      <w:proofErr w:type="spellStart"/>
      <w:r w:rsidRPr="002838F2">
        <w:rPr>
          <w:rFonts w:asciiTheme="majorHAnsi" w:eastAsia="Calibri" w:hAnsiTheme="majorHAnsi" w:cstheme="majorHAnsi"/>
          <w:color w:val="131413"/>
          <w:sz w:val="24"/>
          <w:szCs w:val="24"/>
          <w:highlight w:val="white"/>
        </w:rPr>
        <w:t>likert</w:t>
      </w:r>
      <w:proofErr w:type="spellEnd"/>
      <w:r w:rsidRPr="002838F2">
        <w:rPr>
          <w:rFonts w:asciiTheme="majorHAnsi" w:eastAsia="Calibri" w:hAnsiTheme="majorHAnsi" w:cstheme="majorHAnsi"/>
          <w:color w:val="131413"/>
          <w:sz w:val="24"/>
          <w:szCs w:val="24"/>
          <w:highlight w:val="white"/>
        </w:rPr>
        <w:t xml:space="preserve"> scale comparing different numbers of options.’ </w:t>
      </w:r>
      <w:r w:rsidRPr="002838F2">
        <w:rPr>
          <w:rFonts w:asciiTheme="majorHAnsi" w:eastAsia="Calibri" w:hAnsiTheme="majorHAnsi" w:cstheme="majorHAnsi"/>
          <w:i/>
          <w:color w:val="131413"/>
          <w:sz w:val="24"/>
          <w:szCs w:val="24"/>
          <w:highlight w:val="white"/>
        </w:rPr>
        <w:t>Educational and Psychological Measurement</w:t>
      </w:r>
      <w:r w:rsidRPr="002838F2">
        <w:rPr>
          <w:rFonts w:asciiTheme="majorHAnsi" w:eastAsia="Calibri" w:hAnsiTheme="majorHAnsi" w:cstheme="majorHAnsi"/>
          <w:color w:val="131413"/>
          <w:sz w:val="24"/>
          <w:szCs w:val="24"/>
          <w:highlight w:val="white"/>
        </w:rPr>
        <w:t xml:space="preserve">, 72, pp. 533–546. Available at: </w:t>
      </w:r>
      <w:hyperlink r:id="rId24">
        <w:r w:rsidRPr="002838F2">
          <w:rPr>
            <w:rFonts w:asciiTheme="majorHAnsi" w:eastAsia="Calibri" w:hAnsiTheme="majorHAnsi" w:cstheme="majorHAnsi"/>
            <w:color w:val="1155CC"/>
            <w:sz w:val="24"/>
            <w:szCs w:val="24"/>
            <w:highlight w:val="white"/>
            <w:u w:val="single"/>
          </w:rPr>
          <w:t>https://doi.org/10.1177/0013164411431162</w:t>
        </w:r>
      </w:hyperlink>
      <w:r w:rsidRPr="002838F2">
        <w:rPr>
          <w:rFonts w:asciiTheme="majorHAnsi" w:eastAsia="Calibri" w:hAnsiTheme="majorHAnsi" w:cstheme="majorHAnsi"/>
          <w:color w:val="3A2A97"/>
          <w:sz w:val="24"/>
          <w:szCs w:val="24"/>
          <w:highlight w:val="white"/>
        </w:rPr>
        <w:t xml:space="preserve"> </w:t>
      </w:r>
    </w:p>
    <w:p w14:paraId="62043A2F" w14:textId="77777777" w:rsidR="002838F2" w:rsidRPr="002838F2" w:rsidRDefault="002838F2"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Welsh Government (2017) </w:t>
      </w:r>
      <w:r w:rsidRPr="002838F2">
        <w:rPr>
          <w:rFonts w:asciiTheme="majorHAnsi" w:eastAsia="Calibri" w:hAnsiTheme="majorHAnsi" w:cstheme="majorHAnsi"/>
          <w:i/>
          <w:sz w:val="24"/>
          <w:szCs w:val="24"/>
          <w:highlight w:val="white"/>
        </w:rPr>
        <w:t>Professional standards for teaching and leadership</w:t>
      </w:r>
      <w:r w:rsidRPr="002838F2">
        <w:rPr>
          <w:rFonts w:asciiTheme="majorHAnsi" w:eastAsia="Calibri" w:hAnsiTheme="majorHAnsi" w:cstheme="majorHAnsi"/>
          <w:sz w:val="24"/>
          <w:szCs w:val="24"/>
          <w:highlight w:val="white"/>
        </w:rPr>
        <w:t xml:space="preserve">. Available at: </w:t>
      </w:r>
      <w:hyperlink r:id="rId25">
        <w:r w:rsidRPr="002838F2">
          <w:rPr>
            <w:rFonts w:asciiTheme="majorHAnsi" w:eastAsia="Calibri" w:hAnsiTheme="majorHAnsi" w:cstheme="majorHAnsi"/>
            <w:color w:val="1155CC"/>
            <w:sz w:val="24"/>
            <w:szCs w:val="24"/>
            <w:highlight w:val="white"/>
            <w:u w:val="single"/>
          </w:rPr>
          <w:t>https://hwb.gov.wales/api/storage/19bc948b-8a3f-41e0-944a-7bf2cadf7d18/professional-standards-for-teaching-and-leadership-interactive-pdf-for-pc.pdf</w:t>
        </w:r>
      </w:hyperlink>
      <w:r w:rsidRPr="002838F2">
        <w:rPr>
          <w:rFonts w:asciiTheme="majorHAnsi" w:eastAsia="Calibri" w:hAnsiTheme="majorHAnsi" w:cstheme="majorHAnsi"/>
          <w:sz w:val="24"/>
          <w:szCs w:val="24"/>
          <w:highlight w:val="white"/>
        </w:rPr>
        <w:t>. (Accessed on 20th April 2024)</w:t>
      </w:r>
    </w:p>
    <w:p w14:paraId="5738FA65" w14:textId="77777777" w:rsidR="002838F2" w:rsidRPr="002838F2" w:rsidRDefault="002838F2" w:rsidP="002838F2">
      <w:pPr>
        <w:spacing w:before="240" w:after="240" w:line="360" w:lineRule="auto"/>
        <w:rPr>
          <w:rFonts w:asciiTheme="majorHAnsi" w:eastAsia="Calibri" w:hAnsiTheme="majorHAnsi" w:cstheme="majorHAnsi"/>
          <w:sz w:val="24"/>
          <w:szCs w:val="24"/>
          <w:highlight w:val="white"/>
        </w:rPr>
      </w:pPr>
      <w:r w:rsidRPr="002838F2">
        <w:rPr>
          <w:rFonts w:asciiTheme="majorHAnsi" w:eastAsia="Calibri" w:hAnsiTheme="majorHAnsi" w:cstheme="majorHAnsi"/>
          <w:sz w:val="24"/>
          <w:szCs w:val="24"/>
          <w:highlight w:val="white"/>
        </w:rPr>
        <w:t xml:space="preserve">Youngman, M. B. (1982) </w:t>
      </w:r>
      <w:r w:rsidRPr="002838F2">
        <w:rPr>
          <w:rFonts w:asciiTheme="majorHAnsi" w:eastAsia="Calibri" w:hAnsiTheme="majorHAnsi" w:cstheme="majorHAnsi"/>
          <w:i/>
          <w:sz w:val="24"/>
          <w:szCs w:val="24"/>
          <w:highlight w:val="white"/>
        </w:rPr>
        <w:t>Analysing Questionnaires</w:t>
      </w:r>
      <w:r w:rsidRPr="002838F2">
        <w:rPr>
          <w:rFonts w:asciiTheme="majorHAnsi" w:eastAsia="Calibri" w:hAnsiTheme="majorHAnsi" w:cstheme="majorHAnsi"/>
          <w:sz w:val="24"/>
          <w:szCs w:val="24"/>
          <w:highlight w:val="white"/>
        </w:rPr>
        <w:t xml:space="preserve">, </w:t>
      </w:r>
      <w:proofErr w:type="spellStart"/>
      <w:r w:rsidRPr="002838F2">
        <w:rPr>
          <w:rFonts w:asciiTheme="majorHAnsi" w:eastAsia="Calibri" w:hAnsiTheme="majorHAnsi" w:cstheme="majorHAnsi"/>
          <w:sz w:val="24"/>
          <w:szCs w:val="24"/>
          <w:highlight w:val="white"/>
        </w:rPr>
        <w:t>Rediguide</w:t>
      </w:r>
      <w:proofErr w:type="spellEnd"/>
      <w:r w:rsidRPr="002838F2">
        <w:rPr>
          <w:rFonts w:asciiTheme="majorHAnsi" w:eastAsia="Calibri" w:hAnsiTheme="majorHAnsi" w:cstheme="majorHAnsi"/>
          <w:sz w:val="24"/>
          <w:szCs w:val="24"/>
          <w:highlight w:val="white"/>
        </w:rPr>
        <w:t xml:space="preserve"> 12. Nottingham: University of Nottingham School of Education.</w:t>
      </w:r>
    </w:p>
    <w:p w14:paraId="79DDDA17" w14:textId="77777777" w:rsidR="002838F2" w:rsidRDefault="002838F2">
      <w:pPr>
        <w:spacing w:before="240" w:after="240"/>
        <w:rPr>
          <w:rFonts w:ascii="Calibri" w:eastAsia="Calibri" w:hAnsi="Calibri" w:cs="Calibri"/>
          <w:sz w:val="24"/>
          <w:szCs w:val="24"/>
        </w:rPr>
      </w:pPr>
    </w:p>
    <w:sectPr w:rsidR="002838F2">
      <w:headerReference w:type="default" r:id="rId26"/>
      <w:footerReference w:type="even" r:id="rId27"/>
      <w:footerReference w:type="defaul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09E42" w14:textId="77777777" w:rsidR="005D5CF2" w:rsidRDefault="005D5CF2" w:rsidP="00A36A08">
      <w:pPr>
        <w:spacing w:line="240" w:lineRule="auto"/>
      </w:pPr>
      <w:r>
        <w:separator/>
      </w:r>
    </w:p>
  </w:endnote>
  <w:endnote w:type="continuationSeparator" w:id="0">
    <w:p w14:paraId="458E857A" w14:textId="77777777" w:rsidR="005D5CF2" w:rsidRDefault="005D5CF2" w:rsidP="00A36A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0CE13CAA-93EF-1F40-9163-F85D0C012F8A}"/>
  </w:font>
  <w:font w:name="Arial">
    <w:panose1 w:val="020B0604020202020204"/>
    <w:charset w:val="00"/>
    <w:family w:val="swiss"/>
    <w:pitch w:val="variable"/>
    <w:sig w:usb0="E0002EFF" w:usb1="C000785B" w:usb2="00000009" w:usb3="00000000" w:csb0="000001FF" w:csb1="00000000"/>
    <w:embedRegular r:id="rId2" w:fontKey="{10B4368A-1F02-ED40-9C65-12F86BF0BFA2}"/>
    <w:embedItalic r:id="rId3" w:fontKey="{783DB9F0-12BE-0848-A726-1C0746760F09}"/>
  </w:font>
  <w:font w:name="Roboto">
    <w:panose1 w:val="02000000000000000000"/>
    <w:charset w:val="00"/>
    <w:family w:val="auto"/>
    <w:pitch w:val="variable"/>
    <w:sig w:usb0="E0000AFF" w:usb1="5000217F" w:usb2="00000021" w:usb3="00000000" w:csb0="0000019F" w:csb1="00000000"/>
    <w:embedRegular r:id="rId4" w:fontKey="{3A1472FB-82F6-B745-8BF1-5727850160DB}"/>
  </w:font>
  <w:font w:name="Calibri">
    <w:panose1 w:val="020F0502020204030204"/>
    <w:charset w:val="00"/>
    <w:family w:val="swiss"/>
    <w:pitch w:val="variable"/>
    <w:sig w:usb0="E4002EFF" w:usb1="C000247B" w:usb2="00000009" w:usb3="00000000" w:csb0="000001FF" w:csb1="00000000"/>
    <w:embedRegular r:id="rId5" w:fontKey="{A92431DA-F595-FA46-B502-45CF7684A180}"/>
    <w:embedBold r:id="rId6" w:fontKey="{635AADB5-5F1D-5448-9262-C96D65290BF5}"/>
    <w:embedItalic r:id="rId7" w:fontKey="{F0C4D5BC-E300-6A48-8759-C81305684F9A}"/>
  </w:font>
  <w:font w:name="Cambria">
    <w:panose1 w:val="02040503050406030204"/>
    <w:charset w:val="00"/>
    <w:family w:val="roman"/>
    <w:pitch w:val="variable"/>
    <w:sig w:usb0="E00006FF" w:usb1="420024FF" w:usb2="02000000" w:usb3="00000000" w:csb0="0000019F" w:csb1="00000000"/>
    <w:embedRegular r:id="rId8" w:fontKey="{EA835659-46D2-8044-A53D-FED14428F9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4862167"/>
      <w:docPartObj>
        <w:docPartGallery w:val="Page Numbers (Bottom of Page)"/>
        <w:docPartUnique/>
      </w:docPartObj>
    </w:sdtPr>
    <w:sdtContent>
      <w:p w14:paraId="05D0A7F9" w14:textId="20643C0C" w:rsidR="00A36A08" w:rsidRDefault="00A36A08" w:rsidP="00720F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0813A6" w14:textId="77777777" w:rsidR="00A36A08" w:rsidRDefault="00A36A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314765"/>
      <w:docPartObj>
        <w:docPartGallery w:val="Page Numbers (Bottom of Page)"/>
        <w:docPartUnique/>
      </w:docPartObj>
    </w:sdtPr>
    <w:sdtContent>
      <w:p w14:paraId="22265E00" w14:textId="44086537" w:rsidR="00A36A08" w:rsidRDefault="00A36A08" w:rsidP="00720F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E73D7E" w14:textId="77777777" w:rsidR="00A36A08" w:rsidRDefault="00A36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2FAF4" w14:textId="77777777" w:rsidR="005D5CF2" w:rsidRDefault="005D5CF2" w:rsidP="00A36A08">
      <w:pPr>
        <w:spacing w:line="240" w:lineRule="auto"/>
      </w:pPr>
      <w:r>
        <w:separator/>
      </w:r>
    </w:p>
  </w:footnote>
  <w:footnote w:type="continuationSeparator" w:id="0">
    <w:p w14:paraId="235C437E" w14:textId="77777777" w:rsidR="005D5CF2" w:rsidRDefault="005D5CF2" w:rsidP="00A36A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D1AAD" w14:textId="774A81BA" w:rsidR="00A36A08" w:rsidRDefault="00A36A08">
    <w:pPr>
      <w:pStyle w:val="Header"/>
    </w:pPr>
    <w:r>
      <w:t>ECAD7004</w:t>
    </w:r>
    <w:r>
      <w:ptab w:relativeTo="margin" w:alignment="center" w:leader="none"/>
    </w:r>
    <w:r>
      <w:ptab w:relativeTo="margin" w:alignment="right" w:leader="none"/>
    </w:r>
    <w:proofErr w:type="spellStart"/>
    <w:r>
      <w:t>Rhif</w:t>
    </w:r>
    <w:proofErr w:type="spellEnd"/>
    <w:r>
      <w:t xml:space="preserve"> </w:t>
    </w:r>
    <w:proofErr w:type="spellStart"/>
    <w:r>
      <w:t>Myfyriwr</w:t>
    </w:r>
    <w:proofErr w:type="spellEnd"/>
    <w:r>
      <w:t xml:space="preserve"> / Student Number: 2317126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D257F6"/>
    <w:multiLevelType w:val="multilevel"/>
    <w:tmpl w:val="770EF7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8E187B"/>
    <w:multiLevelType w:val="multilevel"/>
    <w:tmpl w:val="DBC47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E40516"/>
    <w:multiLevelType w:val="multilevel"/>
    <w:tmpl w:val="B80C3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2393482">
    <w:abstractNumId w:val="1"/>
  </w:num>
  <w:num w:numId="2" w16cid:durableId="2044473791">
    <w:abstractNumId w:val="2"/>
  </w:num>
  <w:num w:numId="3" w16cid:durableId="18907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295"/>
    <w:rsid w:val="0005530D"/>
    <w:rsid w:val="000F4E4A"/>
    <w:rsid w:val="002838F2"/>
    <w:rsid w:val="004172C7"/>
    <w:rsid w:val="005D5CF2"/>
    <w:rsid w:val="00A36A08"/>
    <w:rsid w:val="00AE4295"/>
    <w:rsid w:val="00CC286A"/>
    <w:rsid w:val="00E22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B74C03"/>
  <w15:docId w15:val="{1E7685B9-797F-6A40-B68E-6B975870F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36A08"/>
    <w:pPr>
      <w:tabs>
        <w:tab w:val="center" w:pos="4513"/>
        <w:tab w:val="right" w:pos="9026"/>
      </w:tabs>
      <w:spacing w:line="240" w:lineRule="auto"/>
    </w:pPr>
  </w:style>
  <w:style w:type="character" w:customStyle="1" w:styleId="HeaderChar">
    <w:name w:val="Header Char"/>
    <w:basedOn w:val="DefaultParagraphFont"/>
    <w:link w:val="Header"/>
    <w:uiPriority w:val="99"/>
    <w:rsid w:val="00A36A08"/>
  </w:style>
  <w:style w:type="paragraph" w:styleId="Footer">
    <w:name w:val="footer"/>
    <w:basedOn w:val="Normal"/>
    <w:link w:val="FooterChar"/>
    <w:uiPriority w:val="99"/>
    <w:unhideWhenUsed/>
    <w:rsid w:val="00A36A08"/>
    <w:pPr>
      <w:tabs>
        <w:tab w:val="center" w:pos="4513"/>
        <w:tab w:val="right" w:pos="9026"/>
      </w:tabs>
      <w:spacing w:line="240" w:lineRule="auto"/>
    </w:pPr>
  </w:style>
  <w:style w:type="character" w:customStyle="1" w:styleId="FooterChar">
    <w:name w:val="Footer Char"/>
    <w:basedOn w:val="DefaultParagraphFont"/>
    <w:link w:val="Footer"/>
    <w:uiPriority w:val="99"/>
    <w:rsid w:val="00A36A08"/>
  </w:style>
  <w:style w:type="character" w:styleId="PageNumber">
    <w:name w:val="page number"/>
    <w:basedOn w:val="DefaultParagraphFont"/>
    <w:uiPriority w:val="99"/>
    <w:semiHidden/>
    <w:unhideWhenUsed/>
    <w:rsid w:val="00A36A08"/>
  </w:style>
  <w:style w:type="character" w:styleId="Hyperlink">
    <w:name w:val="Hyperlink"/>
    <w:basedOn w:val="DefaultParagraphFont"/>
    <w:uiPriority w:val="99"/>
    <w:unhideWhenUsed/>
    <w:rsid w:val="002838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00940771.2012.11461843" TargetMode="External"/><Relationship Id="rId13" Type="http://schemas.openxmlformats.org/officeDocument/2006/relationships/hyperlink" Target="http://www.education.gov.uk/publications//eOrderingDownload/5865-DfES-AimingHigh%201469.pdf" TargetMode="External"/><Relationship Id="rId18" Type="http://schemas.openxmlformats.org/officeDocument/2006/relationships/hyperlink" Target="https://doi.org/10.1080/0020739X.2017.1423121"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177/1096250619846919" TargetMode="External"/><Relationship Id="rId7" Type="http://schemas.openxmlformats.org/officeDocument/2006/relationships/hyperlink" Target="https://doi.org/10.1080/04250494.2021.1895670" TargetMode="External"/><Relationship Id="rId12" Type="http://schemas.openxmlformats.org/officeDocument/2006/relationships/hyperlink" Target="https://doi.org/10.1080/01434632.2017.1348508" TargetMode="External"/><Relationship Id="rId17" Type="http://schemas.openxmlformats.org/officeDocument/2006/relationships/hyperlink" Target="https://doi.org/10.3138/cjpe.30.1.108" TargetMode="External"/><Relationship Id="rId25"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doi.org/10.1080/04250494.2021.1895670" TargetMode="External"/><Relationship Id="rId20" Type="http://schemas.openxmlformats.org/officeDocument/2006/relationships/hyperlink" Target="https://www.merriam-webster.com/dictionary/case%20stud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00782.2012.682580" TargetMode="External"/><Relationship Id="rId24" Type="http://schemas.openxmlformats.org/officeDocument/2006/relationships/hyperlink" Target="https://doi.org/10.1177/0013164411431162"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98420/phonics_core_criteria_and_the_self-assessment_process.pdf" TargetMode="External"/><Relationship Id="rId23" Type="http://schemas.openxmlformats.org/officeDocument/2006/relationships/hyperlink" Target="https://doi.org/10.2307/1128751" TargetMode="External"/><Relationship Id="rId28" Type="http://schemas.openxmlformats.org/officeDocument/2006/relationships/footer" Target="footer2.xml"/><Relationship Id="rId10" Type="http://schemas.openxmlformats.org/officeDocument/2006/relationships/hyperlink" Target="https://doi.org/10.1080/09571739685200131" TargetMode="External"/><Relationship Id="rId19" Type="http://schemas.openxmlformats.org/officeDocument/2006/relationships/hyperlink" Target="https://doi.org/10.3758/s13428-016-0850-x" TargetMode="External"/><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4" Type="http://schemas.openxmlformats.org/officeDocument/2006/relationships/hyperlink" Target="https://doi.org/10.1080/04250494.2021.1895670" TargetMode="External"/><Relationship Id="rId22" Type="http://schemas.openxmlformats.org/officeDocument/2006/relationships/hyperlink" Target="https://doi.org/10.1007/s11145-014-9527-y" TargetMode="External"/><Relationship Id="rId27" Type="http://schemas.openxmlformats.org/officeDocument/2006/relationships/footer" Target="foot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5826</Words>
  <Characters>33213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Jamie Davies (2317126)</cp:lastModifiedBy>
  <cp:revision>2</cp:revision>
  <dcterms:created xsi:type="dcterms:W3CDTF">2024-05-07T22:23:00Z</dcterms:created>
  <dcterms:modified xsi:type="dcterms:W3CDTF">2024-05-07T22:23:00Z</dcterms:modified>
</cp:coreProperties>
</file>