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64C99AC" w:rsidR="00AC760B" w:rsidRPr="002B0D50" w:rsidRDefault="1FFC005B" w:rsidP="3481A33B">
      <w:pPr>
        <w:rPr>
          <w:rFonts w:ascii="Calibri" w:hAnsi="Calibri" w:cs="Calibri"/>
          <w:b/>
          <w:bCs/>
          <w:u w:val="single"/>
        </w:rPr>
      </w:pPr>
      <w:r w:rsidRPr="002B0D50">
        <w:rPr>
          <w:rFonts w:ascii="Calibri" w:hAnsi="Calibri" w:cs="Calibri"/>
          <w:b/>
          <w:bCs/>
          <w:u w:val="single"/>
        </w:rPr>
        <w:t>Methodology</w:t>
      </w:r>
    </w:p>
    <w:p w14:paraId="6BB0C9AD" w14:textId="0034F2E4" w:rsidR="1FFC005B" w:rsidRPr="002B0D50" w:rsidRDefault="1FFC005B" w:rsidP="1FFC005B">
      <w:pPr>
        <w:rPr>
          <w:rFonts w:ascii="Calibri" w:hAnsi="Calibri" w:cs="Calibri"/>
          <w:u w:val="single"/>
        </w:rPr>
      </w:pPr>
      <w:r w:rsidRPr="002B0D50">
        <w:rPr>
          <w:rFonts w:ascii="Calibri" w:hAnsi="Calibri" w:cs="Calibri"/>
          <w:u w:val="single"/>
        </w:rPr>
        <w:t>Introduction</w:t>
      </w:r>
    </w:p>
    <w:p w14:paraId="5C3BA4CC" w14:textId="18C6B815" w:rsidR="3481A33B" w:rsidRPr="002B0D50" w:rsidRDefault="5A3D50D5" w:rsidP="1FFC005B">
      <w:pPr>
        <w:spacing w:line="360" w:lineRule="auto"/>
        <w:rPr>
          <w:rFonts w:ascii="Calibri" w:hAnsi="Calibri" w:cs="Calibri"/>
        </w:rPr>
      </w:pPr>
      <w:r w:rsidRPr="002B0D50">
        <w:rPr>
          <w:rFonts w:ascii="Calibri" w:hAnsi="Calibri" w:cs="Calibri"/>
        </w:rPr>
        <w:t xml:space="preserve">This chapter will explore the research methods used for this study, this will include ethical considerations and an explanation of the techniques used and why these were deemed the most appropriate. </w:t>
      </w:r>
    </w:p>
    <w:p w14:paraId="58095344" w14:textId="7A80B761" w:rsidR="3481A33B" w:rsidRPr="002B0D50" w:rsidRDefault="1FFC005B" w:rsidP="1FFC005B">
      <w:pPr>
        <w:spacing w:line="360" w:lineRule="auto"/>
        <w:rPr>
          <w:rFonts w:ascii="Calibri" w:hAnsi="Calibri" w:cs="Calibri"/>
          <w:u w:val="single"/>
        </w:rPr>
      </w:pPr>
      <w:r w:rsidRPr="002B0D50">
        <w:rPr>
          <w:rFonts w:ascii="Calibri" w:hAnsi="Calibri" w:cs="Calibri"/>
          <w:u w:val="single"/>
        </w:rPr>
        <w:t>Ethical Considerations</w:t>
      </w:r>
    </w:p>
    <w:p w14:paraId="1F9CC888" w14:textId="526A1304" w:rsidR="1FFC005B" w:rsidRPr="002B0D50" w:rsidRDefault="5A3D50D5" w:rsidP="1FFC005B">
      <w:pPr>
        <w:spacing w:line="360" w:lineRule="auto"/>
        <w:rPr>
          <w:rFonts w:ascii="Calibri" w:hAnsi="Calibri" w:cs="Calibri"/>
        </w:rPr>
      </w:pPr>
      <w:r w:rsidRPr="002B0D50">
        <w:rPr>
          <w:rFonts w:ascii="Calibri" w:hAnsi="Calibri" w:cs="Calibri"/>
        </w:rPr>
        <w:t xml:space="preserve">When conducting research, it is mandatory that consideration be made to any ethical issues that may arise, to ensure that the dignity, </w:t>
      </w:r>
      <w:proofErr w:type="gramStart"/>
      <w:r w:rsidRPr="002B0D50">
        <w:rPr>
          <w:rFonts w:ascii="Calibri" w:hAnsi="Calibri" w:cs="Calibri"/>
        </w:rPr>
        <w:t>rights</w:t>
      </w:r>
      <w:proofErr w:type="gramEnd"/>
      <w:r w:rsidRPr="002B0D50">
        <w:rPr>
          <w:rFonts w:ascii="Calibri" w:hAnsi="Calibri" w:cs="Calibri"/>
        </w:rPr>
        <w:t xml:space="preserve"> and welfare of participants are protected (Barrow, 2022). By adhering to ethical standards, the validity and integrity of research is also maintained, negating bias or misleading results (Resnik, 2020). </w:t>
      </w:r>
    </w:p>
    <w:p w14:paraId="6CAD3D3A" w14:textId="7CCFD3D0" w:rsidR="1FFC005B" w:rsidRPr="002B0D50" w:rsidRDefault="1FFC005B" w:rsidP="1FFC005B">
      <w:pPr>
        <w:spacing w:line="360" w:lineRule="auto"/>
        <w:rPr>
          <w:rFonts w:ascii="Calibri" w:hAnsi="Calibri" w:cs="Calibri"/>
        </w:rPr>
      </w:pPr>
      <w:r w:rsidRPr="002B0D50">
        <w:rPr>
          <w:rFonts w:ascii="Calibri" w:hAnsi="Calibri" w:cs="Calibri"/>
        </w:rPr>
        <w:t xml:space="preserve">Prior to conducting this study, ethical approval was sought from the ethics committee via an ethics approval application, to ensure that the research methods used adhered to ethical standards. This application included a summary of the research objectives, the proposed research </w:t>
      </w:r>
      <w:proofErr w:type="gramStart"/>
      <w:r w:rsidRPr="002B0D50">
        <w:rPr>
          <w:rFonts w:ascii="Calibri" w:hAnsi="Calibri" w:cs="Calibri"/>
        </w:rPr>
        <w:t>method</w:t>
      </w:r>
      <w:proofErr w:type="gramEnd"/>
      <w:r w:rsidRPr="002B0D50">
        <w:rPr>
          <w:rFonts w:ascii="Calibri" w:hAnsi="Calibri" w:cs="Calibri"/>
        </w:rPr>
        <w:t xml:space="preserve"> and a summary of sampling framework. Ethical issues that were considered were the confidentiality and anonymity of the participants, the right to withdraw participation and obtaining consent from each participant before commencing the research. </w:t>
      </w:r>
    </w:p>
    <w:p w14:paraId="0349AA1F" w14:textId="0CD89411" w:rsidR="1FFC005B" w:rsidRPr="002B0D50" w:rsidRDefault="1FFC005B" w:rsidP="1FFC005B">
      <w:pPr>
        <w:spacing w:line="360" w:lineRule="auto"/>
        <w:rPr>
          <w:rFonts w:ascii="Calibri" w:hAnsi="Calibri" w:cs="Calibri"/>
          <w:u w:val="single"/>
        </w:rPr>
      </w:pPr>
      <w:r w:rsidRPr="002B0D50">
        <w:rPr>
          <w:rFonts w:ascii="Calibri" w:hAnsi="Calibri" w:cs="Calibri"/>
          <w:u w:val="single"/>
        </w:rPr>
        <w:t xml:space="preserve">Participant confidentiality and the right to </w:t>
      </w:r>
      <w:r w:rsidR="008163AC" w:rsidRPr="002B0D50">
        <w:rPr>
          <w:rFonts w:ascii="Calibri" w:hAnsi="Calibri" w:cs="Calibri"/>
          <w:u w:val="single"/>
        </w:rPr>
        <w:t>withdraw.</w:t>
      </w:r>
    </w:p>
    <w:p w14:paraId="7BD558BF" w14:textId="2F595ADC" w:rsidR="1FFC005B" w:rsidRPr="002B0D50" w:rsidRDefault="1FFC005B" w:rsidP="1FFC005B">
      <w:pPr>
        <w:spacing w:line="360" w:lineRule="auto"/>
        <w:rPr>
          <w:rFonts w:ascii="Calibri" w:hAnsi="Calibri" w:cs="Calibri"/>
        </w:rPr>
      </w:pPr>
      <w:r w:rsidRPr="002B0D50">
        <w:rPr>
          <w:rFonts w:ascii="Calibri" w:hAnsi="Calibri" w:cs="Calibri"/>
        </w:rPr>
        <w:t xml:space="preserve">To ensure the confidentiality of the information of the participants, responses were stored on a password protected device, only accessible by the researcher and protected by the security systems of South Wales Police. Before commencing the study, participants were made aware of how their data would be collected, </w:t>
      </w:r>
      <w:proofErr w:type="gramStart"/>
      <w:r w:rsidRPr="002B0D50">
        <w:rPr>
          <w:rFonts w:ascii="Calibri" w:hAnsi="Calibri" w:cs="Calibri"/>
        </w:rPr>
        <w:t>stored</w:t>
      </w:r>
      <w:proofErr w:type="gramEnd"/>
      <w:r w:rsidRPr="002B0D50">
        <w:rPr>
          <w:rFonts w:ascii="Calibri" w:hAnsi="Calibri" w:cs="Calibri"/>
        </w:rPr>
        <w:t xml:space="preserve"> and deleted upon completion of the study. </w:t>
      </w:r>
    </w:p>
    <w:p w14:paraId="5028C999" w14:textId="11A2AC6D" w:rsidR="1FFC005B" w:rsidRPr="002B0D50" w:rsidRDefault="5A3D50D5" w:rsidP="1FFC005B">
      <w:pPr>
        <w:spacing w:line="360" w:lineRule="auto"/>
        <w:rPr>
          <w:rFonts w:ascii="Calibri" w:hAnsi="Calibri" w:cs="Calibri"/>
        </w:rPr>
      </w:pPr>
      <w:r w:rsidRPr="002B0D50">
        <w:rPr>
          <w:rFonts w:ascii="Calibri" w:hAnsi="Calibri" w:cs="Calibri"/>
        </w:rPr>
        <w:t>Clear guidance was given via a disclaimer prior to the commencement of the questionnaire, this allowed the purpose of the research to be explained and ensured full transparency of the study. By providing the disclaimer at the beginning of the questionnaire, participants were able to make an informed decision on whether they wanted to participate which allowed them to provide informed consent. It was explained that by continuing with the survey and confirming that they were over 18 years old, they were consenting to their participation.</w:t>
      </w:r>
    </w:p>
    <w:p w14:paraId="033226EB" w14:textId="472475CE" w:rsidR="1FFC005B" w:rsidRPr="002B0D50" w:rsidRDefault="5A3D50D5" w:rsidP="1FFC005B">
      <w:pPr>
        <w:spacing w:line="360" w:lineRule="auto"/>
        <w:rPr>
          <w:rFonts w:ascii="Calibri" w:hAnsi="Calibri" w:cs="Calibri"/>
        </w:rPr>
      </w:pPr>
      <w:r w:rsidRPr="002B0D50">
        <w:rPr>
          <w:rFonts w:ascii="Calibri" w:hAnsi="Calibri" w:cs="Calibri"/>
        </w:rPr>
        <w:lastRenderedPageBreak/>
        <w:t>The disclaimer also advised participants of their right to withdraw from the study at any point without any repercussions from the researcher or their employer. It was also highlighted that all participation would be voluntary, and no rewards or coercion was used to entice participants into completing the questionnaire. Participants were made aware that all responses would be anonymised, and it would not be possible for these to be tracked back to any individual. It was particularly important to highlight the confidentiality and anonymity of answers due to the exploration of traumatic experiences which has been show</w:t>
      </w:r>
      <w:r w:rsidR="00A43D5C">
        <w:rPr>
          <w:rFonts w:ascii="Calibri" w:hAnsi="Calibri" w:cs="Calibri"/>
        </w:rPr>
        <w:t>n</w:t>
      </w:r>
      <w:r w:rsidRPr="002B0D50">
        <w:rPr>
          <w:rFonts w:ascii="Calibri" w:hAnsi="Calibri" w:cs="Calibri"/>
        </w:rPr>
        <w:t xml:space="preserve"> can have a negative impact on police officer’s wellbeing and increase mental health difficulties including anxiety and depression (Office for National Statistics, 2019).</w:t>
      </w:r>
    </w:p>
    <w:p w14:paraId="7063921A" w14:textId="786E191A" w:rsidR="1FFC005B" w:rsidRPr="002B0D50" w:rsidRDefault="5A3D50D5" w:rsidP="1FFC005B">
      <w:pPr>
        <w:spacing w:line="360" w:lineRule="auto"/>
        <w:rPr>
          <w:rFonts w:ascii="Calibri" w:hAnsi="Calibri" w:cs="Calibri"/>
        </w:rPr>
      </w:pPr>
      <w:r w:rsidRPr="002B0D50">
        <w:rPr>
          <w:rFonts w:ascii="Calibri" w:hAnsi="Calibri" w:cs="Calibri"/>
        </w:rPr>
        <w:t xml:space="preserve"> Within the disclaimer, the participants were provided with the contact details of the researcher should they have further questions about the study or wish for their data to be removed.</w:t>
      </w:r>
    </w:p>
    <w:p w14:paraId="5D34C7F9" w14:textId="65398CE3" w:rsidR="1FFC005B" w:rsidRPr="002B0D50" w:rsidRDefault="1FFC005B" w:rsidP="1FFC005B">
      <w:pPr>
        <w:rPr>
          <w:rFonts w:ascii="Calibri" w:hAnsi="Calibri" w:cs="Calibri"/>
          <w:u w:val="single"/>
        </w:rPr>
      </w:pPr>
      <w:r w:rsidRPr="002B0D50">
        <w:rPr>
          <w:rFonts w:ascii="Calibri" w:hAnsi="Calibri" w:cs="Calibri"/>
          <w:u w:val="single"/>
        </w:rPr>
        <w:t>Research Methods</w:t>
      </w:r>
    </w:p>
    <w:p w14:paraId="2D941C7C" w14:textId="3E45132F" w:rsidR="1FFC005B" w:rsidRPr="002B0D50" w:rsidRDefault="5A3D50D5" w:rsidP="1FFC005B">
      <w:pPr>
        <w:spacing w:line="360" w:lineRule="auto"/>
        <w:rPr>
          <w:rFonts w:ascii="Calibri" w:hAnsi="Calibri" w:cs="Calibri"/>
        </w:rPr>
      </w:pPr>
      <w:r w:rsidRPr="002B0D50">
        <w:rPr>
          <w:rFonts w:ascii="Calibri" w:hAnsi="Calibri" w:cs="Calibri"/>
        </w:rPr>
        <w:t xml:space="preserve">Participants were recruited via email, social media and </w:t>
      </w:r>
      <w:r w:rsidR="004F513F">
        <w:rPr>
          <w:rFonts w:ascii="Calibri" w:hAnsi="Calibri" w:cs="Calibri"/>
        </w:rPr>
        <w:t>requested personally</w:t>
      </w:r>
      <w:r w:rsidRPr="002B0D50">
        <w:rPr>
          <w:rFonts w:ascii="Calibri" w:hAnsi="Calibri" w:cs="Calibri"/>
        </w:rPr>
        <w:t xml:space="preserve"> to undertake an online questionnaire. The use of this convenient sampling technique to recruit participants ensured that only the intended willing and available subjects, police officers, were able to access the questionnaire (Glesne, 2011).  The potential uncertainty over data validity via an online data collection process was considered but due to the increased anonymity of participants in an online method, it was decided that this could produce more honest answers from participants due to a less invasive setting such as an in-person interview (Wright, 2005). Using an online study also allowed for quicker and more effective gathering of data (Fricker &amp; Schonlau, 2002).</w:t>
      </w:r>
    </w:p>
    <w:p w14:paraId="19F66648" w14:textId="3D785AB0" w:rsidR="1FFC005B" w:rsidRPr="002B0D50" w:rsidRDefault="5A3D50D5" w:rsidP="5A3D50D5">
      <w:pPr>
        <w:spacing w:line="360" w:lineRule="auto"/>
        <w:rPr>
          <w:rFonts w:ascii="Calibri" w:hAnsi="Calibri" w:cs="Calibri"/>
        </w:rPr>
      </w:pPr>
      <w:r w:rsidRPr="002B0D50">
        <w:rPr>
          <w:rFonts w:ascii="Calibri" w:hAnsi="Calibri" w:cs="Calibri"/>
        </w:rPr>
        <w:t xml:space="preserve">A mixed qualitative and quantitative research design was used for this study. The quantitative approach was utilised to gather information around the role type, length of service, </w:t>
      </w:r>
      <w:proofErr w:type="gramStart"/>
      <w:r w:rsidRPr="002B0D50">
        <w:rPr>
          <w:rFonts w:ascii="Calibri" w:hAnsi="Calibri" w:cs="Calibri"/>
        </w:rPr>
        <w:t>gender</w:t>
      </w:r>
      <w:proofErr w:type="gramEnd"/>
      <w:r w:rsidRPr="002B0D50">
        <w:rPr>
          <w:rFonts w:ascii="Calibri" w:hAnsi="Calibri" w:cs="Calibri"/>
        </w:rPr>
        <w:t xml:space="preserve"> and ages of participants. These questions were included to understand any possible patterns in the data, such as a certain job role being more susceptible to traumatic experiences, which could be missed should a purely qualitative approach be adapted (Maxwell, 2010). To ensure a more in-depth representation of participant’s personal experiences, the qualitative research design was also used. This method supports the development of knowledge in under researched areas, such as exploring why police officers </w:t>
      </w:r>
      <w:r w:rsidRPr="002B0D50">
        <w:rPr>
          <w:rFonts w:ascii="Calibri" w:hAnsi="Calibri" w:cs="Calibri"/>
        </w:rPr>
        <w:lastRenderedPageBreak/>
        <w:t xml:space="preserve">suffering from mental disorders fail to disclose problems or seek help (Jason &amp; Glenwick 2016). </w:t>
      </w:r>
    </w:p>
    <w:p w14:paraId="22272E3D" w14:textId="3C02AA7A" w:rsidR="1FFC005B" w:rsidRPr="002B0D50" w:rsidRDefault="5A3D50D5" w:rsidP="1FFC005B">
      <w:pPr>
        <w:spacing w:after="0" w:line="360" w:lineRule="auto"/>
        <w:rPr>
          <w:rFonts w:ascii="Calibri" w:hAnsi="Calibri" w:cs="Calibri"/>
        </w:rPr>
      </w:pPr>
      <w:r w:rsidRPr="002B0D50">
        <w:rPr>
          <w:rFonts w:ascii="Calibri" w:hAnsi="Calibri" w:cs="Calibri"/>
        </w:rPr>
        <w:t>Free text boxes were provided as an option for participants to write their answers and therefore not be limited to predetermined answers. This meant participants could express their own opinions and experiences and not be led by the options given by the researcher, thus giving a more accurate and reliable understanding of the topic (Wheeldon, 2010</w:t>
      </w:r>
      <w:proofErr w:type="gramStart"/>
      <w:r w:rsidRPr="002B0D50">
        <w:rPr>
          <w:rFonts w:ascii="Calibri" w:hAnsi="Calibri" w:cs="Calibri"/>
        </w:rPr>
        <w:t>)</w:t>
      </w:r>
      <w:proofErr w:type="gramEnd"/>
      <w:r w:rsidRPr="002B0D50">
        <w:rPr>
          <w:rFonts w:ascii="Calibri" w:hAnsi="Calibri" w:cs="Calibri"/>
        </w:rPr>
        <w:t xml:space="preserve"> and reducing researcher bias. This approach also provided a more detailed insight into the impact of traumatic experiences on a police officer’s mental health. Although qualitative data was deemed to be the most suitable approach for this study, the potential bias associated with qualitative research due to the subjective misinterpretation of the data (Leung, 2015) was considered but the additional insight gained from this approach was beneficial to the research aims. </w:t>
      </w:r>
    </w:p>
    <w:p w14:paraId="367A6FAB" w14:textId="64009F04" w:rsidR="1FFC005B" w:rsidRPr="002B0D50" w:rsidRDefault="1FFC005B" w:rsidP="1FFC005B">
      <w:pPr>
        <w:spacing w:after="0" w:line="360" w:lineRule="auto"/>
        <w:rPr>
          <w:rFonts w:ascii="Calibri" w:hAnsi="Calibri" w:cs="Calibri"/>
        </w:rPr>
      </w:pPr>
      <w:r w:rsidRPr="002B0D50">
        <w:rPr>
          <w:rFonts w:ascii="Calibri" w:hAnsi="Calibri" w:cs="Calibri"/>
        </w:rPr>
        <w:t xml:space="preserve">The participant’s responses were analysed thematically, focussing on identifying common themes and patterns of the data. This was done through a six-step process (Braun &amp; Clarke, 2006) of familiarisation of the data, coding the data, applying themes to the data, reviewing the themes, defining the </w:t>
      </w:r>
      <w:proofErr w:type="gramStart"/>
      <w:r w:rsidRPr="002B0D50">
        <w:rPr>
          <w:rFonts w:ascii="Calibri" w:hAnsi="Calibri" w:cs="Calibri"/>
        </w:rPr>
        <w:t>themes</w:t>
      </w:r>
      <w:proofErr w:type="gramEnd"/>
      <w:r w:rsidRPr="002B0D50">
        <w:rPr>
          <w:rFonts w:ascii="Calibri" w:hAnsi="Calibri" w:cs="Calibri"/>
        </w:rPr>
        <w:t xml:space="preserve"> and writing the subsequent report. This was deemed as a suitable approach for this research due to its ability to avoid confirmation bias during the analysis stage. </w:t>
      </w:r>
    </w:p>
    <w:p w14:paraId="6264F7F7" w14:textId="2F29E2E6" w:rsidR="1FFC005B" w:rsidRPr="002B0D50" w:rsidRDefault="1FFC005B" w:rsidP="1FFC005B">
      <w:pPr>
        <w:spacing w:after="0" w:line="240" w:lineRule="auto"/>
        <w:jc w:val="both"/>
        <w:rPr>
          <w:rFonts w:ascii="Calibri" w:eastAsia="Arial" w:hAnsi="Calibri" w:cs="Calibri"/>
          <w:color w:val="000000" w:themeColor="text1"/>
        </w:rPr>
      </w:pPr>
    </w:p>
    <w:p w14:paraId="7B860B72" w14:textId="10E74965" w:rsidR="1FFC005B" w:rsidRPr="002B0D50" w:rsidRDefault="1FFC005B" w:rsidP="1FFC005B">
      <w:pPr>
        <w:rPr>
          <w:rFonts w:ascii="Calibri" w:hAnsi="Calibri" w:cs="Calibri"/>
          <w:u w:val="single"/>
        </w:rPr>
      </w:pPr>
    </w:p>
    <w:p w14:paraId="1C2E7A43" w14:textId="7AA40612" w:rsidR="008163AC" w:rsidRDefault="1FFC005B" w:rsidP="5A3D50D5">
      <w:pPr>
        <w:rPr>
          <w:rFonts w:ascii="Calibri" w:hAnsi="Calibri" w:cs="Calibri"/>
        </w:rPr>
      </w:pPr>
      <w:r w:rsidRPr="002B0D50">
        <w:rPr>
          <w:rFonts w:ascii="Calibri" w:hAnsi="Calibri" w:cs="Calibri"/>
        </w:rPr>
        <w:br w:type="page"/>
      </w:r>
    </w:p>
    <w:p w14:paraId="4BCFB6C8" w14:textId="2BBD22BA" w:rsidR="008163AC" w:rsidRPr="008163AC" w:rsidRDefault="008163AC" w:rsidP="5A3D50D5">
      <w:pPr>
        <w:rPr>
          <w:rFonts w:ascii="Calibri" w:hAnsi="Calibri" w:cs="Calibri"/>
          <w:u w:val="single"/>
        </w:rPr>
      </w:pPr>
      <w:r w:rsidRPr="008163AC">
        <w:rPr>
          <w:rFonts w:ascii="Calibri" w:hAnsi="Calibri" w:cs="Calibri"/>
          <w:u w:val="single"/>
        </w:rPr>
        <w:lastRenderedPageBreak/>
        <w:t>References</w:t>
      </w:r>
    </w:p>
    <w:p w14:paraId="1370A967" w14:textId="3E152240" w:rsidR="3481A33B" w:rsidRPr="002B0D50" w:rsidRDefault="5A3D50D5" w:rsidP="5A3D50D5">
      <w:pPr>
        <w:rPr>
          <w:rFonts w:ascii="Calibri" w:hAnsi="Calibri" w:cs="Calibri"/>
          <w:color w:val="0B0C0C"/>
        </w:rPr>
      </w:pPr>
      <w:r w:rsidRPr="002B0D50">
        <w:rPr>
          <w:rFonts w:ascii="Calibri" w:hAnsi="Calibri" w:cs="Calibri"/>
          <w:color w:val="0B0C0C"/>
        </w:rPr>
        <w:t xml:space="preserve">Barrow JM, Brannan GD, </w:t>
      </w:r>
      <w:proofErr w:type="spellStart"/>
      <w:r w:rsidRPr="002B0D50">
        <w:rPr>
          <w:rFonts w:ascii="Calibri" w:hAnsi="Calibri" w:cs="Calibri"/>
          <w:color w:val="0B0C0C"/>
        </w:rPr>
        <w:t>Khandhar</w:t>
      </w:r>
      <w:proofErr w:type="spellEnd"/>
      <w:r w:rsidRPr="002B0D50">
        <w:rPr>
          <w:rFonts w:ascii="Calibri" w:hAnsi="Calibri" w:cs="Calibri"/>
          <w:color w:val="0B0C0C"/>
        </w:rPr>
        <w:t xml:space="preserve"> PB. Research Ethics. [Updated 2022 Sep 18]. In: </w:t>
      </w:r>
      <w:proofErr w:type="spellStart"/>
      <w:r w:rsidRPr="002B0D50">
        <w:rPr>
          <w:rFonts w:ascii="Calibri" w:hAnsi="Calibri" w:cs="Calibri"/>
          <w:color w:val="0B0C0C"/>
        </w:rPr>
        <w:t>StatPearls</w:t>
      </w:r>
      <w:proofErr w:type="spellEnd"/>
      <w:r w:rsidRPr="002B0D50">
        <w:rPr>
          <w:rFonts w:ascii="Calibri" w:hAnsi="Calibri" w:cs="Calibri"/>
          <w:color w:val="0B0C0C"/>
        </w:rPr>
        <w:t xml:space="preserve"> [Internet]. Treasure Island (FL): </w:t>
      </w:r>
      <w:proofErr w:type="spellStart"/>
      <w:r w:rsidRPr="002B0D50">
        <w:rPr>
          <w:rFonts w:ascii="Calibri" w:hAnsi="Calibri" w:cs="Calibri"/>
          <w:color w:val="0B0C0C"/>
        </w:rPr>
        <w:t>StatPearls</w:t>
      </w:r>
      <w:proofErr w:type="spellEnd"/>
      <w:r w:rsidRPr="002B0D50">
        <w:rPr>
          <w:rFonts w:ascii="Calibri" w:hAnsi="Calibri" w:cs="Calibri"/>
          <w:color w:val="0B0C0C"/>
        </w:rPr>
        <w:t xml:space="preserve"> Publishing; 2024 Jan-. Available from: </w:t>
      </w:r>
      <w:hyperlink r:id="rId5">
        <w:r w:rsidRPr="002B0D50">
          <w:rPr>
            <w:rStyle w:val="Hyperlink"/>
            <w:rFonts w:ascii="Calibri" w:hAnsi="Calibri" w:cs="Calibri"/>
          </w:rPr>
          <w:t>https://www.ncbi.nlm.nih.gov/books/NBK459281/</w:t>
        </w:r>
      </w:hyperlink>
    </w:p>
    <w:p w14:paraId="58521053" w14:textId="2ED84E96" w:rsidR="3481A33B" w:rsidRPr="002B0D50" w:rsidRDefault="3481A33B" w:rsidP="5A3D50D5">
      <w:pPr>
        <w:rPr>
          <w:rFonts w:ascii="Calibri" w:hAnsi="Calibri" w:cs="Calibri"/>
          <w:color w:val="0B0C0C"/>
        </w:rPr>
      </w:pPr>
    </w:p>
    <w:p w14:paraId="0A0008CC" w14:textId="59889CD6" w:rsidR="3481A33B" w:rsidRPr="002B0D50" w:rsidRDefault="5A3D50D5" w:rsidP="5A3D50D5">
      <w:pPr>
        <w:rPr>
          <w:rFonts w:ascii="Calibri" w:hAnsi="Calibri" w:cs="Calibri"/>
        </w:rPr>
      </w:pPr>
      <w:r w:rsidRPr="002B0D50">
        <w:rPr>
          <w:rFonts w:ascii="Calibri" w:hAnsi="Calibri" w:cs="Calibri"/>
          <w:color w:val="0B0C0C"/>
        </w:rPr>
        <w:t>Braun, V., &amp; Clarke, V. (2006). ‘Using thematic analysis in psychology’. Qualitative Research in Psychology, 3, (2), 77-101</w:t>
      </w:r>
    </w:p>
    <w:p w14:paraId="5B8A1A5C" w14:textId="3295AA5C" w:rsidR="3481A33B" w:rsidRPr="002B0D50" w:rsidRDefault="3481A33B" w:rsidP="5A3D50D5">
      <w:pPr>
        <w:rPr>
          <w:rFonts w:ascii="Calibri" w:hAnsi="Calibri" w:cs="Calibri"/>
          <w:color w:val="0B0C0C"/>
        </w:rPr>
      </w:pPr>
    </w:p>
    <w:p w14:paraId="6BC24FBC" w14:textId="12AEDB35" w:rsidR="3481A33B" w:rsidRPr="002B0D50" w:rsidRDefault="5A3D50D5" w:rsidP="5A3D50D5">
      <w:pPr>
        <w:rPr>
          <w:rFonts w:ascii="Calibri" w:hAnsi="Calibri" w:cs="Calibri"/>
          <w:color w:val="0B0C0C"/>
        </w:rPr>
      </w:pPr>
      <w:r w:rsidRPr="002B0D50">
        <w:rPr>
          <w:rFonts w:ascii="Calibri" w:hAnsi="Calibri" w:cs="Calibri"/>
          <w:color w:val="0B0C0C"/>
        </w:rPr>
        <w:t xml:space="preserve">Fricker, R. D., &amp; Schonlau, M. (2002). Advantages and Disadvantages of Internet Research Surveys: Evidence from the Literature. Field Methods, 14(4), 347-367. </w:t>
      </w:r>
      <w:hyperlink r:id="rId6">
        <w:r w:rsidRPr="002B0D50">
          <w:rPr>
            <w:rStyle w:val="Hyperlink"/>
            <w:rFonts w:ascii="Calibri" w:hAnsi="Calibri" w:cs="Calibri"/>
          </w:rPr>
          <w:t>https://doi.org/10.1177/152582202237725</w:t>
        </w:r>
      </w:hyperlink>
    </w:p>
    <w:p w14:paraId="4C5885F8" w14:textId="42C63F00" w:rsidR="3481A33B" w:rsidRPr="002B0D50" w:rsidRDefault="3481A33B" w:rsidP="5A3D50D5">
      <w:pPr>
        <w:rPr>
          <w:rFonts w:ascii="Calibri" w:hAnsi="Calibri" w:cs="Calibri"/>
          <w:color w:val="0B0C0C"/>
        </w:rPr>
      </w:pPr>
    </w:p>
    <w:p w14:paraId="3DB1D9E3" w14:textId="1FE38E59" w:rsidR="3481A33B" w:rsidRPr="002B0D50" w:rsidRDefault="5A3D50D5" w:rsidP="5A3D50D5">
      <w:pPr>
        <w:rPr>
          <w:rFonts w:ascii="Calibri" w:hAnsi="Calibri" w:cs="Calibri"/>
        </w:rPr>
      </w:pPr>
      <w:r w:rsidRPr="002B0D50">
        <w:rPr>
          <w:rFonts w:ascii="Calibri" w:hAnsi="Calibri" w:cs="Calibri"/>
          <w:color w:val="232323"/>
        </w:rPr>
        <w:t>Glesne, C. (2011) Becoming qualitative researchers: An introduction (4th ed.). Boston, MA: Pearson</w:t>
      </w:r>
    </w:p>
    <w:p w14:paraId="32FCA8BA" w14:textId="21EC83A0" w:rsidR="3481A33B" w:rsidRPr="002B0D50" w:rsidRDefault="3481A33B" w:rsidP="5A3D50D5">
      <w:pPr>
        <w:rPr>
          <w:rFonts w:ascii="Calibri" w:hAnsi="Calibri" w:cs="Calibri"/>
          <w:color w:val="333333"/>
        </w:rPr>
      </w:pPr>
    </w:p>
    <w:p w14:paraId="186C13B5" w14:textId="341757F7" w:rsidR="3481A33B" w:rsidRPr="002B0D50" w:rsidRDefault="5A3D50D5" w:rsidP="5A3D50D5">
      <w:pPr>
        <w:rPr>
          <w:rFonts w:ascii="Calibri" w:hAnsi="Calibri" w:cs="Calibri"/>
        </w:rPr>
      </w:pPr>
      <w:r w:rsidRPr="002B0D50">
        <w:rPr>
          <w:rFonts w:ascii="Calibri" w:hAnsi="Calibri" w:cs="Calibri"/>
          <w:color w:val="333333"/>
        </w:rPr>
        <w:t xml:space="preserve">Jason, L. A., &amp; Glenwick, D. S. (2016). Introduction to community-based methodological approaches. In L. A. Jason &amp; D. S. Glenwick (Eds.), </w:t>
      </w:r>
      <w:r w:rsidRPr="002B0D50">
        <w:rPr>
          <w:rFonts w:ascii="Calibri" w:hAnsi="Calibri" w:cs="Calibri"/>
          <w:i/>
          <w:iCs/>
          <w:color w:val="333333"/>
        </w:rPr>
        <w:t>Handbook of methodological approaches to community-based research: Qualitative, quantitative, and mixed methods</w:t>
      </w:r>
      <w:r w:rsidRPr="002B0D50">
        <w:rPr>
          <w:rFonts w:ascii="Calibri" w:hAnsi="Calibri" w:cs="Calibri"/>
          <w:color w:val="333333"/>
        </w:rPr>
        <w:t xml:space="preserve"> (pp. 1–10). Oxford University Press.</w:t>
      </w:r>
    </w:p>
    <w:p w14:paraId="38B91751" w14:textId="7FAA38A9" w:rsidR="3481A33B" w:rsidRPr="002B0D50" w:rsidRDefault="3481A33B" w:rsidP="5A3D50D5">
      <w:pPr>
        <w:spacing w:line="360" w:lineRule="auto"/>
        <w:rPr>
          <w:rFonts w:ascii="Calibri" w:hAnsi="Calibri" w:cs="Calibri"/>
          <w:color w:val="212121"/>
        </w:rPr>
      </w:pPr>
    </w:p>
    <w:p w14:paraId="61DC9647" w14:textId="528A25B3" w:rsidR="3481A33B" w:rsidRPr="002B0D50" w:rsidRDefault="5A3D50D5" w:rsidP="5A3D50D5">
      <w:pPr>
        <w:spacing w:line="360" w:lineRule="auto"/>
        <w:rPr>
          <w:rFonts w:ascii="Calibri" w:hAnsi="Calibri" w:cs="Calibri"/>
        </w:rPr>
      </w:pPr>
      <w:r w:rsidRPr="002B0D50">
        <w:rPr>
          <w:rFonts w:ascii="Calibri" w:hAnsi="Calibri" w:cs="Calibri"/>
          <w:color w:val="212121"/>
        </w:rPr>
        <w:t xml:space="preserve">Leung L. Validity, reliability, and generalizability in qualitative research. J Family Med Prim Care. 2015 Jul-Sep;4(3):324-7. </w:t>
      </w:r>
      <w:proofErr w:type="spellStart"/>
      <w:r w:rsidRPr="002B0D50">
        <w:rPr>
          <w:rFonts w:ascii="Calibri" w:hAnsi="Calibri" w:cs="Calibri"/>
          <w:color w:val="212121"/>
        </w:rPr>
        <w:t>doi</w:t>
      </w:r>
      <w:proofErr w:type="spellEnd"/>
      <w:r w:rsidRPr="002B0D50">
        <w:rPr>
          <w:rFonts w:ascii="Calibri" w:hAnsi="Calibri" w:cs="Calibri"/>
          <w:color w:val="212121"/>
        </w:rPr>
        <w:t>: 10.4103/2249-4863.161306. PMID: 26288766; PMCID: PMC4535087.</w:t>
      </w:r>
    </w:p>
    <w:p w14:paraId="7DF5E341" w14:textId="7626BAFA" w:rsidR="3481A33B" w:rsidRPr="002B0D50" w:rsidRDefault="3481A33B" w:rsidP="5A3D50D5">
      <w:pPr>
        <w:spacing w:line="360" w:lineRule="auto"/>
        <w:rPr>
          <w:rFonts w:ascii="Calibri" w:hAnsi="Calibri" w:cs="Calibri"/>
          <w:color w:val="212121"/>
        </w:rPr>
      </w:pPr>
    </w:p>
    <w:p w14:paraId="7B28B54B" w14:textId="5FBA1845" w:rsidR="3481A33B" w:rsidRPr="002B0D50" w:rsidRDefault="5A3D50D5" w:rsidP="5A3D50D5">
      <w:pPr>
        <w:rPr>
          <w:rFonts w:ascii="Calibri" w:hAnsi="Calibri" w:cs="Calibri"/>
        </w:rPr>
      </w:pPr>
      <w:r w:rsidRPr="002B0D50">
        <w:rPr>
          <w:rFonts w:ascii="Calibri" w:hAnsi="Calibri" w:cs="Calibri"/>
        </w:rPr>
        <w:t xml:space="preserve">Maxwell, J. A. (2010). Using Numbers in Qualitative Research. Qualitative Inquiry, 16(6), 475-482. </w:t>
      </w:r>
      <w:hyperlink r:id="rId7">
        <w:r w:rsidRPr="002B0D50">
          <w:rPr>
            <w:rStyle w:val="Hyperlink"/>
            <w:rFonts w:ascii="Calibri" w:hAnsi="Calibri" w:cs="Calibri"/>
          </w:rPr>
          <w:t>https://doi.org/10.1177/1077800410364740</w:t>
        </w:r>
      </w:hyperlink>
    </w:p>
    <w:p w14:paraId="69260293" w14:textId="67A31637" w:rsidR="3481A33B" w:rsidRPr="002B0D50" w:rsidRDefault="3481A33B" w:rsidP="5A3D50D5">
      <w:pPr>
        <w:rPr>
          <w:rFonts w:ascii="Calibri" w:hAnsi="Calibri" w:cs="Calibri"/>
        </w:rPr>
      </w:pPr>
    </w:p>
    <w:p w14:paraId="4931798B" w14:textId="32D3397D" w:rsidR="3481A33B" w:rsidRPr="002B0D50" w:rsidRDefault="5A3D50D5" w:rsidP="5A3D50D5">
      <w:pPr>
        <w:rPr>
          <w:rFonts w:ascii="Calibri" w:hAnsi="Calibri" w:cs="Calibri"/>
          <w:color w:val="000000" w:themeColor="text1"/>
        </w:rPr>
      </w:pPr>
      <w:r w:rsidRPr="002B0D50">
        <w:rPr>
          <w:rFonts w:ascii="Calibri" w:hAnsi="Calibri" w:cs="Calibri"/>
          <w:color w:val="000000" w:themeColor="text1"/>
        </w:rPr>
        <w:t xml:space="preserve">Office for National Statistics (ONS). (2022). </w:t>
      </w:r>
      <w:hyperlink r:id="rId8">
        <w:r w:rsidRPr="002B0D50">
          <w:rPr>
            <w:rStyle w:val="Hyperlink"/>
            <w:rFonts w:ascii="Calibri" w:hAnsi="Calibri" w:cs="Calibri"/>
            <w:b/>
            <w:bCs/>
            <w:color w:val="2E2C70"/>
          </w:rPr>
          <w:t>Crime in England and Wales: year ending March 2022</w:t>
        </w:r>
      </w:hyperlink>
      <w:r w:rsidRPr="002B0D50">
        <w:rPr>
          <w:rFonts w:ascii="Calibri" w:hAnsi="Calibri" w:cs="Calibri"/>
          <w:color w:val="000000" w:themeColor="text1"/>
        </w:rPr>
        <w:t xml:space="preserve"> [internet].</w:t>
      </w:r>
    </w:p>
    <w:p w14:paraId="2374D77A" w14:textId="714F0AE1" w:rsidR="3481A33B" w:rsidRPr="002B0D50" w:rsidRDefault="3481A33B" w:rsidP="5A3D50D5">
      <w:pPr>
        <w:rPr>
          <w:rFonts w:ascii="Calibri" w:hAnsi="Calibri" w:cs="Calibri"/>
          <w:color w:val="000000" w:themeColor="text1"/>
        </w:rPr>
      </w:pPr>
    </w:p>
    <w:p w14:paraId="40E07303" w14:textId="6F8F4D41" w:rsidR="3481A33B" w:rsidRPr="002B0D50" w:rsidRDefault="5A3D50D5" w:rsidP="5A3D50D5">
      <w:pPr>
        <w:rPr>
          <w:rFonts w:ascii="Calibri" w:hAnsi="Calibri" w:cs="Calibri"/>
        </w:rPr>
      </w:pPr>
      <w:r w:rsidRPr="002B0D50">
        <w:rPr>
          <w:rFonts w:ascii="Calibri" w:hAnsi="Calibri" w:cs="Calibri"/>
          <w:color w:val="232323"/>
        </w:rPr>
        <w:lastRenderedPageBreak/>
        <w:t>Resnik, D. B. (2020). What Is Ethics in Research &amp; Why Is It Important? National Institute of Environmental Health Sciences.</w:t>
      </w:r>
      <w:r w:rsidR="3481A33B" w:rsidRPr="002B0D50">
        <w:rPr>
          <w:rFonts w:ascii="Calibri" w:hAnsi="Calibri" w:cs="Calibri"/>
        </w:rPr>
        <w:br/>
      </w:r>
      <w:hyperlink r:id="rId9">
        <w:r w:rsidRPr="002B0D50">
          <w:rPr>
            <w:rStyle w:val="Hyperlink"/>
            <w:rFonts w:ascii="Calibri" w:hAnsi="Calibri" w:cs="Calibri"/>
          </w:rPr>
          <w:t>https://www.niehs.nih.gov/research/resources/bioethics/whatis/index.cfm</w:t>
        </w:r>
      </w:hyperlink>
    </w:p>
    <w:p w14:paraId="7EE24F90" w14:textId="247AD3E8" w:rsidR="3481A33B" w:rsidRPr="002B0D50" w:rsidRDefault="3481A33B" w:rsidP="5A3D50D5">
      <w:pPr>
        <w:rPr>
          <w:rFonts w:ascii="Calibri" w:hAnsi="Calibri" w:cs="Calibri"/>
        </w:rPr>
      </w:pPr>
    </w:p>
    <w:p w14:paraId="517EC261" w14:textId="586DB6D7" w:rsidR="3481A33B" w:rsidRPr="002B0D50" w:rsidRDefault="5A3D50D5" w:rsidP="5A3D50D5">
      <w:pPr>
        <w:rPr>
          <w:rFonts w:ascii="Calibri" w:hAnsi="Calibri" w:cs="Calibri"/>
        </w:rPr>
      </w:pPr>
      <w:r w:rsidRPr="002B0D50">
        <w:rPr>
          <w:rFonts w:ascii="Calibri" w:hAnsi="Calibri" w:cs="Calibri"/>
          <w:color w:val="202124"/>
        </w:rPr>
        <w:t xml:space="preserve">Tracy, S. J. (2013). </w:t>
      </w:r>
      <w:r w:rsidRPr="002B0D50">
        <w:rPr>
          <w:rFonts w:ascii="Calibri" w:hAnsi="Calibri" w:cs="Calibri"/>
          <w:color w:val="040C28"/>
        </w:rPr>
        <w:t>Qualitative research methods: Collecting evidence, crafting analysis, communicating impact.</w:t>
      </w:r>
      <w:r w:rsidRPr="002B0D50">
        <w:rPr>
          <w:rFonts w:ascii="Calibri" w:hAnsi="Calibri" w:cs="Calibri"/>
          <w:color w:val="202124"/>
        </w:rPr>
        <w:t xml:space="preserve"> </w:t>
      </w:r>
      <w:r w:rsidRPr="002B0D50">
        <w:rPr>
          <w:rFonts w:ascii="Calibri" w:hAnsi="Calibri" w:cs="Calibri"/>
          <w:color w:val="040C28"/>
        </w:rPr>
        <w:t>Hoboken, NJ: Wiley-Blackwell</w:t>
      </w:r>
      <w:r w:rsidRPr="002B0D50">
        <w:rPr>
          <w:rFonts w:ascii="Calibri" w:hAnsi="Calibri" w:cs="Calibri"/>
          <w:color w:val="202124"/>
        </w:rPr>
        <w:t>.</w:t>
      </w:r>
    </w:p>
    <w:p w14:paraId="685B92F4" w14:textId="1ACBEF72" w:rsidR="3481A33B" w:rsidRPr="002B0D50" w:rsidRDefault="3481A33B" w:rsidP="5A3D50D5">
      <w:pPr>
        <w:rPr>
          <w:rFonts w:ascii="Calibri" w:hAnsi="Calibri" w:cs="Calibri"/>
        </w:rPr>
      </w:pPr>
    </w:p>
    <w:p w14:paraId="4683217B" w14:textId="6263C3AC" w:rsidR="3481A33B" w:rsidRPr="002B0D50" w:rsidRDefault="5A3D50D5" w:rsidP="5A3D50D5">
      <w:pPr>
        <w:spacing w:after="0"/>
        <w:rPr>
          <w:rFonts w:ascii="Calibri" w:hAnsi="Calibri" w:cs="Calibri"/>
        </w:rPr>
      </w:pPr>
      <w:r w:rsidRPr="002B0D50">
        <w:rPr>
          <w:rFonts w:ascii="Calibri" w:hAnsi="Calibri" w:cs="Calibri"/>
          <w:color w:val="333333"/>
        </w:rPr>
        <w:t xml:space="preserve">Wheeldon, J. (2010). Mapping mixed methods research: Methods, measures, and meaning. </w:t>
      </w:r>
      <w:r w:rsidRPr="002B0D50">
        <w:rPr>
          <w:rFonts w:ascii="Calibri" w:hAnsi="Calibri" w:cs="Calibri"/>
          <w:i/>
          <w:iCs/>
          <w:color w:val="333333"/>
        </w:rPr>
        <w:t>Journal of Mixed Methods Research, 4</w:t>
      </w:r>
      <w:r w:rsidRPr="002B0D50">
        <w:rPr>
          <w:rFonts w:ascii="Calibri" w:hAnsi="Calibri" w:cs="Calibri"/>
          <w:color w:val="333333"/>
        </w:rPr>
        <w:t xml:space="preserve">(2), 87–102. </w:t>
      </w:r>
      <w:hyperlink r:id="rId10">
        <w:r w:rsidRPr="002B0D50">
          <w:rPr>
            <w:rStyle w:val="Hyperlink"/>
            <w:rFonts w:ascii="Calibri" w:hAnsi="Calibri" w:cs="Calibri"/>
            <w:color w:val="2C72B7"/>
            <w:u w:val="none"/>
          </w:rPr>
          <w:t>https://doi.org/10.1177/1558689809358755</w:t>
        </w:r>
      </w:hyperlink>
    </w:p>
    <w:p w14:paraId="6A508BE7" w14:textId="076B00B9" w:rsidR="3481A33B" w:rsidRPr="002B0D50" w:rsidRDefault="3481A33B" w:rsidP="5A3D50D5">
      <w:pPr>
        <w:rPr>
          <w:rFonts w:ascii="Calibri" w:hAnsi="Calibri" w:cs="Calibri"/>
        </w:rPr>
      </w:pPr>
    </w:p>
    <w:p w14:paraId="4BF62285" w14:textId="5E81D2BF" w:rsidR="3481A33B" w:rsidRPr="002B0D50" w:rsidRDefault="5A3D50D5" w:rsidP="5A3D50D5">
      <w:pPr>
        <w:rPr>
          <w:rFonts w:ascii="Calibri" w:hAnsi="Calibri" w:cs="Calibri"/>
        </w:rPr>
      </w:pPr>
      <w:r w:rsidRPr="002B0D50">
        <w:rPr>
          <w:rFonts w:ascii="Calibri" w:hAnsi="Calibri" w:cs="Calibri"/>
          <w:color w:val="232323"/>
        </w:rPr>
        <w:t>Wright, K. (2005) Researching Internet-Based Populations: Advantages and Disadvantages of Online Survey Research, Online Questionnaire Authoring Software Packages, and Web Survey Services. Journal of Computer-Mediated Communication, 10.</w:t>
      </w:r>
    </w:p>
    <w:p w14:paraId="271CFA6E" w14:textId="7AEC6CA4" w:rsidR="3481A33B" w:rsidRPr="002B0D50" w:rsidRDefault="3481A33B" w:rsidP="5A3D50D5">
      <w:pPr>
        <w:rPr>
          <w:rFonts w:ascii="Calibri" w:hAnsi="Calibri" w:cs="Calibri"/>
        </w:rPr>
      </w:pPr>
    </w:p>
    <w:p w14:paraId="6CE77843" w14:textId="55DCCAC8" w:rsidR="3481A33B" w:rsidRDefault="3481A33B" w:rsidP="5A3D50D5"/>
    <w:sectPr w:rsidR="3481A33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F351B6"/>
    <w:multiLevelType w:val="hybridMultilevel"/>
    <w:tmpl w:val="21260C92"/>
    <w:lvl w:ilvl="0" w:tplc="7D18A21E">
      <w:start w:val="1"/>
      <w:numFmt w:val="bullet"/>
      <w:lvlText w:val=""/>
      <w:lvlJc w:val="left"/>
      <w:pPr>
        <w:ind w:left="720" w:hanging="360"/>
      </w:pPr>
      <w:rPr>
        <w:rFonts w:ascii="Symbol" w:hAnsi="Symbol" w:hint="default"/>
      </w:rPr>
    </w:lvl>
    <w:lvl w:ilvl="1" w:tplc="F300D12C">
      <w:start w:val="1"/>
      <w:numFmt w:val="bullet"/>
      <w:lvlText w:val="o"/>
      <w:lvlJc w:val="left"/>
      <w:pPr>
        <w:ind w:left="1440" w:hanging="360"/>
      </w:pPr>
      <w:rPr>
        <w:rFonts w:ascii="Courier New" w:hAnsi="Courier New" w:hint="default"/>
      </w:rPr>
    </w:lvl>
    <w:lvl w:ilvl="2" w:tplc="3FECA21A">
      <w:start w:val="1"/>
      <w:numFmt w:val="bullet"/>
      <w:lvlText w:val=""/>
      <w:lvlJc w:val="left"/>
      <w:pPr>
        <w:ind w:left="2160" w:hanging="360"/>
      </w:pPr>
      <w:rPr>
        <w:rFonts w:ascii="Wingdings" w:hAnsi="Wingdings" w:hint="default"/>
      </w:rPr>
    </w:lvl>
    <w:lvl w:ilvl="3" w:tplc="456C9368">
      <w:start w:val="1"/>
      <w:numFmt w:val="bullet"/>
      <w:lvlText w:val=""/>
      <w:lvlJc w:val="left"/>
      <w:pPr>
        <w:ind w:left="2880" w:hanging="360"/>
      </w:pPr>
      <w:rPr>
        <w:rFonts w:ascii="Symbol" w:hAnsi="Symbol" w:hint="default"/>
      </w:rPr>
    </w:lvl>
    <w:lvl w:ilvl="4" w:tplc="636CA68A">
      <w:start w:val="1"/>
      <w:numFmt w:val="bullet"/>
      <w:lvlText w:val="o"/>
      <w:lvlJc w:val="left"/>
      <w:pPr>
        <w:ind w:left="3600" w:hanging="360"/>
      </w:pPr>
      <w:rPr>
        <w:rFonts w:ascii="Courier New" w:hAnsi="Courier New" w:hint="default"/>
      </w:rPr>
    </w:lvl>
    <w:lvl w:ilvl="5" w:tplc="989E894A">
      <w:start w:val="1"/>
      <w:numFmt w:val="bullet"/>
      <w:lvlText w:val=""/>
      <w:lvlJc w:val="left"/>
      <w:pPr>
        <w:ind w:left="4320" w:hanging="360"/>
      </w:pPr>
      <w:rPr>
        <w:rFonts w:ascii="Wingdings" w:hAnsi="Wingdings" w:hint="default"/>
      </w:rPr>
    </w:lvl>
    <w:lvl w:ilvl="6" w:tplc="49906860">
      <w:start w:val="1"/>
      <w:numFmt w:val="bullet"/>
      <w:lvlText w:val=""/>
      <w:lvlJc w:val="left"/>
      <w:pPr>
        <w:ind w:left="5040" w:hanging="360"/>
      </w:pPr>
      <w:rPr>
        <w:rFonts w:ascii="Symbol" w:hAnsi="Symbol" w:hint="default"/>
      </w:rPr>
    </w:lvl>
    <w:lvl w:ilvl="7" w:tplc="9FEEDE5E">
      <w:start w:val="1"/>
      <w:numFmt w:val="bullet"/>
      <w:lvlText w:val="o"/>
      <w:lvlJc w:val="left"/>
      <w:pPr>
        <w:ind w:left="5760" w:hanging="360"/>
      </w:pPr>
      <w:rPr>
        <w:rFonts w:ascii="Courier New" w:hAnsi="Courier New" w:hint="default"/>
      </w:rPr>
    </w:lvl>
    <w:lvl w:ilvl="8" w:tplc="62FE4A9E">
      <w:start w:val="1"/>
      <w:numFmt w:val="bullet"/>
      <w:lvlText w:val=""/>
      <w:lvlJc w:val="left"/>
      <w:pPr>
        <w:ind w:left="6480" w:hanging="360"/>
      </w:pPr>
      <w:rPr>
        <w:rFonts w:ascii="Wingdings" w:hAnsi="Wingdings" w:hint="default"/>
      </w:rPr>
    </w:lvl>
  </w:abstractNum>
  <w:num w:numId="1" w16cid:durableId="793325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432B57"/>
    <w:rsid w:val="002B0D50"/>
    <w:rsid w:val="004F513F"/>
    <w:rsid w:val="008163AC"/>
    <w:rsid w:val="00A43D5C"/>
    <w:rsid w:val="00AC760B"/>
    <w:rsid w:val="00CF3D2B"/>
    <w:rsid w:val="00F3422C"/>
    <w:rsid w:val="1FFC005B"/>
    <w:rsid w:val="3481A33B"/>
    <w:rsid w:val="5A3D50D5"/>
    <w:rsid w:val="73432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1A8E4"/>
  <w15:chartTrackingRefBased/>
  <w15:docId w15:val="{7DA45AA5-CF26-432D-B44F-B4BCB4805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crimeandjustice/bulletins/crimeinenglandandwales/yearendingmarch2022" TargetMode="External"/><Relationship Id="rId3" Type="http://schemas.openxmlformats.org/officeDocument/2006/relationships/settings" Target="settings.xml"/><Relationship Id="rId7" Type="http://schemas.openxmlformats.org/officeDocument/2006/relationships/hyperlink" Target="https://doi.org/10.1177/107780041036474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152582202237725" TargetMode="External"/><Relationship Id="rId11" Type="http://schemas.openxmlformats.org/officeDocument/2006/relationships/fontTable" Target="fontTable.xml"/><Relationship Id="rId5" Type="http://schemas.openxmlformats.org/officeDocument/2006/relationships/hyperlink" Target="https://www.ncbi.nlm.nih.gov/books/NBK459281/" TargetMode="External"/><Relationship Id="rId10" Type="http://schemas.openxmlformats.org/officeDocument/2006/relationships/hyperlink" Target="https://psycnet.apa.org/doi/10.1177/1558689809358755" TargetMode="External"/><Relationship Id="rId4" Type="http://schemas.openxmlformats.org/officeDocument/2006/relationships/webSettings" Target="webSettings.xml"/><Relationship Id="rId9" Type="http://schemas.openxmlformats.org/officeDocument/2006/relationships/hyperlink" Target="https://www.niehs.nih.gov/research/resources/bioethics/whatis/index.cf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1278</Words>
  <Characters>7290</Characters>
  <Application>Microsoft Office Word</Application>
  <DocSecurity>0</DocSecurity>
  <Lines>60</Lines>
  <Paragraphs>17</Paragraphs>
  <ScaleCrop>false</ScaleCrop>
  <Company/>
  <LinksUpToDate>false</LinksUpToDate>
  <CharactersWithSpaces>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Gaby Worgan</dc:creator>
  <cp:keywords/>
  <dc:description/>
  <cp:lastModifiedBy>Benson-Davison,Matthew swp8185</cp:lastModifiedBy>
  <cp:revision>7</cp:revision>
  <dcterms:created xsi:type="dcterms:W3CDTF">2024-06-10T13:21:00Z</dcterms:created>
  <dcterms:modified xsi:type="dcterms:W3CDTF">2024-06-16T13:36:00Z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2024-06-10T13:21:11Z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acd6c36b-8d0a-4d62-ba58-04f71bb3f008</vt:lpwstr>
  </property>
  <property fmtid="{D5CDD505-2E9C-101B-9397-08002B2CF9AE}" pid="8" name="MSIP_Label_66cf8fe5-b7b7-4df7-b38d-1c61ac2f6639_ContentBits">
    <vt:lpwstr>0</vt:lpwstr>
  </property>
</Properties>
</file>