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1199"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99"/>
      </w:tblGrid>
      <w:tr w:rsidR="00F927A1" w:rsidRPr="005D3F07" w14:paraId="68CAA39D" w14:textId="77777777" w:rsidTr="00C235EB">
        <w:tc>
          <w:tcPr>
            <w:tcW w:w="11199" w:type="dxa"/>
          </w:tcPr>
          <w:p w14:paraId="02F8EE88" w14:textId="30235ADC" w:rsidR="00986B43" w:rsidRPr="00C235EB" w:rsidRDefault="00986B43" w:rsidP="005D3F07">
            <w:pPr>
              <w:overflowPunct/>
              <w:autoSpaceDE/>
              <w:autoSpaceDN/>
              <w:adjustRightInd/>
              <w:ind w:right="-957"/>
              <w:textAlignment w:val="auto"/>
              <w:rPr>
                <w:rFonts w:ascii="Times New Roman" w:hAnsi="Times New Roman" w:cs="Times New Roman"/>
                <w:b/>
                <w:color w:val="auto"/>
                <w:sz w:val="44"/>
                <w:szCs w:val="44"/>
              </w:rPr>
            </w:pPr>
            <w:r w:rsidRPr="00C235EB">
              <w:rPr>
                <w:rFonts w:ascii="Times New Roman" w:hAnsi="Times New Roman" w:cs="Times New Roman"/>
                <w:b/>
                <w:color w:val="auto"/>
                <w:sz w:val="44"/>
                <w:szCs w:val="44"/>
              </w:rPr>
              <w:t>Learner’s name:</w:t>
            </w:r>
            <w:r w:rsidR="00247265" w:rsidRPr="00C235EB">
              <w:rPr>
                <w:rFonts w:ascii="Times New Roman" w:hAnsi="Times New Roman" w:cs="Times New Roman"/>
                <w:b/>
                <w:color w:val="auto"/>
                <w:sz w:val="44"/>
                <w:szCs w:val="44"/>
              </w:rPr>
              <w:t xml:space="preserve"> </w:t>
            </w:r>
            <w:r w:rsidR="002F0B7E" w:rsidRPr="00C235EB">
              <w:rPr>
                <w:rFonts w:ascii="Times New Roman" w:hAnsi="Times New Roman" w:cs="Times New Roman"/>
                <w:b/>
                <w:color w:val="auto"/>
                <w:sz w:val="44"/>
                <w:szCs w:val="44"/>
              </w:rPr>
              <w:t>Sophie Mitchell</w:t>
            </w:r>
          </w:p>
          <w:p w14:paraId="0B6CD0DB" w14:textId="689515B5" w:rsidR="009C337F" w:rsidRPr="00C235EB" w:rsidRDefault="009C337F" w:rsidP="005D3F07">
            <w:pPr>
              <w:overflowPunct/>
              <w:autoSpaceDE/>
              <w:autoSpaceDN/>
              <w:adjustRightInd/>
              <w:ind w:right="-957"/>
              <w:textAlignment w:val="auto"/>
              <w:rPr>
                <w:rFonts w:ascii="Times New Roman" w:hAnsi="Times New Roman" w:cs="Times New Roman"/>
                <w:b/>
                <w:color w:val="auto"/>
                <w:sz w:val="44"/>
                <w:szCs w:val="44"/>
              </w:rPr>
            </w:pPr>
          </w:p>
          <w:p w14:paraId="3A6EAAC7" w14:textId="461DC4B0" w:rsidR="009C337F" w:rsidRPr="00C235EB" w:rsidRDefault="009C337F" w:rsidP="005D3F07">
            <w:pPr>
              <w:overflowPunct/>
              <w:autoSpaceDE/>
              <w:autoSpaceDN/>
              <w:adjustRightInd/>
              <w:ind w:right="-957"/>
              <w:textAlignment w:val="auto"/>
              <w:rPr>
                <w:rFonts w:ascii="Times New Roman" w:hAnsi="Times New Roman" w:cs="Times New Roman"/>
                <w:b/>
                <w:color w:val="auto"/>
                <w:sz w:val="44"/>
                <w:szCs w:val="44"/>
              </w:rPr>
            </w:pPr>
            <w:r w:rsidRPr="00C235EB">
              <w:rPr>
                <w:rFonts w:ascii="Times New Roman" w:hAnsi="Times New Roman" w:cs="Times New Roman"/>
                <w:b/>
                <w:color w:val="auto"/>
                <w:sz w:val="44"/>
                <w:szCs w:val="44"/>
              </w:rPr>
              <w:t>Email address:</w:t>
            </w:r>
            <w:r w:rsidR="002F0B7E" w:rsidRPr="00C235EB">
              <w:rPr>
                <w:rFonts w:ascii="Times New Roman" w:hAnsi="Times New Roman" w:cs="Times New Roman"/>
                <w:b/>
                <w:color w:val="auto"/>
                <w:sz w:val="44"/>
                <w:szCs w:val="44"/>
              </w:rPr>
              <w:t xml:space="preserve"> </w:t>
            </w:r>
            <w:hyperlink r:id="rId11" w:history="1">
              <w:r w:rsidR="00C235EB" w:rsidRPr="00C235EB">
                <w:rPr>
                  <w:rStyle w:val="Hyperlink"/>
                  <w:rFonts w:ascii="Times New Roman" w:hAnsi="Times New Roman" w:cs="Times New Roman"/>
                  <w:b/>
                  <w:sz w:val="44"/>
                  <w:szCs w:val="44"/>
                </w:rPr>
                <w:t>sophie18.mitchell@pembrokeshire.gov.uk</w:t>
              </w:r>
            </w:hyperlink>
          </w:p>
          <w:p w14:paraId="720D62BE" w14:textId="2EAC8DC4" w:rsidR="00C235EB" w:rsidRPr="00C235EB" w:rsidRDefault="00C235EB" w:rsidP="005D3F07">
            <w:pPr>
              <w:overflowPunct/>
              <w:autoSpaceDE/>
              <w:autoSpaceDN/>
              <w:adjustRightInd/>
              <w:ind w:right="-957"/>
              <w:textAlignment w:val="auto"/>
              <w:rPr>
                <w:rFonts w:ascii="Times New Roman" w:hAnsi="Times New Roman" w:cs="Times New Roman"/>
                <w:b/>
                <w:color w:val="auto"/>
                <w:sz w:val="44"/>
                <w:szCs w:val="44"/>
              </w:rPr>
            </w:pPr>
            <w:r w:rsidRPr="00C235EB">
              <w:rPr>
                <w:rFonts w:ascii="Times New Roman" w:hAnsi="Times New Roman" w:cs="Times New Roman"/>
                <w:b/>
                <w:color w:val="auto"/>
                <w:sz w:val="44"/>
                <w:szCs w:val="44"/>
              </w:rPr>
              <w:t>2319220@student.uwtsd.ac.uk</w:t>
            </w:r>
          </w:p>
          <w:p w14:paraId="22E38809" w14:textId="77777777" w:rsidR="00986B43" w:rsidRPr="00C235EB" w:rsidRDefault="00986B43" w:rsidP="005D3F07">
            <w:pPr>
              <w:overflowPunct/>
              <w:autoSpaceDE/>
              <w:autoSpaceDN/>
              <w:adjustRightInd/>
              <w:ind w:right="-957"/>
              <w:textAlignment w:val="auto"/>
              <w:rPr>
                <w:rFonts w:ascii="Times New Roman" w:hAnsi="Times New Roman" w:cs="Times New Roman"/>
                <w:b/>
                <w:color w:val="auto"/>
                <w:sz w:val="44"/>
                <w:szCs w:val="44"/>
              </w:rPr>
            </w:pPr>
          </w:p>
          <w:p w14:paraId="0DE696B2" w14:textId="77D2B0FA" w:rsidR="00F927A1" w:rsidRPr="00C235EB" w:rsidRDefault="0085230E" w:rsidP="005D3F07">
            <w:pPr>
              <w:overflowPunct/>
              <w:autoSpaceDE/>
              <w:autoSpaceDN/>
              <w:adjustRightInd/>
              <w:ind w:right="-957"/>
              <w:textAlignment w:val="auto"/>
              <w:rPr>
                <w:rFonts w:ascii="Times New Roman" w:hAnsi="Times New Roman" w:cs="Times New Roman"/>
                <w:b/>
                <w:color w:val="auto"/>
                <w:sz w:val="44"/>
                <w:szCs w:val="44"/>
              </w:rPr>
            </w:pPr>
            <w:r w:rsidRPr="00C235EB">
              <w:rPr>
                <w:rFonts w:ascii="Times New Roman" w:hAnsi="Times New Roman" w:cs="Times New Roman"/>
                <w:b/>
                <w:color w:val="auto"/>
                <w:sz w:val="44"/>
                <w:szCs w:val="44"/>
              </w:rPr>
              <w:t>Learner’s University Registration</w:t>
            </w:r>
            <w:r w:rsidR="00F927A1" w:rsidRPr="00C235EB">
              <w:rPr>
                <w:rFonts w:ascii="Times New Roman" w:hAnsi="Times New Roman" w:cs="Times New Roman"/>
                <w:b/>
                <w:color w:val="auto"/>
                <w:sz w:val="44"/>
                <w:szCs w:val="44"/>
              </w:rPr>
              <w:t xml:space="preserve"> Number:</w:t>
            </w:r>
            <w:r w:rsidR="00C235EB" w:rsidRPr="00C235EB">
              <w:rPr>
                <w:rFonts w:ascii="Times New Roman" w:hAnsi="Times New Roman" w:cs="Times New Roman"/>
                <w:b/>
                <w:color w:val="auto"/>
                <w:sz w:val="44"/>
                <w:szCs w:val="44"/>
              </w:rPr>
              <w:t xml:space="preserve"> 2319220</w:t>
            </w:r>
          </w:p>
          <w:p w14:paraId="622FD17A" w14:textId="77777777" w:rsidR="0085230E" w:rsidRPr="00C235EB" w:rsidRDefault="0085230E" w:rsidP="005D3F07">
            <w:pPr>
              <w:overflowPunct/>
              <w:autoSpaceDE/>
              <w:autoSpaceDN/>
              <w:adjustRightInd/>
              <w:ind w:right="-957"/>
              <w:textAlignment w:val="auto"/>
              <w:rPr>
                <w:rFonts w:ascii="Times New Roman" w:hAnsi="Times New Roman" w:cs="Times New Roman"/>
                <w:b/>
                <w:color w:val="auto"/>
                <w:sz w:val="44"/>
                <w:szCs w:val="44"/>
              </w:rPr>
            </w:pPr>
          </w:p>
          <w:p w14:paraId="5F84129B" w14:textId="4756DF6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C235EB">
              <w:rPr>
                <w:rFonts w:ascii="Times New Roman" w:hAnsi="Times New Roman" w:cs="Times New Roman"/>
                <w:b/>
                <w:color w:val="auto"/>
                <w:sz w:val="44"/>
                <w:szCs w:val="44"/>
              </w:rPr>
              <w:t xml:space="preserve">Cohort: </w:t>
            </w:r>
            <w:r w:rsidR="0049374F" w:rsidRPr="00C235EB">
              <w:rPr>
                <w:rFonts w:ascii="Times New Roman" w:hAnsi="Times New Roman" w:cs="Times New Roman"/>
                <w:b/>
                <w:color w:val="auto"/>
                <w:sz w:val="44"/>
                <w:szCs w:val="44"/>
              </w:rPr>
              <w:t>21</w:t>
            </w:r>
            <w:r w:rsidR="00AE6231" w:rsidRPr="00C235EB">
              <w:rPr>
                <w:rFonts w:ascii="Times New Roman" w:hAnsi="Times New Roman" w:cs="Times New Roman"/>
                <w:b/>
                <w:color w:val="auto"/>
                <w:sz w:val="44"/>
                <w:szCs w:val="44"/>
              </w:rPr>
              <w:t>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544603AB" w14:textId="77777777" w:rsidR="00C235EB" w:rsidRDefault="00C235EB">
      <w:pPr>
        <w:overflowPunct/>
        <w:autoSpaceDE/>
        <w:autoSpaceDN/>
        <w:adjustRightInd/>
        <w:textAlignment w:val="auto"/>
        <w:rPr>
          <w:b/>
          <w:sz w:val="24"/>
          <w:szCs w:val="24"/>
        </w:rPr>
      </w:pPr>
      <w:r>
        <w:rPr>
          <w:b/>
          <w:sz w:val="24"/>
          <w:szCs w:val="24"/>
        </w:rPr>
        <w:br w:type="page"/>
      </w:r>
    </w:p>
    <w:p w14:paraId="0EF984DF" w14:textId="51917518" w:rsidR="000D0BB6" w:rsidRPr="00C235EB" w:rsidRDefault="00337FEF" w:rsidP="00C235EB">
      <w:pPr>
        <w:jc w:val="center"/>
        <w:rPr>
          <w:b/>
          <w:sz w:val="24"/>
          <w:szCs w:val="24"/>
        </w:rPr>
      </w:pPr>
      <w:r w:rsidRPr="00EE5BC3">
        <w:rPr>
          <w:b/>
          <w:sz w:val="28"/>
          <w:szCs w:val="28"/>
        </w:rPr>
        <w:lastRenderedPageBreak/>
        <w:t>Task 4</w:t>
      </w:r>
    </w:p>
    <w:p w14:paraId="156B2346" w14:textId="77777777" w:rsidR="00002C7A" w:rsidRPr="00EE5BC3" w:rsidRDefault="00002C7A" w:rsidP="00EE5BC3">
      <w:pPr>
        <w:jc w:val="center"/>
        <w:rPr>
          <w:b/>
          <w:sz w:val="28"/>
          <w:szCs w:val="28"/>
        </w:rPr>
      </w:pPr>
    </w:p>
    <w:p w14:paraId="4A34FA1D"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work</w:t>
      </w:r>
    </w:p>
    <w:p w14:paraId="6D6C0186" w14:textId="77777777" w:rsidR="000D0BB6" w:rsidRPr="008B28E7" w:rsidRDefault="000D0BB6" w:rsidP="00FF7EBB">
      <w:pPr>
        <w:jc w:val="both"/>
        <w:rPr>
          <w:b/>
          <w:sz w:val="24"/>
          <w:szCs w:val="24"/>
        </w:rPr>
      </w:pPr>
    </w:p>
    <w:p w14:paraId="63836D76" w14:textId="77777777" w:rsidR="00337FEF" w:rsidRPr="00EE5BC3" w:rsidRDefault="008B28E7" w:rsidP="00FF7EBB">
      <w:pPr>
        <w:ind w:left="-90"/>
        <w:jc w:val="both"/>
        <w:rPr>
          <w:b/>
          <w:i/>
          <w:sz w:val="24"/>
          <w:szCs w:val="24"/>
        </w:rPr>
      </w:pPr>
      <w:r w:rsidRPr="00EE5BC3">
        <w:rPr>
          <w:b/>
          <w:i/>
          <w:sz w:val="24"/>
          <w:szCs w:val="24"/>
        </w:rPr>
        <w:t xml:space="preserve">Guidance: </w:t>
      </w:r>
    </w:p>
    <w:p w14:paraId="440B2467" w14:textId="322DDD98"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children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14:paraId="7A8069C4"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152141E6" w14:textId="77777777" w:rsidTr="006108C9">
        <w:tc>
          <w:tcPr>
            <w:tcW w:w="10188" w:type="dxa"/>
          </w:tcPr>
          <w:p w14:paraId="2B66890D" w14:textId="56A37C4F" w:rsidR="00337FEF" w:rsidRPr="00EB695F" w:rsidRDefault="00337FEF" w:rsidP="00FF7EBB">
            <w:pPr>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14:paraId="17A49383" w14:textId="77777777" w:rsidR="008B28E7" w:rsidRDefault="00BB7FD2" w:rsidP="00FF7EBB">
            <w:pPr>
              <w:jc w:val="both"/>
              <w:rPr>
                <w:sz w:val="24"/>
                <w:szCs w:val="24"/>
              </w:rPr>
            </w:pPr>
            <w:r>
              <w:rPr>
                <w:sz w:val="24"/>
                <w:szCs w:val="24"/>
              </w:rPr>
              <w:t xml:space="preserve">In an area </w:t>
            </w:r>
            <w:r w:rsidRPr="00AE1868">
              <w:rPr>
                <w:b/>
                <w:sz w:val="24"/>
                <w:szCs w:val="24"/>
              </w:rPr>
              <w:t xml:space="preserve">that is not your main focus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14:paraId="1FBBCFA0" w14:textId="77777777" w:rsidR="006108C9" w:rsidRDefault="006108C9" w:rsidP="00FF7EBB">
            <w:pPr>
              <w:jc w:val="both"/>
              <w:rPr>
                <w:sz w:val="24"/>
                <w:szCs w:val="24"/>
              </w:rPr>
            </w:pPr>
          </w:p>
          <w:p w14:paraId="78A0B30E" w14:textId="77777777" w:rsidR="006766F3" w:rsidRPr="00C235EB" w:rsidRDefault="006766F3" w:rsidP="00C235EB">
            <w:pPr>
              <w:pStyle w:val="NormalWeb"/>
              <w:spacing w:before="0" w:beforeAutospacing="0" w:after="0" w:afterAutospacing="0"/>
              <w:jc w:val="both"/>
              <w:rPr>
                <w:rFonts w:ascii="Arial" w:hAnsi="Arial" w:cs="Arial"/>
                <w:color w:val="0E101A"/>
              </w:rPr>
            </w:pPr>
            <w:r w:rsidRPr="00C235EB">
              <w:rPr>
                <w:rFonts w:ascii="Arial" w:hAnsi="Arial" w:cs="Arial"/>
                <w:color w:val="0E101A"/>
              </w:rPr>
              <w:t>Care Learning (2025) defines safeguarding as the actions and measures taken to protect vulnerable individuals, such as adults, young people, and children at risk, from harm. This includes preventing harm, responding to concerns, and promoting their overall welfare. To effectively safeguard individuals, social workers must adhere to relevant legislative frameworks, policies, and procedures to ensure safe and lawful practice.</w:t>
            </w:r>
          </w:p>
          <w:p w14:paraId="75835A73" w14:textId="77777777" w:rsidR="006766F3" w:rsidRPr="00C235EB" w:rsidRDefault="006766F3" w:rsidP="00C235EB">
            <w:pPr>
              <w:pStyle w:val="NormalWeb"/>
              <w:spacing w:before="0" w:beforeAutospacing="0" w:after="0" w:afterAutospacing="0"/>
              <w:jc w:val="both"/>
              <w:rPr>
                <w:rFonts w:ascii="Arial" w:hAnsi="Arial" w:cs="Arial"/>
                <w:color w:val="0E101A"/>
              </w:rPr>
            </w:pPr>
          </w:p>
          <w:p w14:paraId="48020B9C" w14:textId="4543A055" w:rsidR="006766F3" w:rsidRPr="00C235EB" w:rsidRDefault="006766F3" w:rsidP="00C235EB">
            <w:pPr>
              <w:pStyle w:val="NormalWeb"/>
              <w:spacing w:before="0" w:beforeAutospacing="0" w:after="0" w:afterAutospacing="0"/>
              <w:jc w:val="both"/>
              <w:rPr>
                <w:rFonts w:ascii="Arial" w:hAnsi="Arial" w:cs="Arial"/>
                <w:color w:val="0E101A"/>
              </w:rPr>
            </w:pPr>
            <w:r w:rsidRPr="00C235EB">
              <w:rPr>
                <w:rFonts w:ascii="Arial" w:hAnsi="Arial" w:cs="Arial"/>
                <w:color w:val="0E101A"/>
              </w:rPr>
              <w:t xml:space="preserve">In Wales, the legal framework for safeguarding children and adults in need of care and support is established by the </w:t>
            </w:r>
            <w:r w:rsidRPr="00C235EB">
              <w:rPr>
                <w:rStyle w:val="Strong"/>
                <w:rFonts w:ascii="Arial" w:hAnsi="Arial" w:cs="Arial"/>
                <w:b w:val="0"/>
                <w:bCs w:val="0"/>
                <w:color w:val="0E101A"/>
              </w:rPr>
              <w:t xml:space="preserve">Children Act (CA) </w:t>
            </w:r>
            <w:r w:rsidR="00C235EB" w:rsidRPr="00C235EB">
              <w:rPr>
                <w:rStyle w:val="Strong"/>
                <w:rFonts w:ascii="Arial" w:hAnsi="Arial" w:cs="Arial"/>
                <w:b w:val="0"/>
                <w:bCs w:val="0"/>
                <w:color w:val="0E101A"/>
              </w:rPr>
              <w:t>(</w:t>
            </w:r>
            <w:r w:rsidRPr="00C235EB">
              <w:rPr>
                <w:rStyle w:val="Strong"/>
                <w:rFonts w:ascii="Arial" w:hAnsi="Arial" w:cs="Arial"/>
                <w:b w:val="0"/>
                <w:bCs w:val="0"/>
                <w:color w:val="0E101A"/>
              </w:rPr>
              <w:t>1989</w:t>
            </w:r>
            <w:r w:rsidR="00C235EB" w:rsidRPr="00C235EB">
              <w:rPr>
                <w:rStyle w:val="Strong"/>
                <w:rFonts w:ascii="Arial" w:hAnsi="Arial" w:cs="Arial"/>
                <w:b w:val="0"/>
                <w:bCs w:val="0"/>
                <w:color w:val="0E101A"/>
              </w:rPr>
              <w:t>)</w:t>
            </w:r>
            <w:r w:rsidRPr="00C235EB">
              <w:rPr>
                <w:rStyle w:val="Strong"/>
                <w:rFonts w:ascii="Arial" w:hAnsi="Arial" w:cs="Arial"/>
                <w:b w:val="0"/>
                <w:bCs w:val="0"/>
                <w:color w:val="0E101A"/>
              </w:rPr>
              <w:t>,</w:t>
            </w:r>
            <w:r w:rsidRPr="00C235EB">
              <w:rPr>
                <w:rFonts w:ascii="Arial" w:hAnsi="Arial" w:cs="Arial"/>
                <w:color w:val="0E101A"/>
              </w:rPr>
              <w:t xml:space="preserve"> the </w:t>
            </w:r>
            <w:r w:rsidRPr="00C235EB">
              <w:rPr>
                <w:rStyle w:val="Strong"/>
                <w:rFonts w:ascii="Arial" w:hAnsi="Arial" w:cs="Arial"/>
                <w:b w:val="0"/>
                <w:bCs w:val="0"/>
                <w:color w:val="0E101A"/>
              </w:rPr>
              <w:t xml:space="preserve">Social Services and Well-being (Wales) Act </w:t>
            </w:r>
            <w:r w:rsidR="00DE58C9">
              <w:rPr>
                <w:rStyle w:val="Strong"/>
                <w:rFonts w:ascii="Arial" w:hAnsi="Arial" w:cs="Arial"/>
                <w:b w:val="0"/>
                <w:bCs w:val="0"/>
                <w:color w:val="0E101A"/>
              </w:rPr>
              <w:t xml:space="preserve">(SSWBA) </w:t>
            </w:r>
            <w:r w:rsidR="00C235EB" w:rsidRPr="00C235EB">
              <w:rPr>
                <w:rStyle w:val="Strong"/>
                <w:rFonts w:ascii="Arial" w:hAnsi="Arial" w:cs="Arial"/>
                <w:b w:val="0"/>
                <w:bCs w:val="0"/>
                <w:color w:val="0E101A"/>
              </w:rPr>
              <w:t>(</w:t>
            </w:r>
            <w:r w:rsidRPr="00C235EB">
              <w:rPr>
                <w:rStyle w:val="Strong"/>
                <w:rFonts w:ascii="Arial" w:hAnsi="Arial" w:cs="Arial"/>
                <w:b w:val="0"/>
                <w:bCs w:val="0"/>
                <w:color w:val="0E101A"/>
              </w:rPr>
              <w:t>2014</w:t>
            </w:r>
            <w:r w:rsidR="00C235EB" w:rsidRPr="00C235EB">
              <w:rPr>
                <w:rStyle w:val="Strong"/>
                <w:rFonts w:ascii="Arial" w:hAnsi="Arial" w:cs="Arial"/>
                <w:b w:val="0"/>
                <w:bCs w:val="0"/>
                <w:color w:val="0E101A"/>
              </w:rPr>
              <w:t>)</w:t>
            </w:r>
            <w:r w:rsidRPr="00C235EB">
              <w:rPr>
                <w:rStyle w:val="Strong"/>
                <w:rFonts w:ascii="Arial" w:hAnsi="Arial" w:cs="Arial"/>
                <w:b w:val="0"/>
                <w:bCs w:val="0"/>
                <w:color w:val="0E101A"/>
              </w:rPr>
              <w:t>,</w:t>
            </w:r>
            <w:r w:rsidRPr="00C235EB">
              <w:rPr>
                <w:rStyle w:val="Strong"/>
                <w:rFonts w:ascii="Arial" w:hAnsi="Arial" w:cs="Arial"/>
                <w:color w:val="0E101A"/>
              </w:rPr>
              <w:t xml:space="preserve"> </w:t>
            </w:r>
            <w:r w:rsidRPr="00C235EB">
              <w:rPr>
                <w:rFonts w:ascii="Arial" w:hAnsi="Arial" w:cs="Arial"/>
                <w:color w:val="0E101A"/>
              </w:rPr>
              <w:t xml:space="preserve">and the Welsh Government’s </w:t>
            </w:r>
            <w:r w:rsidR="00C235EB" w:rsidRPr="00C235EB">
              <w:rPr>
                <w:rFonts w:ascii="Arial" w:hAnsi="Arial" w:cs="Arial"/>
                <w:color w:val="0E101A"/>
              </w:rPr>
              <w:t xml:space="preserve">(WG) </w:t>
            </w:r>
            <w:r w:rsidRPr="00C235EB">
              <w:rPr>
                <w:rFonts w:ascii="Arial" w:hAnsi="Arial" w:cs="Arial"/>
                <w:color w:val="0E101A"/>
              </w:rPr>
              <w:t xml:space="preserve">statutory guidance on safeguarding under the </w:t>
            </w:r>
            <w:r w:rsidR="00C235EB" w:rsidRPr="00C235EB">
              <w:rPr>
                <w:rFonts w:ascii="Arial" w:hAnsi="Arial" w:cs="Arial"/>
                <w:color w:val="0E101A"/>
              </w:rPr>
              <w:t>(</w:t>
            </w:r>
            <w:r w:rsidRPr="00C235EB">
              <w:rPr>
                <w:rFonts w:ascii="Arial" w:hAnsi="Arial" w:cs="Arial"/>
                <w:color w:val="0E101A"/>
              </w:rPr>
              <w:t>2014</w:t>
            </w:r>
            <w:r w:rsidR="00C235EB" w:rsidRPr="00C235EB">
              <w:rPr>
                <w:rFonts w:ascii="Arial" w:hAnsi="Arial" w:cs="Arial"/>
                <w:color w:val="0E101A"/>
              </w:rPr>
              <w:t>)</w:t>
            </w:r>
            <w:r w:rsidRPr="00C235EB">
              <w:rPr>
                <w:rFonts w:ascii="Arial" w:hAnsi="Arial" w:cs="Arial"/>
                <w:color w:val="0E101A"/>
              </w:rPr>
              <w:t xml:space="preserve"> Act (Care Inspectorate Wales </w:t>
            </w:r>
            <w:r w:rsidR="00C235EB" w:rsidRPr="00C235EB">
              <w:rPr>
                <w:rFonts w:ascii="Arial" w:hAnsi="Arial" w:cs="Arial"/>
                <w:color w:val="0E101A"/>
              </w:rPr>
              <w:t>(</w:t>
            </w:r>
            <w:r w:rsidRPr="00C235EB">
              <w:rPr>
                <w:rFonts w:ascii="Arial" w:hAnsi="Arial" w:cs="Arial"/>
                <w:color w:val="0E101A"/>
              </w:rPr>
              <w:t>CIW</w:t>
            </w:r>
            <w:r w:rsidR="00C235EB" w:rsidRPr="00C235EB">
              <w:rPr>
                <w:rFonts w:ascii="Arial" w:hAnsi="Arial" w:cs="Arial"/>
                <w:color w:val="0E101A"/>
              </w:rPr>
              <w:t>)</w:t>
            </w:r>
            <w:r w:rsidRPr="00C235EB">
              <w:rPr>
                <w:rFonts w:ascii="Arial" w:hAnsi="Arial" w:cs="Arial"/>
                <w:color w:val="0E101A"/>
              </w:rPr>
              <w:t xml:space="preserve">, 2021). The </w:t>
            </w:r>
            <w:r w:rsidRPr="00C235EB">
              <w:rPr>
                <w:rStyle w:val="Strong"/>
                <w:rFonts w:ascii="Arial" w:hAnsi="Arial" w:cs="Arial"/>
                <w:b w:val="0"/>
                <w:bCs w:val="0"/>
                <w:color w:val="0E101A"/>
              </w:rPr>
              <w:t>Wales Safeguarding Procedures</w:t>
            </w:r>
            <w:r w:rsidRPr="00C235EB">
              <w:rPr>
                <w:rFonts w:ascii="Arial" w:hAnsi="Arial" w:cs="Arial"/>
                <w:b/>
                <w:bCs/>
                <w:color w:val="0E101A"/>
              </w:rPr>
              <w:t xml:space="preserve"> </w:t>
            </w:r>
            <w:r w:rsidRPr="00C235EB">
              <w:rPr>
                <w:rFonts w:ascii="Arial" w:hAnsi="Arial" w:cs="Arial"/>
                <w:color w:val="0E101A"/>
              </w:rPr>
              <w:t>reinforce that safeguarding is everyone’s responsibility, clearly outlining the roles and duties of practitioners while guiding them in applying the appropriate legislation and guidance (Safeguarding Wales, 2025).</w:t>
            </w:r>
          </w:p>
          <w:p w14:paraId="4F72A158" w14:textId="77777777" w:rsidR="006766F3" w:rsidRPr="00C235EB" w:rsidRDefault="006766F3" w:rsidP="00C235EB">
            <w:pPr>
              <w:pStyle w:val="NormalWeb"/>
              <w:spacing w:before="0" w:beforeAutospacing="0" w:after="0" w:afterAutospacing="0"/>
              <w:jc w:val="both"/>
              <w:rPr>
                <w:rFonts w:ascii="Arial" w:hAnsi="Arial" w:cs="Arial"/>
                <w:color w:val="0E101A"/>
              </w:rPr>
            </w:pPr>
          </w:p>
          <w:p w14:paraId="11842C54" w14:textId="287B4A98" w:rsidR="006766F3" w:rsidRPr="00C235EB" w:rsidRDefault="006766F3" w:rsidP="00C235EB">
            <w:pPr>
              <w:pStyle w:val="NormalWeb"/>
              <w:spacing w:before="0" w:beforeAutospacing="0" w:after="0" w:afterAutospacing="0"/>
              <w:jc w:val="both"/>
              <w:rPr>
                <w:rFonts w:ascii="Arial" w:hAnsi="Arial" w:cs="Arial"/>
                <w:color w:val="0E101A"/>
              </w:rPr>
            </w:pPr>
            <w:r w:rsidRPr="00C235EB">
              <w:rPr>
                <w:rFonts w:ascii="Arial" w:hAnsi="Arial" w:cs="Arial"/>
                <w:color w:val="0E101A"/>
              </w:rPr>
              <w:t xml:space="preserve">According to the </w:t>
            </w:r>
            <w:r w:rsidR="00C235EB" w:rsidRPr="00C235EB">
              <w:rPr>
                <w:rFonts w:ascii="Arial" w:hAnsi="Arial" w:cs="Arial"/>
                <w:color w:val="0E101A"/>
              </w:rPr>
              <w:t>(</w:t>
            </w:r>
            <w:r w:rsidRPr="00C235EB">
              <w:rPr>
                <w:rFonts w:ascii="Arial" w:hAnsi="Arial" w:cs="Arial"/>
                <w:color w:val="0E101A"/>
              </w:rPr>
              <w:t>2014</w:t>
            </w:r>
            <w:r w:rsidR="00C235EB" w:rsidRPr="00C235EB">
              <w:rPr>
                <w:rFonts w:ascii="Arial" w:hAnsi="Arial" w:cs="Arial"/>
                <w:color w:val="0E101A"/>
              </w:rPr>
              <w:t>)</w:t>
            </w:r>
            <w:r w:rsidRPr="00C235EB">
              <w:rPr>
                <w:rFonts w:ascii="Arial" w:hAnsi="Arial" w:cs="Arial"/>
                <w:color w:val="0E101A"/>
              </w:rPr>
              <w:t xml:space="preserve"> Act, a child is considered at risk if they "</w:t>
            </w:r>
            <w:r w:rsidRPr="00C235EB">
              <w:rPr>
                <w:rFonts w:ascii="Arial" w:hAnsi="Arial" w:cs="Arial"/>
                <w:i/>
                <w:iCs/>
                <w:color w:val="0E101A"/>
              </w:rPr>
              <w:t>are experiencing, or are at risk of, abuse, neglect, or other kinds of harm; and have needs for care and support</w:t>
            </w:r>
            <w:r w:rsidRPr="00C235EB">
              <w:rPr>
                <w:rFonts w:ascii="Arial" w:hAnsi="Arial" w:cs="Arial"/>
                <w:color w:val="0E101A"/>
              </w:rPr>
              <w:t xml:space="preserve">" (CIW, 2021). When a </w:t>
            </w:r>
            <w:r w:rsidR="00C235EB" w:rsidRPr="00C235EB">
              <w:rPr>
                <w:rFonts w:ascii="Arial" w:hAnsi="Arial" w:cs="Arial"/>
                <w:color w:val="0E101A"/>
              </w:rPr>
              <w:t>L</w:t>
            </w:r>
            <w:r w:rsidRPr="00C235EB">
              <w:rPr>
                <w:rFonts w:ascii="Arial" w:hAnsi="Arial" w:cs="Arial"/>
                <w:color w:val="0E101A"/>
              </w:rPr>
              <w:t xml:space="preserve">ocal </w:t>
            </w:r>
            <w:r w:rsidR="00C235EB" w:rsidRPr="00C235EB">
              <w:rPr>
                <w:rFonts w:ascii="Arial" w:hAnsi="Arial" w:cs="Arial"/>
                <w:color w:val="0E101A"/>
              </w:rPr>
              <w:t>A</w:t>
            </w:r>
            <w:r w:rsidRPr="00C235EB">
              <w:rPr>
                <w:rFonts w:ascii="Arial" w:hAnsi="Arial" w:cs="Arial"/>
                <w:color w:val="0E101A"/>
              </w:rPr>
              <w:t>uthority</w:t>
            </w:r>
            <w:r w:rsidR="00C235EB" w:rsidRPr="00C235EB">
              <w:rPr>
                <w:rFonts w:ascii="Arial" w:hAnsi="Arial" w:cs="Arial"/>
                <w:color w:val="0E101A"/>
              </w:rPr>
              <w:t xml:space="preserve"> (LA)</w:t>
            </w:r>
            <w:r w:rsidRPr="00C235EB">
              <w:rPr>
                <w:rFonts w:ascii="Arial" w:hAnsi="Arial" w:cs="Arial"/>
                <w:color w:val="0E101A"/>
              </w:rPr>
              <w:t xml:space="preserve"> has reasonable cause to suspect that a child is suffering or is likely to suffer significant harm, it is legally obligated under </w:t>
            </w:r>
            <w:r w:rsidR="00556B60">
              <w:rPr>
                <w:rFonts w:ascii="Arial" w:hAnsi="Arial" w:cs="Arial"/>
                <w:color w:val="0E101A"/>
              </w:rPr>
              <w:t>s</w:t>
            </w:r>
            <w:r w:rsidRPr="00C235EB">
              <w:rPr>
                <w:rStyle w:val="Strong"/>
                <w:rFonts w:ascii="Arial" w:hAnsi="Arial" w:cs="Arial"/>
                <w:b w:val="0"/>
                <w:bCs w:val="0"/>
                <w:color w:val="0E101A"/>
              </w:rPr>
              <w:t xml:space="preserve">47 of the CA </w:t>
            </w:r>
            <w:r w:rsidR="00C235EB" w:rsidRPr="00C235EB">
              <w:rPr>
                <w:rStyle w:val="Strong"/>
                <w:rFonts w:ascii="Arial" w:hAnsi="Arial" w:cs="Arial"/>
                <w:b w:val="0"/>
                <w:bCs w:val="0"/>
                <w:color w:val="0E101A"/>
              </w:rPr>
              <w:t>(</w:t>
            </w:r>
            <w:r w:rsidRPr="00C235EB">
              <w:rPr>
                <w:rStyle w:val="Strong"/>
                <w:rFonts w:ascii="Arial" w:hAnsi="Arial" w:cs="Arial"/>
                <w:b w:val="0"/>
                <w:bCs w:val="0"/>
                <w:color w:val="0E101A"/>
              </w:rPr>
              <w:t>1989</w:t>
            </w:r>
            <w:r w:rsidR="00C235EB" w:rsidRPr="00C235EB">
              <w:rPr>
                <w:rStyle w:val="Strong"/>
                <w:rFonts w:ascii="Arial" w:hAnsi="Arial" w:cs="Arial"/>
                <w:b w:val="0"/>
                <w:bCs w:val="0"/>
                <w:color w:val="0E101A"/>
              </w:rPr>
              <w:t>)</w:t>
            </w:r>
            <w:r w:rsidRPr="00C235EB">
              <w:rPr>
                <w:rFonts w:ascii="Arial" w:hAnsi="Arial" w:cs="Arial"/>
                <w:color w:val="0E101A"/>
              </w:rPr>
              <w:t xml:space="preserve"> to conduct appropriate enquiries. These enquiries aim to determine necessary actions to protect the child and promote their welfare (CIW, 2021).</w:t>
            </w:r>
          </w:p>
          <w:p w14:paraId="65D317DF" w14:textId="77777777" w:rsidR="006766F3" w:rsidRPr="00C235EB" w:rsidRDefault="006766F3" w:rsidP="00C235EB">
            <w:pPr>
              <w:pStyle w:val="NormalWeb"/>
              <w:spacing w:before="0" w:beforeAutospacing="0" w:after="0" w:afterAutospacing="0"/>
              <w:jc w:val="both"/>
              <w:rPr>
                <w:rFonts w:ascii="Arial" w:hAnsi="Arial" w:cs="Arial"/>
                <w:color w:val="0E101A"/>
              </w:rPr>
            </w:pPr>
          </w:p>
          <w:p w14:paraId="16A53F07" w14:textId="434BE86F" w:rsidR="006766F3" w:rsidRPr="00C235EB" w:rsidRDefault="006766F3" w:rsidP="00C235EB">
            <w:pPr>
              <w:pStyle w:val="NormalWeb"/>
              <w:spacing w:before="0" w:beforeAutospacing="0" w:after="0" w:afterAutospacing="0"/>
              <w:jc w:val="both"/>
              <w:rPr>
                <w:rFonts w:ascii="Arial" w:hAnsi="Arial" w:cs="Arial"/>
                <w:color w:val="0E101A"/>
              </w:rPr>
            </w:pPr>
            <w:r w:rsidRPr="00C235EB">
              <w:rPr>
                <w:rFonts w:ascii="Arial" w:hAnsi="Arial" w:cs="Arial"/>
                <w:color w:val="0E101A"/>
              </w:rPr>
              <w:t xml:space="preserve">In 2004, the </w:t>
            </w:r>
            <w:r w:rsidRPr="00C235EB">
              <w:rPr>
                <w:rStyle w:val="Strong"/>
                <w:rFonts w:ascii="Arial" w:hAnsi="Arial" w:cs="Arial"/>
                <w:b w:val="0"/>
                <w:bCs w:val="0"/>
                <w:color w:val="0E101A"/>
              </w:rPr>
              <w:t xml:space="preserve">CA </w:t>
            </w:r>
            <w:r w:rsidR="00C235EB" w:rsidRPr="00C235EB">
              <w:rPr>
                <w:rStyle w:val="Strong"/>
                <w:rFonts w:ascii="Arial" w:hAnsi="Arial" w:cs="Arial"/>
                <w:b w:val="0"/>
                <w:bCs w:val="0"/>
                <w:color w:val="0E101A"/>
              </w:rPr>
              <w:t>(</w:t>
            </w:r>
            <w:r w:rsidRPr="00C235EB">
              <w:rPr>
                <w:rStyle w:val="Strong"/>
                <w:rFonts w:ascii="Arial" w:hAnsi="Arial" w:cs="Arial"/>
                <w:b w:val="0"/>
                <w:bCs w:val="0"/>
                <w:color w:val="0E101A"/>
              </w:rPr>
              <w:t>1989</w:t>
            </w:r>
            <w:r w:rsidR="00C235EB" w:rsidRPr="00C235EB">
              <w:rPr>
                <w:rStyle w:val="Strong"/>
                <w:rFonts w:ascii="Arial" w:hAnsi="Arial" w:cs="Arial"/>
                <w:b w:val="0"/>
                <w:bCs w:val="0"/>
                <w:color w:val="0E101A"/>
              </w:rPr>
              <w:t>)</w:t>
            </w:r>
            <w:r w:rsidRPr="00C235EB">
              <w:rPr>
                <w:rFonts w:ascii="Arial" w:hAnsi="Arial" w:cs="Arial"/>
                <w:color w:val="0E101A"/>
              </w:rPr>
              <w:t xml:space="preserve"> was amended following the serious failings identified in the </w:t>
            </w:r>
            <w:r w:rsidRPr="00C235EB">
              <w:rPr>
                <w:rStyle w:val="Strong"/>
                <w:rFonts w:ascii="Arial" w:hAnsi="Arial" w:cs="Arial"/>
                <w:b w:val="0"/>
                <w:bCs w:val="0"/>
                <w:color w:val="0E101A"/>
              </w:rPr>
              <w:t>Victoria Climbié Inquiry.</w:t>
            </w:r>
            <w:r w:rsidRPr="00C235EB">
              <w:rPr>
                <w:rFonts w:ascii="Arial" w:hAnsi="Arial" w:cs="Arial"/>
                <w:b/>
                <w:bCs/>
                <w:color w:val="0E101A"/>
              </w:rPr>
              <w:t xml:space="preserve"> </w:t>
            </w:r>
            <w:r w:rsidRPr="00C235EB">
              <w:rPr>
                <w:rFonts w:ascii="Arial" w:hAnsi="Arial" w:cs="Arial"/>
                <w:color w:val="0E101A"/>
              </w:rPr>
              <w:t xml:space="preserve">These amendments introduced requirements for multi-disciplinary working and integrated children’s services and established a clear framework for the planning and delivery of child protection services. Notably, the reforms replaced non-statutory Child Protection (CP) Committees with statutory </w:t>
            </w:r>
            <w:r w:rsidRPr="00C235EB">
              <w:rPr>
                <w:rStyle w:val="Strong"/>
                <w:rFonts w:ascii="Arial" w:hAnsi="Arial" w:cs="Arial"/>
                <w:b w:val="0"/>
                <w:bCs w:val="0"/>
                <w:color w:val="0E101A"/>
              </w:rPr>
              <w:t>Local Safeguarding Children Boards</w:t>
            </w:r>
            <w:r w:rsidRPr="00C235EB">
              <w:rPr>
                <w:rFonts w:ascii="Arial" w:hAnsi="Arial" w:cs="Arial"/>
                <w:color w:val="0E101A"/>
              </w:rPr>
              <w:t xml:space="preserve"> (CP Company, 2025).</w:t>
            </w:r>
          </w:p>
          <w:p w14:paraId="4E65D61D" w14:textId="77777777" w:rsidR="006766F3" w:rsidRPr="00C235EB" w:rsidRDefault="006766F3" w:rsidP="00C235EB">
            <w:pPr>
              <w:pStyle w:val="NormalWeb"/>
              <w:spacing w:before="0" w:beforeAutospacing="0" w:after="0" w:afterAutospacing="0"/>
              <w:jc w:val="both"/>
              <w:rPr>
                <w:rFonts w:ascii="Arial" w:hAnsi="Arial" w:cs="Arial"/>
                <w:color w:val="0E101A"/>
              </w:rPr>
            </w:pPr>
          </w:p>
          <w:p w14:paraId="5C6F9EF9" w14:textId="51B3241C" w:rsidR="006766F3" w:rsidRPr="00C235EB" w:rsidRDefault="006766F3" w:rsidP="00C235EB">
            <w:pPr>
              <w:pStyle w:val="NormalWeb"/>
              <w:spacing w:before="0" w:beforeAutospacing="0" w:after="0" w:afterAutospacing="0"/>
              <w:jc w:val="both"/>
              <w:rPr>
                <w:rFonts w:ascii="Arial" w:hAnsi="Arial" w:cs="Arial"/>
                <w:color w:val="0E101A"/>
              </w:rPr>
            </w:pPr>
            <w:r w:rsidRPr="00C235EB">
              <w:rPr>
                <w:rFonts w:ascii="Arial" w:hAnsi="Arial" w:cs="Arial"/>
                <w:color w:val="0E101A"/>
              </w:rPr>
              <w:t>In 2004, the WG officially incorporated the United Nations Convention on the Rights of the Child (UNCRC) as the guiding framework for policy</w:t>
            </w:r>
            <w:r w:rsidR="00C235EB" w:rsidRPr="00C235EB">
              <w:rPr>
                <w:rFonts w:ascii="Arial" w:hAnsi="Arial" w:cs="Arial"/>
                <w:color w:val="0E101A"/>
              </w:rPr>
              <w:t xml:space="preserve"> </w:t>
            </w:r>
            <w:r w:rsidRPr="00C235EB">
              <w:rPr>
                <w:rFonts w:ascii="Arial" w:hAnsi="Arial" w:cs="Arial"/>
                <w:color w:val="0E101A"/>
              </w:rPr>
              <w:t xml:space="preserve">making concerning children and young people (WG, 2025). Building on this, the WG introduced the </w:t>
            </w:r>
            <w:r w:rsidRPr="00C235EB">
              <w:rPr>
                <w:rStyle w:val="Emphasis"/>
                <w:rFonts w:ascii="Arial" w:hAnsi="Arial" w:cs="Arial"/>
                <w:color w:val="0E101A"/>
              </w:rPr>
              <w:t xml:space="preserve">Rights of Children and Young </w:t>
            </w:r>
            <w:r w:rsidRPr="00C235EB">
              <w:rPr>
                <w:rStyle w:val="Emphasis"/>
                <w:rFonts w:ascii="Arial" w:hAnsi="Arial" w:cs="Arial"/>
                <w:color w:val="0E101A"/>
              </w:rPr>
              <w:lastRenderedPageBreak/>
              <w:t>Persons (Wales) Measure 2011</w:t>
            </w:r>
            <w:r w:rsidRPr="00C235EB">
              <w:rPr>
                <w:rFonts w:ascii="Arial" w:hAnsi="Arial" w:cs="Arial"/>
                <w:color w:val="0E101A"/>
              </w:rPr>
              <w:t>, which places a duty on Ministers to have due regard to the UNCRC when developing or reviewing legislation and policy.</w:t>
            </w:r>
          </w:p>
          <w:p w14:paraId="3B44C4A2" w14:textId="77777777" w:rsidR="00C235EB" w:rsidRPr="00C235EB" w:rsidRDefault="00C235EB" w:rsidP="00C235EB">
            <w:pPr>
              <w:pStyle w:val="NormalWeb"/>
              <w:spacing w:before="0" w:beforeAutospacing="0" w:after="0" w:afterAutospacing="0"/>
              <w:jc w:val="both"/>
              <w:rPr>
                <w:rFonts w:ascii="Arial" w:hAnsi="Arial" w:cs="Arial"/>
                <w:color w:val="0E101A"/>
              </w:rPr>
            </w:pPr>
          </w:p>
          <w:p w14:paraId="41328F79" w14:textId="5838501E" w:rsidR="006766F3" w:rsidRPr="00C235EB" w:rsidRDefault="006766F3" w:rsidP="00C235EB">
            <w:pPr>
              <w:pStyle w:val="NormalWeb"/>
              <w:spacing w:before="0" w:beforeAutospacing="0" w:after="0" w:afterAutospacing="0"/>
              <w:jc w:val="both"/>
              <w:rPr>
                <w:rFonts w:ascii="Arial" w:hAnsi="Arial" w:cs="Arial"/>
                <w:color w:val="0E101A"/>
              </w:rPr>
            </w:pPr>
            <w:r w:rsidRPr="00C235EB">
              <w:rPr>
                <w:rFonts w:ascii="Arial" w:hAnsi="Arial" w:cs="Arial"/>
                <w:color w:val="0E101A"/>
              </w:rPr>
              <w:t xml:space="preserve">At a regional level, the </w:t>
            </w:r>
            <w:r w:rsidRPr="00C235EB">
              <w:rPr>
                <w:rStyle w:val="Strong"/>
                <w:rFonts w:ascii="Arial" w:hAnsi="Arial" w:cs="Arial"/>
                <w:b w:val="0"/>
                <w:bCs w:val="0"/>
                <w:color w:val="0E101A"/>
              </w:rPr>
              <w:t>Mid and West Wales Safeguarding Board (MWWSB)</w:t>
            </w:r>
            <w:r w:rsidRPr="00C235EB">
              <w:rPr>
                <w:rFonts w:ascii="Arial" w:hAnsi="Arial" w:cs="Arial"/>
                <w:color w:val="0E101A"/>
              </w:rPr>
              <w:t xml:space="preserve"> has developed a number of multi-agency safeguarding policies and procedures that provide practitioners with clear operational guidance on safeguarding practice (CYSUR – MWWSB, 2025). The Board has also produced threshold documents designed to ensure consistency and a proportionate, collaborative regional response to identified abuse, neglect, or the risk there</w:t>
            </w:r>
            <w:r w:rsidR="00C235EB" w:rsidRPr="00C235EB">
              <w:rPr>
                <w:rFonts w:ascii="Arial" w:hAnsi="Arial" w:cs="Arial"/>
                <w:color w:val="0E101A"/>
              </w:rPr>
              <w:t xml:space="preserve"> </w:t>
            </w:r>
            <w:r w:rsidRPr="00C235EB">
              <w:rPr>
                <w:rFonts w:ascii="Arial" w:hAnsi="Arial" w:cs="Arial"/>
                <w:color w:val="0E101A"/>
              </w:rPr>
              <w:t>of (CYSUR – MWWSB, 2025).</w:t>
            </w:r>
          </w:p>
          <w:p w14:paraId="61C4A7AE" w14:textId="77777777" w:rsidR="006766F3" w:rsidRPr="00C235EB" w:rsidRDefault="006766F3" w:rsidP="00C235EB">
            <w:pPr>
              <w:pStyle w:val="NormalWeb"/>
              <w:spacing w:before="0" w:beforeAutospacing="0" w:after="0" w:afterAutospacing="0"/>
              <w:jc w:val="both"/>
              <w:rPr>
                <w:rFonts w:ascii="Arial" w:hAnsi="Arial" w:cs="Arial"/>
                <w:color w:val="0E101A"/>
              </w:rPr>
            </w:pPr>
          </w:p>
          <w:p w14:paraId="4BB6E6B4" w14:textId="104D5E02" w:rsidR="006766F3" w:rsidRPr="006766F3" w:rsidRDefault="006766F3" w:rsidP="00C235EB">
            <w:pPr>
              <w:pStyle w:val="NormalWeb"/>
              <w:spacing w:before="0" w:beforeAutospacing="0" w:after="0" w:afterAutospacing="0"/>
              <w:jc w:val="both"/>
              <w:rPr>
                <w:rFonts w:asciiTheme="majorHAnsi" w:hAnsiTheme="majorHAnsi" w:cstheme="majorHAnsi"/>
                <w:color w:val="0E101A"/>
              </w:rPr>
            </w:pPr>
            <w:r w:rsidRPr="00C235EB">
              <w:rPr>
                <w:rFonts w:ascii="Arial" w:hAnsi="Arial" w:cs="Arial"/>
                <w:color w:val="0E101A"/>
              </w:rPr>
              <w:t xml:space="preserve">The </w:t>
            </w:r>
            <w:r w:rsidR="00C235EB" w:rsidRPr="00C235EB">
              <w:rPr>
                <w:rFonts w:ascii="Arial" w:hAnsi="Arial" w:cs="Arial"/>
                <w:color w:val="0E101A"/>
              </w:rPr>
              <w:t>LA</w:t>
            </w:r>
            <w:r w:rsidRPr="00C235EB">
              <w:rPr>
                <w:rFonts w:ascii="Arial" w:hAnsi="Arial" w:cs="Arial"/>
                <w:color w:val="0E101A"/>
              </w:rPr>
              <w:t xml:space="preserve"> in which I am employed has its own </w:t>
            </w:r>
            <w:r w:rsidRPr="00C235EB">
              <w:rPr>
                <w:rStyle w:val="Strong"/>
                <w:rFonts w:ascii="Arial" w:hAnsi="Arial" w:cs="Arial"/>
                <w:b w:val="0"/>
                <w:bCs w:val="0"/>
                <w:color w:val="0E101A"/>
              </w:rPr>
              <w:t>Corporate Safeguarding Policy</w:t>
            </w:r>
            <w:r w:rsidRPr="00C235EB">
              <w:rPr>
                <w:rFonts w:ascii="Arial" w:hAnsi="Arial" w:cs="Arial"/>
                <w:b/>
                <w:bCs/>
                <w:color w:val="0E101A"/>
              </w:rPr>
              <w:t>,</w:t>
            </w:r>
            <w:r w:rsidRPr="00C235EB">
              <w:rPr>
                <w:rFonts w:ascii="Arial" w:hAnsi="Arial" w:cs="Arial"/>
                <w:color w:val="0E101A"/>
              </w:rPr>
              <w:t xml:space="preserve"> last reviewed in 2023. This policy is designed to </w:t>
            </w:r>
            <w:r w:rsidRPr="00C235EB">
              <w:rPr>
                <w:rStyle w:val="Strong"/>
                <w:rFonts w:ascii="Arial" w:hAnsi="Arial" w:cs="Arial"/>
                <w:b w:val="0"/>
                <w:bCs w:val="0"/>
                <w:color w:val="0E101A"/>
              </w:rPr>
              <w:t>clearly outline</w:t>
            </w:r>
            <w:r w:rsidRPr="00C235EB">
              <w:rPr>
                <w:rFonts w:ascii="Arial" w:hAnsi="Arial" w:cs="Arial"/>
                <w:color w:val="0E101A"/>
              </w:rPr>
              <w:t xml:space="preserve"> how the LA will meet its legal duties and obligations in relation to safeguarding children at risk. Furthermore, it aims to provide reassurance to both the public and staff that appropriate arrangements are in place to ensure the safety and protection of children at risk</w:t>
            </w:r>
            <w:r w:rsidRPr="006766F3">
              <w:rPr>
                <w:rFonts w:asciiTheme="majorHAnsi" w:hAnsiTheme="majorHAnsi" w:cstheme="majorHAnsi"/>
                <w:color w:val="0E101A"/>
              </w:rPr>
              <w:t>.</w:t>
            </w:r>
          </w:p>
          <w:p w14:paraId="774095BD" w14:textId="77777777" w:rsidR="00FC0334" w:rsidRDefault="00FC0334" w:rsidP="00FF7EBB">
            <w:pPr>
              <w:jc w:val="both"/>
              <w:rPr>
                <w:rFonts w:asciiTheme="majorHAnsi" w:hAnsiTheme="majorHAnsi" w:cstheme="majorHAnsi"/>
                <w:sz w:val="24"/>
                <w:szCs w:val="24"/>
              </w:rPr>
            </w:pPr>
          </w:p>
          <w:p w14:paraId="541F17F7" w14:textId="40A9DDEC" w:rsidR="006766F3" w:rsidRDefault="006766F3" w:rsidP="00FF7EBB">
            <w:pPr>
              <w:jc w:val="both"/>
              <w:rPr>
                <w:rFonts w:asciiTheme="majorHAnsi" w:hAnsiTheme="majorHAnsi" w:cstheme="majorHAnsi"/>
                <w:sz w:val="24"/>
                <w:szCs w:val="24"/>
              </w:rPr>
            </w:pPr>
            <w:r>
              <w:rPr>
                <w:rFonts w:asciiTheme="majorHAnsi" w:hAnsiTheme="majorHAnsi" w:cstheme="majorHAnsi"/>
                <w:sz w:val="24"/>
                <w:szCs w:val="24"/>
              </w:rPr>
              <w:t>Word count:</w:t>
            </w:r>
            <w:r w:rsidR="00C235EB">
              <w:rPr>
                <w:rFonts w:asciiTheme="majorHAnsi" w:hAnsiTheme="majorHAnsi" w:cstheme="majorHAnsi"/>
                <w:sz w:val="24"/>
                <w:szCs w:val="24"/>
              </w:rPr>
              <w:t xml:space="preserve"> </w:t>
            </w:r>
            <w:r>
              <w:rPr>
                <w:rFonts w:asciiTheme="majorHAnsi" w:hAnsiTheme="majorHAnsi" w:cstheme="majorHAnsi"/>
                <w:sz w:val="24"/>
                <w:szCs w:val="24"/>
              </w:rPr>
              <w:t>49</w:t>
            </w:r>
            <w:r w:rsidR="00556B60">
              <w:rPr>
                <w:rFonts w:asciiTheme="majorHAnsi" w:hAnsiTheme="majorHAnsi" w:cstheme="majorHAnsi"/>
                <w:sz w:val="24"/>
                <w:szCs w:val="24"/>
              </w:rPr>
              <w:t>0</w:t>
            </w:r>
          </w:p>
          <w:p w14:paraId="0F438A41" w14:textId="77777777" w:rsidR="006766F3" w:rsidRPr="006766F3" w:rsidRDefault="006766F3" w:rsidP="00FF7EBB">
            <w:pPr>
              <w:jc w:val="both"/>
              <w:rPr>
                <w:rFonts w:asciiTheme="majorHAnsi" w:hAnsiTheme="majorHAnsi" w:cstheme="majorHAnsi"/>
                <w:sz w:val="24"/>
                <w:szCs w:val="24"/>
              </w:rPr>
            </w:pPr>
          </w:p>
          <w:p w14:paraId="4FF8EBF3" w14:textId="77777777" w:rsidR="005A545C" w:rsidRDefault="005414F4" w:rsidP="00FF7EBB">
            <w:pPr>
              <w:jc w:val="both"/>
              <w:rPr>
                <w:sz w:val="24"/>
                <w:szCs w:val="24"/>
              </w:rPr>
            </w:pPr>
            <w:r w:rsidRPr="006108C9">
              <w:rPr>
                <w:i/>
                <w:sz w:val="24"/>
                <w:szCs w:val="24"/>
              </w:rPr>
              <w:t>5</w:t>
            </w:r>
            <w:r w:rsidR="00DA22EC" w:rsidRPr="006108C9">
              <w:rPr>
                <w:i/>
                <w:sz w:val="24"/>
                <w:szCs w:val="24"/>
              </w:rPr>
              <w:t>00 words</w:t>
            </w:r>
            <w:r w:rsidR="00DA22EC" w:rsidRPr="006108C9">
              <w:rPr>
                <w:sz w:val="24"/>
                <w:szCs w:val="24"/>
              </w:rPr>
              <w:t xml:space="preserve"> </w:t>
            </w:r>
            <w:r w:rsidR="008B28E7" w:rsidRPr="006108C9">
              <w:rPr>
                <w:sz w:val="24"/>
                <w:szCs w:val="24"/>
              </w:rPr>
              <w:t>(+/- 10%: include your actual word count at the end of each section)</w:t>
            </w:r>
            <w:r w:rsidR="007A628F">
              <w:rPr>
                <w:sz w:val="24"/>
                <w:szCs w:val="24"/>
              </w:rPr>
              <w:t>.</w:t>
            </w:r>
          </w:p>
          <w:p w14:paraId="03BD6D93" w14:textId="56AD433A" w:rsidR="007A628F" w:rsidRPr="008B28E7" w:rsidRDefault="007A628F" w:rsidP="00FF7EBB">
            <w:pPr>
              <w:jc w:val="both"/>
              <w:rPr>
                <w:b/>
                <w:sz w:val="24"/>
                <w:szCs w:val="24"/>
              </w:rPr>
            </w:pPr>
          </w:p>
        </w:tc>
      </w:tr>
    </w:tbl>
    <w:p w14:paraId="37E9CF73" w14:textId="77777777" w:rsidR="00AA666E" w:rsidRPr="008B28E7" w:rsidRDefault="00AA666E" w:rsidP="00FF7EBB">
      <w:pPr>
        <w:jc w:val="both"/>
        <w:rPr>
          <w:sz w:val="24"/>
          <w:szCs w:val="24"/>
        </w:rPr>
      </w:pPr>
    </w:p>
    <w:p w14:paraId="1FC83FC7" w14:textId="77777777" w:rsidR="00AA666E" w:rsidRPr="008B28E7" w:rsidRDefault="00AA666E" w:rsidP="00FF7EBB">
      <w:pPr>
        <w:jc w:val="both"/>
        <w:rPr>
          <w:sz w:val="24"/>
          <w:szCs w:val="24"/>
        </w:rPr>
      </w:pPr>
    </w:p>
    <w:p w14:paraId="60437654" w14:textId="77777777" w:rsidR="00AA666E" w:rsidRPr="00884190" w:rsidRDefault="00AA666E"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84190" w14:paraId="3399E76C" w14:textId="77777777" w:rsidTr="00FC0334">
        <w:tc>
          <w:tcPr>
            <w:tcW w:w="10278" w:type="dxa"/>
          </w:tcPr>
          <w:p w14:paraId="171F67D5" w14:textId="77777777" w:rsidR="00FC0334" w:rsidRPr="00884190" w:rsidRDefault="00FC0334" w:rsidP="00FC0334">
            <w:pPr>
              <w:jc w:val="both"/>
              <w:rPr>
                <w:b/>
                <w:sz w:val="24"/>
                <w:szCs w:val="24"/>
              </w:rPr>
            </w:pPr>
            <w:r w:rsidRPr="00884190">
              <w:rPr>
                <w:b/>
                <w:sz w:val="24"/>
                <w:szCs w:val="24"/>
              </w:rPr>
              <w:t>Question b:</w:t>
            </w:r>
          </w:p>
          <w:p w14:paraId="2ADF1EC3" w14:textId="58E4B8DE" w:rsidR="00FC0334" w:rsidRDefault="00FC0334" w:rsidP="00FC0334">
            <w:pPr>
              <w:jc w:val="both"/>
              <w:rPr>
                <w:sz w:val="24"/>
                <w:szCs w:val="24"/>
              </w:rPr>
            </w:pPr>
            <w:r w:rsidRPr="00884190">
              <w:rPr>
                <w:sz w:val="24"/>
                <w:szCs w:val="24"/>
              </w:rPr>
              <w:t>Reflect on the difference between safeguarding in adult</w:t>
            </w:r>
            <w:r w:rsidR="00C63CAB" w:rsidRPr="00884190">
              <w:rPr>
                <w:sz w:val="24"/>
                <w:szCs w:val="24"/>
              </w:rPr>
              <w:t>s’</w:t>
            </w:r>
            <w:r w:rsidRPr="00884190">
              <w:rPr>
                <w:sz w:val="24"/>
                <w:szCs w:val="24"/>
              </w:rPr>
              <w:t xml:space="preserve"> and children</w:t>
            </w:r>
            <w:r w:rsidR="007A628F" w:rsidRPr="00884190">
              <w:rPr>
                <w:sz w:val="24"/>
                <w:szCs w:val="24"/>
              </w:rPr>
              <w:t>’s</w:t>
            </w:r>
            <w:r w:rsidRPr="00884190">
              <w:rPr>
                <w:sz w:val="24"/>
                <w:szCs w:val="24"/>
              </w:rPr>
              <w:t xml:space="preserve"> work</w:t>
            </w:r>
          </w:p>
          <w:p w14:paraId="5E15501F" w14:textId="77777777" w:rsidR="00C235EB" w:rsidRDefault="00C235EB" w:rsidP="00FC0334">
            <w:pPr>
              <w:jc w:val="both"/>
              <w:rPr>
                <w:sz w:val="24"/>
                <w:szCs w:val="24"/>
              </w:rPr>
            </w:pPr>
          </w:p>
          <w:p w14:paraId="557EB9B1" w14:textId="08B400BC" w:rsidR="00C235EB" w:rsidRPr="00C235EB" w:rsidRDefault="00C235EB" w:rsidP="00C235EB">
            <w:pPr>
              <w:jc w:val="both"/>
              <w:rPr>
                <w:i/>
                <w:sz w:val="24"/>
                <w:szCs w:val="24"/>
              </w:rPr>
            </w:pPr>
            <w:r w:rsidRPr="00884190">
              <w:rPr>
                <w:i/>
                <w:sz w:val="24"/>
                <w:szCs w:val="24"/>
              </w:rPr>
              <w:t>400 words</w:t>
            </w:r>
            <w:r w:rsidRPr="00884190">
              <w:rPr>
                <w:sz w:val="24"/>
                <w:szCs w:val="24"/>
              </w:rPr>
              <w:t xml:space="preserve"> </w:t>
            </w:r>
            <w:r w:rsidRPr="00884190">
              <w:rPr>
                <w:i/>
                <w:sz w:val="24"/>
                <w:szCs w:val="24"/>
              </w:rPr>
              <w:t>(+/- 10%: include your actual word count at the end of each section).</w:t>
            </w:r>
          </w:p>
          <w:p w14:paraId="4CABE426" w14:textId="77777777" w:rsidR="00FC0334" w:rsidRPr="00884190" w:rsidRDefault="00FC0334" w:rsidP="00FC0334">
            <w:pPr>
              <w:jc w:val="both"/>
              <w:rPr>
                <w:sz w:val="24"/>
                <w:szCs w:val="24"/>
              </w:rPr>
            </w:pPr>
          </w:p>
          <w:p w14:paraId="384413CD" w14:textId="77777777" w:rsidR="00940DB2" w:rsidRPr="00940DB2" w:rsidRDefault="00940DB2" w:rsidP="00940DB2">
            <w:pPr>
              <w:pStyle w:val="NormalWeb"/>
              <w:jc w:val="both"/>
              <w:rPr>
                <w:rFonts w:ascii="Arial" w:hAnsi="Arial" w:cs="Arial"/>
              </w:rPr>
            </w:pPr>
            <w:r w:rsidRPr="00940DB2">
              <w:rPr>
                <w:rFonts w:ascii="Arial" w:hAnsi="Arial" w:cs="Arial"/>
              </w:rPr>
              <w:t xml:space="preserve">Having worked in both child and adult care, I have observed that the main differences in safeguarding roles relate to </w:t>
            </w:r>
            <w:r w:rsidRPr="00940DB2">
              <w:rPr>
                <w:rStyle w:val="Strong"/>
                <w:rFonts w:ascii="Arial" w:hAnsi="Arial" w:cs="Arial"/>
                <w:b w:val="0"/>
                <w:bCs w:val="0"/>
              </w:rPr>
              <w:t>consent and capacity</w:t>
            </w:r>
            <w:r w:rsidRPr="00940DB2">
              <w:rPr>
                <w:rFonts w:ascii="Arial" w:hAnsi="Arial" w:cs="Arial"/>
                <w:b/>
                <w:bCs/>
              </w:rPr>
              <w:t>.</w:t>
            </w:r>
            <w:r w:rsidRPr="00940DB2">
              <w:rPr>
                <w:rFonts w:ascii="Arial" w:hAnsi="Arial" w:cs="Arial"/>
              </w:rPr>
              <w:t xml:space="preserve"> While individuals have the right to make independent choices, if a child is believed to be at risk or has experienced harm, immediate action is usually taken by social care or the police regardless of parental consent, as the child’s safety is paramount (UNICEF, 2025). Another key difference is how </w:t>
            </w:r>
            <w:r w:rsidRPr="00940DB2">
              <w:rPr>
                <w:rStyle w:val="Strong"/>
                <w:rFonts w:ascii="Arial" w:hAnsi="Arial" w:cs="Arial"/>
                <w:b w:val="0"/>
                <w:bCs w:val="0"/>
                <w:i/>
                <w:iCs/>
              </w:rPr>
              <w:t>‘harm’</w:t>
            </w:r>
            <w:r w:rsidRPr="00940DB2">
              <w:rPr>
                <w:rFonts w:ascii="Arial" w:hAnsi="Arial" w:cs="Arial"/>
                <w:b/>
                <w:bCs/>
                <w:i/>
                <w:iCs/>
              </w:rPr>
              <w:t xml:space="preserve"> </w:t>
            </w:r>
            <w:r w:rsidRPr="00940DB2">
              <w:rPr>
                <w:rFonts w:ascii="Arial" w:hAnsi="Arial" w:cs="Arial"/>
              </w:rPr>
              <w:t>is defined. The Wales Safeguarding Procedures categorise child abuse as physical, emotional, sexual abuse, and neglect, while the SSWBA (2014) extends the adult definition to include financial, psychological, discriminatory, organisational, and institutional abuse.</w:t>
            </w:r>
          </w:p>
          <w:p w14:paraId="26B86B9A" w14:textId="559D2A80" w:rsidR="00940DB2" w:rsidRPr="00940DB2" w:rsidRDefault="00940DB2" w:rsidP="00940DB2">
            <w:pPr>
              <w:pStyle w:val="NormalWeb"/>
              <w:jc w:val="both"/>
              <w:rPr>
                <w:rFonts w:ascii="Arial" w:hAnsi="Arial" w:cs="Arial"/>
              </w:rPr>
            </w:pPr>
            <w:r w:rsidRPr="00940DB2">
              <w:rPr>
                <w:rStyle w:val="Strong"/>
                <w:rFonts w:ascii="Arial" w:hAnsi="Arial" w:cs="Arial"/>
                <w:b w:val="0"/>
                <w:bCs w:val="0"/>
              </w:rPr>
              <w:t>Timeframes</w:t>
            </w:r>
            <w:r w:rsidRPr="00940DB2">
              <w:rPr>
                <w:rFonts w:ascii="Arial" w:hAnsi="Arial" w:cs="Arial"/>
              </w:rPr>
              <w:t xml:space="preserve"> also differ</w:t>
            </w:r>
            <w:r>
              <w:rPr>
                <w:rFonts w:ascii="Arial" w:hAnsi="Arial" w:cs="Arial"/>
              </w:rPr>
              <w:t>, a</w:t>
            </w:r>
            <w:r w:rsidRPr="00940DB2">
              <w:rPr>
                <w:rFonts w:ascii="Arial" w:hAnsi="Arial" w:cs="Arial"/>
              </w:rPr>
              <w:t>dult safeguarding enquiries are usually completed within seven working days of the report (SSWBA, 2014, s.126). In contrast, when a child may be at risk, necessary checks and decisions must be made and recorded within one working day (WG, 2025).</w:t>
            </w:r>
          </w:p>
          <w:p w14:paraId="0C04BB68" w14:textId="219DFF9A" w:rsidR="00940DB2" w:rsidRPr="00940DB2" w:rsidRDefault="00940DB2" w:rsidP="00940DB2">
            <w:pPr>
              <w:pStyle w:val="NormalWeb"/>
              <w:jc w:val="both"/>
              <w:rPr>
                <w:rFonts w:ascii="Arial" w:hAnsi="Arial" w:cs="Arial"/>
              </w:rPr>
            </w:pPr>
            <w:r w:rsidRPr="00940DB2">
              <w:rPr>
                <w:rFonts w:ascii="Arial" w:hAnsi="Arial" w:cs="Arial"/>
              </w:rPr>
              <w:t xml:space="preserve">When working with adults at risk, practitioners are guided by the </w:t>
            </w:r>
            <w:r w:rsidRPr="00940DB2">
              <w:rPr>
                <w:rStyle w:val="Strong"/>
                <w:rFonts w:ascii="Arial" w:hAnsi="Arial" w:cs="Arial"/>
                <w:b w:val="0"/>
                <w:bCs w:val="0"/>
              </w:rPr>
              <w:t>SSWBA (2014)</w:t>
            </w:r>
            <w:r w:rsidRPr="00940DB2">
              <w:rPr>
                <w:rFonts w:ascii="Arial" w:hAnsi="Arial" w:cs="Arial"/>
              </w:rPr>
              <w:t xml:space="preserve"> and the </w:t>
            </w:r>
            <w:r w:rsidRPr="00940DB2">
              <w:rPr>
                <w:rStyle w:val="Strong"/>
                <w:rFonts w:ascii="Arial" w:hAnsi="Arial" w:cs="Arial"/>
                <w:b w:val="0"/>
                <w:bCs w:val="0"/>
              </w:rPr>
              <w:t>Mental Capacity Act (MCA) (2005)</w:t>
            </w:r>
            <w:r w:rsidRPr="00940DB2">
              <w:rPr>
                <w:rFonts w:ascii="Arial" w:hAnsi="Arial" w:cs="Arial"/>
                <w:b/>
                <w:bCs/>
              </w:rPr>
              <w:t>.</w:t>
            </w:r>
            <w:r w:rsidRPr="00940DB2">
              <w:rPr>
                <w:rFonts w:ascii="Arial" w:hAnsi="Arial" w:cs="Arial"/>
              </w:rPr>
              <w:t xml:space="preserve"> The MCA not only empowers and protects those who may lack decision-making capacity but also safeguards the right of individuals to make what others might view as unwise choices, provided their capacity is intact (Department for Constitutional </w:t>
            </w:r>
            <w:r w:rsidRPr="00940DB2">
              <w:rPr>
                <w:rFonts w:ascii="Arial" w:hAnsi="Arial" w:cs="Arial"/>
              </w:rPr>
              <w:lastRenderedPageBreak/>
              <w:t>Affairs, 2007, p.24). Adults considered at risk, whose capacity is not in question, may give or withdraw consent at any time</w:t>
            </w:r>
            <w:r w:rsidR="006E45B3">
              <w:rPr>
                <w:rFonts w:ascii="Arial" w:hAnsi="Arial" w:cs="Arial"/>
              </w:rPr>
              <w:t xml:space="preserve"> </w:t>
            </w:r>
            <w:r w:rsidRPr="00940DB2">
              <w:rPr>
                <w:rFonts w:ascii="Arial" w:hAnsi="Arial" w:cs="Arial"/>
              </w:rPr>
              <w:t>even if that decision exposes them to further harm.</w:t>
            </w:r>
          </w:p>
          <w:p w14:paraId="2C962AB2" w14:textId="52C4374A" w:rsidR="00940DB2" w:rsidRPr="00940DB2" w:rsidRDefault="00940DB2" w:rsidP="00940DB2">
            <w:pPr>
              <w:pStyle w:val="NormalWeb"/>
              <w:jc w:val="both"/>
              <w:rPr>
                <w:rFonts w:ascii="Arial" w:hAnsi="Arial" w:cs="Arial"/>
              </w:rPr>
            </w:pPr>
            <w:r w:rsidRPr="00940DB2">
              <w:rPr>
                <w:rFonts w:ascii="Arial" w:hAnsi="Arial" w:cs="Arial"/>
              </w:rPr>
              <w:t xml:space="preserve">Children’s safeguarding legislation is primarily informed by the </w:t>
            </w:r>
            <w:r w:rsidRPr="00940DB2">
              <w:rPr>
                <w:rStyle w:val="Strong"/>
                <w:rFonts w:ascii="Arial" w:hAnsi="Arial" w:cs="Arial"/>
                <w:b w:val="0"/>
                <w:bCs w:val="0"/>
              </w:rPr>
              <w:t>Children Act (CA) (1989)</w:t>
            </w:r>
            <w:r w:rsidRPr="00940DB2">
              <w:rPr>
                <w:rFonts w:ascii="Arial" w:hAnsi="Arial" w:cs="Arial"/>
              </w:rPr>
              <w:t xml:space="preserve"> and the </w:t>
            </w:r>
            <w:r w:rsidRPr="00940DB2">
              <w:rPr>
                <w:rStyle w:val="Strong"/>
                <w:rFonts w:ascii="Arial" w:hAnsi="Arial" w:cs="Arial"/>
                <w:b w:val="0"/>
                <w:bCs w:val="0"/>
              </w:rPr>
              <w:t>SSWBA (2014)</w:t>
            </w:r>
            <w:r w:rsidRPr="00940DB2">
              <w:rPr>
                <w:rFonts w:ascii="Arial" w:hAnsi="Arial" w:cs="Arial"/>
                <w:b/>
                <w:bCs/>
              </w:rPr>
              <w:t>,</w:t>
            </w:r>
            <w:r w:rsidRPr="00940DB2">
              <w:rPr>
                <w:rFonts w:ascii="Arial" w:hAnsi="Arial" w:cs="Arial"/>
              </w:rPr>
              <w:t xml:space="preserve"> which defines a child, under section 105, as “a person under the age of eighteen” (CA, 1989, s.105). However, complexity arises because</w:t>
            </w:r>
            <w:r w:rsidRPr="006E45B3">
              <w:rPr>
                <w:rFonts w:ascii="Arial" w:hAnsi="Arial" w:cs="Arial"/>
              </w:rPr>
              <w:t xml:space="preserve"> the</w:t>
            </w:r>
            <w:r w:rsidRPr="006E45B3">
              <w:rPr>
                <w:rFonts w:ascii="Arial" w:hAnsi="Arial" w:cs="Arial"/>
                <w:b/>
                <w:bCs/>
              </w:rPr>
              <w:t xml:space="preserve"> </w:t>
            </w:r>
            <w:r w:rsidRPr="006E45B3">
              <w:rPr>
                <w:rStyle w:val="Strong"/>
                <w:rFonts w:ascii="Arial" w:hAnsi="Arial" w:cs="Arial"/>
                <w:b w:val="0"/>
                <w:bCs w:val="0"/>
              </w:rPr>
              <w:t>MCA (2005)</w:t>
            </w:r>
            <w:r w:rsidRPr="00940DB2">
              <w:rPr>
                <w:rFonts w:ascii="Arial" w:hAnsi="Arial" w:cs="Arial"/>
              </w:rPr>
              <w:t xml:space="preserve"> applies to those aged sixteen and over (MCA, 2005, s.2(5)). This is where the concept of </w:t>
            </w:r>
            <w:r w:rsidRPr="006E45B3">
              <w:rPr>
                <w:rStyle w:val="Strong"/>
                <w:rFonts w:ascii="Arial" w:hAnsi="Arial" w:cs="Arial"/>
                <w:b w:val="0"/>
                <w:bCs w:val="0"/>
              </w:rPr>
              <w:t>Gillick Competence</w:t>
            </w:r>
            <w:r w:rsidRPr="006E45B3">
              <w:rPr>
                <w:rFonts w:ascii="Arial" w:hAnsi="Arial" w:cs="Arial"/>
                <w:b/>
                <w:bCs/>
              </w:rPr>
              <w:t xml:space="preserve"> </w:t>
            </w:r>
            <w:r w:rsidRPr="00940DB2">
              <w:rPr>
                <w:rFonts w:ascii="Arial" w:hAnsi="Arial" w:cs="Arial"/>
              </w:rPr>
              <w:t>is considered. Established in 1983, Gillick originally permitted girls under sixteen to access medical advice and treatment without parental consent. The principle has since developed and is now used by practitioners, including social workers, to assess whether a child demonstrates sufficient maturity to understand the implications of their decision and make it independently (NSPCC, 2025).</w:t>
            </w:r>
          </w:p>
          <w:p w14:paraId="17F0C50F" w14:textId="77777777" w:rsidR="00940DB2" w:rsidRPr="00940DB2" w:rsidRDefault="00940DB2" w:rsidP="00940DB2">
            <w:pPr>
              <w:pStyle w:val="NormalWeb"/>
              <w:jc w:val="both"/>
              <w:rPr>
                <w:rFonts w:ascii="Arial" w:hAnsi="Arial" w:cs="Arial"/>
              </w:rPr>
            </w:pPr>
            <w:r w:rsidRPr="00940DB2">
              <w:rPr>
                <w:rFonts w:ascii="Arial" w:hAnsi="Arial" w:cs="Arial"/>
              </w:rPr>
              <w:t xml:space="preserve">Nevertheless, this autonomy only extends to certain decisions. Even with maturity, children cannot choose to place themselves at risk of harm; ultimately, their </w:t>
            </w:r>
            <w:r w:rsidRPr="006E45B3">
              <w:rPr>
                <w:rStyle w:val="Strong"/>
                <w:rFonts w:ascii="Arial" w:hAnsi="Arial" w:cs="Arial"/>
                <w:b w:val="0"/>
                <w:bCs w:val="0"/>
              </w:rPr>
              <w:t>safety takes precedence</w:t>
            </w:r>
            <w:r w:rsidRPr="006E45B3">
              <w:rPr>
                <w:rFonts w:ascii="Arial" w:hAnsi="Arial" w:cs="Arial"/>
                <w:b/>
                <w:bCs/>
              </w:rPr>
              <w:t>.</w:t>
            </w:r>
          </w:p>
          <w:p w14:paraId="7B7B4827" w14:textId="77777777" w:rsidR="00FC0334" w:rsidRDefault="00FC0334" w:rsidP="00FC0334">
            <w:pPr>
              <w:jc w:val="both"/>
              <w:rPr>
                <w:sz w:val="24"/>
                <w:szCs w:val="24"/>
              </w:rPr>
            </w:pPr>
          </w:p>
          <w:p w14:paraId="3CF56B3F" w14:textId="068189C5" w:rsidR="006766F3" w:rsidRPr="00884190" w:rsidRDefault="006766F3" w:rsidP="00FC0334">
            <w:pPr>
              <w:jc w:val="both"/>
              <w:rPr>
                <w:sz w:val="24"/>
                <w:szCs w:val="24"/>
              </w:rPr>
            </w:pPr>
            <w:r>
              <w:rPr>
                <w:sz w:val="24"/>
                <w:szCs w:val="24"/>
              </w:rPr>
              <w:t xml:space="preserve">Word count: </w:t>
            </w:r>
            <w:r w:rsidR="006E45B3">
              <w:rPr>
                <w:sz w:val="24"/>
                <w:szCs w:val="24"/>
              </w:rPr>
              <w:t>377</w:t>
            </w:r>
          </w:p>
          <w:p w14:paraId="438BF787" w14:textId="77777777" w:rsidR="00FC0334" w:rsidRPr="00884190" w:rsidRDefault="00FC0334" w:rsidP="00FC0334">
            <w:pPr>
              <w:jc w:val="both"/>
              <w:rPr>
                <w:sz w:val="24"/>
                <w:szCs w:val="24"/>
              </w:rPr>
            </w:pPr>
          </w:p>
          <w:p w14:paraId="08760B3D" w14:textId="77777777" w:rsidR="00FC0334" w:rsidRPr="00884190" w:rsidRDefault="00FC0334" w:rsidP="00C235EB">
            <w:pPr>
              <w:jc w:val="both"/>
              <w:rPr>
                <w:sz w:val="24"/>
                <w:szCs w:val="24"/>
              </w:rPr>
            </w:pPr>
          </w:p>
        </w:tc>
      </w:tr>
    </w:tbl>
    <w:p w14:paraId="76FCF233" w14:textId="77777777" w:rsidR="00FC0334" w:rsidRDefault="00FC0334" w:rsidP="00FC0334">
      <w:pPr>
        <w:rPr>
          <w:sz w:val="24"/>
          <w:szCs w:val="24"/>
        </w:rPr>
      </w:pPr>
    </w:p>
    <w:p w14:paraId="3E83A001" w14:textId="77777777" w:rsidR="00794498" w:rsidRPr="00794498" w:rsidRDefault="00794498" w:rsidP="00794498">
      <w:pPr>
        <w:rPr>
          <w:sz w:val="24"/>
          <w:szCs w:val="24"/>
        </w:rPr>
      </w:pPr>
    </w:p>
    <w:p w14:paraId="0062CFC3" w14:textId="77777777" w:rsidR="00794498" w:rsidRDefault="00794498" w:rsidP="00794498">
      <w:pPr>
        <w:rPr>
          <w:sz w:val="24"/>
          <w:szCs w:val="24"/>
        </w:rPr>
      </w:pPr>
    </w:p>
    <w:p w14:paraId="65CB80B0" w14:textId="77777777" w:rsidR="00794498" w:rsidRDefault="00794498" w:rsidP="00794498">
      <w:pPr>
        <w:rPr>
          <w:sz w:val="24"/>
          <w:szCs w:val="24"/>
        </w:rPr>
      </w:pPr>
    </w:p>
    <w:p w14:paraId="7A71BC0D" w14:textId="4FB37422" w:rsidR="00794498" w:rsidRDefault="00794498" w:rsidP="00794498">
      <w:pPr>
        <w:tabs>
          <w:tab w:val="left" w:pos="1749"/>
        </w:tabs>
        <w:jc w:val="center"/>
        <w:rPr>
          <w:b/>
          <w:bCs/>
          <w:sz w:val="24"/>
          <w:szCs w:val="24"/>
          <w:u w:val="single"/>
        </w:rPr>
      </w:pPr>
    </w:p>
    <w:p w14:paraId="06FCE3FB" w14:textId="77777777" w:rsidR="00794498" w:rsidRDefault="00794498" w:rsidP="00794498">
      <w:pPr>
        <w:tabs>
          <w:tab w:val="left" w:pos="1749"/>
        </w:tabs>
        <w:jc w:val="center"/>
        <w:rPr>
          <w:b/>
          <w:bCs/>
          <w:sz w:val="24"/>
          <w:szCs w:val="24"/>
          <w:u w:val="single"/>
        </w:rPr>
      </w:pPr>
    </w:p>
    <w:sectPr w:rsidR="00794498" w:rsidSect="00F15354">
      <w:headerReference w:type="default" r:id="rId12"/>
      <w:footerReference w:type="default" r:id="rId13"/>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78CF29" w14:textId="77777777" w:rsidR="00EE7A46" w:rsidRDefault="00EE7A46">
      <w:r>
        <w:separator/>
      </w:r>
    </w:p>
  </w:endnote>
  <w:endnote w:type="continuationSeparator" w:id="0">
    <w:p w14:paraId="721271C4" w14:textId="77777777" w:rsidR="00EE7A46" w:rsidRDefault="00EE7A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49ADDA" w14:textId="77777777" w:rsidR="00EE7A46" w:rsidRDefault="00EE7A46">
      <w:r>
        <w:separator/>
      </w:r>
    </w:p>
  </w:footnote>
  <w:footnote w:type="continuationSeparator" w:id="0">
    <w:p w14:paraId="50C58088" w14:textId="77777777" w:rsidR="00EE7A46" w:rsidRDefault="00EE7A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1D08"/>
    <w:rsid w:val="00054A07"/>
    <w:rsid w:val="00055D43"/>
    <w:rsid w:val="00056FAC"/>
    <w:rsid w:val="00057751"/>
    <w:rsid w:val="00062E39"/>
    <w:rsid w:val="00064063"/>
    <w:rsid w:val="0006581A"/>
    <w:rsid w:val="00074461"/>
    <w:rsid w:val="000766EC"/>
    <w:rsid w:val="00080E58"/>
    <w:rsid w:val="000831ED"/>
    <w:rsid w:val="00083D99"/>
    <w:rsid w:val="00084DA6"/>
    <w:rsid w:val="00085699"/>
    <w:rsid w:val="00090160"/>
    <w:rsid w:val="00091F52"/>
    <w:rsid w:val="00092970"/>
    <w:rsid w:val="00093720"/>
    <w:rsid w:val="000938E6"/>
    <w:rsid w:val="00093B3C"/>
    <w:rsid w:val="000944B0"/>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5361"/>
    <w:rsid w:val="0010662B"/>
    <w:rsid w:val="00106DC7"/>
    <w:rsid w:val="00107E2E"/>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45B7"/>
    <w:rsid w:val="00216563"/>
    <w:rsid w:val="0021792F"/>
    <w:rsid w:val="00220D06"/>
    <w:rsid w:val="002246A0"/>
    <w:rsid w:val="00227E01"/>
    <w:rsid w:val="00230439"/>
    <w:rsid w:val="00232A09"/>
    <w:rsid w:val="00235176"/>
    <w:rsid w:val="00236061"/>
    <w:rsid w:val="0024100E"/>
    <w:rsid w:val="00241C1B"/>
    <w:rsid w:val="0024288B"/>
    <w:rsid w:val="00243DB0"/>
    <w:rsid w:val="00247265"/>
    <w:rsid w:val="00260663"/>
    <w:rsid w:val="002657E9"/>
    <w:rsid w:val="0026665E"/>
    <w:rsid w:val="00270B94"/>
    <w:rsid w:val="0027147E"/>
    <w:rsid w:val="002719F7"/>
    <w:rsid w:val="002752F1"/>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B7C71"/>
    <w:rsid w:val="002C2536"/>
    <w:rsid w:val="002C256A"/>
    <w:rsid w:val="002C3031"/>
    <w:rsid w:val="002C4233"/>
    <w:rsid w:val="002C496D"/>
    <w:rsid w:val="002D05EB"/>
    <w:rsid w:val="002D11A8"/>
    <w:rsid w:val="002D23EE"/>
    <w:rsid w:val="002D2F29"/>
    <w:rsid w:val="002D46C0"/>
    <w:rsid w:val="002D5A92"/>
    <w:rsid w:val="002D65D2"/>
    <w:rsid w:val="002D6B31"/>
    <w:rsid w:val="002E6D17"/>
    <w:rsid w:val="002E7017"/>
    <w:rsid w:val="002E7F2C"/>
    <w:rsid w:val="002F0B7E"/>
    <w:rsid w:val="002F1FC7"/>
    <w:rsid w:val="002F2185"/>
    <w:rsid w:val="002F4F6E"/>
    <w:rsid w:val="003015C3"/>
    <w:rsid w:val="003106DB"/>
    <w:rsid w:val="00311D0A"/>
    <w:rsid w:val="0031350A"/>
    <w:rsid w:val="00316815"/>
    <w:rsid w:val="003168CA"/>
    <w:rsid w:val="00321255"/>
    <w:rsid w:val="0032230D"/>
    <w:rsid w:val="00322A0B"/>
    <w:rsid w:val="00330881"/>
    <w:rsid w:val="00331CD2"/>
    <w:rsid w:val="00332426"/>
    <w:rsid w:val="00335C41"/>
    <w:rsid w:val="00335FC5"/>
    <w:rsid w:val="0033771E"/>
    <w:rsid w:val="00337FEF"/>
    <w:rsid w:val="003506F2"/>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A7488"/>
    <w:rsid w:val="003B16C7"/>
    <w:rsid w:val="003B3115"/>
    <w:rsid w:val="003C19F1"/>
    <w:rsid w:val="003C3C67"/>
    <w:rsid w:val="003C4186"/>
    <w:rsid w:val="003C6185"/>
    <w:rsid w:val="003D0D2D"/>
    <w:rsid w:val="003D1885"/>
    <w:rsid w:val="003D1BC0"/>
    <w:rsid w:val="003D20F1"/>
    <w:rsid w:val="003D4710"/>
    <w:rsid w:val="003E16D7"/>
    <w:rsid w:val="003E197E"/>
    <w:rsid w:val="003E3A58"/>
    <w:rsid w:val="003E4B70"/>
    <w:rsid w:val="003E54CF"/>
    <w:rsid w:val="003E5FBA"/>
    <w:rsid w:val="003F1233"/>
    <w:rsid w:val="003F67A4"/>
    <w:rsid w:val="00400786"/>
    <w:rsid w:val="00401FDA"/>
    <w:rsid w:val="004046F0"/>
    <w:rsid w:val="0040668F"/>
    <w:rsid w:val="00411EF7"/>
    <w:rsid w:val="00412677"/>
    <w:rsid w:val="00425160"/>
    <w:rsid w:val="00426AE1"/>
    <w:rsid w:val="00430DE3"/>
    <w:rsid w:val="00433070"/>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374F"/>
    <w:rsid w:val="004968E2"/>
    <w:rsid w:val="004A2A49"/>
    <w:rsid w:val="004A5A64"/>
    <w:rsid w:val="004A6C4E"/>
    <w:rsid w:val="004B0EA6"/>
    <w:rsid w:val="004B13C7"/>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6B60"/>
    <w:rsid w:val="00557D77"/>
    <w:rsid w:val="00557E12"/>
    <w:rsid w:val="00560BBE"/>
    <w:rsid w:val="00562EAA"/>
    <w:rsid w:val="00563B58"/>
    <w:rsid w:val="005640C4"/>
    <w:rsid w:val="0056684C"/>
    <w:rsid w:val="00574A0C"/>
    <w:rsid w:val="0057780F"/>
    <w:rsid w:val="00580C23"/>
    <w:rsid w:val="00581E0A"/>
    <w:rsid w:val="00586D89"/>
    <w:rsid w:val="005877C8"/>
    <w:rsid w:val="00587923"/>
    <w:rsid w:val="00594F9F"/>
    <w:rsid w:val="005A1B4C"/>
    <w:rsid w:val="005A545C"/>
    <w:rsid w:val="005B271A"/>
    <w:rsid w:val="005B3A2D"/>
    <w:rsid w:val="005C1567"/>
    <w:rsid w:val="005C28D3"/>
    <w:rsid w:val="005C6CE5"/>
    <w:rsid w:val="005D0098"/>
    <w:rsid w:val="005D28A8"/>
    <w:rsid w:val="005D3F07"/>
    <w:rsid w:val="005D4A1E"/>
    <w:rsid w:val="005D4F72"/>
    <w:rsid w:val="005E13EA"/>
    <w:rsid w:val="005E17F1"/>
    <w:rsid w:val="005E2415"/>
    <w:rsid w:val="005F64AA"/>
    <w:rsid w:val="005F7851"/>
    <w:rsid w:val="00601610"/>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6F3"/>
    <w:rsid w:val="00676E35"/>
    <w:rsid w:val="00677E42"/>
    <w:rsid w:val="00682334"/>
    <w:rsid w:val="00684732"/>
    <w:rsid w:val="00684B16"/>
    <w:rsid w:val="00687016"/>
    <w:rsid w:val="006872A0"/>
    <w:rsid w:val="0069625A"/>
    <w:rsid w:val="00696A88"/>
    <w:rsid w:val="00696B1A"/>
    <w:rsid w:val="00696F65"/>
    <w:rsid w:val="00697572"/>
    <w:rsid w:val="006B4496"/>
    <w:rsid w:val="006B5E67"/>
    <w:rsid w:val="006B6612"/>
    <w:rsid w:val="006C2EB5"/>
    <w:rsid w:val="006D18A3"/>
    <w:rsid w:val="006D5970"/>
    <w:rsid w:val="006D6AFE"/>
    <w:rsid w:val="006E45B3"/>
    <w:rsid w:val="006E481E"/>
    <w:rsid w:val="006E795F"/>
    <w:rsid w:val="006F0862"/>
    <w:rsid w:val="006F1438"/>
    <w:rsid w:val="006F1C7E"/>
    <w:rsid w:val="006F2A9E"/>
    <w:rsid w:val="006F5ED3"/>
    <w:rsid w:val="00700249"/>
    <w:rsid w:val="007069CD"/>
    <w:rsid w:val="00706BB5"/>
    <w:rsid w:val="0071231A"/>
    <w:rsid w:val="00712B47"/>
    <w:rsid w:val="00712E90"/>
    <w:rsid w:val="00713B7E"/>
    <w:rsid w:val="00717CB8"/>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23C6"/>
    <w:rsid w:val="00762BD7"/>
    <w:rsid w:val="00763B2D"/>
    <w:rsid w:val="0076439B"/>
    <w:rsid w:val="00764C84"/>
    <w:rsid w:val="007710AD"/>
    <w:rsid w:val="0077140A"/>
    <w:rsid w:val="00772924"/>
    <w:rsid w:val="0078112D"/>
    <w:rsid w:val="007872F2"/>
    <w:rsid w:val="007873F9"/>
    <w:rsid w:val="007908E0"/>
    <w:rsid w:val="00793EB3"/>
    <w:rsid w:val="00794205"/>
    <w:rsid w:val="0079422A"/>
    <w:rsid w:val="00794498"/>
    <w:rsid w:val="007A1F6A"/>
    <w:rsid w:val="007A628F"/>
    <w:rsid w:val="007B0DE3"/>
    <w:rsid w:val="007B1BFD"/>
    <w:rsid w:val="007B7191"/>
    <w:rsid w:val="007C1D94"/>
    <w:rsid w:val="007C3D18"/>
    <w:rsid w:val="007C556F"/>
    <w:rsid w:val="007C5ABE"/>
    <w:rsid w:val="007C6A87"/>
    <w:rsid w:val="007D0A07"/>
    <w:rsid w:val="007D0F11"/>
    <w:rsid w:val="007D133D"/>
    <w:rsid w:val="007D3EB4"/>
    <w:rsid w:val="007D3F16"/>
    <w:rsid w:val="007F10BD"/>
    <w:rsid w:val="007F312E"/>
    <w:rsid w:val="007F3F7E"/>
    <w:rsid w:val="007F4BA4"/>
    <w:rsid w:val="00805B36"/>
    <w:rsid w:val="00813CEC"/>
    <w:rsid w:val="0081534C"/>
    <w:rsid w:val="00816CE7"/>
    <w:rsid w:val="008171E4"/>
    <w:rsid w:val="008208EA"/>
    <w:rsid w:val="00822B44"/>
    <w:rsid w:val="00824E67"/>
    <w:rsid w:val="00825A64"/>
    <w:rsid w:val="00826F48"/>
    <w:rsid w:val="008273ED"/>
    <w:rsid w:val="008308AE"/>
    <w:rsid w:val="00830DD1"/>
    <w:rsid w:val="0083166E"/>
    <w:rsid w:val="00831990"/>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4190"/>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E6076"/>
    <w:rsid w:val="008F127E"/>
    <w:rsid w:val="008F32D9"/>
    <w:rsid w:val="00902A65"/>
    <w:rsid w:val="00903932"/>
    <w:rsid w:val="009079BD"/>
    <w:rsid w:val="00912BD9"/>
    <w:rsid w:val="00916FB2"/>
    <w:rsid w:val="00920E5B"/>
    <w:rsid w:val="00926436"/>
    <w:rsid w:val="00926C53"/>
    <w:rsid w:val="0093018C"/>
    <w:rsid w:val="00940DB2"/>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0EA7"/>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0CFF"/>
    <w:rsid w:val="00AB5518"/>
    <w:rsid w:val="00AC3A0E"/>
    <w:rsid w:val="00AC4A04"/>
    <w:rsid w:val="00AC5679"/>
    <w:rsid w:val="00AD130B"/>
    <w:rsid w:val="00AD336F"/>
    <w:rsid w:val="00AE134C"/>
    <w:rsid w:val="00AE1868"/>
    <w:rsid w:val="00AE2564"/>
    <w:rsid w:val="00AE301F"/>
    <w:rsid w:val="00AE3302"/>
    <w:rsid w:val="00AE5BA6"/>
    <w:rsid w:val="00AE6231"/>
    <w:rsid w:val="00AE7077"/>
    <w:rsid w:val="00AF61C2"/>
    <w:rsid w:val="00AF6CC6"/>
    <w:rsid w:val="00B0296A"/>
    <w:rsid w:val="00B03976"/>
    <w:rsid w:val="00B07E79"/>
    <w:rsid w:val="00B10E7A"/>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032"/>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5EB"/>
    <w:rsid w:val="00C23F17"/>
    <w:rsid w:val="00C246F2"/>
    <w:rsid w:val="00C26D0D"/>
    <w:rsid w:val="00C27C95"/>
    <w:rsid w:val="00C300D2"/>
    <w:rsid w:val="00C3270F"/>
    <w:rsid w:val="00C3278B"/>
    <w:rsid w:val="00C33375"/>
    <w:rsid w:val="00C34BE0"/>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37DC"/>
    <w:rsid w:val="00D55DE0"/>
    <w:rsid w:val="00D607EF"/>
    <w:rsid w:val="00D60F88"/>
    <w:rsid w:val="00D646BD"/>
    <w:rsid w:val="00D65558"/>
    <w:rsid w:val="00D71201"/>
    <w:rsid w:val="00D720C7"/>
    <w:rsid w:val="00D84841"/>
    <w:rsid w:val="00D86967"/>
    <w:rsid w:val="00D876E6"/>
    <w:rsid w:val="00D90958"/>
    <w:rsid w:val="00DA1025"/>
    <w:rsid w:val="00DA22EC"/>
    <w:rsid w:val="00DA5682"/>
    <w:rsid w:val="00DA5860"/>
    <w:rsid w:val="00DA5C0C"/>
    <w:rsid w:val="00DB2767"/>
    <w:rsid w:val="00DC1B10"/>
    <w:rsid w:val="00DC2924"/>
    <w:rsid w:val="00DC4729"/>
    <w:rsid w:val="00DD31C5"/>
    <w:rsid w:val="00DD3765"/>
    <w:rsid w:val="00DD5020"/>
    <w:rsid w:val="00DD63BE"/>
    <w:rsid w:val="00DE4296"/>
    <w:rsid w:val="00DE58C9"/>
    <w:rsid w:val="00DF2469"/>
    <w:rsid w:val="00DF7899"/>
    <w:rsid w:val="00E0524C"/>
    <w:rsid w:val="00E15751"/>
    <w:rsid w:val="00E17160"/>
    <w:rsid w:val="00E17D41"/>
    <w:rsid w:val="00E21256"/>
    <w:rsid w:val="00E231D1"/>
    <w:rsid w:val="00E3288D"/>
    <w:rsid w:val="00E35112"/>
    <w:rsid w:val="00E35BEC"/>
    <w:rsid w:val="00E41A6A"/>
    <w:rsid w:val="00E41FED"/>
    <w:rsid w:val="00E50821"/>
    <w:rsid w:val="00E50D90"/>
    <w:rsid w:val="00E51F91"/>
    <w:rsid w:val="00E5498A"/>
    <w:rsid w:val="00E559CE"/>
    <w:rsid w:val="00E60F42"/>
    <w:rsid w:val="00E62325"/>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894"/>
    <w:rsid w:val="00EC6E15"/>
    <w:rsid w:val="00ED12C9"/>
    <w:rsid w:val="00ED1B30"/>
    <w:rsid w:val="00ED5D03"/>
    <w:rsid w:val="00EE01ED"/>
    <w:rsid w:val="00EE13D8"/>
    <w:rsid w:val="00EE1AC1"/>
    <w:rsid w:val="00EE39D6"/>
    <w:rsid w:val="00EE52AD"/>
    <w:rsid w:val="00EE5BC3"/>
    <w:rsid w:val="00EE6FAB"/>
    <w:rsid w:val="00EE7A46"/>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5BD0"/>
    <w:rsid w:val="00F66272"/>
    <w:rsid w:val="00F709C0"/>
    <w:rsid w:val="00F81FEC"/>
    <w:rsid w:val="00F834CC"/>
    <w:rsid w:val="00F927A1"/>
    <w:rsid w:val="00F92E4D"/>
    <w:rsid w:val="00F95D08"/>
    <w:rsid w:val="00FA0497"/>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A73"/>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styleId="Strong">
    <w:name w:val="Strong"/>
    <w:basedOn w:val="DefaultParagraphFont"/>
    <w:uiPriority w:val="22"/>
    <w:qFormat/>
    <w:rsid w:val="00D86967"/>
    <w:rPr>
      <w:b/>
      <w:bCs/>
    </w:rPr>
  </w:style>
  <w:style w:type="character" w:styleId="Emphasis">
    <w:name w:val="Emphasis"/>
    <w:basedOn w:val="DefaultParagraphFont"/>
    <w:uiPriority w:val="20"/>
    <w:qFormat/>
    <w:rsid w:val="00D86967"/>
    <w:rPr>
      <w:i/>
      <w:iCs/>
    </w:rPr>
  </w:style>
  <w:style w:type="paragraph" w:styleId="NormalWeb">
    <w:name w:val="Normal (Web)"/>
    <w:basedOn w:val="Normal"/>
    <w:uiPriority w:val="99"/>
    <w:unhideWhenUsed/>
    <w:rsid w:val="00A00EA7"/>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UnresolvedMention">
    <w:name w:val="Unresolved Mention"/>
    <w:basedOn w:val="DefaultParagraphFont"/>
    <w:uiPriority w:val="99"/>
    <w:semiHidden/>
    <w:unhideWhenUsed/>
    <w:rsid w:val="00C235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2021109">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084494622">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55859105">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sophie18.mitchell@pembrokeshire.gov.uk"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79</TotalTime>
  <Pages>4</Pages>
  <Words>1077</Words>
  <Characters>6139</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Mitchell, Sophie</cp:lastModifiedBy>
  <cp:revision>5</cp:revision>
  <cp:lastPrinted>2020-02-11T19:20:00Z</cp:lastPrinted>
  <dcterms:created xsi:type="dcterms:W3CDTF">2025-09-22T10:06:00Z</dcterms:created>
  <dcterms:modified xsi:type="dcterms:W3CDTF">2025-10-06T16:17:00Z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