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47D8" w:rsidRPr="003D47D8" w:rsidRDefault="003D47D8" w:rsidP="003D47D8">
      <w:pPr>
        <w:spacing w:before="0" w:after="200" w:line="276" w:lineRule="auto"/>
        <w:jc w:val="left"/>
        <w:rPr>
          <w:b/>
          <w:bCs/>
          <w:lang w:val="en-GB"/>
        </w:rPr>
      </w:pPr>
      <w:r w:rsidRPr="003D47D8">
        <w:rPr>
          <w:b/>
          <w:bCs/>
          <w:noProof/>
          <w:lang w:val="en-GB" w:eastAsia="en-GB"/>
        </w:rPr>
        <w:drawing>
          <wp:inline distT="0" distB="0" distL="0" distR="0" wp14:anchorId="0DB71F34" wp14:editId="4534C7F6">
            <wp:extent cx="3858895" cy="171887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0982" cy="1724259"/>
                    </a:xfrm>
                    <a:prstGeom prst="rect">
                      <a:avLst/>
                    </a:prstGeom>
                    <a:noFill/>
                  </pic:spPr>
                </pic:pic>
              </a:graphicData>
            </a:graphic>
          </wp:inline>
        </w:drawing>
      </w:r>
    </w:p>
    <w:p w:rsidR="003D47D8" w:rsidRDefault="003D47D8" w:rsidP="003D47D8">
      <w:pPr>
        <w:spacing w:before="0" w:after="200" w:line="276" w:lineRule="auto"/>
        <w:jc w:val="left"/>
        <w:rPr>
          <w:b/>
          <w:bCs/>
          <w:lang w:val="en-GB"/>
        </w:rPr>
      </w:pPr>
      <w:r>
        <w:rPr>
          <w:b/>
          <w:bCs/>
          <w:lang w:val="en-GB"/>
        </w:rPr>
        <w:t xml:space="preserve">Report Title: </w:t>
      </w:r>
      <w:r w:rsidRPr="003D47D8">
        <w:rPr>
          <w:b/>
          <w:bCs/>
          <w:lang w:val="en-GB"/>
        </w:rPr>
        <w:t>Strategic CFO Challenge: Saving a Failing Global Firm</w:t>
      </w:r>
    </w:p>
    <w:p w:rsidR="003D47D8" w:rsidRPr="003D47D8" w:rsidRDefault="003D47D8" w:rsidP="003D47D8">
      <w:pPr>
        <w:spacing w:before="0" w:after="200" w:line="276" w:lineRule="auto"/>
        <w:jc w:val="left"/>
        <w:rPr>
          <w:b/>
          <w:bCs/>
          <w:lang w:val="en-GB"/>
        </w:rPr>
      </w:pPr>
      <w:r w:rsidRPr="003D47D8">
        <w:rPr>
          <w:b/>
          <w:bCs/>
          <w:lang w:val="en-GB"/>
        </w:rPr>
        <w:t>Programme: Master of Business Administration</w:t>
      </w:r>
    </w:p>
    <w:p w:rsidR="003D47D8" w:rsidRPr="003D47D8" w:rsidRDefault="003D47D8" w:rsidP="003D47D8">
      <w:pPr>
        <w:spacing w:before="0" w:after="200" w:line="276" w:lineRule="auto"/>
        <w:jc w:val="left"/>
        <w:rPr>
          <w:b/>
          <w:lang w:val="en-GB"/>
        </w:rPr>
      </w:pPr>
      <w:r w:rsidRPr="003D47D8">
        <w:rPr>
          <w:b/>
          <w:bCs/>
          <w:lang w:val="en-GB"/>
        </w:rPr>
        <w:t>Module Code:</w:t>
      </w:r>
      <w:r w:rsidRPr="003D47D8">
        <w:rPr>
          <w:lang w:val="en-GB"/>
        </w:rPr>
        <w:t xml:space="preserve"> </w:t>
      </w:r>
      <w:r w:rsidRPr="003D47D8">
        <w:rPr>
          <w:b/>
          <w:lang w:val="en-GB"/>
        </w:rPr>
        <w:t>LCMB7002</w:t>
      </w:r>
    </w:p>
    <w:p w:rsidR="003D47D8" w:rsidRPr="003D47D8" w:rsidRDefault="003D47D8" w:rsidP="003D47D8">
      <w:pPr>
        <w:spacing w:before="0" w:after="200" w:line="276" w:lineRule="auto"/>
        <w:jc w:val="left"/>
        <w:rPr>
          <w:b/>
          <w:lang w:val="en-GB"/>
        </w:rPr>
      </w:pPr>
      <w:r w:rsidRPr="003D47D8">
        <w:rPr>
          <w:b/>
          <w:lang w:val="en-GB"/>
        </w:rPr>
        <w:t xml:space="preserve">Module: </w:t>
      </w:r>
      <w:r>
        <w:rPr>
          <w:b/>
          <w:lang w:val="en-GB"/>
        </w:rPr>
        <w:t xml:space="preserve"> </w:t>
      </w:r>
      <w:r w:rsidRPr="003D47D8">
        <w:rPr>
          <w:b/>
          <w:lang w:val="en-GB"/>
        </w:rPr>
        <w:t>Financial Management</w:t>
      </w:r>
    </w:p>
    <w:p w:rsidR="003D47D8" w:rsidRPr="003D47D8" w:rsidRDefault="003D47D8" w:rsidP="003D47D8">
      <w:pPr>
        <w:spacing w:before="0" w:after="200" w:line="276" w:lineRule="auto"/>
        <w:jc w:val="left"/>
        <w:rPr>
          <w:b/>
          <w:lang w:val="en-GB"/>
        </w:rPr>
      </w:pPr>
      <w:r w:rsidRPr="003D47D8">
        <w:rPr>
          <w:b/>
          <w:lang w:val="en-GB"/>
        </w:rPr>
        <w:t xml:space="preserve">Lecturer: </w:t>
      </w:r>
      <w:proofErr w:type="spellStart"/>
      <w:r w:rsidR="00822B29" w:rsidRPr="00822B29">
        <w:rPr>
          <w:b/>
          <w:lang w:val="en-GB"/>
        </w:rPr>
        <w:t>Shengfeng</w:t>
      </w:r>
      <w:proofErr w:type="spellEnd"/>
      <w:r w:rsidR="00822B29" w:rsidRPr="00822B29">
        <w:rPr>
          <w:b/>
          <w:lang w:val="en-GB"/>
        </w:rPr>
        <w:t xml:space="preserve"> Mei (London)</w:t>
      </w:r>
    </w:p>
    <w:p w:rsidR="003D47D8" w:rsidRPr="003D47D8" w:rsidRDefault="003D47D8" w:rsidP="00822B29">
      <w:pPr>
        <w:spacing w:before="0" w:after="200" w:line="276" w:lineRule="auto"/>
        <w:jc w:val="left"/>
        <w:rPr>
          <w:b/>
          <w:lang w:val="en-GB"/>
        </w:rPr>
      </w:pPr>
      <w:r w:rsidRPr="003D47D8">
        <w:rPr>
          <w:b/>
          <w:lang w:val="en-GB"/>
        </w:rPr>
        <w:t xml:space="preserve">Assignment Title: </w:t>
      </w:r>
      <w:bookmarkStart w:id="0" w:name="_GoBack"/>
      <w:bookmarkEnd w:id="0"/>
      <w:r w:rsidR="00822B29">
        <w:rPr>
          <w:b/>
          <w:lang w:val="en-GB"/>
        </w:rPr>
        <w:t xml:space="preserve">Financial performance and </w:t>
      </w:r>
      <w:r w:rsidR="00822B29" w:rsidRPr="00822B29">
        <w:rPr>
          <w:b/>
          <w:lang w:val="en-GB"/>
        </w:rPr>
        <w:t xml:space="preserve">management </w:t>
      </w:r>
      <w:r w:rsidRPr="003D47D8">
        <w:rPr>
          <w:b/>
          <w:lang w:val="en-GB"/>
        </w:rPr>
        <w:t xml:space="preserve">   </w:t>
      </w:r>
    </w:p>
    <w:p w:rsidR="003D47D8" w:rsidRPr="003D47D8" w:rsidRDefault="003D47D8" w:rsidP="003D47D8">
      <w:pPr>
        <w:spacing w:before="0" w:after="200" w:line="276" w:lineRule="auto"/>
        <w:jc w:val="left"/>
        <w:rPr>
          <w:lang w:val="en-GB"/>
        </w:rPr>
      </w:pPr>
      <w:r w:rsidRPr="003D47D8">
        <w:rPr>
          <w:b/>
          <w:bCs/>
          <w:lang w:val="en-GB"/>
        </w:rPr>
        <w:t xml:space="preserve">Student Name: </w:t>
      </w:r>
      <w:proofErr w:type="spellStart"/>
      <w:r w:rsidRPr="003D47D8">
        <w:rPr>
          <w:b/>
          <w:lang w:val="en-GB"/>
        </w:rPr>
        <w:t>Monjurul</w:t>
      </w:r>
      <w:proofErr w:type="spellEnd"/>
      <w:r w:rsidRPr="003D47D8">
        <w:rPr>
          <w:b/>
          <w:lang w:val="en-GB"/>
        </w:rPr>
        <w:t xml:space="preserve"> Hasan</w:t>
      </w:r>
    </w:p>
    <w:p w:rsidR="003D47D8" w:rsidRPr="003D47D8" w:rsidRDefault="003D47D8" w:rsidP="003D47D8">
      <w:pPr>
        <w:spacing w:before="0" w:after="200" w:line="276" w:lineRule="auto"/>
        <w:jc w:val="left"/>
        <w:rPr>
          <w:b/>
          <w:bCs/>
          <w:lang w:val="en-GB"/>
        </w:rPr>
      </w:pPr>
      <w:r w:rsidRPr="003D47D8">
        <w:rPr>
          <w:b/>
          <w:bCs/>
          <w:lang w:val="en-GB"/>
        </w:rPr>
        <w:t>Student ID:</w:t>
      </w:r>
      <w:r w:rsidRPr="003D47D8">
        <w:rPr>
          <w:lang w:val="en-GB"/>
        </w:rPr>
        <w:t xml:space="preserve"> </w:t>
      </w:r>
      <w:r w:rsidRPr="003D47D8">
        <w:rPr>
          <w:b/>
          <w:bCs/>
          <w:lang w:val="en-GB"/>
        </w:rPr>
        <w:t>2433829</w:t>
      </w:r>
    </w:p>
    <w:p w:rsidR="003D47D8" w:rsidRDefault="003D47D8" w:rsidP="003D47D8">
      <w:pPr>
        <w:spacing w:before="0" w:after="200" w:line="276" w:lineRule="auto"/>
        <w:jc w:val="left"/>
        <w:rPr>
          <w:b/>
          <w:bCs/>
          <w:lang w:val="en-GB"/>
        </w:rPr>
      </w:pPr>
      <w:r w:rsidRPr="003D47D8">
        <w:rPr>
          <w:b/>
          <w:bCs/>
          <w:lang w:val="en-GB"/>
        </w:rPr>
        <w:t>Word Count:</w:t>
      </w:r>
      <w:r w:rsidR="00822B29">
        <w:rPr>
          <w:b/>
          <w:bCs/>
          <w:lang w:val="en-GB"/>
        </w:rPr>
        <w:t xml:space="preserve"> 5435</w:t>
      </w:r>
    </w:p>
    <w:p w:rsidR="003D47D8" w:rsidRDefault="003D47D8">
      <w:pPr>
        <w:spacing w:before="0" w:after="200" w:line="276" w:lineRule="auto"/>
        <w:jc w:val="left"/>
        <w:rPr>
          <w:b/>
          <w:bCs/>
          <w:lang w:val="en-GB"/>
        </w:rPr>
      </w:pPr>
      <w:r>
        <w:rPr>
          <w:b/>
          <w:bCs/>
          <w:lang w:val="en-GB"/>
        </w:rPr>
        <w:br w:type="page"/>
      </w:r>
    </w:p>
    <w:sdt>
      <w:sdtPr>
        <w:rPr>
          <w:rFonts w:ascii="Arial" w:eastAsiaTheme="minorEastAsia" w:hAnsi="Arial" w:cstheme="minorBidi"/>
          <w:color w:val="auto"/>
          <w:sz w:val="24"/>
          <w:szCs w:val="22"/>
        </w:rPr>
        <w:id w:val="-290358700"/>
        <w:docPartObj>
          <w:docPartGallery w:val="Table of Contents"/>
          <w:docPartUnique/>
        </w:docPartObj>
      </w:sdtPr>
      <w:sdtEndPr>
        <w:rPr>
          <w:b/>
          <w:bCs/>
          <w:noProof/>
        </w:rPr>
      </w:sdtEndPr>
      <w:sdtContent>
        <w:p w:rsidR="003D47D8" w:rsidRDefault="003D47D8">
          <w:pPr>
            <w:pStyle w:val="TOCHeading"/>
          </w:pPr>
          <w:r>
            <w:t>Table of Contents</w:t>
          </w:r>
        </w:p>
        <w:p w:rsidR="002D282B" w:rsidRDefault="003D47D8">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17270136" w:history="1">
            <w:r w:rsidR="002D282B" w:rsidRPr="006C46EA">
              <w:rPr>
                <w:rStyle w:val="Hyperlink"/>
                <w:rFonts w:cs="Arial"/>
                <w:noProof/>
              </w:rPr>
              <w:t>Introduction</w:t>
            </w:r>
            <w:r w:rsidR="002D282B">
              <w:rPr>
                <w:noProof/>
                <w:webHidden/>
              </w:rPr>
              <w:tab/>
            </w:r>
            <w:r w:rsidR="002D282B">
              <w:rPr>
                <w:noProof/>
                <w:webHidden/>
              </w:rPr>
              <w:fldChar w:fldCharType="begin"/>
            </w:r>
            <w:r w:rsidR="002D282B">
              <w:rPr>
                <w:noProof/>
                <w:webHidden/>
              </w:rPr>
              <w:instrText xml:space="preserve"> PAGEREF _Toc217270136 \h </w:instrText>
            </w:r>
            <w:r w:rsidR="002D282B">
              <w:rPr>
                <w:noProof/>
                <w:webHidden/>
              </w:rPr>
            </w:r>
            <w:r w:rsidR="002D282B">
              <w:rPr>
                <w:noProof/>
                <w:webHidden/>
              </w:rPr>
              <w:fldChar w:fldCharType="separate"/>
            </w:r>
            <w:r w:rsidR="002D282B">
              <w:rPr>
                <w:noProof/>
                <w:webHidden/>
              </w:rPr>
              <w:t>4</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37" w:history="1">
            <w:r w:rsidR="002D282B" w:rsidRPr="006C46EA">
              <w:rPr>
                <w:rStyle w:val="Hyperlink"/>
                <w:rFonts w:cs="Arial"/>
                <w:noProof/>
              </w:rPr>
              <w:t>1. Financial Health Check</w:t>
            </w:r>
            <w:r w:rsidR="002D282B">
              <w:rPr>
                <w:noProof/>
                <w:webHidden/>
              </w:rPr>
              <w:tab/>
            </w:r>
            <w:r w:rsidR="002D282B">
              <w:rPr>
                <w:noProof/>
                <w:webHidden/>
              </w:rPr>
              <w:fldChar w:fldCharType="begin"/>
            </w:r>
            <w:r w:rsidR="002D282B">
              <w:rPr>
                <w:noProof/>
                <w:webHidden/>
              </w:rPr>
              <w:instrText xml:space="preserve"> PAGEREF _Toc217270137 \h </w:instrText>
            </w:r>
            <w:r w:rsidR="002D282B">
              <w:rPr>
                <w:noProof/>
                <w:webHidden/>
              </w:rPr>
            </w:r>
            <w:r w:rsidR="002D282B">
              <w:rPr>
                <w:noProof/>
                <w:webHidden/>
              </w:rPr>
              <w:fldChar w:fldCharType="separate"/>
            </w:r>
            <w:r w:rsidR="002D282B">
              <w:rPr>
                <w:noProof/>
                <w:webHidden/>
              </w:rPr>
              <w:t>4</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38" w:history="1">
            <w:r w:rsidR="002D282B" w:rsidRPr="006C46EA">
              <w:rPr>
                <w:rStyle w:val="Hyperlink"/>
                <w:rFonts w:cs="Arial"/>
                <w:noProof/>
              </w:rPr>
              <w:t>1.1 Profitability Ratios</w:t>
            </w:r>
            <w:r w:rsidR="002D282B">
              <w:rPr>
                <w:noProof/>
                <w:webHidden/>
              </w:rPr>
              <w:tab/>
            </w:r>
            <w:r w:rsidR="002D282B">
              <w:rPr>
                <w:noProof/>
                <w:webHidden/>
              </w:rPr>
              <w:fldChar w:fldCharType="begin"/>
            </w:r>
            <w:r w:rsidR="002D282B">
              <w:rPr>
                <w:noProof/>
                <w:webHidden/>
              </w:rPr>
              <w:instrText xml:space="preserve"> PAGEREF _Toc217270138 \h </w:instrText>
            </w:r>
            <w:r w:rsidR="002D282B">
              <w:rPr>
                <w:noProof/>
                <w:webHidden/>
              </w:rPr>
            </w:r>
            <w:r w:rsidR="002D282B">
              <w:rPr>
                <w:noProof/>
                <w:webHidden/>
              </w:rPr>
              <w:fldChar w:fldCharType="separate"/>
            </w:r>
            <w:r w:rsidR="002D282B">
              <w:rPr>
                <w:noProof/>
                <w:webHidden/>
              </w:rPr>
              <w:t>5</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39" w:history="1">
            <w:r w:rsidR="002D282B" w:rsidRPr="006C46EA">
              <w:rPr>
                <w:rStyle w:val="Hyperlink"/>
                <w:rFonts w:cs="Arial"/>
                <w:noProof/>
              </w:rPr>
              <w:t>1.2 Liquidity Ratios</w:t>
            </w:r>
            <w:r w:rsidR="002D282B">
              <w:rPr>
                <w:noProof/>
                <w:webHidden/>
              </w:rPr>
              <w:tab/>
            </w:r>
            <w:r w:rsidR="002D282B">
              <w:rPr>
                <w:noProof/>
                <w:webHidden/>
              </w:rPr>
              <w:fldChar w:fldCharType="begin"/>
            </w:r>
            <w:r w:rsidR="002D282B">
              <w:rPr>
                <w:noProof/>
                <w:webHidden/>
              </w:rPr>
              <w:instrText xml:space="preserve"> PAGEREF _Toc217270139 \h </w:instrText>
            </w:r>
            <w:r w:rsidR="002D282B">
              <w:rPr>
                <w:noProof/>
                <w:webHidden/>
              </w:rPr>
            </w:r>
            <w:r w:rsidR="002D282B">
              <w:rPr>
                <w:noProof/>
                <w:webHidden/>
              </w:rPr>
              <w:fldChar w:fldCharType="separate"/>
            </w:r>
            <w:r w:rsidR="002D282B">
              <w:rPr>
                <w:noProof/>
                <w:webHidden/>
              </w:rPr>
              <w:t>6</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0" w:history="1">
            <w:r w:rsidR="002D282B" w:rsidRPr="006C46EA">
              <w:rPr>
                <w:rStyle w:val="Hyperlink"/>
                <w:rFonts w:cs="Arial"/>
                <w:noProof/>
              </w:rPr>
              <w:t>1.3 Efficiency Ratios</w:t>
            </w:r>
            <w:r w:rsidR="002D282B">
              <w:rPr>
                <w:noProof/>
                <w:webHidden/>
              </w:rPr>
              <w:tab/>
            </w:r>
            <w:r w:rsidR="002D282B">
              <w:rPr>
                <w:noProof/>
                <w:webHidden/>
              </w:rPr>
              <w:fldChar w:fldCharType="begin"/>
            </w:r>
            <w:r w:rsidR="002D282B">
              <w:rPr>
                <w:noProof/>
                <w:webHidden/>
              </w:rPr>
              <w:instrText xml:space="preserve"> PAGEREF _Toc217270140 \h </w:instrText>
            </w:r>
            <w:r w:rsidR="002D282B">
              <w:rPr>
                <w:noProof/>
                <w:webHidden/>
              </w:rPr>
            </w:r>
            <w:r w:rsidR="002D282B">
              <w:rPr>
                <w:noProof/>
                <w:webHidden/>
              </w:rPr>
              <w:fldChar w:fldCharType="separate"/>
            </w:r>
            <w:r w:rsidR="002D282B">
              <w:rPr>
                <w:noProof/>
                <w:webHidden/>
              </w:rPr>
              <w:t>7</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1" w:history="1">
            <w:r w:rsidR="002D282B" w:rsidRPr="006C46EA">
              <w:rPr>
                <w:rStyle w:val="Hyperlink"/>
                <w:rFonts w:cs="Arial"/>
                <w:noProof/>
              </w:rPr>
              <w:t>1.4 Gearing Ratios</w:t>
            </w:r>
            <w:r w:rsidR="002D282B">
              <w:rPr>
                <w:noProof/>
                <w:webHidden/>
              </w:rPr>
              <w:tab/>
            </w:r>
            <w:r w:rsidR="002D282B">
              <w:rPr>
                <w:noProof/>
                <w:webHidden/>
              </w:rPr>
              <w:fldChar w:fldCharType="begin"/>
            </w:r>
            <w:r w:rsidR="002D282B">
              <w:rPr>
                <w:noProof/>
                <w:webHidden/>
              </w:rPr>
              <w:instrText xml:space="preserve"> PAGEREF _Toc217270141 \h </w:instrText>
            </w:r>
            <w:r w:rsidR="002D282B">
              <w:rPr>
                <w:noProof/>
                <w:webHidden/>
              </w:rPr>
            </w:r>
            <w:r w:rsidR="002D282B">
              <w:rPr>
                <w:noProof/>
                <w:webHidden/>
              </w:rPr>
              <w:fldChar w:fldCharType="separate"/>
            </w:r>
            <w:r w:rsidR="002D282B">
              <w:rPr>
                <w:noProof/>
                <w:webHidden/>
              </w:rPr>
              <w:t>7</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2" w:history="1">
            <w:r w:rsidR="002D282B" w:rsidRPr="006C46EA">
              <w:rPr>
                <w:rStyle w:val="Hyperlink"/>
                <w:rFonts w:cs="Arial"/>
                <w:noProof/>
              </w:rPr>
              <w:t>1.5 Cash Flow Indicators</w:t>
            </w:r>
            <w:r w:rsidR="002D282B">
              <w:rPr>
                <w:noProof/>
                <w:webHidden/>
              </w:rPr>
              <w:tab/>
            </w:r>
            <w:r w:rsidR="002D282B">
              <w:rPr>
                <w:noProof/>
                <w:webHidden/>
              </w:rPr>
              <w:fldChar w:fldCharType="begin"/>
            </w:r>
            <w:r w:rsidR="002D282B">
              <w:rPr>
                <w:noProof/>
                <w:webHidden/>
              </w:rPr>
              <w:instrText xml:space="preserve"> PAGEREF _Toc217270142 \h </w:instrText>
            </w:r>
            <w:r w:rsidR="002D282B">
              <w:rPr>
                <w:noProof/>
                <w:webHidden/>
              </w:rPr>
            </w:r>
            <w:r w:rsidR="002D282B">
              <w:rPr>
                <w:noProof/>
                <w:webHidden/>
              </w:rPr>
              <w:fldChar w:fldCharType="separate"/>
            </w:r>
            <w:r w:rsidR="002D282B">
              <w:rPr>
                <w:noProof/>
                <w:webHidden/>
              </w:rPr>
              <w:t>8</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3" w:history="1">
            <w:r w:rsidR="002D282B" w:rsidRPr="006C46EA">
              <w:rPr>
                <w:rStyle w:val="Hyperlink"/>
                <w:rFonts w:cs="Arial"/>
                <w:noProof/>
              </w:rPr>
              <w:t>1.6 Bankruptcy Prediction - Altman Z-Score</w:t>
            </w:r>
            <w:r w:rsidR="002D282B">
              <w:rPr>
                <w:noProof/>
                <w:webHidden/>
              </w:rPr>
              <w:tab/>
            </w:r>
            <w:r w:rsidR="002D282B">
              <w:rPr>
                <w:noProof/>
                <w:webHidden/>
              </w:rPr>
              <w:fldChar w:fldCharType="begin"/>
            </w:r>
            <w:r w:rsidR="002D282B">
              <w:rPr>
                <w:noProof/>
                <w:webHidden/>
              </w:rPr>
              <w:instrText xml:space="preserve"> PAGEREF _Toc217270143 \h </w:instrText>
            </w:r>
            <w:r w:rsidR="002D282B">
              <w:rPr>
                <w:noProof/>
                <w:webHidden/>
              </w:rPr>
            </w:r>
            <w:r w:rsidR="002D282B">
              <w:rPr>
                <w:noProof/>
                <w:webHidden/>
              </w:rPr>
              <w:fldChar w:fldCharType="separate"/>
            </w:r>
            <w:r w:rsidR="002D282B">
              <w:rPr>
                <w:noProof/>
                <w:webHidden/>
              </w:rPr>
              <w:t>8</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4" w:history="1">
            <w:r w:rsidR="002D282B" w:rsidRPr="006C46EA">
              <w:rPr>
                <w:rStyle w:val="Hyperlink"/>
                <w:rFonts w:cs="Arial"/>
                <w:noProof/>
              </w:rPr>
              <w:t>1.7 Significant Strengths and Threats</w:t>
            </w:r>
            <w:r w:rsidR="002D282B">
              <w:rPr>
                <w:noProof/>
                <w:webHidden/>
              </w:rPr>
              <w:tab/>
            </w:r>
            <w:r w:rsidR="002D282B">
              <w:rPr>
                <w:noProof/>
                <w:webHidden/>
              </w:rPr>
              <w:fldChar w:fldCharType="begin"/>
            </w:r>
            <w:r w:rsidR="002D282B">
              <w:rPr>
                <w:noProof/>
                <w:webHidden/>
              </w:rPr>
              <w:instrText xml:space="preserve"> PAGEREF _Toc217270144 \h </w:instrText>
            </w:r>
            <w:r w:rsidR="002D282B">
              <w:rPr>
                <w:noProof/>
                <w:webHidden/>
              </w:rPr>
            </w:r>
            <w:r w:rsidR="002D282B">
              <w:rPr>
                <w:noProof/>
                <w:webHidden/>
              </w:rPr>
              <w:fldChar w:fldCharType="separate"/>
            </w:r>
            <w:r w:rsidR="002D282B">
              <w:rPr>
                <w:noProof/>
                <w:webHidden/>
              </w:rPr>
              <w:t>9</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45" w:history="1">
            <w:r w:rsidR="002D282B" w:rsidRPr="006C46EA">
              <w:rPr>
                <w:rStyle w:val="Hyperlink"/>
                <w:rFonts w:cs="Arial"/>
                <w:noProof/>
              </w:rPr>
              <w:t>2. Working Capital Management Analysis</w:t>
            </w:r>
            <w:r w:rsidR="002D282B">
              <w:rPr>
                <w:noProof/>
                <w:webHidden/>
              </w:rPr>
              <w:tab/>
            </w:r>
            <w:r w:rsidR="002D282B">
              <w:rPr>
                <w:noProof/>
                <w:webHidden/>
              </w:rPr>
              <w:fldChar w:fldCharType="begin"/>
            </w:r>
            <w:r w:rsidR="002D282B">
              <w:rPr>
                <w:noProof/>
                <w:webHidden/>
              </w:rPr>
              <w:instrText xml:space="preserve"> PAGEREF _Toc217270145 \h </w:instrText>
            </w:r>
            <w:r w:rsidR="002D282B">
              <w:rPr>
                <w:noProof/>
                <w:webHidden/>
              </w:rPr>
            </w:r>
            <w:r w:rsidR="002D282B">
              <w:rPr>
                <w:noProof/>
                <w:webHidden/>
              </w:rPr>
              <w:fldChar w:fldCharType="separate"/>
            </w:r>
            <w:r w:rsidR="002D282B">
              <w:rPr>
                <w:noProof/>
                <w:webHidden/>
              </w:rPr>
              <w:t>9</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6" w:history="1">
            <w:r w:rsidR="002D282B" w:rsidRPr="006C46EA">
              <w:rPr>
                <w:rStyle w:val="Hyperlink"/>
                <w:rFonts w:cs="Arial"/>
                <w:noProof/>
              </w:rPr>
              <w:t>2.1 Cash Operating Cycle Assessment</w:t>
            </w:r>
            <w:r w:rsidR="002D282B">
              <w:rPr>
                <w:noProof/>
                <w:webHidden/>
              </w:rPr>
              <w:tab/>
            </w:r>
            <w:r w:rsidR="002D282B">
              <w:rPr>
                <w:noProof/>
                <w:webHidden/>
              </w:rPr>
              <w:fldChar w:fldCharType="begin"/>
            </w:r>
            <w:r w:rsidR="002D282B">
              <w:rPr>
                <w:noProof/>
                <w:webHidden/>
              </w:rPr>
              <w:instrText xml:space="preserve"> PAGEREF _Toc217270146 \h </w:instrText>
            </w:r>
            <w:r w:rsidR="002D282B">
              <w:rPr>
                <w:noProof/>
                <w:webHidden/>
              </w:rPr>
            </w:r>
            <w:r w:rsidR="002D282B">
              <w:rPr>
                <w:noProof/>
                <w:webHidden/>
              </w:rPr>
              <w:fldChar w:fldCharType="separate"/>
            </w:r>
            <w:r w:rsidR="002D282B">
              <w:rPr>
                <w:noProof/>
                <w:webHidden/>
              </w:rPr>
              <w:t>10</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7" w:history="1">
            <w:r w:rsidR="002D282B" w:rsidRPr="006C46EA">
              <w:rPr>
                <w:rStyle w:val="Hyperlink"/>
                <w:rFonts w:cs="Arial"/>
                <w:noProof/>
              </w:rPr>
              <w:t>2.2 Strategies to Improve Liquidity through Working-Capital Reform</w:t>
            </w:r>
            <w:r w:rsidR="002D282B">
              <w:rPr>
                <w:noProof/>
                <w:webHidden/>
              </w:rPr>
              <w:tab/>
            </w:r>
            <w:r w:rsidR="002D282B">
              <w:rPr>
                <w:noProof/>
                <w:webHidden/>
              </w:rPr>
              <w:fldChar w:fldCharType="begin"/>
            </w:r>
            <w:r w:rsidR="002D282B">
              <w:rPr>
                <w:noProof/>
                <w:webHidden/>
              </w:rPr>
              <w:instrText xml:space="preserve"> PAGEREF _Toc217270147 \h </w:instrText>
            </w:r>
            <w:r w:rsidR="002D282B">
              <w:rPr>
                <w:noProof/>
                <w:webHidden/>
              </w:rPr>
            </w:r>
            <w:r w:rsidR="002D282B">
              <w:rPr>
                <w:noProof/>
                <w:webHidden/>
              </w:rPr>
              <w:fldChar w:fldCharType="separate"/>
            </w:r>
            <w:r w:rsidR="002D282B">
              <w:rPr>
                <w:noProof/>
                <w:webHidden/>
              </w:rPr>
              <w:t>11</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8" w:history="1">
            <w:r w:rsidR="002D282B" w:rsidRPr="006C46EA">
              <w:rPr>
                <w:rStyle w:val="Hyperlink"/>
                <w:rFonts w:cs="Arial"/>
                <w:noProof/>
              </w:rPr>
              <w:t>2.3 Short-Term vs Long-Term Financing Options</w:t>
            </w:r>
            <w:r w:rsidR="002D282B">
              <w:rPr>
                <w:noProof/>
                <w:webHidden/>
              </w:rPr>
              <w:tab/>
            </w:r>
            <w:r w:rsidR="002D282B">
              <w:rPr>
                <w:noProof/>
                <w:webHidden/>
              </w:rPr>
              <w:fldChar w:fldCharType="begin"/>
            </w:r>
            <w:r w:rsidR="002D282B">
              <w:rPr>
                <w:noProof/>
                <w:webHidden/>
              </w:rPr>
              <w:instrText xml:space="preserve"> PAGEREF _Toc217270148 \h </w:instrText>
            </w:r>
            <w:r w:rsidR="002D282B">
              <w:rPr>
                <w:noProof/>
                <w:webHidden/>
              </w:rPr>
            </w:r>
            <w:r w:rsidR="002D282B">
              <w:rPr>
                <w:noProof/>
                <w:webHidden/>
              </w:rPr>
              <w:fldChar w:fldCharType="separate"/>
            </w:r>
            <w:r w:rsidR="002D282B">
              <w:rPr>
                <w:noProof/>
                <w:webHidden/>
              </w:rPr>
              <w:t>12</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49" w:history="1">
            <w:r w:rsidR="002D282B" w:rsidRPr="006C46EA">
              <w:rPr>
                <w:rStyle w:val="Hyperlink"/>
                <w:rFonts w:cs="Arial"/>
                <w:noProof/>
              </w:rPr>
              <w:t>2.4 Strategic Evaluation</w:t>
            </w:r>
            <w:r w:rsidR="002D282B">
              <w:rPr>
                <w:noProof/>
                <w:webHidden/>
              </w:rPr>
              <w:tab/>
            </w:r>
            <w:r w:rsidR="002D282B">
              <w:rPr>
                <w:noProof/>
                <w:webHidden/>
              </w:rPr>
              <w:fldChar w:fldCharType="begin"/>
            </w:r>
            <w:r w:rsidR="002D282B">
              <w:rPr>
                <w:noProof/>
                <w:webHidden/>
              </w:rPr>
              <w:instrText xml:space="preserve"> PAGEREF _Toc217270149 \h </w:instrText>
            </w:r>
            <w:r w:rsidR="002D282B">
              <w:rPr>
                <w:noProof/>
                <w:webHidden/>
              </w:rPr>
            </w:r>
            <w:r w:rsidR="002D282B">
              <w:rPr>
                <w:noProof/>
                <w:webHidden/>
              </w:rPr>
              <w:fldChar w:fldCharType="separate"/>
            </w:r>
            <w:r w:rsidR="002D282B">
              <w:rPr>
                <w:noProof/>
                <w:webHidden/>
              </w:rPr>
              <w:t>13</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50" w:history="1">
            <w:r w:rsidR="002D282B" w:rsidRPr="006C46EA">
              <w:rPr>
                <w:rStyle w:val="Hyperlink"/>
                <w:rFonts w:cs="Arial"/>
                <w:noProof/>
              </w:rPr>
              <w:t>3. Strategic Financial Restructuring Plan</w:t>
            </w:r>
            <w:r w:rsidR="002D282B">
              <w:rPr>
                <w:noProof/>
                <w:webHidden/>
              </w:rPr>
              <w:tab/>
            </w:r>
            <w:r w:rsidR="002D282B">
              <w:rPr>
                <w:noProof/>
                <w:webHidden/>
              </w:rPr>
              <w:fldChar w:fldCharType="begin"/>
            </w:r>
            <w:r w:rsidR="002D282B">
              <w:rPr>
                <w:noProof/>
                <w:webHidden/>
              </w:rPr>
              <w:instrText xml:space="preserve"> PAGEREF _Toc217270150 \h </w:instrText>
            </w:r>
            <w:r w:rsidR="002D282B">
              <w:rPr>
                <w:noProof/>
                <w:webHidden/>
              </w:rPr>
            </w:r>
            <w:r w:rsidR="002D282B">
              <w:rPr>
                <w:noProof/>
                <w:webHidden/>
              </w:rPr>
              <w:fldChar w:fldCharType="separate"/>
            </w:r>
            <w:r w:rsidR="002D282B">
              <w:rPr>
                <w:noProof/>
                <w:webHidden/>
              </w:rPr>
              <w:t>13</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1" w:history="1">
            <w:r w:rsidR="002D282B" w:rsidRPr="006C46EA">
              <w:rPr>
                <w:rStyle w:val="Hyperlink"/>
                <w:rFonts w:cs="Arial"/>
                <w:noProof/>
              </w:rPr>
              <w:t>3.1 Rationales behind Financial Restructuring</w:t>
            </w:r>
            <w:r w:rsidR="002D282B">
              <w:rPr>
                <w:noProof/>
                <w:webHidden/>
              </w:rPr>
              <w:tab/>
            </w:r>
            <w:r w:rsidR="002D282B">
              <w:rPr>
                <w:noProof/>
                <w:webHidden/>
              </w:rPr>
              <w:fldChar w:fldCharType="begin"/>
            </w:r>
            <w:r w:rsidR="002D282B">
              <w:rPr>
                <w:noProof/>
                <w:webHidden/>
              </w:rPr>
              <w:instrText xml:space="preserve"> PAGEREF _Toc217270151 \h </w:instrText>
            </w:r>
            <w:r w:rsidR="002D282B">
              <w:rPr>
                <w:noProof/>
                <w:webHidden/>
              </w:rPr>
            </w:r>
            <w:r w:rsidR="002D282B">
              <w:rPr>
                <w:noProof/>
                <w:webHidden/>
              </w:rPr>
              <w:fldChar w:fldCharType="separate"/>
            </w:r>
            <w:r w:rsidR="002D282B">
              <w:rPr>
                <w:noProof/>
                <w:webHidden/>
              </w:rPr>
              <w:t>13</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2" w:history="1">
            <w:r w:rsidR="002D282B" w:rsidRPr="006C46EA">
              <w:rPr>
                <w:rStyle w:val="Hyperlink"/>
                <w:rFonts w:cs="Arial"/>
                <w:noProof/>
              </w:rPr>
              <w:t>3.2 Strategy of recommended restructuring</w:t>
            </w:r>
            <w:r w:rsidR="002D282B">
              <w:rPr>
                <w:noProof/>
                <w:webHidden/>
              </w:rPr>
              <w:tab/>
            </w:r>
            <w:r w:rsidR="002D282B">
              <w:rPr>
                <w:noProof/>
                <w:webHidden/>
              </w:rPr>
              <w:fldChar w:fldCharType="begin"/>
            </w:r>
            <w:r w:rsidR="002D282B">
              <w:rPr>
                <w:noProof/>
                <w:webHidden/>
              </w:rPr>
              <w:instrText xml:space="preserve"> PAGEREF _Toc217270152 \h </w:instrText>
            </w:r>
            <w:r w:rsidR="002D282B">
              <w:rPr>
                <w:noProof/>
                <w:webHidden/>
              </w:rPr>
            </w:r>
            <w:r w:rsidR="002D282B">
              <w:rPr>
                <w:noProof/>
                <w:webHidden/>
              </w:rPr>
              <w:fldChar w:fldCharType="separate"/>
            </w:r>
            <w:r w:rsidR="002D282B">
              <w:rPr>
                <w:noProof/>
                <w:webHidden/>
              </w:rPr>
              <w:t>14</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3" w:history="1">
            <w:r w:rsidR="002D282B" w:rsidRPr="006C46EA">
              <w:rPr>
                <w:rStyle w:val="Hyperlink"/>
                <w:rFonts w:cs="Arial"/>
                <w:noProof/>
              </w:rPr>
              <w:t>3.3 Shareholder Value Impact Assessment</w:t>
            </w:r>
            <w:r w:rsidR="002D282B">
              <w:rPr>
                <w:noProof/>
                <w:webHidden/>
              </w:rPr>
              <w:tab/>
            </w:r>
            <w:r w:rsidR="002D282B">
              <w:rPr>
                <w:noProof/>
                <w:webHidden/>
              </w:rPr>
              <w:fldChar w:fldCharType="begin"/>
            </w:r>
            <w:r w:rsidR="002D282B">
              <w:rPr>
                <w:noProof/>
                <w:webHidden/>
              </w:rPr>
              <w:instrText xml:space="preserve"> PAGEREF _Toc217270153 \h </w:instrText>
            </w:r>
            <w:r w:rsidR="002D282B">
              <w:rPr>
                <w:noProof/>
                <w:webHidden/>
              </w:rPr>
            </w:r>
            <w:r w:rsidR="002D282B">
              <w:rPr>
                <w:noProof/>
                <w:webHidden/>
              </w:rPr>
              <w:fldChar w:fldCharType="separate"/>
            </w:r>
            <w:r w:rsidR="002D282B">
              <w:rPr>
                <w:noProof/>
                <w:webHidden/>
              </w:rPr>
              <w:t>15</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4" w:history="1">
            <w:r w:rsidR="002D282B" w:rsidRPr="006C46EA">
              <w:rPr>
                <w:rStyle w:val="Hyperlink"/>
                <w:rFonts w:cs="Arial"/>
                <w:noProof/>
              </w:rPr>
              <w:t>3.4 Flexibility of Financing and Debt Structure</w:t>
            </w:r>
            <w:r w:rsidR="002D282B">
              <w:rPr>
                <w:noProof/>
                <w:webHidden/>
              </w:rPr>
              <w:tab/>
            </w:r>
            <w:r w:rsidR="002D282B">
              <w:rPr>
                <w:noProof/>
                <w:webHidden/>
              </w:rPr>
              <w:fldChar w:fldCharType="begin"/>
            </w:r>
            <w:r w:rsidR="002D282B">
              <w:rPr>
                <w:noProof/>
                <w:webHidden/>
              </w:rPr>
              <w:instrText xml:space="preserve"> PAGEREF _Toc217270154 \h </w:instrText>
            </w:r>
            <w:r w:rsidR="002D282B">
              <w:rPr>
                <w:noProof/>
                <w:webHidden/>
              </w:rPr>
            </w:r>
            <w:r w:rsidR="002D282B">
              <w:rPr>
                <w:noProof/>
                <w:webHidden/>
              </w:rPr>
              <w:fldChar w:fldCharType="separate"/>
            </w:r>
            <w:r w:rsidR="002D282B">
              <w:rPr>
                <w:noProof/>
                <w:webHidden/>
              </w:rPr>
              <w:t>16</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5" w:history="1">
            <w:r w:rsidR="002D282B" w:rsidRPr="006C46EA">
              <w:rPr>
                <w:rStyle w:val="Hyperlink"/>
                <w:rFonts w:cs="Arial"/>
                <w:noProof/>
              </w:rPr>
              <w:t>3.5 Global Financial Risk Assessment</w:t>
            </w:r>
            <w:r w:rsidR="002D282B">
              <w:rPr>
                <w:noProof/>
                <w:webHidden/>
              </w:rPr>
              <w:tab/>
            </w:r>
            <w:r w:rsidR="002D282B">
              <w:rPr>
                <w:noProof/>
                <w:webHidden/>
              </w:rPr>
              <w:fldChar w:fldCharType="begin"/>
            </w:r>
            <w:r w:rsidR="002D282B">
              <w:rPr>
                <w:noProof/>
                <w:webHidden/>
              </w:rPr>
              <w:instrText xml:space="preserve"> PAGEREF _Toc217270155 \h </w:instrText>
            </w:r>
            <w:r w:rsidR="002D282B">
              <w:rPr>
                <w:noProof/>
                <w:webHidden/>
              </w:rPr>
            </w:r>
            <w:r w:rsidR="002D282B">
              <w:rPr>
                <w:noProof/>
                <w:webHidden/>
              </w:rPr>
              <w:fldChar w:fldCharType="separate"/>
            </w:r>
            <w:r w:rsidR="002D282B">
              <w:rPr>
                <w:noProof/>
                <w:webHidden/>
              </w:rPr>
              <w:t>16</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6" w:history="1">
            <w:r w:rsidR="002D282B" w:rsidRPr="006C46EA">
              <w:rPr>
                <w:rStyle w:val="Hyperlink"/>
                <w:rFonts w:cs="Arial"/>
                <w:noProof/>
              </w:rPr>
              <w:t>3.6 Ethical, CSR and Corporate Governance Concerns.</w:t>
            </w:r>
            <w:r w:rsidR="002D282B">
              <w:rPr>
                <w:noProof/>
                <w:webHidden/>
              </w:rPr>
              <w:tab/>
            </w:r>
            <w:r w:rsidR="002D282B">
              <w:rPr>
                <w:noProof/>
                <w:webHidden/>
              </w:rPr>
              <w:fldChar w:fldCharType="begin"/>
            </w:r>
            <w:r w:rsidR="002D282B">
              <w:rPr>
                <w:noProof/>
                <w:webHidden/>
              </w:rPr>
              <w:instrText xml:space="preserve"> PAGEREF _Toc217270156 \h </w:instrText>
            </w:r>
            <w:r w:rsidR="002D282B">
              <w:rPr>
                <w:noProof/>
                <w:webHidden/>
              </w:rPr>
            </w:r>
            <w:r w:rsidR="002D282B">
              <w:rPr>
                <w:noProof/>
                <w:webHidden/>
              </w:rPr>
              <w:fldChar w:fldCharType="separate"/>
            </w:r>
            <w:r w:rsidR="002D282B">
              <w:rPr>
                <w:noProof/>
                <w:webHidden/>
              </w:rPr>
              <w:t>17</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7" w:history="1">
            <w:r w:rsidR="002D282B" w:rsidRPr="006C46EA">
              <w:rPr>
                <w:rStyle w:val="Hyperlink"/>
                <w:rFonts w:cs="Arial"/>
                <w:noProof/>
              </w:rPr>
              <w:t>3.7 Overall Plan Justification</w:t>
            </w:r>
            <w:r w:rsidR="002D282B">
              <w:rPr>
                <w:noProof/>
                <w:webHidden/>
              </w:rPr>
              <w:tab/>
            </w:r>
            <w:r w:rsidR="002D282B">
              <w:rPr>
                <w:noProof/>
                <w:webHidden/>
              </w:rPr>
              <w:fldChar w:fldCharType="begin"/>
            </w:r>
            <w:r w:rsidR="002D282B">
              <w:rPr>
                <w:noProof/>
                <w:webHidden/>
              </w:rPr>
              <w:instrText xml:space="preserve"> PAGEREF _Toc217270157 \h </w:instrText>
            </w:r>
            <w:r w:rsidR="002D282B">
              <w:rPr>
                <w:noProof/>
                <w:webHidden/>
              </w:rPr>
            </w:r>
            <w:r w:rsidR="002D282B">
              <w:rPr>
                <w:noProof/>
                <w:webHidden/>
              </w:rPr>
              <w:fldChar w:fldCharType="separate"/>
            </w:r>
            <w:r w:rsidR="002D282B">
              <w:rPr>
                <w:noProof/>
                <w:webHidden/>
              </w:rPr>
              <w:t>18</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58" w:history="1">
            <w:r w:rsidR="002D282B" w:rsidRPr="006C46EA">
              <w:rPr>
                <w:rStyle w:val="Hyperlink"/>
                <w:rFonts w:cs="Arial"/>
                <w:noProof/>
              </w:rPr>
              <w:t>4. Investment Appraisal and Capital Budgeting</w:t>
            </w:r>
            <w:r w:rsidR="002D282B">
              <w:rPr>
                <w:noProof/>
                <w:webHidden/>
              </w:rPr>
              <w:tab/>
            </w:r>
            <w:r w:rsidR="002D282B">
              <w:rPr>
                <w:noProof/>
                <w:webHidden/>
              </w:rPr>
              <w:fldChar w:fldCharType="begin"/>
            </w:r>
            <w:r w:rsidR="002D282B">
              <w:rPr>
                <w:noProof/>
                <w:webHidden/>
              </w:rPr>
              <w:instrText xml:space="preserve"> PAGEREF _Toc217270158 \h </w:instrText>
            </w:r>
            <w:r w:rsidR="002D282B">
              <w:rPr>
                <w:noProof/>
                <w:webHidden/>
              </w:rPr>
            </w:r>
            <w:r w:rsidR="002D282B">
              <w:rPr>
                <w:noProof/>
                <w:webHidden/>
              </w:rPr>
              <w:fldChar w:fldCharType="separate"/>
            </w:r>
            <w:r w:rsidR="002D282B">
              <w:rPr>
                <w:noProof/>
                <w:webHidden/>
              </w:rPr>
              <w:t>18</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59" w:history="1">
            <w:r w:rsidR="002D282B" w:rsidRPr="006C46EA">
              <w:rPr>
                <w:rStyle w:val="Hyperlink"/>
                <w:rFonts w:cs="Arial"/>
                <w:noProof/>
              </w:rPr>
              <w:t>4.1 Payback Period and Liquidity Implications</w:t>
            </w:r>
            <w:r w:rsidR="002D282B">
              <w:rPr>
                <w:noProof/>
                <w:webHidden/>
              </w:rPr>
              <w:tab/>
            </w:r>
            <w:r w:rsidR="002D282B">
              <w:rPr>
                <w:noProof/>
                <w:webHidden/>
              </w:rPr>
              <w:fldChar w:fldCharType="begin"/>
            </w:r>
            <w:r w:rsidR="002D282B">
              <w:rPr>
                <w:noProof/>
                <w:webHidden/>
              </w:rPr>
              <w:instrText xml:space="preserve"> PAGEREF _Toc217270159 \h </w:instrText>
            </w:r>
            <w:r w:rsidR="002D282B">
              <w:rPr>
                <w:noProof/>
                <w:webHidden/>
              </w:rPr>
            </w:r>
            <w:r w:rsidR="002D282B">
              <w:rPr>
                <w:noProof/>
                <w:webHidden/>
              </w:rPr>
              <w:fldChar w:fldCharType="separate"/>
            </w:r>
            <w:r w:rsidR="002D282B">
              <w:rPr>
                <w:noProof/>
                <w:webHidden/>
              </w:rPr>
              <w:t>18</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60" w:history="1">
            <w:r w:rsidR="002D282B" w:rsidRPr="006C46EA">
              <w:rPr>
                <w:rStyle w:val="Hyperlink"/>
                <w:rFonts w:cs="Arial"/>
                <w:noProof/>
              </w:rPr>
              <w:t>4.2 ARR and Profitability Signalling</w:t>
            </w:r>
            <w:r w:rsidR="002D282B">
              <w:rPr>
                <w:noProof/>
                <w:webHidden/>
              </w:rPr>
              <w:tab/>
            </w:r>
            <w:r w:rsidR="002D282B">
              <w:rPr>
                <w:noProof/>
                <w:webHidden/>
              </w:rPr>
              <w:fldChar w:fldCharType="begin"/>
            </w:r>
            <w:r w:rsidR="002D282B">
              <w:rPr>
                <w:noProof/>
                <w:webHidden/>
              </w:rPr>
              <w:instrText xml:space="preserve"> PAGEREF _Toc217270160 \h </w:instrText>
            </w:r>
            <w:r w:rsidR="002D282B">
              <w:rPr>
                <w:noProof/>
                <w:webHidden/>
              </w:rPr>
            </w:r>
            <w:r w:rsidR="002D282B">
              <w:rPr>
                <w:noProof/>
                <w:webHidden/>
              </w:rPr>
              <w:fldChar w:fldCharType="separate"/>
            </w:r>
            <w:r w:rsidR="002D282B">
              <w:rPr>
                <w:noProof/>
                <w:webHidden/>
              </w:rPr>
              <w:t>19</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61" w:history="1">
            <w:r w:rsidR="002D282B" w:rsidRPr="006C46EA">
              <w:rPr>
                <w:rStyle w:val="Hyperlink"/>
                <w:rFonts w:cs="Arial"/>
                <w:noProof/>
              </w:rPr>
              <w:t>4.3 NPV and Shareholder Value Theory</w:t>
            </w:r>
            <w:r w:rsidR="002D282B">
              <w:rPr>
                <w:noProof/>
                <w:webHidden/>
              </w:rPr>
              <w:tab/>
            </w:r>
            <w:r w:rsidR="002D282B">
              <w:rPr>
                <w:noProof/>
                <w:webHidden/>
              </w:rPr>
              <w:fldChar w:fldCharType="begin"/>
            </w:r>
            <w:r w:rsidR="002D282B">
              <w:rPr>
                <w:noProof/>
                <w:webHidden/>
              </w:rPr>
              <w:instrText xml:space="preserve"> PAGEREF _Toc217270161 \h </w:instrText>
            </w:r>
            <w:r w:rsidR="002D282B">
              <w:rPr>
                <w:noProof/>
                <w:webHidden/>
              </w:rPr>
            </w:r>
            <w:r w:rsidR="002D282B">
              <w:rPr>
                <w:noProof/>
                <w:webHidden/>
              </w:rPr>
              <w:fldChar w:fldCharType="separate"/>
            </w:r>
            <w:r w:rsidR="002D282B">
              <w:rPr>
                <w:noProof/>
                <w:webHidden/>
              </w:rPr>
              <w:t>19</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62" w:history="1">
            <w:r w:rsidR="002D282B" w:rsidRPr="006C46EA">
              <w:rPr>
                <w:rStyle w:val="Hyperlink"/>
                <w:rFonts w:cs="Arial"/>
                <w:noProof/>
              </w:rPr>
              <w:t>4.4 Profitability Index and Capital Rationing Priority</w:t>
            </w:r>
            <w:r w:rsidR="002D282B">
              <w:rPr>
                <w:noProof/>
                <w:webHidden/>
              </w:rPr>
              <w:tab/>
            </w:r>
            <w:r w:rsidR="002D282B">
              <w:rPr>
                <w:noProof/>
                <w:webHidden/>
              </w:rPr>
              <w:fldChar w:fldCharType="begin"/>
            </w:r>
            <w:r w:rsidR="002D282B">
              <w:rPr>
                <w:noProof/>
                <w:webHidden/>
              </w:rPr>
              <w:instrText xml:space="preserve"> PAGEREF _Toc217270162 \h </w:instrText>
            </w:r>
            <w:r w:rsidR="002D282B">
              <w:rPr>
                <w:noProof/>
                <w:webHidden/>
              </w:rPr>
            </w:r>
            <w:r w:rsidR="002D282B">
              <w:rPr>
                <w:noProof/>
                <w:webHidden/>
              </w:rPr>
              <w:fldChar w:fldCharType="separate"/>
            </w:r>
            <w:r w:rsidR="002D282B">
              <w:rPr>
                <w:noProof/>
                <w:webHidden/>
              </w:rPr>
              <w:t>20</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63" w:history="1">
            <w:r w:rsidR="002D282B" w:rsidRPr="006C46EA">
              <w:rPr>
                <w:rStyle w:val="Hyperlink"/>
                <w:rFonts w:cs="Arial"/>
                <w:noProof/>
              </w:rPr>
              <w:t>4.5 IRR Evaluation and Cost of Capital Sensitivity</w:t>
            </w:r>
            <w:r w:rsidR="002D282B">
              <w:rPr>
                <w:noProof/>
                <w:webHidden/>
              </w:rPr>
              <w:tab/>
            </w:r>
            <w:r w:rsidR="002D282B">
              <w:rPr>
                <w:noProof/>
                <w:webHidden/>
              </w:rPr>
              <w:fldChar w:fldCharType="begin"/>
            </w:r>
            <w:r w:rsidR="002D282B">
              <w:rPr>
                <w:noProof/>
                <w:webHidden/>
              </w:rPr>
              <w:instrText xml:space="preserve"> PAGEREF _Toc217270163 \h </w:instrText>
            </w:r>
            <w:r w:rsidR="002D282B">
              <w:rPr>
                <w:noProof/>
                <w:webHidden/>
              </w:rPr>
            </w:r>
            <w:r w:rsidR="002D282B">
              <w:rPr>
                <w:noProof/>
                <w:webHidden/>
              </w:rPr>
              <w:fldChar w:fldCharType="separate"/>
            </w:r>
            <w:r w:rsidR="002D282B">
              <w:rPr>
                <w:noProof/>
                <w:webHidden/>
              </w:rPr>
              <w:t>20</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64" w:history="1">
            <w:r w:rsidR="002D282B" w:rsidRPr="006C46EA">
              <w:rPr>
                <w:rStyle w:val="Hyperlink"/>
                <w:rFonts w:cs="Arial"/>
                <w:noProof/>
              </w:rPr>
              <w:t>4.6 Risk, Cashflow Volatility and Strategic Relevance</w:t>
            </w:r>
            <w:r w:rsidR="002D282B">
              <w:rPr>
                <w:noProof/>
                <w:webHidden/>
              </w:rPr>
              <w:tab/>
            </w:r>
            <w:r w:rsidR="002D282B">
              <w:rPr>
                <w:noProof/>
                <w:webHidden/>
              </w:rPr>
              <w:fldChar w:fldCharType="begin"/>
            </w:r>
            <w:r w:rsidR="002D282B">
              <w:rPr>
                <w:noProof/>
                <w:webHidden/>
              </w:rPr>
              <w:instrText xml:space="preserve"> PAGEREF _Toc217270164 \h </w:instrText>
            </w:r>
            <w:r w:rsidR="002D282B">
              <w:rPr>
                <w:noProof/>
                <w:webHidden/>
              </w:rPr>
            </w:r>
            <w:r w:rsidR="002D282B">
              <w:rPr>
                <w:noProof/>
                <w:webHidden/>
              </w:rPr>
              <w:fldChar w:fldCharType="separate"/>
            </w:r>
            <w:r w:rsidR="002D282B">
              <w:rPr>
                <w:noProof/>
                <w:webHidden/>
              </w:rPr>
              <w:t>20</w:t>
            </w:r>
            <w:r w:rsidR="002D282B">
              <w:rPr>
                <w:noProof/>
                <w:webHidden/>
              </w:rPr>
              <w:fldChar w:fldCharType="end"/>
            </w:r>
          </w:hyperlink>
        </w:p>
        <w:p w:rsidR="002D282B" w:rsidRDefault="00561023">
          <w:pPr>
            <w:pStyle w:val="TOC2"/>
            <w:tabs>
              <w:tab w:val="right" w:leader="dot" w:pos="9350"/>
            </w:tabs>
            <w:rPr>
              <w:rFonts w:asciiTheme="minorHAnsi" w:hAnsiTheme="minorHAnsi"/>
              <w:noProof/>
              <w:sz w:val="22"/>
              <w:lang w:val="en-GB" w:eastAsia="en-GB"/>
            </w:rPr>
          </w:pPr>
          <w:hyperlink w:anchor="_Toc217270165" w:history="1">
            <w:r w:rsidR="002D282B" w:rsidRPr="006C46EA">
              <w:rPr>
                <w:rStyle w:val="Hyperlink"/>
                <w:rFonts w:cs="Arial"/>
                <w:noProof/>
              </w:rPr>
              <w:t>4.7 Final Investment Recommendation</w:t>
            </w:r>
            <w:r w:rsidR="002D282B">
              <w:rPr>
                <w:noProof/>
                <w:webHidden/>
              </w:rPr>
              <w:tab/>
            </w:r>
            <w:r w:rsidR="002D282B">
              <w:rPr>
                <w:noProof/>
                <w:webHidden/>
              </w:rPr>
              <w:fldChar w:fldCharType="begin"/>
            </w:r>
            <w:r w:rsidR="002D282B">
              <w:rPr>
                <w:noProof/>
                <w:webHidden/>
              </w:rPr>
              <w:instrText xml:space="preserve"> PAGEREF _Toc217270165 \h </w:instrText>
            </w:r>
            <w:r w:rsidR="002D282B">
              <w:rPr>
                <w:noProof/>
                <w:webHidden/>
              </w:rPr>
            </w:r>
            <w:r w:rsidR="002D282B">
              <w:rPr>
                <w:noProof/>
                <w:webHidden/>
              </w:rPr>
              <w:fldChar w:fldCharType="separate"/>
            </w:r>
            <w:r w:rsidR="002D282B">
              <w:rPr>
                <w:noProof/>
                <w:webHidden/>
              </w:rPr>
              <w:t>21</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66" w:history="1">
            <w:r w:rsidR="002D282B" w:rsidRPr="006C46EA">
              <w:rPr>
                <w:rStyle w:val="Hyperlink"/>
                <w:rFonts w:cs="Arial"/>
                <w:noProof/>
              </w:rPr>
              <w:t>Conclusion</w:t>
            </w:r>
            <w:r w:rsidR="002D282B">
              <w:rPr>
                <w:noProof/>
                <w:webHidden/>
              </w:rPr>
              <w:tab/>
            </w:r>
            <w:r w:rsidR="002D282B">
              <w:rPr>
                <w:noProof/>
                <w:webHidden/>
              </w:rPr>
              <w:fldChar w:fldCharType="begin"/>
            </w:r>
            <w:r w:rsidR="002D282B">
              <w:rPr>
                <w:noProof/>
                <w:webHidden/>
              </w:rPr>
              <w:instrText xml:space="preserve"> PAGEREF _Toc217270166 \h </w:instrText>
            </w:r>
            <w:r w:rsidR="002D282B">
              <w:rPr>
                <w:noProof/>
                <w:webHidden/>
              </w:rPr>
            </w:r>
            <w:r w:rsidR="002D282B">
              <w:rPr>
                <w:noProof/>
                <w:webHidden/>
              </w:rPr>
              <w:fldChar w:fldCharType="separate"/>
            </w:r>
            <w:r w:rsidR="002D282B">
              <w:rPr>
                <w:noProof/>
                <w:webHidden/>
              </w:rPr>
              <w:t>22</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67" w:history="1">
            <w:r w:rsidR="002D282B" w:rsidRPr="006C46EA">
              <w:rPr>
                <w:rStyle w:val="Hyperlink"/>
                <w:noProof/>
              </w:rPr>
              <w:t>References</w:t>
            </w:r>
            <w:r w:rsidR="002D282B">
              <w:rPr>
                <w:noProof/>
                <w:webHidden/>
              </w:rPr>
              <w:tab/>
            </w:r>
            <w:r w:rsidR="002D282B">
              <w:rPr>
                <w:noProof/>
                <w:webHidden/>
              </w:rPr>
              <w:fldChar w:fldCharType="begin"/>
            </w:r>
            <w:r w:rsidR="002D282B">
              <w:rPr>
                <w:noProof/>
                <w:webHidden/>
              </w:rPr>
              <w:instrText xml:space="preserve"> PAGEREF _Toc217270167 \h </w:instrText>
            </w:r>
            <w:r w:rsidR="002D282B">
              <w:rPr>
                <w:noProof/>
                <w:webHidden/>
              </w:rPr>
            </w:r>
            <w:r w:rsidR="002D282B">
              <w:rPr>
                <w:noProof/>
                <w:webHidden/>
              </w:rPr>
              <w:fldChar w:fldCharType="separate"/>
            </w:r>
            <w:r w:rsidR="002D282B">
              <w:rPr>
                <w:noProof/>
                <w:webHidden/>
              </w:rPr>
              <w:t>23</w:t>
            </w:r>
            <w:r w:rsidR="002D282B">
              <w:rPr>
                <w:noProof/>
                <w:webHidden/>
              </w:rPr>
              <w:fldChar w:fldCharType="end"/>
            </w:r>
          </w:hyperlink>
        </w:p>
        <w:p w:rsidR="002D282B" w:rsidRDefault="00561023">
          <w:pPr>
            <w:pStyle w:val="TOC1"/>
            <w:tabs>
              <w:tab w:val="right" w:leader="dot" w:pos="9350"/>
            </w:tabs>
            <w:rPr>
              <w:rFonts w:asciiTheme="minorHAnsi" w:hAnsiTheme="minorHAnsi"/>
              <w:noProof/>
              <w:sz w:val="22"/>
              <w:lang w:val="en-GB" w:eastAsia="en-GB"/>
            </w:rPr>
          </w:pPr>
          <w:hyperlink w:anchor="_Toc217270168" w:history="1">
            <w:r w:rsidR="002D282B" w:rsidRPr="006C46EA">
              <w:rPr>
                <w:rStyle w:val="Hyperlink"/>
                <w:noProof/>
                <w:lang w:val="en-GB"/>
              </w:rPr>
              <w:t>Appendix</w:t>
            </w:r>
            <w:r w:rsidR="002D282B">
              <w:rPr>
                <w:noProof/>
                <w:webHidden/>
              </w:rPr>
              <w:tab/>
            </w:r>
            <w:r w:rsidR="002D282B">
              <w:rPr>
                <w:noProof/>
                <w:webHidden/>
              </w:rPr>
              <w:fldChar w:fldCharType="begin"/>
            </w:r>
            <w:r w:rsidR="002D282B">
              <w:rPr>
                <w:noProof/>
                <w:webHidden/>
              </w:rPr>
              <w:instrText xml:space="preserve"> PAGEREF _Toc217270168 \h </w:instrText>
            </w:r>
            <w:r w:rsidR="002D282B">
              <w:rPr>
                <w:noProof/>
                <w:webHidden/>
              </w:rPr>
            </w:r>
            <w:r w:rsidR="002D282B">
              <w:rPr>
                <w:noProof/>
                <w:webHidden/>
              </w:rPr>
              <w:fldChar w:fldCharType="separate"/>
            </w:r>
            <w:r w:rsidR="002D282B">
              <w:rPr>
                <w:noProof/>
                <w:webHidden/>
              </w:rPr>
              <w:t>26</w:t>
            </w:r>
            <w:r w:rsidR="002D282B">
              <w:rPr>
                <w:noProof/>
                <w:webHidden/>
              </w:rPr>
              <w:fldChar w:fldCharType="end"/>
            </w:r>
          </w:hyperlink>
        </w:p>
        <w:p w:rsidR="003D47D8" w:rsidRDefault="003D47D8">
          <w:r>
            <w:rPr>
              <w:b/>
              <w:bCs/>
              <w:noProof/>
            </w:rPr>
            <w:fldChar w:fldCharType="end"/>
          </w:r>
        </w:p>
      </w:sdtContent>
    </w:sdt>
    <w:p w:rsidR="003D47D8" w:rsidRDefault="003D47D8" w:rsidP="003D47D8">
      <w:pPr>
        <w:spacing w:before="0" w:after="200" w:line="276" w:lineRule="auto"/>
        <w:jc w:val="left"/>
      </w:pPr>
      <w:r>
        <w:br w:type="page"/>
      </w:r>
    </w:p>
    <w:p w:rsidR="00EE3EEF" w:rsidRPr="00445102" w:rsidRDefault="00EE3EEF" w:rsidP="003D47D8">
      <w:pPr>
        <w:pStyle w:val="Heading1"/>
        <w:rPr>
          <w:rFonts w:cs="Arial"/>
        </w:rPr>
      </w:pPr>
      <w:bookmarkStart w:id="1" w:name="_Toc217270136"/>
      <w:r w:rsidRPr="00445102">
        <w:rPr>
          <w:rFonts w:cs="Arial"/>
        </w:rPr>
        <w:lastRenderedPageBreak/>
        <w:t>Introduction</w:t>
      </w:r>
      <w:bookmarkEnd w:id="1"/>
    </w:p>
    <w:p w:rsidR="00EE3EEF" w:rsidRPr="00445102" w:rsidRDefault="00EE3EEF" w:rsidP="003D47D8">
      <w:pPr>
        <w:rPr>
          <w:rFonts w:cs="Arial"/>
        </w:rPr>
      </w:pPr>
      <w:r w:rsidRPr="00445102">
        <w:rPr>
          <w:rFonts w:cs="Arial"/>
        </w:rPr>
        <w:t xml:space="preserve">General Electronics is a multinational player in the international consumer electronics market, which is </w:t>
      </w:r>
      <w:proofErr w:type="spellStart"/>
      <w:r w:rsidRPr="00445102">
        <w:rPr>
          <w:rFonts w:cs="Arial"/>
        </w:rPr>
        <w:t>characterised</w:t>
      </w:r>
      <w:proofErr w:type="spellEnd"/>
      <w:r w:rsidRPr="00445102">
        <w:rPr>
          <w:rFonts w:cs="Arial"/>
        </w:rPr>
        <w:t xml:space="preserve"> by declining margins, high rate of innovation and highly fluctuated consumer demand. The company has gone through major financial setbacks in the last five years, which are presented by the continued reduction in revenues, huge operating losses, falling asset values, negative shareholder equity movements, and worsening cash reserves. It is against this backdrop that the Board of Directors has hired a new Chief Financial Officer who will be tasked with diagnosing the root cause of the financial distress and developing a turnaround strategy based on evidenced-based financial management principles.</w:t>
      </w:r>
    </w:p>
    <w:p w:rsidR="00EE3EEF" w:rsidRPr="00445102" w:rsidRDefault="00664262" w:rsidP="003D47D8">
      <w:pPr>
        <w:rPr>
          <w:rFonts w:cs="Arial"/>
        </w:rPr>
      </w:pPr>
      <w:r w:rsidRPr="00445102">
        <w:rPr>
          <w:rFonts w:cs="Arial"/>
        </w:rPr>
        <w:t>In this report, the financial analysis of the General Electronics will be done in detail in relation to profitability, liquidity, efficiency, gearing, investment capacity, and cash flow performances.</w:t>
      </w:r>
      <w:r w:rsidR="00EE3EEF" w:rsidRPr="00445102">
        <w:rPr>
          <w:rFonts w:cs="Arial"/>
        </w:rPr>
        <w:t xml:space="preserve"> Academic literature, benchmarking standards and market theory are used to support ratio results to determine the strengths, weaknesses and the systemic threats of the system. Also, corporate insolvency risk is measured using established methods of bankruptcy prediction, su</w:t>
      </w:r>
      <w:r w:rsidR="00083A46" w:rsidRPr="00445102">
        <w:rPr>
          <w:rFonts w:cs="Arial"/>
        </w:rPr>
        <w:t>ch as the Altman Z-Score model.</w:t>
      </w:r>
      <w:r w:rsidR="00EE3EEF" w:rsidRPr="00445102">
        <w:rPr>
          <w:rFonts w:cs="Arial"/>
        </w:rPr>
        <w:t xml:space="preserve"> This report will create a financial viable and ethical means to </w:t>
      </w:r>
      <w:proofErr w:type="spellStart"/>
      <w:r w:rsidR="00EE3EEF" w:rsidRPr="00445102">
        <w:rPr>
          <w:rFonts w:cs="Arial"/>
        </w:rPr>
        <w:t>organisational</w:t>
      </w:r>
      <w:proofErr w:type="spellEnd"/>
      <w:r w:rsidR="00EE3EEF" w:rsidRPr="00445102">
        <w:rPr>
          <w:rFonts w:cs="Arial"/>
        </w:rPr>
        <w:t xml:space="preserve"> recovery and long term value creation through high scholarship, critical analysis of quantitative evidence, and theoretical </w:t>
      </w:r>
      <w:r w:rsidR="004E2A67" w:rsidRPr="00445102">
        <w:rPr>
          <w:rFonts w:cs="Arial"/>
        </w:rPr>
        <w:t>combination</w:t>
      </w:r>
      <w:r w:rsidR="00EE3EEF" w:rsidRPr="00445102">
        <w:rPr>
          <w:rFonts w:cs="Arial"/>
        </w:rPr>
        <w:t>.</w:t>
      </w:r>
    </w:p>
    <w:p w:rsidR="00181BB8" w:rsidRPr="00445102" w:rsidRDefault="00EE3EEF" w:rsidP="003D47D8">
      <w:pPr>
        <w:pStyle w:val="Heading1"/>
        <w:rPr>
          <w:rFonts w:cs="Arial"/>
        </w:rPr>
      </w:pPr>
      <w:bookmarkStart w:id="2" w:name="_Toc217270137"/>
      <w:r w:rsidRPr="00445102">
        <w:rPr>
          <w:rFonts w:cs="Arial"/>
        </w:rPr>
        <w:t>1. Financial Health Check</w:t>
      </w:r>
      <w:bookmarkEnd w:id="2"/>
    </w:p>
    <w:p w:rsidR="004E2A67" w:rsidRPr="00445102" w:rsidRDefault="004E2A67" w:rsidP="003D47D8">
      <w:pPr>
        <w:rPr>
          <w:rFonts w:cs="Arial"/>
        </w:rPr>
      </w:pPr>
      <w:r w:rsidRPr="00445102">
        <w:rPr>
          <w:rFonts w:cs="Arial"/>
        </w:rPr>
        <w:t xml:space="preserve">Financial health analysis offers the analytical basis of diagnosing the causes of low performance in corporate settings and finding ways of turning around. The level of financial analysis Ratios are commonly applied in the academic finance field to assess the trends of performance over a long time, as ratios </w:t>
      </w:r>
      <w:proofErr w:type="spellStart"/>
      <w:r w:rsidRPr="00445102">
        <w:rPr>
          <w:rFonts w:cs="Arial"/>
        </w:rPr>
        <w:t>standardise</w:t>
      </w:r>
      <w:proofErr w:type="spellEnd"/>
      <w:r w:rsidRPr="00445102">
        <w:rPr>
          <w:rFonts w:cs="Arial"/>
        </w:rPr>
        <w:t xml:space="preserve"> financial information, can be compared over a multi-year period, and reveal the association between operati</w:t>
      </w:r>
      <w:r w:rsidR="00083A46" w:rsidRPr="00445102">
        <w:rPr>
          <w:rFonts w:cs="Arial"/>
        </w:rPr>
        <w:t>onal results and value creation</w:t>
      </w:r>
      <w:r w:rsidRPr="00445102">
        <w:rPr>
          <w:rFonts w:cs="Arial"/>
        </w:rPr>
        <w:t xml:space="preserve">. Profitability, liquidity, efficiency, and gearing analysis, cash flow quality, bankruptcy prediction analysis have been used in this report on General Electronics of the next 5 years 2020-2024. Raw calculations and formula </w:t>
      </w:r>
      <w:r w:rsidRPr="00445102">
        <w:rPr>
          <w:rFonts w:cs="Arial"/>
        </w:rPr>
        <w:lastRenderedPageBreak/>
        <w:t>sheets are also provided in the Appendix which is in line with the academic reporting standards.</w:t>
      </w:r>
    </w:p>
    <w:p w:rsidR="004E2A67" w:rsidRPr="00445102" w:rsidRDefault="004E2A67" w:rsidP="003D47D8">
      <w:pPr>
        <w:pStyle w:val="Heading2"/>
        <w:rPr>
          <w:rFonts w:cs="Arial"/>
        </w:rPr>
      </w:pPr>
      <w:bookmarkStart w:id="3" w:name="_Toc217270138"/>
      <w:r w:rsidRPr="00445102">
        <w:rPr>
          <w:rFonts w:cs="Arial"/>
        </w:rPr>
        <w:t>1.1 Profitability Ratios</w:t>
      </w:r>
      <w:bookmarkEnd w:id="3"/>
    </w:p>
    <w:p w:rsidR="004E2A67" w:rsidRPr="00445102" w:rsidRDefault="004E2A67" w:rsidP="003D47D8">
      <w:pPr>
        <w:rPr>
          <w:rFonts w:cs="Arial"/>
        </w:rPr>
      </w:pPr>
      <w:r w:rsidRPr="00445102">
        <w:rPr>
          <w:rFonts w:cs="Arial"/>
        </w:rPr>
        <w:t xml:space="preserve">Profitability ratios are used to determine the ability of the firm to turn revenues into profit and are an indicator of the managerial efficiency to control cost and capital structure (Ross, </w:t>
      </w:r>
      <w:r w:rsidR="00083A46" w:rsidRPr="00445102">
        <w:rPr>
          <w:rFonts w:cs="Arial"/>
        </w:rPr>
        <w:t>et al.</w:t>
      </w:r>
      <w:r w:rsidRPr="00445102">
        <w:rPr>
          <w:rFonts w:cs="Arial"/>
        </w:rPr>
        <w:t>, 2022). Worsening profitability is also recorded as a forecast of bankruptcy (Beaver, 1966).</w:t>
      </w:r>
    </w:p>
    <w:p w:rsidR="004E2A67" w:rsidRPr="00445102" w:rsidRDefault="004E2A67" w:rsidP="003D47D8">
      <w:pPr>
        <w:rPr>
          <w:rFonts w:cs="Arial"/>
          <w:b/>
        </w:rPr>
      </w:pPr>
      <w:r w:rsidRPr="00445102">
        <w:rPr>
          <w:rFonts w:cs="Arial"/>
          <w:b/>
        </w:rPr>
        <w:t>Gross Profit Margin</w:t>
      </w:r>
    </w:p>
    <w:p w:rsidR="004E2A67" w:rsidRPr="00445102" w:rsidRDefault="004E2A67" w:rsidP="003D47D8">
      <w:pPr>
        <w:rPr>
          <w:rFonts w:cs="Arial"/>
        </w:rPr>
      </w:pPr>
      <w:r w:rsidRPr="00445102">
        <w:rPr>
          <w:rFonts w:cs="Arial"/>
        </w:rPr>
        <w:t>The gross profit margins were comparatively stable (between 2020 and 2022), with an average of 28. Strong margins theoretically mean competitive prices or cost leadership (Porter, 1985). Nevertheless, the steep decrease to 23.2% in 2023 points at the inefficiency of manufacturing and the poor pricing power, which are in balance with the death of industry demand. Evidence provided by academic literature indicates that declining margins are commonly followed by negative cash earnings because fixed operating costs are usually overwhelming the contribution margins (Penman, 2013). The fact that it went back to 28.9% in 2024 is deceitfully good since the volume of revenue has fallen, thus margin recovery is due to cost reduction and not commercial recovery.</w:t>
      </w:r>
    </w:p>
    <w:p w:rsidR="00767977" w:rsidRPr="00445102" w:rsidRDefault="004E2A67" w:rsidP="003D47D8">
      <w:pPr>
        <w:rPr>
          <w:rFonts w:cs="Arial"/>
          <w:b/>
        </w:rPr>
      </w:pPr>
      <w:r w:rsidRPr="00445102">
        <w:rPr>
          <w:rFonts w:cs="Arial"/>
          <w:b/>
        </w:rPr>
        <w:t>Operating Profit Margin</w:t>
      </w:r>
    </w:p>
    <w:p w:rsidR="004E2A67" w:rsidRPr="00445102" w:rsidRDefault="004E2A67" w:rsidP="003D47D8">
      <w:pPr>
        <w:rPr>
          <w:rFonts w:cs="Arial"/>
          <w:b/>
        </w:rPr>
      </w:pPr>
      <w:r w:rsidRPr="00445102">
        <w:rPr>
          <w:rFonts w:cs="Arial"/>
        </w:rPr>
        <w:t>Operating margins are in rapid structural decline: in 2020, they were +6.1, and in 2023, they are -20.3. Negative operating margins are examples of diseconomies of scale, where overheads are fixed and revenues decrease (Drury, 2018). Operating losses are considered the most significant signal of long term distress as it shows failure of key business processes and not short term items (</w:t>
      </w:r>
      <w:proofErr w:type="spellStart"/>
      <w:r w:rsidRPr="00445102">
        <w:rPr>
          <w:rFonts w:cs="Arial"/>
        </w:rPr>
        <w:t>Fridson</w:t>
      </w:r>
      <w:proofErr w:type="spellEnd"/>
      <w:r w:rsidRPr="00445102">
        <w:rPr>
          <w:rFonts w:cs="Arial"/>
        </w:rPr>
        <w:t xml:space="preserve"> and Alvarez, 2022). Even though the operating losses decreased in 2024, the business will be found to be fundamentally unprofitable.</w:t>
      </w:r>
    </w:p>
    <w:p w:rsidR="004E2A67" w:rsidRPr="00445102" w:rsidRDefault="00767977" w:rsidP="003D47D8">
      <w:pPr>
        <w:rPr>
          <w:rFonts w:cs="Arial"/>
          <w:b/>
        </w:rPr>
      </w:pPr>
      <w:r w:rsidRPr="00445102">
        <w:rPr>
          <w:rFonts w:cs="Arial"/>
          <w:b/>
        </w:rPr>
        <w:t>Net Profit Margin</w:t>
      </w:r>
    </w:p>
    <w:p w:rsidR="004E2A67" w:rsidRPr="00445102" w:rsidRDefault="004E2A67" w:rsidP="003D47D8">
      <w:pPr>
        <w:rPr>
          <w:rFonts w:cs="Arial"/>
        </w:rPr>
      </w:pPr>
      <w:r w:rsidRPr="00445102">
        <w:rPr>
          <w:rFonts w:cs="Arial"/>
        </w:rPr>
        <w:t xml:space="preserve">The net profit margins declined to -6.1% in 2024 compared to 6.3 in 2020. A net loss in two consecutive years is a huge red-flag in the field of failure prediction, particularly when </w:t>
      </w:r>
      <w:r w:rsidRPr="00445102">
        <w:rPr>
          <w:rFonts w:cs="Arial"/>
        </w:rPr>
        <w:lastRenderedPageBreak/>
        <w:t>coupled with decreasing equity and negative retained earnings (Altman, 2019). The extreme net margin (-23.4) of 2023 represents the impairment charges and losing revenues. This trend means that values will depreciate over time, rather than be temporary.</w:t>
      </w:r>
    </w:p>
    <w:p w:rsidR="00767977" w:rsidRPr="00445102" w:rsidRDefault="00767977" w:rsidP="003D47D8">
      <w:pPr>
        <w:rPr>
          <w:rFonts w:cs="Arial"/>
          <w:b/>
        </w:rPr>
      </w:pPr>
      <w:r w:rsidRPr="00445102">
        <w:rPr>
          <w:rFonts w:cs="Arial"/>
          <w:b/>
        </w:rPr>
        <w:t>ROA and ROE</w:t>
      </w:r>
    </w:p>
    <w:p w:rsidR="004E2A67" w:rsidRPr="00445102" w:rsidRDefault="004E2A67" w:rsidP="003D47D8">
      <w:pPr>
        <w:rPr>
          <w:rFonts w:cs="Arial"/>
        </w:rPr>
      </w:pPr>
      <w:r w:rsidRPr="00445102">
        <w:rPr>
          <w:rFonts w:cs="Arial"/>
        </w:rPr>
        <w:t xml:space="preserve">The ROA dropped to -7.4% showing ineffective </w:t>
      </w:r>
      <w:proofErr w:type="spellStart"/>
      <w:r w:rsidRPr="00445102">
        <w:rPr>
          <w:rFonts w:cs="Arial"/>
        </w:rPr>
        <w:t>utilisation</w:t>
      </w:r>
      <w:proofErr w:type="spellEnd"/>
      <w:r w:rsidRPr="00445102">
        <w:rPr>
          <w:rFonts w:cs="Arial"/>
        </w:rPr>
        <w:t xml:space="preserve"> of the asset resources. Edwards and Bell (1961) indicate that the declining ROA indicates that the assets are failing to produce an adequate volume of economic output, usually because of excess capacity and ineffective allocation of capital. ROE was showing disastrous results, sliding as far down as -15.7 from +12.3%. A negative ROE indicates destruction of shareholder value as it magnifies results, which is leveraged. According to the modern finance theory, such a trend would be seen by equity investors as a violation of the expectations of value-creation </w:t>
      </w:r>
      <w:r w:rsidR="001C7CC0" w:rsidRPr="00445102">
        <w:rPr>
          <w:rFonts w:cs="Arial"/>
        </w:rPr>
        <w:t>(</w:t>
      </w:r>
      <w:proofErr w:type="spellStart"/>
      <w:r w:rsidR="001C7CC0" w:rsidRPr="00445102">
        <w:rPr>
          <w:rFonts w:cs="Arial"/>
        </w:rPr>
        <w:t>Brealey</w:t>
      </w:r>
      <w:proofErr w:type="spellEnd"/>
      <w:r w:rsidR="001C7CC0" w:rsidRPr="00445102">
        <w:rPr>
          <w:rFonts w:cs="Arial"/>
        </w:rPr>
        <w:t xml:space="preserve"> et al., 2020)</w:t>
      </w:r>
      <w:r w:rsidRPr="00445102">
        <w:rPr>
          <w:rFonts w:cs="Arial"/>
        </w:rPr>
        <w:t>.</w:t>
      </w:r>
    </w:p>
    <w:p w:rsidR="004E2A67" w:rsidRPr="00445102" w:rsidRDefault="004E2A67" w:rsidP="003D47D8">
      <w:pPr>
        <w:rPr>
          <w:rFonts w:cs="Arial"/>
        </w:rPr>
      </w:pPr>
      <w:r w:rsidRPr="00445102">
        <w:rPr>
          <w:rFonts w:cs="Arial"/>
        </w:rPr>
        <w:t>All of these profitability ratios verify structural rather than cyclical downturn.</w:t>
      </w:r>
    </w:p>
    <w:p w:rsidR="00767977" w:rsidRPr="00445102" w:rsidRDefault="00767977" w:rsidP="003D47D8">
      <w:pPr>
        <w:pStyle w:val="Heading2"/>
        <w:rPr>
          <w:rFonts w:cs="Arial"/>
        </w:rPr>
      </w:pPr>
      <w:bookmarkStart w:id="4" w:name="_Toc217270139"/>
      <w:r w:rsidRPr="00445102">
        <w:rPr>
          <w:rFonts w:cs="Arial"/>
        </w:rPr>
        <w:t>1.2 Liquidity Ratios</w:t>
      </w:r>
      <w:bookmarkEnd w:id="4"/>
    </w:p>
    <w:p w:rsidR="00767977" w:rsidRPr="00445102" w:rsidRDefault="00767977" w:rsidP="003D47D8">
      <w:pPr>
        <w:rPr>
          <w:rFonts w:cs="Arial"/>
        </w:rPr>
      </w:pPr>
      <w:r w:rsidRPr="00445102">
        <w:rPr>
          <w:rFonts w:cs="Arial"/>
        </w:rPr>
        <w:t xml:space="preserve">Liquidity ratios are used to determine how the firm is able to pay short term liability. The ability to manage the liquidity effectively will help to survive and </w:t>
      </w:r>
      <w:proofErr w:type="spellStart"/>
      <w:r w:rsidRPr="00445102">
        <w:rPr>
          <w:rFonts w:cs="Arial"/>
        </w:rPr>
        <w:t>stabilise</w:t>
      </w:r>
      <w:proofErr w:type="spellEnd"/>
      <w:r w:rsidRPr="00445102">
        <w:rPr>
          <w:rFonts w:cs="Arial"/>
        </w:rPr>
        <w:t xml:space="preserve"> the working capital (Shin &amp; </w:t>
      </w:r>
      <w:proofErr w:type="spellStart"/>
      <w:r w:rsidRPr="00445102">
        <w:rPr>
          <w:rFonts w:cs="Arial"/>
        </w:rPr>
        <w:t>Soenen</w:t>
      </w:r>
      <w:proofErr w:type="spellEnd"/>
      <w:r w:rsidRPr="00445102">
        <w:rPr>
          <w:rFonts w:cs="Arial"/>
        </w:rPr>
        <w:t>, 1998).</w:t>
      </w:r>
    </w:p>
    <w:p w:rsidR="00767977" w:rsidRPr="00445102" w:rsidRDefault="00767977" w:rsidP="003D47D8">
      <w:pPr>
        <w:rPr>
          <w:rFonts w:cs="Arial"/>
        </w:rPr>
      </w:pPr>
      <w:r w:rsidRPr="00445102">
        <w:rPr>
          <w:rFonts w:cs="Arial"/>
        </w:rPr>
        <w:t>The current ratio that dropped to 1.53 as opposed to 1.82 is in line with decreasing liquidity capacity. Despite the fact that it is above the 1.0 mark, academic advisory indicates that falling current ratios and increasing short-term borrowing are signs of dependency risk (Watson and Head, 2020).</w:t>
      </w:r>
    </w:p>
    <w:p w:rsidR="00767977" w:rsidRPr="00445102" w:rsidRDefault="00767977" w:rsidP="003D47D8">
      <w:pPr>
        <w:rPr>
          <w:rFonts w:cs="Arial"/>
        </w:rPr>
      </w:pPr>
      <w:r w:rsidRPr="00445102">
        <w:rPr>
          <w:rFonts w:cs="Arial"/>
        </w:rPr>
        <w:t>The quick ratio is almost equal to 1.0. According to the textbook theory, a ratio of less than 1.0 in the quick ratios represents an indicator that companies rely on inventory sales to meet liabilities (</w:t>
      </w:r>
      <w:proofErr w:type="spellStart"/>
      <w:r w:rsidRPr="00445102">
        <w:rPr>
          <w:rFonts w:cs="Arial"/>
        </w:rPr>
        <w:t>Atrill</w:t>
      </w:r>
      <w:proofErr w:type="spellEnd"/>
      <w:r w:rsidRPr="00445102">
        <w:rPr>
          <w:rFonts w:cs="Arial"/>
        </w:rPr>
        <w:t xml:space="preserve"> &amp; </w:t>
      </w:r>
      <w:proofErr w:type="spellStart"/>
      <w:r w:rsidRPr="00445102">
        <w:rPr>
          <w:rFonts w:cs="Arial"/>
        </w:rPr>
        <w:t>McLaney</w:t>
      </w:r>
      <w:proofErr w:type="spellEnd"/>
      <w:r w:rsidRPr="00445102">
        <w:rPr>
          <w:rFonts w:cs="Arial"/>
        </w:rPr>
        <w:t>, 2022).</w:t>
      </w:r>
    </w:p>
    <w:p w:rsidR="00767977" w:rsidRPr="00445102" w:rsidRDefault="00767977" w:rsidP="003D47D8">
      <w:pPr>
        <w:rPr>
          <w:rFonts w:cs="Arial"/>
        </w:rPr>
      </w:pPr>
      <w:r w:rsidRPr="00445102">
        <w:rPr>
          <w:rFonts w:cs="Arial"/>
        </w:rPr>
        <w:t xml:space="preserve">The current cash ratio is very low at 0.17 in 2024, which implies that only 17 percent of current liabilities may be covered by cash. One of the causal variables that have been a </w:t>
      </w:r>
      <w:r w:rsidRPr="00445102">
        <w:rPr>
          <w:rFonts w:cs="Arial"/>
        </w:rPr>
        <w:lastRenderedPageBreak/>
        <w:t>determinant in insolvency studies is the depletion of cash (Beaver, 1966), which means that General Electronics is under threat of liquidation.</w:t>
      </w:r>
    </w:p>
    <w:p w:rsidR="00767977" w:rsidRPr="00445102" w:rsidRDefault="00767977" w:rsidP="003D47D8">
      <w:pPr>
        <w:pStyle w:val="Heading2"/>
        <w:rPr>
          <w:rFonts w:cs="Arial"/>
        </w:rPr>
      </w:pPr>
      <w:bookmarkStart w:id="5" w:name="_Toc217270140"/>
      <w:r w:rsidRPr="00445102">
        <w:rPr>
          <w:rFonts w:cs="Arial"/>
        </w:rPr>
        <w:t>1.3 Efficiency Ratios</w:t>
      </w:r>
      <w:bookmarkEnd w:id="5"/>
    </w:p>
    <w:p w:rsidR="00CB0B7D" w:rsidRPr="00445102" w:rsidRDefault="00767977" w:rsidP="003D47D8">
      <w:pPr>
        <w:rPr>
          <w:rFonts w:cs="Arial"/>
        </w:rPr>
      </w:pPr>
      <w:r w:rsidRPr="00445102">
        <w:rPr>
          <w:rFonts w:cs="Arial"/>
        </w:rPr>
        <w:t xml:space="preserve">Efficiency ratios look at how fast the assets are turned into revenue which directly affects the liquidity and profitability. Companies that have low rates of working-capital turnover have greater financing requirements (Petersen and </w:t>
      </w:r>
      <w:proofErr w:type="spellStart"/>
      <w:r w:rsidRPr="00445102">
        <w:rPr>
          <w:rFonts w:cs="Arial"/>
        </w:rPr>
        <w:t>Rajan</w:t>
      </w:r>
      <w:proofErr w:type="spellEnd"/>
      <w:r w:rsidRPr="00445102">
        <w:rPr>
          <w:rFonts w:cs="Arial"/>
        </w:rPr>
        <w:t>, 1997).</w:t>
      </w:r>
    </w:p>
    <w:p w:rsidR="00767977" w:rsidRPr="00445102" w:rsidRDefault="00767977" w:rsidP="003D47D8">
      <w:pPr>
        <w:rPr>
          <w:rFonts w:cs="Arial"/>
        </w:rPr>
      </w:pPr>
      <w:r w:rsidRPr="00445102">
        <w:rPr>
          <w:rFonts w:cs="Arial"/>
        </w:rPr>
        <w:t>Inventory turnover days were highest in 2022 (131 days), which is the over-accumulation of stock. The surplus inventory is equal to locked capital that decreases profitability (Drury, 2018). The 2024 Inventory turnover (93 days) improvement is attributed to the decrease in production, and it is not caused by operational efficiency.</w:t>
      </w:r>
    </w:p>
    <w:p w:rsidR="00767977" w:rsidRPr="00445102" w:rsidRDefault="00767977" w:rsidP="003D47D8">
      <w:pPr>
        <w:rPr>
          <w:rFonts w:cs="Arial"/>
        </w:rPr>
      </w:pPr>
      <w:r w:rsidRPr="00445102">
        <w:rPr>
          <w:rFonts w:cs="Arial"/>
        </w:rPr>
        <w:t xml:space="preserve">The fact that receivable days have increased to 105 shows that customers are getting worse in paying their debts. The longer the credit times, the higher risk of bad debt (Petersen and </w:t>
      </w:r>
      <w:proofErr w:type="spellStart"/>
      <w:r w:rsidRPr="00445102">
        <w:rPr>
          <w:rFonts w:cs="Arial"/>
        </w:rPr>
        <w:t>Rajan</w:t>
      </w:r>
      <w:proofErr w:type="spellEnd"/>
      <w:r w:rsidRPr="00445102">
        <w:rPr>
          <w:rFonts w:cs="Arial"/>
        </w:rPr>
        <w:t>, 1997).</w:t>
      </w:r>
    </w:p>
    <w:p w:rsidR="00767977" w:rsidRPr="00445102" w:rsidRDefault="00767977" w:rsidP="003D47D8">
      <w:pPr>
        <w:rPr>
          <w:rFonts w:cs="Arial"/>
        </w:rPr>
      </w:pPr>
      <w:r w:rsidRPr="00445102">
        <w:rPr>
          <w:rFonts w:cs="Arial"/>
        </w:rPr>
        <w:t>The payable days decreased by 66 to 47 during the years 2022-2024, that is, the company reduced the payment terms even in the face of deteriorating liquidity. Financial literature has contended that minimizing trade payables in distress leads to heightened liquidity pressure (Richards and Laughlin, 1980).</w:t>
      </w:r>
    </w:p>
    <w:p w:rsidR="004E2A67" w:rsidRPr="00445102" w:rsidRDefault="00767977" w:rsidP="003D47D8">
      <w:pPr>
        <w:rPr>
          <w:rFonts w:cs="Arial"/>
        </w:rPr>
      </w:pPr>
      <w:r w:rsidRPr="00445102">
        <w:rPr>
          <w:rFonts w:cs="Arial"/>
        </w:rPr>
        <w:t xml:space="preserve">In 2024, the working-capital cycle increased as many as to 151 days. An extended cycle enhances financing requirements, and reduces liquidity which is a good indication that misuse of working-capital expedites cash burn (Shin and </w:t>
      </w:r>
      <w:proofErr w:type="spellStart"/>
      <w:r w:rsidRPr="00445102">
        <w:rPr>
          <w:rFonts w:cs="Arial"/>
        </w:rPr>
        <w:t>Soenen</w:t>
      </w:r>
      <w:proofErr w:type="spellEnd"/>
      <w:r w:rsidRPr="00445102">
        <w:rPr>
          <w:rFonts w:cs="Arial"/>
        </w:rPr>
        <w:t>, 1998).</w:t>
      </w:r>
    </w:p>
    <w:p w:rsidR="00767977" w:rsidRPr="00445102" w:rsidRDefault="00767977" w:rsidP="003D47D8">
      <w:pPr>
        <w:pStyle w:val="Heading2"/>
        <w:rPr>
          <w:rFonts w:cs="Arial"/>
        </w:rPr>
      </w:pPr>
      <w:bookmarkStart w:id="6" w:name="_Toc217270141"/>
      <w:r w:rsidRPr="00445102">
        <w:rPr>
          <w:rFonts w:cs="Arial"/>
        </w:rPr>
        <w:t>1.4 Gearing Ratios</w:t>
      </w:r>
      <w:bookmarkEnd w:id="6"/>
    </w:p>
    <w:p w:rsidR="00CB0B7D" w:rsidRPr="00445102" w:rsidRDefault="00767977" w:rsidP="003D47D8">
      <w:pPr>
        <w:rPr>
          <w:rFonts w:cs="Arial"/>
        </w:rPr>
      </w:pPr>
      <w:r w:rsidRPr="00445102">
        <w:rPr>
          <w:rFonts w:cs="Arial"/>
        </w:rPr>
        <w:t>The analysis of capital structure is necessary since distressed companies that depend on debt financing have an increased bankruptcy risk (Myers, 1977).</w:t>
      </w:r>
    </w:p>
    <w:p w:rsidR="002647F6" w:rsidRPr="00445102" w:rsidRDefault="00583829" w:rsidP="003D47D8">
      <w:pPr>
        <w:rPr>
          <w:rFonts w:cs="Arial"/>
        </w:rPr>
      </w:pPr>
      <w:r w:rsidRPr="00445102">
        <w:rPr>
          <w:rFonts w:cs="Arial"/>
        </w:rPr>
        <w:t>The increase in debt to equity to 1.11 points at excessive dependence on debt. According to the theory by Modigliani and Miller, a leverage enhances the shareholder risk and increases the required amount of equity (Modigliani and Miller, 1963). Excessive leverage in troubled companies also increases the exposure to refinancing and increases the likelihood of breaching covenants.</w:t>
      </w:r>
    </w:p>
    <w:p w:rsidR="00583829" w:rsidRPr="00445102" w:rsidRDefault="00583829" w:rsidP="003D47D8">
      <w:pPr>
        <w:rPr>
          <w:rFonts w:cs="Arial"/>
        </w:rPr>
      </w:pPr>
      <w:r w:rsidRPr="00445102">
        <w:rPr>
          <w:rFonts w:cs="Arial"/>
        </w:rPr>
        <w:lastRenderedPageBreak/>
        <w:t>The negative interest coverage in 2023 and 2024 is the inability to cover the interests due to operations. Negative coverage is an acknowledged trigger of bankruptcy and an indicator of operational insolvency (</w:t>
      </w:r>
      <w:proofErr w:type="spellStart"/>
      <w:r w:rsidRPr="00445102">
        <w:rPr>
          <w:rFonts w:cs="Arial"/>
        </w:rPr>
        <w:t>Fridson</w:t>
      </w:r>
      <w:proofErr w:type="spellEnd"/>
      <w:r w:rsidRPr="00445102">
        <w:rPr>
          <w:rFonts w:cs="Arial"/>
        </w:rPr>
        <w:t xml:space="preserve"> and Alvarez, 2022).</w:t>
      </w:r>
    </w:p>
    <w:p w:rsidR="00583829" w:rsidRPr="00445102" w:rsidRDefault="00583829" w:rsidP="003D47D8">
      <w:pPr>
        <w:pStyle w:val="Heading2"/>
        <w:rPr>
          <w:rFonts w:cs="Arial"/>
        </w:rPr>
      </w:pPr>
      <w:bookmarkStart w:id="7" w:name="_Toc217270142"/>
      <w:r w:rsidRPr="00445102">
        <w:rPr>
          <w:rFonts w:cs="Arial"/>
        </w:rPr>
        <w:t>1.5 Cash Flow Indicators</w:t>
      </w:r>
      <w:bookmarkEnd w:id="7"/>
    </w:p>
    <w:p w:rsidR="002647F6" w:rsidRPr="00445102" w:rsidRDefault="002647F6" w:rsidP="003D47D8">
      <w:pPr>
        <w:rPr>
          <w:rFonts w:cs="Arial"/>
        </w:rPr>
      </w:pPr>
      <w:r w:rsidRPr="00445102">
        <w:rPr>
          <w:rFonts w:cs="Arial"/>
        </w:rPr>
        <w:t>Cash-flow analysis is essential since the first reason behind corporate failure is the exhaustion of cash (</w:t>
      </w:r>
      <w:proofErr w:type="spellStart"/>
      <w:r w:rsidRPr="00445102">
        <w:rPr>
          <w:rFonts w:cs="Arial"/>
        </w:rPr>
        <w:t>Fridson</w:t>
      </w:r>
      <w:proofErr w:type="spellEnd"/>
      <w:r w:rsidRPr="00445102">
        <w:rPr>
          <w:rFonts w:cs="Arial"/>
        </w:rPr>
        <w:t xml:space="preserve"> and Alvarez, 2022).</w:t>
      </w:r>
    </w:p>
    <w:p w:rsidR="002647F6" w:rsidRPr="00445102" w:rsidRDefault="002647F6" w:rsidP="003D47D8">
      <w:pPr>
        <w:rPr>
          <w:rFonts w:cs="Arial"/>
        </w:rPr>
      </w:pPr>
      <w:r w:rsidRPr="00445102">
        <w:rPr>
          <w:rFonts w:cs="Arial"/>
        </w:rPr>
        <w:t xml:space="preserve">A decreased cash flow of £73bn to £14bn implies structural operating weakness. According to Lev and </w:t>
      </w:r>
      <w:proofErr w:type="spellStart"/>
      <w:r w:rsidRPr="00445102">
        <w:rPr>
          <w:rFonts w:cs="Arial"/>
        </w:rPr>
        <w:t>Thiagarajan</w:t>
      </w:r>
      <w:proofErr w:type="spellEnd"/>
      <w:r w:rsidRPr="00445102">
        <w:rPr>
          <w:rFonts w:cs="Arial"/>
        </w:rPr>
        <w:t>, (1993) the shrinking operating cash flow and increasing leverage are very important predictors of distress.</w:t>
      </w:r>
    </w:p>
    <w:p w:rsidR="002647F6" w:rsidRPr="00445102" w:rsidRDefault="002647F6" w:rsidP="003D47D8">
      <w:pPr>
        <w:rPr>
          <w:rFonts w:cs="Arial"/>
        </w:rPr>
      </w:pPr>
      <w:r w:rsidRPr="00445102">
        <w:rPr>
          <w:rFonts w:cs="Arial"/>
        </w:rPr>
        <w:t>The lack of internally generated capital to invest or pay debt is supported by three years of negative free cash flow, which indicates that the company does not have sufficient capital to operate.</w:t>
      </w:r>
    </w:p>
    <w:p w:rsidR="000F7FD8" w:rsidRPr="00445102" w:rsidRDefault="000F7FD8" w:rsidP="003D47D8">
      <w:pPr>
        <w:rPr>
          <w:rFonts w:cs="Arial"/>
        </w:rPr>
      </w:pPr>
      <w:r w:rsidRPr="00445102">
        <w:rPr>
          <w:rFonts w:cs="Arial"/>
        </w:rPr>
        <w:t xml:space="preserve">Collectively, the liquidity, profitability, efficiency and solvency ratios reflect escalating pressure on the financial position of the firm and it is therefore necessary to evaluate how likely the firm is to collapse formally in the form of a </w:t>
      </w:r>
      <w:proofErr w:type="spellStart"/>
      <w:r w:rsidRPr="00445102">
        <w:rPr>
          <w:rFonts w:cs="Arial"/>
        </w:rPr>
        <w:t>recognised</w:t>
      </w:r>
      <w:proofErr w:type="spellEnd"/>
      <w:r w:rsidRPr="00445102">
        <w:rPr>
          <w:rFonts w:cs="Arial"/>
        </w:rPr>
        <w:t xml:space="preserve"> prediction model.</w:t>
      </w:r>
    </w:p>
    <w:p w:rsidR="00CB0B7D" w:rsidRPr="00445102" w:rsidRDefault="00583829" w:rsidP="003D47D8">
      <w:pPr>
        <w:pStyle w:val="Heading2"/>
        <w:rPr>
          <w:rFonts w:cs="Arial"/>
        </w:rPr>
      </w:pPr>
      <w:bookmarkStart w:id="8" w:name="_Toc217270143"/>
      <w:r w:rsidRPr="00445102">
        <w:rPr>
          <w:rFonts w:cs="Arial"/>
        </w:rPr>
        <w:t>1.6 Bankruptcy Prediction - Altman Z-Score</w:t>
      </w:r>
      <w:bookmarkEnd w:id="8"/>
    </w:p>
    <w:p w:rsidR="002647F6" w:rsidRPr="00445102" w:rsidRDefault="000F7FD8" w:rsidP="003D47D8">
      <w:pPr>
        <w:rPr>
          <w:rFonts w:cs="Arial"/>
        </w:rPr>
      </w:pPr>
      <w:r w:rsidRPr="00445102">
        <w:rPr>
          <w:rFonts w:cs="Arial"/>
        </w:rPr>
        <w:t>The Altman Z-Score, which is considered to be one of the most empirically tested corporate failure predictive models (Altman, 2019), was implemented on the financial data of 2024 and provided a score of 1.21, which is significantly under the 1.81 value of the distress zone. This result signifies a material likelihood of insolvency and is in line with the premise findings of Beaver (1966) who found that firms with decreasing retained earnings, negative EBIT, and decreasing liquidity were likely to be insolvent soon. Despite the decline in profitability of General Electronics, unfavorable ROE, declining cash positions, and increased leverage, the Z-Score supports ratio analysis and proves the fact that the business is at the advanced phases of financial distress and needs to be strategically responded to.</w:t>
      </w:r>
    </w:p>
    <w:p w:rsidR="00583829" w:rsidRPr="00445102" w:rsidRDefault="00583829" w:rsidP="003D47D8">
      <w:pPr>
        <w:pStyle w:val="Heading2"/>
        <w:rPr>
          <w:rFonts w:cs="Arial"/>
        </w:rPr>
      </w:pPr>
      <w:bookmarkStart w:id="9" w:name="_Toc217270144"/>
      <w:r w:rsidRPr="00445102">
        <w:rPr>
          <w:rFonts w:cs="Arial"/>
        </w:rPr>
        <w:lastRenderedPageBreak/>
        <w:t xml:space="preserve">1.7 </w:t>
      </w:r>
      <w:r w:rsidR="00822B29" w:rsidRPr="00445102">
        <w:rPr>
          <w:rFonts w:cs="Arial"/>
        </w:rPr>
        <w:t>Significant</w:t>
      </w:r>
      <w:r w:rsidRPr="00445102">
        <w:rPr>
          <w:rFonts w:cs="Arial"/>
        </w:rPr>
        <w:t xml:space="preserve"> Strengths and Threats</w:t>
      </w:r>
      <w:bookmarkEnd w:id="9"/>
    </w:p>
    <w:p w:rsidR="000F7FD8" w:rsidRPr="00445102" w:rsidRDefault="000F7FD8" w:rsidP="000F7FD8">
      <w:pPr>
        <w:rPr>
          <w:rFonts w:cs="Arial"/>
        </w:rPr>
      </w:pPr>
      <w:r w:rsidRPr="00445102">
        <w:rPr>
          <w:rFonts w:cs="Arial"/>
        </w:rPr>
        <w:t xml:space="preserve">Even though the </w:t>
      </w:r>
      <w:proofErr w:type="spellStart"/>
      <w:r w:rsidRPr="00445102">
        <w:rPr>
          <w:rFonts w:cs="Arial"/>
        </w:rPr>
        <w:t>organisation</w:t>
      </w:r>
      <w:proofErr w:type="spellEnd"/>
      <w:r w:rsidRPr="00445102">
        <w:rPr>
          <w:rFonts w:cs="Arial"/>
        </w:rPr>
        <w:t xml:space="preserve"> is experiencing dire problems, there are few underlying strengths. </w:t>
      </w:r>
      <w:r w:rsidR="00A70B08" w:rsidRPr="00445102">
        <w:rPr>
          <w:rFonts w:cs="Arial"/>
        </w:rPr>
        <w:t>Generally</w:t>
      </w:r>
      <w:r w:rsidRPr="00445102">
        <w:rPr>
          <w:rFonts w:cs="Arial"/>
        </w:rPr>
        <w:t xml:space="preserve">, the company has exhibited consistent gross margin capacity, indicating that product-level pricing power and cost discipline was ingrained in the past. Moreover, the asset base is large, providing possible collateral and flexibility in restructuring, and the better operating performance in previous years indicates that the business model is a commercially viable one under </w:t>
      </w:r>
      <w:proofErr w:type="spellStart"/>
      <w:r w:rsidRPr="00445102">
        <w:rPr>
          <w:rFonts w:cs="Arial"/>
        </w:rPr>
        <w:t>favourable</w:t>
      </w:r>
      <w:proofErr w:type="spellEnd"/>
      <w:r w:rsidRPr="00445102">
        <w:rPr>
          <w:rFonts w:cs="Arial"/>
        </w:rPr>
        <w:t xml:space="preserve"> market conditions. These positive factors, though not enough to turnaround the decline on their own, offer a lot of ground on which strategic restructuring can be established.</w:t>
      </w:r>
    </w:p>
    <w:p w:rsidR="000F7FD8" w:rsidRPr="00445102" w:rsidRDefault="000F7FD8" w:rsidP="000F7FD8">
      <w:pPr>
        <w:rPr>
          <w:rFonts w:cs="Arial"/>
        </w:rPr>
      </w:pPr>
      <w:r w:rsidRPr="00445102">
        <w:rPr>
          <w:rFonts w:cs="Arial"/>
        </w:rPr>
        <w:t>On the other hand, the financial evidence shows a lot of threat that is very wide and growing. Negative interest cover and falling profitability is the sign of structural weakness of income and long cash conversion period is the sign of decreasing operational efficiency and bad working-capital management. The low operating cash flows and Z-score distress indicator describe further that the solvency risk is no longer a hypothetical, but imminent. Taken altogether, these signs help to prove the fact that the General Electronics has reached a mature phase of financial distress and it would not be able to survive without major restructuring and capital repositioning.</w:t>
      </w:r>
    </w:p>
    <w:p w:rsidR="00CB0B7D" w:rsidRPr="00445102" w:rsidRDefault="00CB0B7D" w:rsidP="003D47D8">
      <w:pPr>
        <w:pStyle w:val="Heading1"/>
        <w:rPr>
          <w:rFonts w:cs="Arial"/>
        </w:rPr>
      </w:pPr>
      <w:bookmarkStart w:id="10" w:name="_Toc217270145"/>
      <w:r w:rsidRPr="00445102">
        <w:rPr>
          <w:rFonts w:cs="Arial"/>
        </w:rPr>
        <w:t>2. Working Capital Management Analysis</w:t>
      </w:r>
      <w:bookmarkEnd w:id="10"/>
    </w:p>
    <w:p w:rsidR="00CB0B7D" w:rsidRPr="00445102" w:rsidRDefault="00CB0B7D" w:rsidP="003D47D8">
      <w:pPr>
        <w:rPr>
          <w:rFonts w:cs="Arial"/>
        </w:rPr>
      </w:pPr>
      <w:r w:rsidRPr="00445102">
        <w:rPr>
          <w:rFonts w:cs="Arial"/>
        </w:rPr>
        <w:t xml:space="preserve">Working capital management (WCM) defines how the </w:t>
      </w:r>
      <w:proofErr w:type="spellStart"/>
      <w:r w:rsidRPr="00445102">
        <w:rPr>
          <w:rFonts w:cs="Arial"/>
        </w:rPr>
        <w:t>organisation</w:t>
      </w:r>
      <w:proofErr w:type="spellEnd"/>
      <w:r w:rsidRPr="00445102">
        <w:rPr>
          <w:rFonts w:cs="Arial"/>
        </w:rPr>
        <w:t xml:space="preserve"> can turn short term assets to cash and carry day-to-day activities. Within the context of turnaround, academic literature stresses that the effective management of working capital is as critical as profitability improvement since companies lose their liquidity, not their profitability (</w:t>
      </w:r>
      <w:proofErr w:type="spellStart"/>
      <w:r w:rsidRPr="00445102">
        <w:rPr>
          <w:rFonts w:cs="Arial"/>
        </w:rPr>
        <w:t>B</w:t>
      </w:r>
      <w:r w:rsidR="001C7CC0" w:rsidRPr="00445102">
        <w:rPr>
          <w:rFonts w:cs="Arial"/>
        </w:rPr>
        <w:t>realey</w:t>
      </w:r>
      <w:proofErr w:type="spellEnd"/>
      <w:r w:rsidR="001C7CC0" w:rsidRPr="00445102">
        <w:rPr>
          <w:rFonts w:cs="Arial"/>
        </w:rPr>
        <w:t xml:space="preserve"> et al.</w:t>
      </w:r>
      <w:r w:rsidRPr="00445102">
        <w:rPr>
          <w:rFonts w:cs="Arial"/>
        </w:rPr>
        <w:t xml:space="preserve">, 2020). The recent performance of General Electronics shows that it is experiencing acute liquidity pressure, inefficient cash conversion, and poor working-capital discipline. An intensive analysis of cash operating cycle, reform policy and finance sources is hence a key to </w:t>
      </w:r>
      <w:proofErr w:type="spellStart"/>
      <w:r w:rsidRPr="00445102">
        <w:rPr>
          <w:rFonts w:cs="Arial"/>
        </w:rPr>
        <w:t>stabilisation</w:t>
      </w:r>
      <w:proofErr w:type="spellEnd"/>
      <w:r w:rsidRPr="00445102">
        <w:rPr>
          <w:rFonts w:cs="Arial"/>
        </w:rPr>
        <w:t xml:space="preserve"> of the business.</w:t>
      </w:r>
    </w:p>
    <w:p w:rsidR="00CB0B7D" w:rsidRPr="00445102" w:rsidRDefault="00CB0B7D" w:rsidP="003D47D8">
      <w:pPr>
        <w:pStyle w:val="Heading2"/>
        <w:rPr>
          <w:rFonts w:cs="Arial"/>
        </w:rPr>
      </w:pPr>
      <w:bookmarkStart w:id="11" w:name="_Toc217270146"/>
      <w:r w:rsidRPr="00445102">
        <w:rPr>
          <w:rFonts w:cs="Arial"/>
        </w:rPr>
        <w:lastRenderedPageBreak/>
        <w:t>2.1 Cash Operating Cycle Assessment</w:t>
      </w:r>
      <w:bookmarkEnd w:id="11"/>
    </w:p>
    <w:p w:rsidR="00CB0B7D" w:rsidRPr="00445102" w:rsidRDefault="00CB0B7D" w:rsidP="003D47D8">
      <w:pPr>
        <w:rPr>
          <w:rFonts w:cs="Arial"/>
        </w:rPr>
      </w:pPr>
      <w:r w:rsidRPr="00445102">
        <w:rPr>
          <w:rFonts w:cs="Arial"/>
        </w:rPr>
        <w:t>Cash Operating Cycle (COC), also known as Cash Conversion Cycle (CCC), is used to measure how much time the firm takes to convert capital in inventory and receivables to cash flows generated in operations. It is calculated as:</w:t>
      </w:r>
    </w:p>
    <w:p w:rsidR="00D166FA" w:rsidRPr="00445102" w:rsidRDefault="00D166FA" w:rsidP="003D47D8">
      <w:pPr>
        <w:rPr>
          <w:rFonts w:cs="Arial"/>
        </w:rPr>
      </w:pPr>
      <w:r w:rsidRPr="00445102">
        <w:rPr>
          <w:rFonts w:cs="Arial"/>
        </w:rPr>
        <w:t xml:space="preserve">The increase to 151 days in 2024 points to a serious cash crunch meaning that the company will need to fund nearly five months of operating activity prior to cash inflow. Long term CCC raises short term demand of borrowing, increases the cost of financing and diminishes liquidity capacity (Shin and </w:t>
      </w:r>
      <w:proofErr w:type="spellStart"/>
      <w:r w:rsidRPr="00445102">
        <w:rPr>
          <w:rFonts w:cs="Arial"/>
        </w:rPr>
        <w:t>Soenen</w:t>
      </w:r>
      <w:proofErr w:type="spellEnd"/>
      <w:r w:rsidRPr="00445102">
        <w:rPr>
          <w:rFonts w:cs="Arial"/>
        </w:rPr>
        <w:t>, 1998).</w:t>
      </w:r>
    </w:p>
    <w:p w:rsidR="00D166FA" w:rsidRPr="00445102" w:rsidRDefault="00D166FA" w:rsidP="003D47D8">
      <w:pPr>
        <w:rPr>
          <w:rFonts w:cs="Arial"/>
          <w:b/>
        </w:rPr>
      </w:pPr>
      <w:r w:rsidRPr="00445102">
        <w:rPr>
          <w:rFonts w:cs="Arial"/>
          <w:b/>
        </w:rPr>
        <w:t>Inventory Component</w:t>
      </w:r>
    </w:p>
    <w:p w:rsidR="00DB33B8" w:rsidRPr="00445102" w:rsidRDefault="00D166FA" w:rsidP="003D47D8">
      <w:pPr>
        <w:rPr>
          <w:rFonts w:cs="Arial"/>
        </w:rPr>
      </w:pPr>
      <w:r w:rsidRPr="00445102">
        <w:rPr>
          <w:rFonts w:cs="Arial"/>
        </w:rPr>
        <w:t>The inventory days rose drastically to 131 days in 2022 and even though it has gotten better to 93 days in 2024, the increase is indicative of lower production levels than efficiencies. Unproductive assets bind capital in excess inventory. According to Drury (2018), high inventory days reveal that forecasting, production planning, and product lifecycle management are weak.</w:t>
      </w:r>
    </w:p>
    <w:p w:rsidR="00D166FA" w:rsidRPr="00445102" w:rsidRDefault="00D166FA" w:rsidP="003D47D8">
      <w:pPr>
        <w:rPr>
          <w:rFonts w:cs="Arial"/>
          <w:b/>
        </w:rPr>
      </w:pPr>
      <w:r w:rsidRPr="00445102">
        <w:rPr>
          <w:rFonts w:cs="Arial"/>
          <w:b/>
        </w:rPr>
        <w:t>Receivables Component</w:t>
      </w:r>
    </w:p>
    <w:p w:rsidR="00D166FA" w:rsidRPr="00445102" w:rsidRDefault="00D166FA" w:rsidP="003D47D8">
      <w:pPr>
        <w:rPr>
          <w:rFonts w:cs="Arial"/>
        </w:rPr>
      </w:pPr>
      <w:r w:rsidRPr="00445102">
        <w:rPr>
          <w:rFonts w:cs="Arial"/>
        </w:rPr>
        <w:t xml:space="preserve">The receivable days went up by 77 to 105 days indicating ineffective credit management and low customer payment discipline. It has been found that longer receivable periods dramatically increase the likelihood of default and decreases the conversion of operating cash (Petersen and </w:t>
      </w:r>
      <w:proofErr w:type="spellStart"/>
      <w:r w:rsidRPr="00445102">
        <w:rPr>
          <w:rFonts w:cs="Arial"/>
        </w:rPr>
        <w:t>Rajan</w:t>
      </w:r>
      <w:proofErr w:type="spellEnd"/>
      <w:r w:rsidRPr="00445102">
        <w:rPr>
          <w:rFonts w:cs="Arial"/>
        </w:rPr>
        <w:t>, 1997).</w:t>
      </w:r>
    </w:p>
    <w:p w:rsidR="00D166FA" w:rsidRPr="00445102" w:rsidRDefault="00D166FA" w:rsidP="003D47D8">
      <w:pPr>
        <w:rPr>
          <w:rFonts w:cs="Arial"/>
          <w:b/>
        </w:rPr>
      </w:pPr>
      <w:r w:rsidRPr="00445102">
        <w:rPr>
          <w:rFonts w:cs="Arial"/>
          <w:b/>
        </w:rPr>
        <w:t>Payables Component</w:t>
      </w:r>
    </w:p>
    <w:p w:rsidR="00D166FA" w:rsidRPr="00445102" w:rsidRDefault="00D166FA" w:rsidP="003D47D8">
      <w:pPr>
        <w:rPr>
          <w:rFonts w:cs="Arial"/>
        </w:rPr>
      </w:pPr>
      <w:r w:rsidRPr="00445102">
        <w:rPr>
          <w:rFonts w:cs="Arial"/>
        </w:rPr>
        <w:t xml:space="preserve">Liquidity weakening was accompanied by a decrease in payable days (66 to 47 days) between 2022 and 2024. The decision to tighten credit and focus on suppliers repayment is contrary to working-capital theory, which </w:t>
      </w:r>
      <w:proofErr w:type="spellStart"/>
      <w:r w:rsidRPr="00445102">
        <w:rPr>
          <w:rFonts w:cs="Arial"/>
        </w:rPr>
        <w:t>recognises</w:t>
      </w:r>
      <w:proofErr w:type="spellEnd"/>
      <w:r w:rsidRPr="00445102">
        <w:rPr>
          <w:rFonts w:cs="Arial"/>
        </w:rPr>
        <w:t xml:space="preserve"> payables as a significant source of spontaneous financing (Watson and Head, 2020). Negotiating with suppliers at a faster rate when in distress exacerbates cash crunches.</w:t>
      </w:r>
    </w:p>
    <w:p w:rsidR="00D166FA" w:rsidRPr="00445102" w:rsidRDefault="00B42557" w:rsidP="003D47D8">
      <w:pPr>
        <w:rPr>
          <w:rFonts w:cs="Arial"/>
        </w:rPr>
      </w:pPr>
      <w:r w:rsidRPr="00445102">
        <w:rPr>
          <w:rFonts w:cs="Arial"/>
        </w:rPr>
        <w:t>A</w:t>
      </w:r>
      <w:r w:rsidR="00D166FA" w:rsidRPr="00445102">
        <w:rPr>
          <w:rFonts w:cs="Arial"/>
        </w:rPr>
        <w:t xml:space="preserve">n increase in the working-capital cycle is a sign of operational inefficiency, stagnant cash and increasing liquidity risk. Empirical evidence supports the results that poor WCM is </w:t>
      </w:r>
      <w:r w:rsidR="00D166FA" w:rsidRPr="00445102">
        <w:rPr>
          <w:rFonts w:cs="Arial"/>
        </w:rPr>
        <w:lastRenderedPageBreak/>
        <w:t xml:space="preserve">strongly associated with corporate bankruptcy events (Shin &amp; </w:t>
      </w:r>
      <w:proofErr w:type="spellStart"/>
      <w:r w:rsidR="00D166FA" w:rsidRPr="00445102">
        <w:rPr>
          <w:rFonts w:cs="Arial"/>
        </w:rPr>
        <w:t>Soenen</w:t>
      </w:r>
      <w:proofErr w:type="spellEnd"/>
      <w:r w:rsidR="00D166FA" w:rsidRPr="00445102">
        <w:rPr>
          <w:rFonts w:cs="Arial"/>
        </w:rPr>
        <w:t>, 1998), which indicates that it is time to initiate immediate reform.</w:t>
      </w:r>
    </w:p>
    <w:p w:rsidR="00D166FA" w:rsidRPr="00445102" w:rsidRDefault="00D166FA" w:rsidP="003D47D8">
      <w:pPr>
        <w:pStyle w:val="Heading2"/>
        <w:rPr>
          <w:rFonts w:cs="Arial"/>
        </w:rPr>
      </w:pPr>
      <w:bookmarkStart w:id="12" w:name="_Toc217270147"/>
      <w:r w:rsidRPr="00445102">
        <w:rPr>
          <w:rFonts w:cs="Arial"/>
        </w:rPr>
        <w:t>2.2</w:t>
      </w:r>
      <w:r w:rsidR="00D2508A" w:rsidRPr="00445102">
        <w:rPr>
          <w:rFonts w:cs="Arial"/>
        </w:rPr>
        <w:t xml:space="preserve"> Strategies to Improve Liquidity through Working-Capital Reform</w:t>
      </w:r>
      <w:bookmarkEnd w:id="12"/>
    </w:p>
    <w:p w:rsidR="00D166FA" w:rsidRPr="00445102" w:rsidRDefault="00D2508A" w:rsidP="003D47D8">
      <w:pPr>
        <w:rPr>
          <w:rFonts w:cs="Arial"/>
        </w:rPr>
      </w:pPr>
      <w:r w:rsidRPr="00445102">
        <w:rPr>
          <w:rFonts w:cs="Arial"/>
        </w:rPr>
        <w:t>According to the turnaround literature, distressed companies ought to focus on cash over revenue until the financial structure becomes stable (</w:t>
      </w:r>
      <w:proofErr w:type="spellStart"/>
      <w:r w:rsidRPr="00445102">
        <w:rPr>
          <w:rFonts w:cs="Arial"/>
        </w:rPr>
        <w:t>Fridson</w:t>
      </w:r>
      <w:proofErr w:type="spellEnd"/>
      <w:r w:rsidRPr="00445102">
        <w:rPr>
          <w:rFonts w:cs="Arial"/>
        </w:rPr>
        <w:t xml:space="preserve"> and Alvarez, 2022). Empirical evidence supports the following reforms:</w:t>
      </w:r>
    </w:p>
    <w:p w:rsidR="00D166FA" w:rsidRPr="00445102" w:rsidRDefault="00D2508A" w:rsidP="003D47D8">
      <w:pPr>
        <w:pStyle w:val="ListParagraph"/>
        <w:numPr>
          <w:ilvl w:val="0"/>
          <w:numId w:val="4"/>
        </w:numPr>
        <w:rPr>
          <w:rFonts w:cs="Arial"/>
          <w:b/>
        </w:rPr>
      </w:pPr>
      <w:r w:rsidRPr="00445102">
        <w:rPr>
          <w:rFonts w:cs="Arial"/>
          <w:b/>
        </w:rPr>
        <w:t xml:space="preserve">Inventory </w:t>
      </w:r>
      <w:proofErr w:type="spellStart"/>
      <w:r w:rsidRPr="00445102">
        <w:rPr>
          <w:rFonts w:cs="Arial"/>
          <w:b/>
        </w:rPr>
        <w:t>Rationalisation</w:t>
      </w:r>
      <w:proofErr w:type="spellEnd"/>
    </w:p>
    <w:p w:rsidR="00D2508A" w:rsidRPr="00445102" w:rsidRDefault="00D2508A" w:rsidP="003D47D8">
      <w:pPr>
        <w:rPr>
          <w:rFonts w:cs="Arial"/>
        </w:rPr>
      </w:pPr>
      <w:r w:rsidRPr="00445102">
        <w:rPr>
          <w:rFonts w:cs="Arial"/>
        </w:rPr>
        <w:t xml:space="preserve">It is recommended that the company focuses less on stock-pushing and more on demand-based forecasting. Just-in-Time production and SKU </w:t>
      </w:r>
      <w:proofErr w:type="spellStart"/>
      <w:r w:rsidRPr="00445102">
        <w:rPr>
          <w:rFonts w:cs="Arial"/>
        </w:rPr>
        <w:t>rationalisation</w:t>
      </w:r>
      <w:proofErr w:type="spellEnd"/>
      <w:r w:rsidRPr="00445102">
        <w:rPr>
          <w:rFonts w:cs="Arial"/>
        </w:rPr>
        <w:t xml:space="preserve"> </w:t>
      </w:r>
      <w:proofErr w:type="spellStart"/>
      <w:r w:rsidRPr="00445102">
        <w:rPr>
          <w:rFonts w:cs="Arial"/>
        </w:rPr>
        <w:t>minimise</w:t>
      </w:r>
      <w:proofErr w:type="spellEnd"/>
      <w:r w:rsidRPr="00445102">
        <w:rPr>
          <w:rFonts w:cs="Arial"/>
        </w:rPr>
        <w:t xml:space="preserve"> the cost of storage and free working money, lean inventory principles (Drury, 2018). Removing low-margin products will raise turnover plus it will decrease obsolescence risk and operational cash used.</w:t>
      </w:r>
    </w:p>
    <w:p w:rsidR="00D2508A" w:rsidRPr="00445102" w:rsidRDefault="00D2508A" w:rsidP="003D47D8">
      <w:pPr>
        <w:pStyle w:val="ListParagraph"/>
        <w:numPr>
          <w:ilvl w:val="0"/>
          <w:numId w:val="4"/>
        </w:numPr>
        <w:rPr>
          <w:rFonts w:cs="Arial"/>
          <w:b/>
        </w:rPr>
      </w:pPr>
      <w:r w:rsidRPr="00445102">
        <w:rPr>
          <w:rFonts w:cs="Arial"/>
          <w:b/>
        </w:rPr>
        <w:t>Receivable Management Enhancement</w:t>
      </w:r>
    </w:p>
    <w:p w:rsidR="00D2508A" w:rsidRPr="00445102" w:rsidRDefault="00D2508A" w:rsidP="003D47D8">
      <w:pPr>
        <w:rPr>
          <w:rFonts w:cs="Arial"/>
        </w:rPr>
      </w:pPr>
      <w:r w:rsidRPr="00445102">
        <w:rPr>
          <w:rFonts w:cs="Arial"/>
        </w:rPr>
        <w:t>The days outstanding must be tightened at 100 and above. Some of the actions that are recommended are:</w:t>
      </w:r>
    </w:p>
    <w:p w:rsidR="00D2508A" w:rsidRPr="00445102" w:rsidRDefault="00D2508A" w:rsidP="003D47D8">
      <w:pPr>
        <w:pStyle w:val="ListParagraph"/>
        <w:numPr>
          <w:ilvl w:val="0"/>
          <w:numId w:val="3"/>
        </w:numPr>
        <w:rPr>
          <w:rFonts w:cs="Arial"/>
        </w:rPr>
      </w:pPr>
      <w:r w:rsidRPr="00445102">
        <w:rPr>
          <w:rFonts w:cs="Arial"/>
        </w:rPr>
        <w:t>credit scoring models</w:t>
      </w:r>
    </w:p>
    <w:p w:rsidR="00D2508A" w:rsidRPr="00445102" w:rsidRDefault="00D2508A" w:rsidP="003D47D8">
      <w:pPr>
        <w:pStyle w:val="ListParagraph"/>
        <w:numPr>
          <w:ilvl w:val="0"/>
          <w:numId w:val="3"/>
        </w:numPr>
        <w:rPr>
          <w:rFonts w:cs="Arial"/>
        </w:rPr>
      </w:pPr>
      <w:r w:rsidRPr="00445102">
        <w:rPr>
          <w:rFonts w:cs="Arial"/>
        </w:rPr>
        <w:t>Early settlement discount plan.</w:t>
      </w:r>
    </w:p>
    <w:p w:rsidR="00D2508A" w:rsidRPr="00445102" w:rsidRDefault="00D2508A" w:rsidP="003D47D8">
      <w:pPr>
        <w:pStyle w:val="ListParagraph"/>
        <w:numPr>
          <w:ilvl w:val="0"/>
          <w:numId w:val="3"/>
        </w:numPr>
        <w:rPr>
          <w:rFonts w:cs="Arial"/>
        </w:rPr>
      </w:pPr>
      <w:r w:rsidRPr="00445102">
        <w:rPr>
          <w:rFonts w:cs="Arial"/>
        </w:rPr>
        <w:t>automated invoicing</w:t>
      </w:r>
    </w:p>
    <w:p w:rsidR="00D2508A" w:rsidRPr="00445102" w:rsidRDefault="00D2508A" w:rsidP="003D47D8">
      <w:pPr>
        <w:pStyle w:val="ListParagraph"/>
        <w:numPr>
          <w:ilvl w:val="0"/>
          <w:numId w:val="3"/>
        </w:numPr>
        <w:rPr>
          <w:rFonts w:cs="Arial"/>
        </w:rPr>
      </w:pPr>
      <w:r w:rsidRPr="00445102">
        <w:rPr>
          <w:rFonts w:cs="Arial"/>
        </w:rPr>
        <w:t>penalties for slow payment</w:t>
      </w:r>
    </w:p>
    <w:p w:rsidR="00D2508A" w:rsidRPr="00445102" w:rsidRDefault="00D2508A" w:rsidP="003D47D8">
      <w:pPr>
        <w:rPr>
          <w:rFonts w:cs="Arial"/>
        </w:rPr>
      </w:pPr>
      <w:r w:rsidRPr="00445102">
        <w:rPr>
          <w:rFonts w:cs="Arial"/>
        </w:rPr>
        <w:t xml:space="preserve">It has been shown in academic literature that those firms employing structured credit scoring have much shorter periods of receivables outstanding and better cash flows (Petersen and </w:t>
      </w:r>
      <w:proofErr w:type="spellStart"/>
      <w:r w:rsidRPr="00445102">
        <w:rPr>
          <w:rFonts w:cs="Arial"/>
        </w:rPr>
        <w:t>Rajan</w:t>
      </w:r>
      <w:proofErr w:type="spellEnd"/>
      <w:r w:rsidRPr="00445102">
        <w:rPr>
          <w:rFonts w:cs="Arial"/>
        </w:rPr>
        <w:t>, 1997).</w:t>
      </w:r>
    </w:p>
    <w:p w:rsidR="00D2508A" w:rsidRPr="00445102" w:rsidRDefault="00D2508A" w:rsidP="003D47D8">
      <w:pPr>
        <w:pStyle w:val="ListParagraph"/>
        <w:numPr>
          <w:ilvl w:val="0"/>
          <w:numId w:val="4"/>
        </w:numPr>
        <w:rPr>
          <w:rFonts w:cs="Arial"/>
          <w:b/>
        </w:rPr>
      </w:pPr>
      <w:r w:rsidRPr="00445102">
        <w:rPr>
          <w:rFonts w:cs="Arial"/>
          <w:b/>
        </w:rPr>
        <w:t>Supplier Negotiation Strategy</w:t>
      </w:r>
    </w:p>
    <w:p w:rsidR="00D2508A" w:rsidRPr="00445102" w:rsidRDefault="00D2508A" w:rsidP="003D47D8">
      <w:pPr>
        <w:rPr>
          <w:rFonts w:cs="Arial"/>
        </w:rPr>
      </w:pPr>
      <w:r w:rsidRPr="00445102">
        <w:rPr>
          <w:rFonts w:cs="Arial"/>
        </w:rPr>
        <w:t>The terms of supplier payments will have to be renegotiated in such a manner that the payables are extended beyond 60 days. Trade credit is a cheap source of finance and especially effective in distress (Watson and Head, 2020). Holding payable period too short will inhibit unnecessary liquidity.</w:t>
      </w:r>
    </w:p>
    <w:p w:rsidR="00D2508A" w:rsidRPr="00445102" w:rsidRDefault="00D2508A" w:rsidP="003D47D8">
      <w:pPr>
        <w:pStyle w:val="ListParagraph"/>
        <w:numPr>
          <w:ilvl w:val="0"/>
          <w:numId w:val="4"/>
        </w:numPr>
        <w:rPr>
          <w:rFonts w:cs="Arial"/>
          <w:b/>
        </w:rPr>
      </w:pPr>
      <w:r w:rsidRPr="00445102">
        <w:rPr>
          <w:rFonts w:cs="Arial"/>
          <w:b/>
        </w:rPr>
        <w:lastRenderedPageBreak/>
        <w:t>Cash Forecasting Integration</w:t>
      </w:r>
    </w:p>
    <w:p w:rsidR="00D2508A" w:rsidRPr="00445102" w:rsidRDefault="00D2508A" w:rsidP="003D47D8">
      <w:pPr>
        <w:rPr>
          <w:rFonts w:cs="Arial"/>
        </w:rPr>
      </w:pPr>
      <w:r w:rsidRPr="00445102">
        <w:rPr>
          <w:rFonts w:cs="Arial"/>
        </w:rPr>
        <w:t xml:space="preserve">The company has unfavorable trends in free cash flow. The rolling 13-week </w:t>
      </w:r>
      <w:proofErr w:type="spellStart"/>
      <w:r w:rsidRPr="00445102">
        <w:rPr>
          <w:rFonts w:cs="Arial"/>
        </w:rPr>
        <w:t>cashflow</w:t>
      </w:r>
      <w:proofErr w:type="spellEnd"/>
      <w:r w:rsidRPr="00445102">
        <w:rPr>
          <w:rFonts w:cs="Arial"/>
        </w:rPr>
        <w:t xml:space="preserve"> forecasts are the implementation of expenditure matching the cash timing, which is a usual insolvency planning strategy (Arnold, 2019).</w:t>
      </w:r>
    </w:p>
    <w:p w:rsidR="00D2508A" w:rsidRPr="00445102" w:rsidRDefault="00D2508A" w:rsidP="003D47D8">
      <w:pPr>
        <w:pStyle w:val="ListParagraph"/>
        <w:numPr>
          <w:ilvl w:val="0"/>
          <w:numId w:val="4"/>
        </w:numPr>
        <w:rPr>
          <w:rFonts w:cs="Arial"/>
          <w:b/>
        </w:rPr>
      </w:pPr>
      <w:r w:rsidRPr="00445102">
        <w:rPr>
          <w:rFonts w:cs="Arial"/>
          <w:b/>
        </w:rPr>
        <w:t>Working-Capital KPIs and Cultural Change</w:t>
      </w:r>
    </w:p>
    <w:p w:rsidR="00D2508A" w:rsidRPr="00445102" w:rsidRDefault="00D2508A" w:rsidP="003D47D8">
      <w:pPr>
        <w:rPr>
          <w:rFonts w:cs="Arial"/>
        </w:rPr>
      </w:pPr>
      <w:r w:rsidRPr="00445102">
        <w:rPr>
          <w:rFonts w:cs="Arial"/>
        </w:rPr>
        <w:t xml:space="preserve">Reforms of WCM cannot be achieved without </w:t>
      </w:r>
      <w:proofErr w:type="spellStart"/>
      <w:r w:rsidRPr="00445102">
        <w:rPr>
          <w:rFonts w:cs="Arial"/>
        </w:rPr>
        <w:t>organisational</w:t>
      </w:r>
      <w:proofErr w:type="spellEnd"/>
      <w:r w:rsidRPr="00445102">
        <w:rPr>
          <w:rFonts w:cs="Arial"/>
        </w:rPr>
        <w:t xml:space="preserve"> commitment and cross-functional responsibility (Shin &amp; </w:t>
      </w:r>
      <w:proofErr w:type="spellStart"/>
      <w:r w:rsidRPr="00445102">
        <w:rPr>
          <w:rFonts w:cs="Arial"/>
        </w:rPr>
        <w:t>Soenen</w:t>
      </w:r>
      <w:proofErr w:type="spellEnd"/>
      <w:r w:rsidRPr="00445102">
        <w:rPr>
          <w:rFonts w:cs="Arial"/>
        </w:rPr>
        <w:t xml:space="preserve">, 1998). The </w:t>
      </w:r>
      <w:proofErr w:type="spellStart"/>
      <w:r w:rsidRPr="00445102">
        <w:rPr>
          <w:rFonts w:cs="Arial"/>
        </w:rPr>
        <w:t>behavioural</w:t>
      </w:r>
      <w:proofErr w:type="spellEnd"/>
      <w:r w:rsidRPr="00445102">
        <w:rPr>
          <w:rFonts w:cs="Arial"/>
        </w:rPr>
        <w:t xml:space="preserve"> change will be enforced by developing KPI in procurement, sales, and production.</w:t>
      </w:r>
    </w:p>
    <w:p w:rsidR="00D2508A" w:rsidRPr="00445102" w:rsidRDefault="00D2508A" w:rsidP="003D47D8">
      <w:pPr>
        <w:rPr>
          <w:rFonts w:cs="Arial"/>
        </w:rPr>
      </w:pPr>
      <w:r w:rsidRPr="00445102">
        <w:rPr>
          <w:rFonts w:cs="Arial"/>
        </w:rPr>
        <w:t>Together, these measures are expected to have a significant decrease in the CCC, raise the cash holdings and contribute to restructuring.</w:t>
      </w:r>
    </w:p>
    <w:p w:rsidR="00B42557" w:rsidRPr="00445102" w:rsidRDefault="00B42557" w:rsidP="003D47D8">
      <w:pPr>
        <w:pStyle w:val="Heading2"/>
        <w:rPr>
          <w:rFonts w:cs="Arial"/>
        </w:rPr>
      </w:pPr>
      <w:bookmarkStart w:id="13" w:name="_Toc217270148"/>
      <w:r w:rsidRPr="00445102">
        <w:rPr>
          <w:rFonts w:cs="Arial"/>
        </w:rPr>
        <w:t>2.3 Short-Term vs Long-Term Financing Options</w:t>
      </w:r>
      <w:bookmarkEnd w:id="13"/>
    </w:p>
    <w:p w:rsidR="000F7FD8" w:rsidRPr="00445102" w:rsidRDefault="000F7FD8" w:rsidP="000F7FD8">
      <w:pPr>
        <w:rPr>
          <w:rFonts w:cs="Arial"/>
        </w:rPr>
      </w:pPr>
      <w:r w:rsidRPr="00445102">
        <w:rPr>
          <w:rFonts w:cs="Arial"/>
        </w:rPr>
        <w:t>Successful restructuring involves matching financing option to short term liquidity demands and long-term capital solidity. Short-term instruments Overdrafts, working-capital loans, invoice factoring and revolving credit lines are often employed to deal with urgent cash requirements since they can be secured quickly and require minimum legal formalities (Arnold, 2019). Their benefits are however conditional. The pace of approval requires a lot of creditworthiness and the punitive rates imposed on distressed companies is subject to collateral demands and restrictive covenants (</w:t>
      </w:r>
      <w:proofErr w:type="spellStart"/>
      <w:r w:rsidRPr="00445102">
        <w:rPr>
          <w:rFonts w:cs="Arial"/>
        </w:rPr>
        <w:t>Brealey</w:t>
      </w:r>
      <w:proofErr w:type="spellEnd"/>
      <w:r w:rsidRPr="00445102">
        <w:rPr>
          <w:rFonts w:cs="Arial"/>
        </w:rPr>
        <w:t xml:space="preserve"> et al., 2020). In the case of General Electronics the short term borrowing can give much needed time to the company as the operational reforms continue but this can lead to higher refinancing exposure and interest rate fluctuation that may have higher chances to increase default risk.</w:t>
      </w:r>
    </w:p>
    <w:p w:rsidR="00B42557" w:rsidRPr="00445102" w:rsidRDefault="000F7FD8" w:rsidP="000F7FD8">
      <w:pPr>
        <w:rPr>
          <w:rFonts w:cs="Arial"/>
        </w:rPr>
      </w:pPr>
      <w:r w:rsidRPr="00445102">
        <w:rPr>
          <w:rFonts w:cs="Arial"/>
        </w:rPr>
        <w:t xml:space="preserve">Long-term financing, in its turn, provides structural </w:t>
      </w:r>
      <w:r w:rsidR="00A70B08" w:rsidRPr="00445102">
        <w:rPr>
          <w:rFonts w:cs="Arial"/>
        </w:rPr>
        <w:t>restoration</w:t>
      </w:r>
      <w:r w:rsidRPr="00445102">
        <w:rPr>
          <w:rFonts w:cs="Arial"/>
        </w:rPr>
        <w:t xml:space="preserve"> of the balance sheet. Gearing can be lowered by issuing equity, financing by issuing private placements and refinancing debt securities, and in turn, sustainable turnaround results can be achieved (Ross, </w:t>
      </w:r>
      <w:r w:rsidR="00083A46" w:rsidRPr="00445102">
        <w:rPr>
          <w:rFonts w:cs="Arial"/>
        </w:rPr>
        <w:t>et al.</w:t>
      </w:r>
      <w:r w:rsidRPr="00445102">
        <w:rPr>
          <w:rFonts w:cs="Arial"/>
        </w:rPr>
        <w:t>, 2022). However, these advantages have drawbacks. Equity raises dilute ownership and can be mispriced when markets are pessimistic whereas long-term debt deals take longer and subject to in</w:t>
      </w:r>
      <w:r w:rsidR="00A70B08" w:rsidRPr="00445102">
        <w:rPr>
          <w:rFonts w:cs="Arial"/>
        </w:rPr>
        <w:t>vestor confidence. T</w:t>
      </w:r>
      <w:r w:rsidRPr="00445102">
        <w:rPr>
          <w:rFonts w:cs="Arial"/>
        </w:rPr>
        <w:t>he c</w:t>
      </w:r>
      <w:r w:rsidR="00A70B08" w:rsidRPr="00445102">
        <w:rPr>
          <w:rFonts w:cs="Arial"/>
        </w:rPr>
        <w:t>ombined approach is recommended as</w:t>
      </w:r>
      <w:r w:rsidRPr="00445102">
        <w:rPr>
          <w:rFonts w:cs="Arial"/>
        </w:rPr>
        <w:t xml:space="preserve"> immediate financing to stabilize cash </w:t>
      </w:r>
      <w:r w:rsidR="00A70B08" w:rsidRPr="00445102">
        <w:rPr>
          <w:rFonts w:cs="Arial"/>
        </w:rPr>
        <w:t>flow using short-term financing.</w:t>
      </w:r>
      <w:r w:rsidRPr="00445102">
        <w:rPr>
          <w:rFonts w:cs="Arial"/>
        </w:rPr>
        <w:t xml:space="preserve"> </w:t>
      </w:r>
      <w:r w:rsidR="00A70B08" w:rsidRPr="00445102">
        <w:rPr>
          <w:rFonts w:cs="Arial"/>
        </w:rPr>
        <w:lastRenderedPageBreak/>
        <w:t>Which</w:t>
      </w:r>
      <w:r w:rsidRPr="00445102">
        <w:rPr>
          <w:rFonts w:cs="Arial"/>
        </w:rPr>
        <w:t xml:space="preserve"> should be accompanied by long-term capital restructuring to restore solvency and renew the strategy.</w:t>
      </w:r>
    </w:p>
    <w:p w:rsidR="00B42557" w:rsidRPr="00445102" w:rsidRDefault="00B42557" w:rsidP="00DB33B8">
      <w:pPr>
        <w:pStyle w:val="Heading2"/>
        <w:rPr>
          <w:rFonts w:cs="Arial"/>
        </w:rPr>
      </w:pPr>
      <w:bookmarkStart w:id="14" w:name="_Toc217270149"/>
      <w:r w:rsidRPr="00445102">
        <w:rPr>
          <w:rFonts w:cs="Arial"/>
        </w:rPr>
        <w:t>2.4 Strategic Evaluation</w:t>
      </w:r>
      <w:bookmarkEnd w:id="14"/>
    </w:p>
    <w:p w:rsidR="00DB33B8" w:rsidRPr="00445102" w:rsidRDefault="00A70B08" w:rsidP="00DB33B8">
      <w:pPr>
        <w:rPr>
          <w:rFonts w:cs="Arial"/>
        </w:rPr>
      </w:pPr>
      <w:r w:rsidRPr="00445102">
        <w:rPr>
          <w:rFonts w:cs="Arial"/>
        </w:rPr>
        <w:t>T</w:t>
      </w:r>
      <w:r w:rsidR="00DB33B8" w:rsidRPr="00445102">
        <w:rPr>
          <w:rFonts w:cs="Arial"/>
        </w:rPr>
        <w:t>he working-capital performance of General Electronics is a major weakness. Receivable inflation and inventory mismanagement, shortened payables, and decreasing cash ratios are all serious problems that i</w:t>
      </w:r>
      <w:r w:rsidRPr="00445102">
        <w:rPr>
          <w:rFonts w:cs="Arial"/>
        </w:rPr>
        <w:t>ncrease the risk of bankruptcy.</w:t>
      </w:r>
      <w:r w:rsidR="00DB33B8" w:rsidRPr="00445102">
        <w:rPr>
          <w:rFonts w:cs="Arial"/>
        </w:rPr>
        <w:t xml:space="preserve"> Over the years, the firm needs to focus on the effective execution of a package based on the tightening of its receivables, the restructuring of its inventory, supplier renegotiation, and professional cash forecasting to generate liquidity, stabilize financial performance, and ensure operational continuity.</w:t>
      </w:r>
    </w:p>
    <w:p w:rsidR="00B42557" w:rsidRPr="00445102" w:rsidRDefault="00B42557" w:rsidP="003D47D8">
      <w:pPr>
        <w:pStyle w:val="Heading1"/>
        <w:rPr>
          <w:rFonts w:cs="Arial"/>
        </w:rPr>
      </w:pPr>
      <w:bookmarkStart w:id="15" w:name="_Toc217270150"/>
      <w:r w:rsidRPr="00445102">
        <w:rPr>
          <w:rFonts w:cs="Arial"/>
        </w:rPr>
        <w:t>3. Strategic Financial Restructuring Plan</w:t>
      </w:r>
      <w:bookmarkEnd w:id="15"/>
    </w:p>
    <w:p w:rsidR="00B42557" w:rsidRPr="00445102" w:rsidRDefault="00655D23" w:rsidP="003D47D8">
      <w:pPr>
        <w:rPr>
          <w:rFonts w:cs="Arial"/>
        </w:rPr>
      </w:pPr>
      <w:r w:rsidRPr="00445102">
        <w:rPr>
          <w:rFonts w:cs="Arial"/>
        </w:rPr>
        <w:t xml:space="preserve">The strategic financial restructuring plan should </w:t>
      </w:r>
      <w:proofErr w:type="spellStart"/>
      <w:r w:rsidRPr="00445102">
        <w:rPr>
          <w:rFonts w:cs="Arial"/>
        </w:rPr>
        <w:t>stabilise</w:t>
      </w:r>
      <w:proofErr w:type="spellEnd"/>
      <w:r w:rsidRPr="00445102">
        <w:rPr>
          <w:rFonts w:cs="Arial"/>
        </w:rPr>
        <w:t xml:space="preserve"> solvency, reinstate investor confidence and put the General Electronics on a long competitive recovery path. Financial restructuring is defined as the modification of the debt and equity structure, the reposition of the assets portfolio, and the value-generating redesign of the capital structure (Arnold, 2019). With the declining profitability, high gearing, and deteriorated liquidity and an immensely low Altman Z-score, gradual reforms are inadequate. Rather, the radical model of restructuring based on the divestiture of assets, equity </w:t>
      </w:r>
      <w:proofErr w:type="spellStart"/>
      <w:r w:rsidRPr="00445102">
        <w:rPr>
          <w:rFonts w:cs="Arial"/>
        </w:rPr>
        <w:t>capitalisation</w:t>
      </w:r>
      <w:proofErr w:type="spellEnd"/>
      <w:r w:rsidRPr="00445102">
        <w:rPr>
          <w:rFonts w:cs="Arial"/>
        </w:rPr>
        <w:t xml:space="preserve"> and selective international consolidation is necessary.</w:t>
      </w:r>
    </w:p>
    <w:p w:rsidR="00655D23" w:rsidRPr="00445102" w:rsidRDefault="00655D23" w:rsidP="003D47D8">
      <w:pPr>
        <w:pStyle w:val="Heading2"/>
        <w:rPr>
          <w:rFonts w:cs="Arial"/>
        </w:rPr>
      </w:pPr>
      <w:bookmarkStart w:id="16" w:name="_Toc217270151"/>
      <w:r w:rsidRPr="00445102">
        <w:rPr>
          <w:rFonts w:cs="Arial"/>
        </w:rPr>
        <w:t>3.1 Rationales behind Financial Restructuring</w:t>
      </w:r>
      <w:bookmarkEnd w:id="16"/>
      <w:r w:rsidRPr="00445102">
        <w:rPr>
          <w:rFonts w:cs="Arial"/>
        </w:rPr>
        <w:t xml:space="preserve"> </w:t>
      </w:r>
    </w:p>
    <w:p w:rsidR="00655D23" w:rsidRPr="00445102" w:rsidRDefault="00655D23" w:rsidP="003D47D8">
      <w:pPr>
        <w:rPr>
          <w:rFonts w:cs="Arial"/>
        </w:rPr>
      </w:pPr>
      <w:r w:rsidRPr="00445102">
        <w:rPr>
          <w:rFonts w:cs="Arial"/>
        </w:rPr>
        <w:t xml:space="preserve">According to Pearce and Robbins, (1993), troubled companies have to deal with the operational and financial flaws at the same time in order to prevent going bankrupt. General Electronics has negative net margins, negative free cash flow and increasing debt-to-equity ratios over 1.0. The interest coverage of the firm became negative, which means that the current capital structure is not sustainable anymore. </w:t>
      </w:r>
      <w:r w:rsidR="00427B5E" w:rsidRPr="00445102">
        <w:rPr>
          <w:rFonts w:cs="Arial"/>
        </w:rPr>
        <w:t>R</w:t>
      </w:r>
      <w:r w:rsidRPr="00445102">
        <w:rPr>
          <w:rFonts w:cs="Arial"/>
        </w:rPr>
        <w:t>esearch shows that the amplification of leverage in the falling profitability severely raises the inso</w:t>
      </w:r>
      <w:r w:rsidR="00427B5E" w:rsidRPr="00445102">
        <w:rPr>
          <w:rFonts w:cs="Arial"/>
        </w:rPr>
        <w:t>lvency likelihood (Myers, 1977</w:t>
      </w:r>
      <w:r w:rsidRPr="00445102">
        <w:rPr>
          <w:rFonts w:cs="Arial"/>
        </w:rPr>
        <w:t>).</w:t>
      </w:r>
    </w:p>
    <w:p w:rsidR="00655D23" w:rsidRPr="00445102" w:rsidRDefault="00655D23" w:rsidP="003D47D8">
      <w:pPr>
        <w:pStyle w:val="Heading2"/>
        <w:rPr>
          <w:rFonts w:cs="Arial"/>
        </w:rPr>
      </w:pPr>
      <w:bookmarkStart w:id="17" w:name="_Toc217270152"/>
      <w:r w:rsidRPr="00445102">
        <w:rPr>
          <w:rFonts w:cs="Arial"/>
        </w:rPr>
        <w:lastRenderedPageBreak/>
        <w:t>3.2 Strategy of recommende</w:t>
      </w:r>
      <w:r w:rsidR="00FC4E43" w:rsidRPr="00445102">
        <w:rPr>
          <w:rFonts w:cs="Arial"/>
        </w:rPr>
        <w:t>d restructuring</w:t>
      </w:r>
      <w:bookmarkEnd w:id="17"/>
    </w:p>
    <w:p w:rsidR="000F7FD8" w:rsidRPr="00445102" w:rsidRDefault="00655D23" w:rsidP="000F7FD8">
      <w:pPr>
        <w:pStyle w:val="ListParagraph"/>
        <w:numPr>
          <w:ilvl w:val="0"/>
          <w:numId w:val="14"/>
        </w:numPr>
        <w:rPr>
          <w:rFonts w:cs="Arial"/>
          <w:b/>
        </w:rPr>
      </w:pPr>
      <w:r w:rsidRPr="00445102">
        <w:rPr>
          <w:rFonts w:cs="Arial"/>
          <w:b/>
        </w:rPr>
        <w:t>Divestiture of Non-Core Assets</w:t>
      </w:r>
    </w:p>
    <w:p w:rsidR="00655D23" w:rsidRPr="00445102" w:rsidRDefault="000F7FD8" w:rsidP="003D47D8">
      <w:pPr>
        <w:rPr>
          <w:rFonts w:cs="Arial"/>
        </w:rPr>
      </w:pPr>
      <w:r w:rsidRPr="00445102">
        <w:rPr>
          <w:rFonts w:cs="Arial"/>
        </w:rPr>
        <w:t xml:space="preserve">The first restructuring mechanism that can be offered to General Electronics is the divesting of non-core and unprofitable divisions. The divestiture is a good refocusing strategy that enhances managerial control, capital effectiveness, and </w:t>
      </w:r>
      <w:proofErr w:type="spellStart"/>
      <w:r w:rsidRPr="00445102">
        <w:rPr>
          <w:rFonts w:cs="Arial"/>
        </w:rPr>
        <w:t>organisational</w:t>
      </w:r>
      <w:proofErr w:type="spellEnd"/>
      <w:r w:rsidRPr="00445102">
        <w:rPr>
          <w:rFonts w:cs="Arial"/>
        </w:rPr>
        <w:t xml:space="preserve"> concentration on profitable st</w:t>
      </w:r>
      <w:r w:rsidR="00A70B08" w:rsidRPr="00445102">
        <w:rPr>
          <w:rFonts w:cs="Arial"/>
        </w:rPr>
        <w:t>reams (Bowman and Singh, 1993).</w:t>
      </w:r>
      <w:r w:rsidRPr="00445102">
        <w:rPr>
          <w:rFonts w:cs="Arial"/>
        </w:rPr>
        <w:t xml:space="preserve"> The divestiture of the units is thus not merely an economical move but a strategic rebranding to areas which possess greater growth opportunities, i.e. interactive gaming, display technologies, IoT systems, cloud software integration and subscription ecosystems. According to Pearce and Robbins (1993), it is usually the catalyst of turnaround success; that is, divestiture is the release of liquidity, </w:t>
      </w:r>
      <w:proofErr w:type="spellStart"/>
      <w:r w:rsidRPr="00445102">
        <w:rPr>
          <w:rFonts w:cs="Arial"/>
        </w:rPr>
        <w:t>minimisation</w:t>
      </w:r>
      <w:proofErr w:type="spellEnd"/>
      <w:r w:rsidRPr="00445102">
        <w:rPr>
          <w:rFonts w:cs="Arial"/>
        </w:rPr>
        <w:t xml:space="preserve"> of overheads and </w:t>
      </w:r>
      <w:proofErr w:type="spellStart"/>
      <w:r w:rsidRPr="00445102">
        <w:rPr>
          <w:rFonts w:cs="Arial"/>
        </w:rPr>
        <w:t>maximisation</w:t>
      </w:r>
      <w:proofErr w:type="spellEnd"/>
      <w:r w:rsidRPr="00445102">
        <w:rPr>
          <w:rFonts w:cs="Arial"/>
        </w:rPr>
        <w:t xml:space="preserve"> of return ratios. It has been estimated that there could be between </w:t>
      </w:r>
      <w:r w:rsidR="004E78F7" w:rsidRPr="00445102">
        <w:rPr>
          <w:rFonts w:cs="Arial"/>
        </w:rPr>
        <w:t xml:space="preserve">£5bn-£9bn </w:t>
      </w:r>
      <w:r w:rsidRPr="00445102">
        <w:rPr>
          <w:rFonts w:cs="Arial"/>
        </w:rPr>
        <w:t>of sale proceeds in the form of disposable cash, subject to asset book values and impairment adjustments. Such inflows would provide a boost to working capital, meet restructuring expenses, and give the company</w:t>
      </w:r>
      <w:r w:rsidR="00A70B08" w:rsidRPr="00445102">
        <w:rPr>
          <w:rFonts w:cs="Arial"/>
        </w:rPr>
        <w:t xml:space="preserve"> resources to pay off the debts</w:t>
      </w:r>
      <w:r w:rsidRPr="00445102">
        <w:rPr>
          <w:rFonts w:cs="Arial"/>
        </w:rPr>
        <w:t>.</w:t>
      </w:r>
      <w:r w:rsidR="00A70B08" w:rsidRPr="00445102">
        <w:rPr>
          <w:rFonts w:cs="Arial"/>
        </w:rPr>
        <w:t xml:space="preserve"> </w:t>
      </w:r>
    </w:p>
    <w:p w:rsidR="002D30A3" w:rsidRPr="00445102" w:rsidRDefault="00655D23" w:rsidP="003D47D8">
      <w:pPr>
        <w:pStyle w:val="ListParagraph"/>
        <w:numPr>
          <w:ilvl w:val="0"/>
          <w:numId w:val="14"/>
        </w:numPr>
        <w:rPr>
          <w:rFonts w:cs="Arial"/>
        </w:rPr>
      </w:pPr>
      <w:r w:rsidRPr="00445102">
        <w:rPr>
          <w:rFonts w:cs="Arial"/>
          <w:b/>
        </w:rPr>
        <w:t xml:space="preserve">Restructuring and </w:t>
      </w:r>
      <w:proofErr w:type="spellStart"/>
      <w:r w:rsidRPr="00445102">
        <w:rPr>
          <w:rFonts w:cs="Arial"/>
          <w:b/>
        </w:rPr>
        <w:t>Reprofiling</w:t>
      </w:r>
      <w:proofErr w:type="spellEnd"/>
      <w:r w:rsidRPr="00445102">
        <w:rPr>
          <w:rFonts w:cs="Arial"/>
          <w:b/>
        </w:rPr>
        <w:t xml:space="preserve"> of Deb</w:t>
      </w:r>
      <w:r w:rsidR="00FC4E43" w:rsidRPr="00445102">
        <w:rPr>
          <w:rFonts w:cs="Arial"/>
        </w:rPr>
        <w:t>t</w:t>
      </w:r>
    </w:p>
    <w:p w:rsidR="00655D23" w:rsidRPr="00445102" w:rsidRDefault="004E78F7" w:rsidP="003D47D8">
      <w:pPr>
        <w:rPr>
          <w:rFonts w:cs="Arial"/>
        </w:rPr>
      </w:pPr>
      <w:r w:rsidRPr="00445102">
        <w:rPr>
          <w:rFonts w:cs="Arial"/>
        </w:rPr>
        <w:t xml:space="preserve">The second element of the restructuring is on the unsustainable debt profile that is currently looming over solvency. The negative interest coverage and high leverage means that it could not cover its scheduled repayment thus </w:t>
      </w:r>
      <w:proofErr w:type="spellStart"/>
      <w:r w:rsidRPr="00445102">
        <w:rPr>
          <w:rFonts w:cs="Arial"/>
        </w:rPr>
        <w:t>reprofiling</w:t>
      </w:r>
      <w:proofErr w:type="spellEnd"/>
      <w:r w:rsidRPr="00445102">
        <w:rPr>
          <w:rFonts w:cs="Arial"/>
        </w:rPr>
        <w:t xml:space="preserve"> is important. Renegotiated debt should come with longer maturities, interest price adjustments and covenant relaxation, which will reduce the annual financing costs and eliminate urgent liquidity requirements. Hotchkiss et al. (2020) discover that risk of short-term refinancing is greatly reduced when debt maturities are extended, which leads to increased survival rates among distressed </w:t>
      </w:r>
      <w:proofErr w:type="spellStart"/>
      <w:r w:rsidRPr="00445102">
        <w:rPr>
          <w:rFonts w:cs="Arial"/>
        </w:rPr>
        <w:t>organisations</w:t>
      </w:r>
      <w:proofErr w:type="spellEnd"/>
      <w:r w:rsidRPr="00445102">
        <w:rPr>
          <w:rFonts w:cs="Arial"/>
        </w:rPr>
        <w:t xml:space="preserve">. Part debt-equity swap is also suggested, as 15-20 percent of the debt is converted to equity to </w:t>
      </w:r>
      <w:proofErr w:type="spellStart"/>
      <w:r w:rsidRPr="00445102">
        <w:rPr>
          <w:rFonts w:cs="Arial"/>
        </w:rPr>
        <w:t>stabilise</w:t>
      </w:r>
      <w:proofErr w:type="spellEnd"/>
      <w:r w:rsidRPr="00445102">
        <w:rPr>
          <w:rFonts w:cs="Arial"/>
        </w:rPr>
        <w:t xml:space="preserve"> the capital structure, lowering the gearing as well as the better perception of the investors. This strategy is supported by Myers (1977) who asserts that reducing the debt </w:t>
      </w:r>
      <w:r w:rsidR="00A70B08" w:rsidRPr="00445102">
        <w:rPr>
          <w:rFonts w:cs="Arial"/>
        </w:rPr>
        <w:t>extension</w:t>
      </w:r>
      <w:r w:rsidRPr="00445102">
        <w:rPr>
          <w:rFonts w:cs="Arial"/>
        </w:rPr>
        <w:t xml:space="preserve"> can help in tackling under</w:t>
      </w:r>
      <w:r w:rsidR="00A70B08" w:rsidRPr="00445102">
        <w:rPr>
          <w:rFonts w:cs="Arial"/>
        </w:rPr>
        <w:t>-</w:t>
      </w:r>
      <w:r w:rsidRPr="00445102">
        <w:rPr>
          <w:rFonts w:cs="Arial"/>
        </w:rPr>
        <w:t xml:space="preserve">investment to facilitate the implementation of </w:t>
      </w:r>
      <w:r w:rsidR="00A70B08" w:rsidRPr="00445102">
        <w:rPr>
          <w:rFonts w:cs="Arial"/>
        </w:rPr>
        <w:t>feasible</w:t>
      </w:r>
      <w:r w:rsidRPr="00445102">
        <w:rPr>
          <w:rFonts w:cs="Arial"/>
        </w:rPr>
        <w:t xml:space="preserve"> strategic projects. The combination of the measures would restore balance-sheet credibility, enhance cash flow stability and make business more attractive to further lenders</w:t>
      </w:r>
      <w:r w:rsidR="002D30A3" w:rsidRPr="00445102">
        <w:rPr>
          <w:rFonts w:cs="Arial"/>
        </w:rPr>
        <w:t>.</w:t>
      </w:r>
    </w:p>
    <w:p w:rsidR="00655D23" w:rsidRPr="00445102" w:rsidRDefault="00655D23" w:rsidP="003D47D8">
      <w:pPr>
        <w:pStyle w:val="ListParagraph"/>
        <w:numPr>
          <w:ilvl w:val="0"/>
          <w:numId w:val="14"/>
        </w:numPr>
        <w:rPr>
          <w:rFonts w:cs="Arial"/>
        </w:rPr>
      </w:pPr>
      <w:r w:rsidRPr="00445102">
        <w:rPr>
          <w:rFonts w:cs="Arial"/>
          <w:b/>
        </w:rPr>
        <w:lastRenderedPageBreak/>
        <w:t>Equity Capital Injection by Institutional Placement</w:t>
      </w:r>
    </w:p>
    <w:p w:rsidR="00655D23" w:rsidRPr="00445102" w:rsidRDefault="004E78F7" w:rsidP="003D47D8">
      <w:pPr>
        <w:rPr>
          <w:rFonts w:cs="Arial"/>
        </w:rPr>
      </w:pPr>
      <w:r w:rsidRPr="00445102">
        <w:rPr>
          <w:rFonts w:cs="Arial"/>
        </w:rPr>
        <w:t xml:space="preserve">Another restructuring stream is by injecting fresh equity capital by way of a private institutional placement. Equity raising of between </w:t>
      </w:r>
      <w:r w:rsidR="00892A4B" w:rsidRPr="00445102">
        <w:rPr>
          <w:rFonts w:cs="Arial"/>
        </w:rPr>
        <w:t xml:space="preserve">£3 and £5bn </w:t>
      </w:r>
      <w:r w:rsidRPr="00445102">
        <w:rPr>
          <w:rFonts w:cs="Arial"/>
        </w:rPr>
        <w:t xml:space="preserve">by the strategic institutional partners would strengthen long term solvency, and credit rating potential and limit the reliance on further borrowing. Public issue is not the best choice compared with institutional placement as it would dilute shares, it is an indicator of investor confidence and it would raise funds faster. Modigliani and Miller (1963) believe that the lower the leverage, the lower the distress cost and the higher the value of the company especially when future success relies on continued investment spending. Equity </w:t>
      </w:r>
      <w:proofErr w:type="spellStart"/>
      <w:r w:rsidRPr="00445102">
        <w:rPr>
          <w:rFonts w:cs="Arial"/>
        </w:rPr>
        <w:t>recapitalisation</w:t>
      </w:r>
      <w:proofErr w:type="spellEnd"/>
      <w:r w:rsidRPr="00445102">
        <w:rPr>
          <w:rFonts w:cs="Arial"/>
        </w:rPr>
        <w:t xml:space="preserve">, in conjunction with divestiture and debt restructuring, will fund internal capital to upgrade operations, </w:t>
      </w:r>
      <w:proofErr w:type="spellStart"/>
      <w:r w:rsidRPr="00445102">
        <w:rPr>
          <w:rFonts w:cs="Arial"/>
        </w:rPr>
        <w:t>digitalise</w:t>
      </w:r>
      <w:proofErr w:type="spellEnd"/>
      <w:r w:rsidRPr="00445102">
        <w:rPr>
          <w:rFonts w:cs="Arial"/>
        </w:rPr>
        <w:t>, automate, and rehabilitate working-capital, which will support a long-lasting turn-around trajectory.</w:t>
      </w:r>
    </w:p>
    <w:p w:rsidR="00655D23" w:rsidRPr="00445102" w:rsidRDefault="002D30A3" w:rsidP="003D47D8">
      <w:pPr>
        <w:pStyle w:val="ListParagraph"/>
        <w:numPr>
          <w:ilvl w:val="0"/>
          <w:numId w:val="14"/>
        </w:numPr>
        <w:rPr>
          <w:rFonts w:cs="Arial"/>
          <w:b/>
        </w:rPr>
      </w:pPr>
      <w:r w:rsidRPr="00445102">
        <w:rPr>
          <w:rFonts w:cs="Arial"/>
          <w:b/>
        </w:rPr>
        <w:t>Merger or Strategic Alliance Option</w:t>
      </w:r>
    </w:p>
    <w:p w:rsidR="00655D23" w:rsidRPr="00445102" w:rsidRDefault="00427B5E" w:rsidP="003D47D8">
      <w:pPr>
        <w:rPr>
          <w:rFonts w:cs="Arial"/>
        </w:rPr>
      </w:pPr>
      <w:r w:rsidRPr="00445102">
        <w:rPr>
          <w:rFonts w:cs="Arial"/>
        </w:rPr>
        <w:t>The company</w:t>
      </w:r>
      <w:r w:rsidR="00655D23" w:rsidRPr="00445102">
        <w:rPr>
          <w:rFonts w:cs="Arial"/>
        </w:rPr>
        <w:t xml:space="preserve"> should consider a partial asset merger or cross-border technology alliance with suppliers of semiconductor in Asia. Mergers create synergies, technological, and cost </w:t>
      </w:r>
      <w:proofErr w:type="spellStart"/>
      <w:r w:rsidR="00655D23" w:rsidRPr="00445102">
        <w:rPr>
          <w:rFonts w:cs="Arial"/>
        </w:rPr>
        <w:t>rationalisation</w:t>
      </w:r>
      <w:proofErr w:type="spellEnd"/>
      <w:r w:rsidR="00655D23" w:rsidRPr="00445102">
        <w:rPr>
          <w:rFonts w:cs="Arial"/>
        </w:rPr>
        <w:t xml:space="preserve"> (</w:t>
      </w:r>
      <w:proofErr w:type="spellStart"/>
      <w:r w:rsidR="00655D23" w:rsidRPr="00445102">
        <w:rPr>
          <w:rFonts w:cs="Arial"/>
        </w:rPr>
        <w:t>Trautwein</w:t>
      </w:r>
      <w:proofErr w:type="spellEnd"/>
      <w:r w:rsidR="00655D23" w:rsidRPr="00445102">
        <w:rPr>
          <w:rFonts w:cs="Arial"/>
        </w:rPr>
        <w:t>, 1990).</w:t>
      </w:r>
    </w:p>
    <w:p w:rsidR="00655D23" w:rsidRPr="00445102" w:rsidRDefault="00655D23" w:rsidP="003D47D8">
      <w:pPr>
        <w:rPr>
          <w:rFonts w:cs="Arial"/>
        </w:rPr>
      </w:pPr>
      <w:r w:rsidRPr="00445102">
        <w:rPr>
          <w:rFonts w:cs="Arial"/>
        </w:rPr>
        <w:t>Nevertheless, there is a high</w:t>
      </w:r>
      <w:r w:rsidR="002D30A3" w:rsidRPr="00445102">
        <w:rPr>
          <w:rFonts w:cs="Arial"/>
        </w:rPr>
        <w:t xml:space="preserve"> risk of merger implementation. I</w:t>
      </w:r>
      <w:r w:rsidRPr="00445102">
        <w:rPr>
          <w:rFonts w:cs="Arial"/>
        </w:rPr>
        <w:t>t is noted that in the case of distressed firms, merger success is less than 35% (</w:t>
      </w:r>
      <w:proofErr w:type="spellStart"/>
      <w:r w:rsidRPr="00445102">
        <w:rPr>
          <w:rFonts w:cs="Arial"/>
        </w:rPr>
        <w:t>Sudarsanam</w:t>
      </w:r>
      <w:proofErr w:type="spellEnd"/>
      <w:r w:rsidRPr="00445102">
        <w:rPr>
          <w:rFonts w:cs="Arial"/>
        </w:rPr>
        <w:t>, 2003). Merger should therefore be stated as a medium term an</w:t>
      </w:r>
      <w:r w:rsidR="002D30A3" w:rsidRPr="00445102">
        <w:rPr>
          <w:rFonts w:cs="Arial"/>
        </w:rPr>
        <w:t>d not short term recovery tool.</w:t>
      </w:r>
    </w:p>
    <w:p w:rsidR="002D30A3" w:rsidRPr="00445102" w:rsidRDefault="002D30A3" w:rsidP="003D47D8">
      <w:pPr>
        <w:pStyle w:val="Heading2"/>
        <w:rPr>
          <w:rFonts w:cs="Arial"/>
        </w:rPr>
      </w:pPr>
      <w:bookmarkStart w:id="18" w:name="_Toc217270153"/>
      <w:r w:rsidRPr="00445102">
        <w:rPr>
          <w:rFonts w:cs="Arial"/>
        </w:rPr>
        <w:t>3.3 Shareholder Value Impact Assessment</w:t>
      </w:r>
      <w:bookmarkEnd w:id="18"/>
    </w:p>
    <w:p w:rsidR="00655D23" w:rsidRPr="00445102" w:rsidRDefault="00655D23" w:rsidP="003D47D8">
      <w:pPr>
        <w:rPr>
          <w:rFonts w:cs="Arial"/>
        </w:rPr>
      </w:pPr>
      <w:r w:rsidRPr="00445102">
        <w:rPr>
          <w:rFonts w:cs="Arial"/>
        </w:rPr>
        <w:t>Restructuring should safeguard the interests of the shareholders.</w:t>
      </w:r>
    </w:p>
    <w:p w:rsidR="00655D23" w:rsidRPr="00445102" w:rsidRDefault="00655D23" w:rsidP="003D47D8">
      <w:pPr>
        <w:rPr>
          <w:rFonts w:cs="Arial"/>
          <w:b/>
        </w:rPr>
      </w:pPr>
      <w:r w:rsidRPr="00445102">
        <w:rPr>
          <w:rFonts w:cs="Arial"/>
          <w:b/>
        </w:rPr>
        <w:t>Short-Term Negative Effects</w:t>
      </w:r>
    </w:p>
    <w:p w:rsidR="00655D23" w:rsidRPr="00445102" w:rsidRDefault="00655D23" w:rsidP="003D47D8">
      <w:pPr>
        <w:rPr>
          <w:rFonts w:cs="Arial"/>
        </w:rPr>
      </w:pPr>
      <w:r w:rsidRPr="00445102">
        <w:rPr>
          <w:rFonts w:cs="Arial"/>
        </w:rPr>
        <w:t xml:space="preserve">The first effect of equity dilution and the sale of assets may be the reduction of share price, which is consistent with the </w:t>
      </w:r>
      <w:proofErr w:type="spellStart"/>
      <w:r w:rsidRPr="00445102">
        <w:rPr>
          <w:rFonts w:cs="Arial"/>
        </w:rPr>
        <w:t>signalling</w:t>
      </w:r>
      <w:proofErr w:type="spellEnd"/>
      <w:r w:rsidRPr="00445102">
        <w:rPr>
          <w:rFonts w:cs="Arial"/>
        </w:rPr>
        <w:t xml:space="preserve"> theory (Ross, 1977).</w:t>
      </w:r>
    </w:p>
    <w:p w:rsidR="00655D23" w:rsidRPr="00445102" w:rsidRDefault="00655D23" w:rsidP="003D47D8">
      <w:pPr>
        <w:rPr>
          <w:rFonts w:cs="Arial"/>
          <w:b/>
        </w:rPr>
      </w:pPr>
      <w:r w:rsidRPr="00445102">
        <w:rPr>
          <w:rFonts w:cs="Arial"/>
          <w:b/>
        </w:rPr>
        <w:t>Long-Term Value Creation</w:t>
      </w:r>
    </w:p>
    <w:p w:rsidR="00655D23" w:rsidRPr="00445102" w:rsidRDefault="00655D23" w:rsidP="003D47D8">
      <w:pPr>
        <w:rPr>
          <w:rFonts w:cs="Arial"/>
        </w:rPr>
      </w:pPr>
      <w:r w:rsidRPr="00445102">
        <w:rPr>
          <w:rFonts w:cs="Arial"/>
        </w:rPr>
        <w:t>Creation of value comes out of:</w:t>
      </w:r>
    </w:p>
    <w:p w:rsidR="00655D23" w:rsidRPr="00445102" w:rsidRDefault="002D30A3" w:rsidP="003D47D8">
      <w:pPr>
        <w:pStyle w:val="ListParagraph"/>
        <w:numPr>
          <w:ilvl w:val="0"/>
          <w:numId w:val="15"/>
        </w:numPr>
        <w:rPr>
          <w:rFonts w:cs="Arial"/>
        </w:rPr>
      </w:pPr>
      <w:r w:rsidRPr="00445102">
        <w:rPr>
          <w:rFonts w:cs="Arial"/>
        </w:rPr>
        <w:t>Reduced</w:t>
      </w:r>
      <w:r w:rsidR="00655D23" w:rsidRPr="00445102">
        <w:rPr>
          <w:rFonts w:cs="Arial"/>
        </w:rPr>
        <w:t xml:space="preserve"> ROE and EPS variability.</w:t>
      </w:r>
    </w:p>
    <w:p w:rsidR="00655D23" w:rsidRPr="00445102" w:rsidRDefault="002D30A3" w:rsidP="003D47D8">
      <w:pPr>
        <w:pStyle w:val="ListParagraph"/>
        <w:numPr>
          <w:ilvl w:val="0"/>
          <w:numId w:val="15"/>
        </w:numPr>
        <w:rPr>
          <w:rFonts w:cs="Arial"/>
        </w:rPr>
      </w:pPr>
      <w:r w:rsidRPr="00445102">
        <w:rPr>
          <w:rFonts w:cs="Arial"/>
        </w:rPr>
        <w:lastRenderedPageBreak/>
        <w:t>Sustainable</w:t>
      </w:r>
      <w:r w:rsidR="00655D23" w:rsidRPr="00445102">
        <w:rPr>
          <w:rFonts w:cs="Arial"/>
        </w:rPr>
        <w:t xml:space="preserve"> cash flow increase.</w:t>
      </w:r>
    </w:p>
    <w:p w:rsidR="00655D23" w:rsidRPr="00445102" w:rsidRDefault="002D30A3" w:rsidP="003D47D8">
      <w:pPr>
        <w:pStyle w:val="ListParagraph"/>
        <w:numPr>
          <w:ilvl w:val="0"/>
          <w:numId w:val="15"/>
        </w:numPr>
        <w:rPr>
          <w:rFonts w:cs="Arial"/>
        </w:rPr>
      </w:pPr>
      <w:r w:rsidRPr="00445102">
        <w:rPr>
          <w:rFonts w:cs="Arial"/>
        </w:rPr>
        <w:t>L</w:t>
      </w:r>
      <w:r w:rsidR="00655D23" w:rsidRPr="00445102">
        <w:rPr>
          <w:rFonts w:cs="Arial"/>
        </w:rPr>
        <w:t>ower distress costs</w:t>
      </w:r>
    </w:p>
    <w:p w:rsidR="00655D23" w:rsidRPr="00445102" w:rsidRDefault="002D30A3" w:rsidP="003D47D8">
      <w:pPr>
        <w:pStyle w:val="ListParagraph"/>
        <w:numPr>
          <w:ilvl w:val="0"/>
          <w:numId w:val="15"/>
        </w:numPr>
        <w:rPr>
          <w:rFonts w:cs="Arial"/>
        </w:rPr>
      </w:pPr>
      <w:r w:rsidRPr="00445102">
        <w:rPr>
          <w:rFonts w:cs="Arial"/>
        </w:rPr>
        <w:t>Restored</w:t>
      </w:r>
      <w:r w:rsidR="00655D23" w:rsidRPr="00445102">
        <w:rPr>
          <w:rFonts w:cs="Arial"/>
        </w:rPr>
        <w:t xml:space="preserve"> competitive edge.</w:t>
      </w:r>
    </w:p>
    <w:p w:rsidR="00655D23" w:rsidRPr="00445102" w:rsidRDefault="002D30A3" w:rsidP="003D47D8">
      <w:pPr>
        <w:pStyle w:val="ListParagraph"/>
        <w:numPr>
          <w:ilvl w:val="0"/>
          <w:numId w:val="15"/>
        </w:numPr>
        <w:rPr>
          <w:rFonts w:cs="Arial"/>
        </w:rPr>
      </w:pPr>
      <w:r w:rsidRPr="00445102">
        <w:rPr>
          <w:rFonts w:cs="Arial"/>
        </w:rPr>
        <w:t>I</w:t>
      </w:r>
      <w:r w:rsidR="00655D23" w:rsidRPr="00445102">
        <w:rPr>
          <w:rFonts w:cs="Arial"/>
        </w:rPr>
        <w:t>mproved market confidence</w:t>
      </w:r>
    </w:p>
    <w:p w:rsidR="00655D23" w:rsidRPr="00445102" w:rsidRDefault="00655D23" w:rsidP="003D47D8">
      <w:pPr>
        <w:rPr>
          <w:rFonts w:cs="Arial"/>
        </w:rPr>
      </w:pPr>
      <w:r w:rsidRPr="00445102">
        <w:rPr>
          <w:rFonts w:cs="Arial"/>
        </w:rPr>
        <w:t xml:space="preserve">Research proves that companies of the structured divestiture and </w:t>
      </w:r>
      <w:proofErr w:type="spellStart"/>
      <w:r w:rsidRPr="00445102">
        <w:rPr>
          <w:rFonts w:cs="Arial"/>
        </w:rPr>
        <w:t>recapitalisation</w:t>
      </w:r>
      <w:proofErr w:type="spellEnd"/>
      <w:r w:rsidRPr="00445102">
        <w:rPr>
          <w:rFonts w:cs="Arial"/>
        </w:rPr>
        <w:t xml:space="preserve"> perform better than non-structured on long-term returns (Hotchkiss et al., 2020).</w:t>
      </w:r>
    </w:p>
    <w:p w:rsidR="002D30A3" w:rsidRPr="00445102" w:rsidRDefault="002D30A3" w:rsidP="003D47D8">
      <w:pPr>
        <w:pStyle w:val="Heading2"/>
        <w:rPr>
          <w:rFonts w:cs="Arial"/>
        </w:rPr>
      </w:pPr>
      <w:bookmarkStart w:id="19" w:name="_Toc217270154"/>
      <w:r w:rsidRPr="00445102">
        <w:rPr>
          <w:rFonts w:cs="Arial"/>
        </w:rPr>
        <w:t xml:space="preserve">3.4 Flexibility </w:t>
      </w:r>
      <w:r w:rsidR="00FC4E43" w:rsidRPr="00445102">
        <w:rPr>
          <w:rFonts w:cs="Arial"/>
        </w:rPr>
        <w:t>of Financing and Debt Structure</w:t>
      </w:r>
      <w:bookmarkEnd w:id="19"/>
    </w:p>
    <w:p w:rsidR="002D30A3" w:rsidRPr="00445102" w:rsidRDefault="002D30A3" w:rsidP="003D47D8">
      <w:pPr>
        <w:rPr>
          <w:rFonts w:cs="Arial"/>
        </w:rPr>
      </w:pPr>
      <w:r w:rsidRPr="00445102">
        <w:rPr>
          <w:rFonts w:cs="Arial"/>
        </w:rPr>
        <w:t>Less dependence on debt and re-organizing maturities will enhance:</w:t>
      </w:r>
    </w:p>
    <w:p w:rsidR="002D30A3" w:rsidRPr="00445102" w:rsidRDefault="002D30A3" w:rsidP="003D47D8">
      <w:pPr>
        <w:pStyle w:val="ListParagraph"/>
        <w:numPr>
          <w:ilvl w:val="0"/>
          <w:numId w:val="16"/>
        </w:numPr>
        <w:rPr>
          <w:rFonts w:cs="Arial"/>
        </w:rPr>
      </w:pPr>
      <w:r w:rsidRPr="00445102">
        <w:rPr>
          <w:rFonts w:cs="Arial"/>
          <w:b/>
        </w:rPr>
        <w:t>Interest coverage</w:t>
      </w:r>
      <w:r w:rsidRPr="00445102">
        <w:rPr>
          <w:rFonts w:cs="Arial"/>
        </w:rPr>
        <w:t>: conversion of EBIT to positive makes funding less demanding.</w:t>
      </w:r>
    </w:p>
    <w:p w:rsidR="002D30A3" w:rsidRPr="00445102" w:rsidRDefault="002D30A3" w:rsidP="003D47D8">
      <w:pPr>
        <w:pStyle w:val="ListParagraph"/>
        <w:numPr>
          <w:ilvl w:val="0"/>
          <w:numId w:val="16"/>
        </w:numPr>
        <w:rPr>
          <w:rFonts w:cs="Arial"/>
        </w:rPr>
      </w:pPr>
      <w:r w:rsidRPr="00445102">
        <w:rPr>
          <w:rFonts w:cs="Arial"/>
          <w:b/>
        </w:rPr>
        <w:t>Borrowing flexibility</w:t>
      </w:r>
      <w:r w:rsidRPr="00445102">
        <w:rPr>
          <w:rFonts w:cs="Arial"/>
        </w:rPr>
        <w:t>: less debt ratios increase covenant restrictions.</w:t>
      </w:r>
    </w:p>
    <w:p w:rsidR="002D30A3" w:rsidRPr="00445102" w:rsidRDefault="002D30A3" w:rsidP="003D47D8">
      <w:pPr>
        <w:pStyle w:val="ListParagraph"/>
        <w:numPr>
          <w:ilvl w:val="0"/>
          <w:numId w:val="16"/>
        </w:numPr>
        <w:rPr>
          <w:rFonts w:cs="Arial"/>
        </w:rPr>
      </w:pPr>
      <w:r w:rsidRPr="00445102">
        <w:rPr>
          <w:rFonts w:cs="Arial"/>
          <w:b/>
        </w:rPr>
        <w:t>Investment capacity</w:t>
      </w:r>
      <w:r w:rsidRPr="00445102">
        <w:rPr>
          <w:rFonts w:cs="Arial"/>
        </w:rPr>
        <w:t>: internal cash flow aids in capital budgeting.</w:t>
      </w:r>
    </w:p>
    <w:p w:rsidR="002D30A3" w:rsidRPr="00445102" w:rsidRDefault="001B0031" w:rsidP="003D47D8">
      <w:pPr>
        <w:rPr>
          <w:rFonts w:cs="Arial"/>
        </w:rPr>
      </w:pPr>
      <w:r w:rsidRPr="00445102">
        <w:rPr>
          <w:rFonts w:cs="Arial"/>
        </w:rPr>
        <w:t>(</w:t>
      </w:r>
      <w:proofErr w:type="spellStart"/>
      <w:r w:rsidRPr="00445102">
        <w:rPr>
          <w:rFonts w:cs="Arial"/>
        </w:rPr>
        <w:t>Brealey</w:t>
      </w:r>
      <w:proofErr w:type="spellEnd"/>
      <w:r w:rsidRPr="00445102">
        <w:rPr>
          <w:rFonts w:cs="Arial"/>
        </w:rPr>
        <w:t xml:space="preserve"> et al.</w:t>
      </w:r>
      <w:r w:rsidR="002D30A3" w:rsidRPr="00445102">
        <w:rPr>
          <w:rFonts w:cs="Arial"/>
        </w:rPr>
        <w:t xml:space="preserve"> (2020) state that a balanced capital structure </w:t>
      </w:r>
      <w:proofErr w:type="spellStart"/>
      <w:r w:rsidR="002D30A3" w:rsidRPr="00445102">
        <w:rPr>
          <w:rFonts w:cs="Arial"/>
        </w:rPr>
        <w:t>maximises</w:t>
      </w:r>
      <w:proofErr w:type="spellEnd"/>
      <w:r w:rsidR="002D30A3" w:rsidRPr="00445102">
        <w:rPr>
          <w:rFonts w:cs="Arial"/>
        </w:rPr>
        <w:t xml:space="preserve"> the value of firms by reducing weighted average cost of capital (WACC).</w:t>
      </w:r>
    </w:p>
    <w:p w:rsidR="002D30A3" w:rsidRPr="00445102" w:rsidRDefault="002D30A3" w:rsidP="003D47D8">
      <w:pPr>
        <w:rPr>
          <w:rFonts w:cs="Arial"/>
        </w:rPr>
      </w:pPr>
      <w:r w:rsidRPr="00445102">
        <w:rPr>
          <w:rFonts w:cs="Arial"/>
          <w:b/>
        </w:rPr>
        <w:t>Target after restructuring gearing ratio</w:t>
      </w:r>
      <w:r w:rsidR="00FC4E43" w:rsidRPr="00445102">
        <w:rPr>
          <w:rFonts w:cs="Arial"/>
        </w:rPr>
        <w:t xml:space="preserve"> = 0.55-0.65.</w:t>
      </w:r>
    </w:p>
    <w:p w:rsidR="002D30A3" w:rsidRPr="00445102" w:rsidRDefault="00FC4E43" w:rsidP="003D47D8">
      <w:pPr>
        <w:pStyle w:val="Heading2"/>
        <w:rPr>
          <w:rFonts w:cs="Arial"/>
        </w:rPr>
      </w:pPr>
      <w:bookmarkStart w:id="20" w:name="_Toc217270155"/>
      <w:r w:rsidRPr="00445102">
        <w:rPr>
          <w:rFonts w:cs="Arial"/>
        </w:rPr>
        <w:t>3.5 Global Financial Risk Assessment</w:t>
      </w:r>
      <w:bookmarkEnd w:id="20"/>
    </w:p>
    <w:p w:rsidR="002D30A3" w:rsidRPr="00445102" w:rsidRDefault="002D30A3" w:rsidP="003D47D8">
      <w:pPr>
        <w:rPr>
          <w:rFonts w:cs="Arial"/>
        </w:rPr>
      </w:pPr>
      <w:r w:rsidRPr="00445102">
        <w:rPr>
          <w:rFonts w:cs="Arial"/>
        </w:rPr>
        <w:t>Being a global company, international financial exposures should be integrated in the restructuring:</w:t>
      </w:r>
    </w:p>
    <w:p w:rsidR="002D30A3" w:rsidRPr="00445102" w:rsidRDefault="002D30A3" w:rsidP="003D47D8">
      <w:pPr>
        <w:pStyle w:val="ListParagraph"/>
        <w:numPr>
          <w:ilvl w:val="0"/>
          <w:numId w:val="18"/>
        </w:numPr>
        <w:rPr>
          <w:rFonts w:cs="Arial"/>
          <w:b/>
        </w:rPr>
      </w:pPr>
      <w:r w:rsidRPr="00445102">
        <w:rPr>
          <w:rFonts w:cs="Arial"/>
          <w:b/>
        </w:rPr>
        <w:t>Currency Risk</w:t>
      </w:r>
    </w:p>
    <w:p w:rsidR="002D30A3" w:rsidRPr="00445102" w:rsidRDefault="002D30A3" w:rsidP="003D47D8">
      <w:pPr>
        <w:rPr>
          <w:rFonts w:cs="Arial"/>
        </w:rPr>
      </w:pPr>
      <w:r w:rsidRPr="00445102">
        <w:rPr>
          <w:rFonts w:cs="Arial"/>
        </w:rPr>
        <w:t>General Electronics is an importer of essential components in East Asia. The fluctuations include currency volatility and in particular GBP/USD and GBP/JPY which enhance procurement risk. It is advisable to implement hedging solutions (forward contracts and options) (Madura, 2021).</w:t>
      </w:r>
    </w:p>
    <w:p w:rsidR="002D30A3" w:rsidRPr="00445102" w:rsidRDefault="002D30A3" w:rsidP="003D47D8">
      <w:pPr>
        <w:pStyle w:val="ListParagraph"/>
        <w:numPr>
          <w:ilvl w:val="0"/>
          <w:numId w:val="18"/>
        </w:numPr>
        <w:rPr>
          <w:rFonts w:cs="Arial"/>
          <w:b/>
        </w:rPr>
      </w:pPr>
      <w:r w:rsidRPr="00445102">
        <w:rPr>
          <w:rFonts w:cs="Arial"/>
          <w:b/>
        </w:rPr>
        <w:t>Taxation Structure</w:t>
      </w:r>
    </w:p>
    <w:p w:rsidR="002D30A3" w:rsidRPr="00445102" w:rsidRDefault="002D30A3" w:rsidP="003D47D8">
      <w:pPr>
        <w:rPr>
          <w:rFonts w:cs="Arial"/>
        </w:rPr>
      </w:pPr>
      <w:r w:rsidRPr="00445102">
        <w:rPr>
          <w:rFonts w:cs="Arial"/>
        </w:rPr>
        <w:t>The transfer of intellectual property development to lower taxation EU jurisdictions would help in the effective reduction of the long-term effective tax rates. At the same time, ethical limits need to be met and aggressive avoidance strategies that are disliked within CSR governance frameworks should be avoided (Crane et al., 2019).</w:t>
      </w:r>
    </w:p>
    <w:p w:rsidR="002D30A3" w:rsidRPr="00445102" w:rsidRDefault="002D30A3" w:rsidP="003D47D8">
      <w:pPr>
        <w:pStyle w:val="ListParagraph"/>
        <w:numPr>
          <w:ilvl w:val="0"/>
          <w:numId w:val="18"/>
        </w:numPr>
        <w:rPr>
          <w:rFonts w:cs="Arial"/>
          <w:b/>
        </w:rPr>
      </w:pPr>
      <w:r w:rsidRPr="00445102">
        <w:rPr>
          <w:rFonts w:cs="Arial"/>
          <w:b/>
        </w:rPr>
        <w:lastRenderedPageBreak/>
        <w:t>Inflation Exposure</w:t>
      </w:r>
    </w:p>
    <w:p w:rsidR="002D30A3" w:rsidRPr="00445102" w:rsidRDefault="002D30A3" w:rsidP="003D47D8">
      <w:pPr>
        <w:rPr>
          <w:rFonts w:cs="Arial"/>
        </w:rPr>
      </w:pPr>
      <w:r w:rsidRPr="00445102">
        <w:rPr>
          <w:rFonts w:cs="Arial"/>
        </w:rPr>
        <w:t>The pressure of input costs through inflation has decreased the margins. The renegotiation of supply contracts and reduction of pricing intervals harmonize operating expenses with the selling prices (Watson and Head, 2020).</w:t>
      </w:r>
    </w:p>
    <w:p w:rsidR="002D30A3" w:rsidRPr="00445102" w:rsidRDefault="002D30A3" w:rsidP="00892A4B">
      <w:pPr>
        <w:pStyle w:val="ListParagraph"/>
        <w:numPr>
          <w:ilvl w:val="0"/>
          <w:numId w:val="18"/>
        </w:numPr>
        <w:rPr>
          <w:rFonts w:cs="Arial"/>
          <w:b/>
        </w:rPr>
      </w:pPr>
      <w:r w:rsidRPr="00445102">
        <w:rPr>
          <w:rFonts w:cs="Arial"/>
          <w:b/>
        </w:rPr>
        <w:t>Cross-Border Debt Access</w:t>
      </w:r>
    </w:p>
    <w:p w:rsidR="002D30A3" w:rsidRPr="00445102" w:rsidRDefault="002D30A3" w:rsidP="003D47D8">
      <w:pPr>
        <w:rPr>
          <w:rFonts w:cs="Arial"/>
        </w:rPr>
      </w:pPr>
      <w:r w:rsidRPr="00445102">
        <w:rPr>
          <w:rFonts w:cs="Arial"/>
        </w:rPr>
        <w:t>Asian private equity markets provide cheaper capital sources compared to western markets, improving refinancing possibility.</w:t>
      </w:r>
    </w:p>
    <w:p w:rsidR="002D30A3" w:rsidRPr="00445102" w:rsidRDefault="002D30A3" w:rsidP="003D47D8">
      <w:pPr>
        <w:pStyle w:val="Heading2"/>
        <w:rPr>
          <w:rFonts w:cs="Arial"/>
        </w:rPr>
      </w:pPr>
      <w:bookmarkStart w:id="21" w:name="_Toc217270156"/>
      <w:r w:rsidRPr="00445102">
        <w:rPr>
          <w:rFonts w:cs="Arial"/>
        </w:rPr>
        <w:t>3.6 Ethical, CSR and Corporate Governance Concerns.</w:t>
      </w:r>
      <w:bookmarkEnd w:id="21"/>
    </w:p>
    <w:p w:rsidR="002D30A3" w:rsidRPr="00445102" w:rsidRDefault="00FC4E43" w:rsidP="003D47D8">
      <w:pPr>
        <w:rPr>
          <w:rFonts w:cs="Arial"/>
        </w:rPr>
      </w:pPr>
      <w:r w:rsidRPr="00445102">
        <w:rPr>
          <w:rFonts w:cs="Arial"/>
        </w:rPr>
        <w:t>The</w:t>
      </w:r>
      <w:r w:rsidR="002D30A3" w:rsidRPr="00445102">
        <w:rPr>
          <w:rFonts w:cs="Arial"/>
        </w:rPr>
        <w:t xml:space="preserve"> process of restructuring </w:t>
      </w:r>
      <w:r w:rsidRPr="00445102">
        <w:rPr>
          <w:rFonts w:cs="Arial"/>
        </w:rPr>
        <w:t>should be</w:t>
      </w:r>
      <w:r w:rsidR="002D30A3" w:rsidRPr="00445102">
        <w:rPr>
          <w:rFonts w:cs="Arial"/>
        </w:rPr>
        <w:t xml:space="preserve"> guided by ethical considerations, it is likely to result in reputational </w:t>
      </w:r>
      <w:r w:rsidRPr="00445102">
        <w:rPr>
          <w:rFonts w:cs="Arial"/>
        </w:rPr>
        <w:t>gain</w:t>
      </w:r>
      <w:r w:rsidR="002D30A3" w:rsidRPr="00445102">
        <w:rPr>
          <w:rFonts w:cs="Arial"/>
        </w:rPr>
        <w:t xml:space="preserve"> and stakeholder engagement (Solomon, 2020).</w:t>
      </w:r>
    </w:p>
    <w:p w:rsidR="002D30A3" w:rsidRPr="00445102" w:rsidRDefault="002D30A3" w:rsidP="003D47D8">
      <w:pPr>
        <w:rPr>
          <w:rFonts w:cs="Arial"/>
          <w:b/>
        </w:rPr>
      </w:pPr>
      <w:r w:rsidRPr="00445102">
        <w:rPr>
          <w:rFonts w:cs="Arial"/>
          <w:b/>
        </w:rPr>
        <w:t>Employee Implications</w:t>
      </w:r>
    </w:p>
    <w:p w:rsidR="002D30A3" w:rsidRPr="00445102" w:rsidRDefault="002D30A3" w:rsidP="003D47D8">
      <w:pPr>
        <w:rPr>
          <w:rFonts w:cs="Arial"/>
        </w:rPr>
      </w:pPr>
      <w:r w:rsidRPr="00445102">
        <w:rPr>
          <w:rFonts w:cs="Arial"/>
        </w:rPr>
        <w:t xml:space="preserve"> Ethical restructuring demands:</w:t>
      </w:r>
    </w:p>
    <w:p w:rsidR="002D30A3" w:rsidRPr="00445102" w:rsidRDefault="002D30A3" w:rsidP="003D47D8">
      <w:pPr>
        <w:pStyle w:val="ListParagraph"/>
        <w:numPr>
          <w:ilvl w:val="0"/>
          <w:numId w:val="19"/>
        </w:numPr>
        <w:rPr>
          <w:rFonts w:cs="Arial"/>
        </w:rPr>
      </w:pPr>
      <w:r w:rsidRPr="00445102">
        <w:rPr>
          <w:rFonts w:cs="Arial"/>
        </w:rPr>
        <w:t xml:space="preserve">retraining </w:t>
      </w:r>
      <w:proofErr w:type="spellStart"/>
      <w:r w:rsidRPr="00445102">
        <w:rPr>
          <w:rFonts w:cs="Arial"/>
        </w:rPr>
        <w:t>programmes</w:t>
      </w:r>
      <w:proofErr w:type="spellEnd"/>
    </w:p>
    <w:p w:rsidR="002D30A3" w:rsidRPr="00445102" w:rsidRDefault="002D30A3" w:rsidP="003D47D8">
      <w:pPr>
        <w:pStyle w:val="ListParagraph"/>
        <w:numPr>
          <w:ilvl w:val="0"/>
          <w:numId w:val="19"/>
        </w:numPr>
        <w:rPr>
          <w:rFonts w:cs="Arial"/>
        </w:rPr>
      </w:pPr>
      <w:r w:rsidRPr="00445102">
        <w:rPr>
          <w:rFonts w:cs="Arial"/>
        </w:rPr>
        <w:t>severance protection</w:t>
      </w:r>
    </w:p>
    <w:p w:rsidR="002D30A3" w:rsidRPr="00445102" w:rsidRDefault="002D30A3" w:rsidP="003D47D8">
      <w:pPr>
        <w:pStyle w:val="ListParagraph"/>
        <w:numPr>
          <w:ilvl w:val="0"/>
          <w:numId w:val="19"/>
        </w:numPr>
        <w:rPr>
          <w:rFonts w:cs="Arial"/>
        </w:rPr>
      </w:pPr>
      <w:r w:rsidRPr="00445102">
        <w:rPr>
          <w:rFonts w:cs="Arial"/>
        </w:rPr>
        <w:t>internal redeployment</w:t>
      </w:r>
    </w:p>
    <w:p w:rsidR="002D30A3" w:rsidRPr="00445102" w:rsidRDefault="002D30A3" w:rsidP="003D47D8">
      <w:pPr>
        <w:pStyle w:val="ListParagraph"/>
        <w:numPr>
          <w:ilvl w:val="0"/>
          <w:numId w:val="19"/>
        </w:numPr>
        <w:rPr>
          <w:rFonts w:cs="Arial"/>
        </w:rPr>
      </w:pPr>
      <w:r w:rsidRPr="00445102">
        <w:rPr>
          <w:rFonts w:cs="Arial"/>
        </w:rPr>
        <w:t>transparent communication</w:t>
      </w:r>
    </w:p>
    <w:p w:rsidR="002D30A3" w:rsidRPr="00445102" w:rsidRDefault="002D30A3" w:rsidP="003D47D8">
      <w:pPr>
        <w:rPr>
          <w:rFonts w:cs="Arial"/>
        </w:rPr>
      </w:pPr>
      <w:r w:rsidRPr="00445102">
        <w:rPr>
          <w:rFonts w:cs="Arial"/>
        </w:rPr>
        <w:t>The brand identity and relations with the community are safe under socially responsible restructuring.</w:t>
      </w:r>
    </w:p>
    <w:p w:rsidR="002D30A3" w:rsidRPr="00445102" w:rsidRDefault="00FC4E43" w:rsidP="003D47D8">
      <w:pPr>
        <w:rPr>
          <w:rFonts w:cs="Arial"/>
          <w:b/>
        </w:rPr>
      </w:pPr>
      <w:r w:rsidRPr="00445102">
        <w:rPr>
          <w:rFonts w:cs="Arial"/>
          <w:b/>
        </w:rPr>
        <w:t>Sustainability in Supply Chain</w:t>
      </w:r>
    </w:p>
    <w:p w:rsidR="002D30A3" w:rsidRPr="00445102" w:rsidRDefault="002D30A3" w:rsidP="003D47D8">
      <w:pPr>
        <w:rPr>
          <w:rFonts w:cs="Arial"/>
        </w:rPr>
      </w:pPr>
      <w:r w:rsidRPr="00445102">
        <w:rPr>
          <w:rFonts w:cs="Arial"/>
        </w:rPr>
        <w:t>The renegotiation of suppliers should be based on fair-trade and free of exploitation. The research of CSR underlines the fact that stakeholder-oriented restructuring enhances resilience in the long-term (Freeman, 1984).</w:t>
      </w:r>
    </w:p>
    <w:p w:rsidR="002D30A3" w:rsidRPr="00445102" w:rsidRDefault="002D30A3" w:rsidP="003D47D8">
      <w:pPr>
        <w:rPr>
          <w:rFonts w:cs="Arial"/>
          <w:b/>
        </w:rPr>
      </w:pPr>
      <w:r w:rsidRPr="00445102">
        <w:rPr>
          <w:rFonts w:cs="Arial"/>
          <w:b/>
        </w:rPr>
        <w:t>Environmental Responsibility</w:t>
      </w:r>
    </w:p>
    <w:p w:rsidR="002D30A3" w:rsidRPr="00445102" w:rsidRDefault="002D30A3" w:rsidP="003D47D8">
      <w:pPr>
        <w:rPr>
          <w:rFonts w:cs="Arial"/>
        </w:rPr>
      </w:pPr>
      <w:r w:rsidRPr="00445102">
        <w:rPr>
          <w:rFonts w:cs="Arial"/>
        </w:rPr>
        <w:t>Redirection to sustainable product lines is in compliance with the EU emissions regulations and would boost the ESG rating, which affects institutional investment decisions.</w:t>
      </w:r>
    </w:p>
    <w:p w:rsidR="00FC4E43" w:rsidRPr="00445102" w:rsidRDefault="00FC4E43" w:rsidP="003D47D8">
      <w:pPr>
        <w:pStyle w:val="Heading2"/>
        <w:rPr>
          <w:rFonts w:cs="Arial"/>
        </w:rPr>
      </w:pPr>
      <w:bookmarkStart w:id="22" w:name="_Toc217270157"/>
      <w:r w:rsidRPr="00445102">
        <w:rPr>
          <w:rFonts w:cs="Arial"/>
        </w:rPr>
        <w:lastRenderedPageBreak/>
        <w:t>3.7 Overall Plan Justification</w:t>
      </w:r>
      <w:bookmarkEnd w:id="22"/>
    </w:p>
    <w:p w:rsidR="00892A4B" w:rsidRPr="00445102" w:rsidRDefault="00262A03" w:rsidP="00892A4B">
      <w:pPr>
        <w:rPr>
          <w:rFonts w:cs="Arial"/>
        </w:rPr>
      </w:pPr>
      <w:r w:rsidRPr="00445102">
        <w:rPr>
          <w:rFonts w:cs="Arial"/>
        </w:rPr>
        <w:t xml:space="preserve"> The restructuring plan proposed is therefore validated on the grounds of liquidity improvement, relief of debts, strengthening of equity and enhanced global risk management. The actions sequencing is necessary to </w:t>
      </w:r>
      <w:proofErr w:type="spellStart"/>
      <w:r w:rsidRPr="00445102">
        <w:rPr>
          <w:rFonts w:cs="Arial"/>
        </w:rPr>
        <w:t>maximise</w:t>
      </w:r>
      <w:proofErr w:type="spellEnd"/>
      <w:r w:rsidRPr="00445102">
        <w:rPr>
          <w:rFonts w:cs="Arial"/>
        </w:rPr>
        <w:t xml:space="preserve"> stability. Short term Current debt </w:t>
      </w:r>
      <w:proofErr w:type="spellStart"/>
      <w:r w:rsidRPr="00445102">
        <w:rPr>
          <w:rFonts w:cs="Arial"/>
        </w:rPr>
        <w:t>reprofiling</w:t>
      </w:r>
      <w:proofErr w:type="spellEnd"/>
      <w:r w:rsidRPr="00445102">
        <w:rPr>
          <w:rFonts w:cs="Arial"/>
        </w:rPr>
        <w:t xml:space="preserve"> and focused divestiture should be given priority to free up cash, lessen leverage and rebuild creditor trust. Short-run equity </w:t>
      </w:r>
      <w:proofErr w:type="spellStart"/>
      <w:r w:rsidRPr="00445102">
        <w:rPr>
          <w:rFonts w:cs="Arial"/>
        </w:rPr>
        <w:t>recapitalisation</w:t>
      </w:r>
      <w:proofErr w:type="spellEnd"/>
      <w:r w:rsidRPr="00445102">
        <w:rPr>
          <w:rFonts w:cs="Arial"/>
        </w:rPr>
        <w:t xml:space="preserve"> will then be used to enhance balance-sheet strength, finance working-capital reform, and finance necessary investment activity. In the medium-term, the assessment of strategic alliances or merger partnerships may generate long-term market accessibility and technology. This would reflect the </w:t>
      </w:r>
      <w:r w:rsidR="00427B5E" w:rsidRPr="00445102">
        <w:rPr>
          <w:rFonts w:cs="Arial"/>
        </w:rPr>
        <w:t>turnaround</w:t>
      </w:r>
      <w:r w:rsidRPr="00445102">
        <w:rPr>
          <w:rFonts w:cs="Arial"/>
        </w:rPr>
        <w:t xml:space="preserve"> model of retrenchment, repositioning and renewal that Pearce and Robbins (1993) suggested to make sure that the strategy is financially feasible, operationally viable, </w:t>
      </w:r>
      <w:proofErr w:type="spellStart"/>
      <w:r w:rsidRPr="00445102">
        <w:rPr>
          <w:rFonts w:cs="Arial"/>
        </w:rPr>
        <w:t>internationalizable</w:t>
      </w:r>
      <w:proofErr w:type="spellEnd"/>
      <w:r w:rsidRPr="00445102">
        <w:rPr>
          <w:rFonts w:cs="Arial"/>
        </w:rPr>
        <w:t xml:space="preserve"> and ethically justifiable to the stakeholders.</w:t>
      </w:r>
    </w:p>
    <w:p w:rsidR="00273D95" w:rsidRPr="00445102" w:rsidRDefault="00FC4E43" w:rsidP="00273D95">
      <w:pPr>
        <w:pStyle w:val="Heading1"/>
        <w:rPr>
          <w:rFonts w:cs="Arial"/>
        </w:rPr>
      </w:pPr>
      <w:bookmarkStart w:id="23" w:name="_Toc217270158"/>
      <w:r w:rsidRPr="00445102">
        <w:rPr>
          <w:rFonts w:cs="Arial"/>
        </w:rPr>
        <w:t>4. Investment Appraisal and Capital Budgeting</w:t>
      </w:r>
      <w:bookmarkEnd w:id="23"/>
    </w:p>
    <w:p w:rsidR="00273D95" w:rsidRPr="00445102" w:rsidRDefault="00273D95" w:rsidP="00273D95">
      <w:pPr>
        <w:rPr>
          <w:rFonts w:cs="Arial"/>
        </w:rPr>
      </w:pPr>
      <w:r w:rsidRPr="00445102">
        <w:rPr>
          <w:rFonts w:cs="Arial"/>
        </w:rPr>
        <w:t>The corporate value creation depends on capital budgeting decisions since it involves allocation of a scarce investment capital between compet</w:t>
      </w:r>
      <w:r w:rsidR="00A70B08" w:rsidRPr="00445102">
        <w:rPr>
          <w:rFonts w:cs="Arial"/>
        </w:rPr>
        <w:t>ing long-term projects (</w:t>
      </w:r>
      <w:r w:rsidR="00C91A7C" w:rsidRPr="00445102">
        <w:rPr>
          <w:rFonts w:cs="Arial"/>
          <w:lang w:val="en-GB"/>
        </w:rPr>
        <w:t xml:space="preserve">Copeland </w:t>
      </w:r>
      <w:r w:rsidR="00A70B08" w:rsidRPr="00445102">
        <w:rPr>
          <w:rFonts w:cs="Arial"/>
        </w:rPr>
        <w:t>et al.,</w:t>
      </w:r>
      <w:r w:rsidRPr="00445102">
        <w:rPr>
          <w:rFonts w:cs="Arial"/>
        </w:rPr>
        <w:t xml:space="preserve"> </w:t>
      </w:r>
      <w:r w:rsidR="00C91A7C" w:rsidRPr="00445102">
        <w:rPr>
          <w:rFonts w:cs="Arial"/>
        </w:rPr>
        <w:t>2014</w:t>
      </w:r>
      <w:r w:rsidRPr="00445102">
        <w:rPr>
          <w:rFonts w:cs="Arial"/>
        </w:rPr>
        <w:t xml:space="preserve">). In the case of General Electronics, the selection of investment has to be stricter since there is extreme capital rationing </w:t>
      </w:r>
      <w:r w:rsidR="001067CF" w:rsidRPr="00445102">
        <w:rPr>
          <w:rFonts w:cs="Arial"/>
        </w:rPr>
        <w:t>£</w:t>
      </w:r>
      <w:r w:rsidRPr="00445102">
        <w:rPr>
          <w:rFonts w:cs="Arial"/>
        </w:rPr>
        <w:t>60 million can be spent. The company has to decide on three mutually exclusive projects- Project A (</w:t>
      </w:r>
      <w:r w:rsidR="001067CF" w:rsidRPr="00445102">
        <w:rPr>
          <w:rFonts w:cs="Arial"/>
        </w:rPr>
        <w:t>£</w:t>
      </w:r>
      <w:r w:rsidRPr="00445102">
        <w:rPr>
          <w:rFonts w:cs="Arial"/>
        </w:rPr>
        <w:t>40m), Pro</w:t>
      </w:r>
      <w:r w:rsidR="001067CF" w:rsidRPr="00445102">
        <w:rPr>
          <w:rFonts w:cs="Arial"/>
        </w:rPr>
        <w:t>ject B (£30m) and Project C (£</w:t>
      </w:r>
      <w:r w:rsidRPr="00445102">
        <w:rPr>
          <w:rFonts w:cs="Arial"/>
        </w:rPr>
        <w:t xml:space="preserve">50m) by using discounted and non-discounted appraisal methods. The modern finance literature suggests the application of both forms of evaluation models since the various models imply different components of value: cash </w:t>
      </w:r>
      <w:proofErr w:type="spellStart"/>
      <w:r w:rsidRPr="00445102">
        <w:rPr>
          <w:rFonts w:cs="Arial"/>
        </w:rPr>
        <w:t>behaviour</w:t>
      </w:r>
      <w:proofErr w:type="spellEnd"/>
      <w:r w:rsidRPr="00445102">
        <w:rPr>
          <w:rFonts w:cs="Arial"/>
        </w:rPr>
        <w:t xml:space="preserve"> and strategic suitab</w:t>
      </w:r>
      <w:r w:rsidR="00C91A7C" w:rsidRPr="00445102">
        <w:rPr>
          <w:rFonts w:cs="Arial"/>
        </w:rPr>
        <w:t>ility (Arnold, 2019; f, 2018</w:t>
      </w:r>
      <w:r w:rsidRPr="00445102">
        <w:rPr>
          <w:rFonts w:cs="Arial"/>
        </w:rPr>
        <w:t>). This complex strategy is critical to a company that is experiencing financial distress because it prevents excessive dependence on a single indicator and promotes defensible taking of decisions.</w:t>
      </w:r>
    </w:p>
    <w:p w:rsidR="00273D95" w:rsidRPr="00445102" w:rsidRDefault="00273D95" w:rsidP="00273D95">
      <w:pPr>
        <w:pStyle w:val="Heading2"/>
        <w:rPr>
          <w:rFonts w:cs="Arial"/>
        </w:rPr>
      </w:pPr>
      <w:bookmarkStart w:id="24" w:name="_Toc217270159"/>
      <w:r w:rsidRPr="00445102">
        <w:rPr>
          <w:rFonts w:cs="Arial"/>
        </w:rPr>
        <w:t>4.1 Payback Period and Liquidity Implications</w:t>
      </w:r>
      <w:bookmarkEnd w:id="24"/>
    </w:p>
    <w:p w:rsidR="00273D95" w:rsidRPr="00445102" w:rsidRDefault="00273D95" w:rsidP="00273D95">
      <w:pPr>
        <w:rPr>
          <w:rFonts w:cs="Arial"/>
        </w:rPr>
      </w:pPr>
      <w:r w:rsidRPr="00445102">
        <w:rPr>
          <w:rFonts w:cs="Arial"/>
        </w:rPr>
        <w:t xml:space="preserve">Payback Period is especially applicable to troubled companies as it is concerned with the rate of liquidity recovery and survival in business (Ross, </w:t>
      </w:r>
      <w:r w:rsidR="00083A46" w:rsidRPr="00445102">
        <w:rPr>
          <w:rFonts w:cs="Arial"/>
        </w:rPr>
        <w:t>et al.</w:t>
      </w:r>
      <w:r w:rsidRPr="00445102">
        <w:rPr>
          <w:rFonts w:cs="Arial"/>
        </w:rPr>
        <w:t xml:space="preserve">, 2022). Project A has a </w:t>
      </w:r>
      <w:r w:rsidRPr="00445102">
        <w:rPr>
          <w:rFonts w:cs="Arial"/>
        </w:rPr>
        <w:lastRenderedPageBreak/>
        <w:t>shorter capital recovery than C and B and as such becomes attractive in the short-term liquidity perspective. The pressure on working-capitals, found during the previous financial analysis, imply that the speed of investment payback would decrease dependence on costly borrowing, and it might partially alleviate the risk of bankruptcy. Nevertheless, scholars generally agree that payback cannot be viewed as decisive means of selection since it does not consider post-payback benefits and time value of money (</w:t>
      </w:r>
      <w:proofErr w:type="spellStart"/>
      <w:r w:rsidRPr="00445102">
        <w:rPr>
          <w:rFonts w:cs="Arial"/>
        </w:rPr>
        <w:t>Lumby</w:t>
      </w:r>
      <w:proofErr w:type="spellEnd"/>
      <w:r w:rsidRPr="00445102">
        <w:rPr>
          <w:rFonts w:cs="Arial"/>
        </w:rPr>
        <w:t xml:space="preserve"> and Jones, 2015). Project A is the first in terms of payback but this should not supersede discounted valuation measures, which are used to determine the shareholder value.</w:t>
      </w:r>
    </w:p>
    <w:p w:rsidR="00273D95" w:rsidRPr="00445102" w:rsidRDefault="00273D95" w:rsidP="00273D95">
      <w:pPr>
        <w:pStyle w:val="Heading2"/>
        <w:rPr>
          <w:rFonts w:cs="Arial"/>
        </w:rPr>
      </w:pPr>
      <w:bookmarkStart w:id="25" w:name="_Toc217270160"/>
      <w:r w:rsidRPr="00445102">
        <w:rPr>
          <w:rFonts w:cs="Arial"/>
        </w:rPr>
        <w:t xml:space="preserve">4.2 ARR and Profitability </w:t>
      </w:r>
      <w:proofErr w:type="spellStart"/>
      <w:r w:rsidRPr="00445102">
        <w:rPr>
          <w:rFonts w:cs="Arial"/>
        </w:rPr>
        <w:t>Signalling</w:t>
      </w:r>
      <w:bookmarkEnd w:id="25"/>
      <w:proofErr w:type="spellEnd"/>
    </w:p>
    <w:p w:rsidR="00273D95" w:rsidRPr="00445102" w:rsidRDefault="00273D95" w:rsidP="00273D95">
      <w:pPr>
        <w:rPr>
          <w:rFonts w:cs="Arial"/>
        </w:rPr>
      </w:pPr>
      <w:r w:rsidRPr="00445102">
        <w:rPr>
          <w:rFonts w:cs="Arial"/>
        </w:rPr>
        <w:t>ARR measure also gives an understanding of accounting profitability in terms of initial investment, which ties investment choice to reported earnings performance (</w:t>
      </w:r>
      <w:proofErr w:type="spellStart"/>
      <w:r w:rsidRPr="00445102">
        <w:rPr>
          <w:rFonts w:cs="Arial"/>
        </w:rPr>
        <w:t>Atrill</w:t>
      </w:r>
      <w:proofErr w:type="spellEnd"/>
      <w:r w:rsidRPr="00445102">
        <w:rPr>
          <w:rFonts w:cs="Arial"/>
        </w:rPr>
        <w:t xml:space="preserve"> &amp; </w:t>
      </w:r>
      <w:proofErr w:type="spellStart"/>
      <w:r w:rsidRPr="00445102">
        <w:rPr>
          <w:rFonts w:cs="Arial"/>
        </w:rPr>
        <w:t>McLaney</w:t>
      </w:r>
      <w:proofErr w:type="spellEnd"/>
      <w:r w:rsidRPr="00445102">
        <w:rPr>
          <w:rFonts w:cs="Arial"/>
        </w:rPr>
        <w:t>, 2020). Project A and C have better ARR results compared to B, which suggests that they can make a greater contribution to the increase in ROA and ROE. Since the decline of profitability is one of the core causes of the distress of the firm, this point of view supports values of the Projects A and C. However, ARR has limitations because it relies on accounting values instead of cash flows and does not use the discount (</w:t>
      </w:r>
      <w:r w:rsidR="00C91A7C" w:rsidRPr="00445102">
        <w:rPr>
          <w:rFonts w:cs="Arial"/>
          <w:lang w:val="en-GB"/>
        </w:rPr>
        <w:t>Mao</w:t>
      </w:r>
      <w:r w:rsidR="00C91A7C" w:rsidRPr="00445102">
        <w:rPr>
          <w:rFonts w:cs="Arial"/>
        </w:rPr>
        <w:t>, 197</w:t>
      </w:r>
      <w:r w:rsidRPr="00445102">
        <w:rPr>
          <w:rFonts w:cs="Arial"/>
        </w:rPr>
        <w:t>0). Thus, in addition to ARR, which substantiates the attractiveness of Project A and C, there should be a bigger impact on discounted cash-based measures.</w:t>
      </w:r>
    </w:p>
    <w:p w:rsidR="00273D95" w:rsidRPr="00445102" w:rsidRDefault="00273D95" w:rsidP="00273D95">
      <w:pPr>
        <w:pStyle w:val="Heading2"/>
        <w:rPr>
          <w:rFonts w:cs="Arial"/>
        </w:rPr>
      </w:pPr>
      <w:bookmarkStart w:id="26" w:name="_Toc217270161"/>
      <w:r w:rsidRPr="00445102">
        <w:rPr>
          <w:rFonts w:cs="Arial"/>
        </w:rPr>
        <w:t>4.3 NPV and Shareholder Value Theory</w:t>
      </w:r>
      <w:bookmarkEnd w:id="26"/>
    </w:p>
    <w:p w:rsidR="00273D95" w:rsidRPr="00445102" w:rsidRDefault="00273D95" w:rsidP="00273D95">
      <w:pPr>
        <w:rPr>
          <w:rFonts w:cs="Arial"/>
        </w:rPr>
      </w:pPr>
      <w:r w:rsidRPr="00445102">
        <w:rPr>
          <w:rFonts w:cs="Arial"/>
        </w:rPr>
        <w:t>NPV is the most appropriate method of appraisal since it discounts the expected future cash flows based on the cost of capital to the firm (10 percent goes to shareholders in this instance), and it directly estimates the wealth creation among the shareholders (</w:t>
      </w:r>
      <w:proofErr w:type="spellStart"/>
      <w:r w:rsidRPr="00445102">
        <w:rPr>
          <w:rFonts w:cs="Arial"/>
        </w:rPr>
        <w:t>Brealey</w:t>
      </w:r>
      <w:proofErr w:type="spellEnd"/>
      <w:r w:rsidRPr="00445102">
        <w:rPr>
          <w:rFonts w:cs="Arial"/>
        </w:rPr>
        <w:t xml:space="preserve"> et al., 2022</w:t>
      </w:r>
      <w:r w:rsidR="00A70B08" w:rsidRPr="00445102">
        <w:rPr>
          <w:rFonts w:cs="Arial"/>
        </w:rPr>
        <w:t>0</w:t>
      </w:r>
      <w:r w:rsidRPr="00445102">
        <w:rPr>
          <w:rFonts w:cs="Arial"/>
        </w:rPr>
        <w:t>). Project C has the best NPV of all three proposals meaning that the project is likely to generate maximum economic value to the shareholders. Project A does also generate value, although on a material lower scale. Project B brings in too little surplus and thus fails to meet value-</w:t>
      </w:r>
      <w:proofErr w:type="spellStart"/>
      <w:r w:rsidRPr="00445102">
        <w:rPr>
          <w:rFonts w:cs="Arial"/>
        </w:rPr>
        <w:t>maximisation</w:t>
      </w:r>
      <w:proofErr w:type="spellEnd"/>
      <w:r w:rsidRPr="00445102">
        <w:rPr>
          <w:rFonts w:cs="Arial"/>
        </w:rPr>
        <w:t xml:space="preserve"> requirements.</w:t>
      </w:r>
    </w:p>
    <w:p w:rsidR="00273D95" w:rsidRPr="00445102" w:rsidRDefault="00273D95" w:rsidP="00273D95">
      <w:pPr>
        <w:rPr>
          <w:rFonts w:cs="Arial"/>
        </w:rPr>
      </w:pPr>
      <w:r w:rsidRPr="00445102">
        <w:rPr>
          <w:rFonts w:cs="Arial"/>
        </w:rPr>
        <w:t xml:space="preserve">Through a positive NPV, an ailing </w:t>
      </w:r>
      <w:proofErr w:type="spellStart"/>
      <w:r w:rsidRPr="00445102">
        <w:rPr>
          <w:rFonts w:cs="Arial"/>
        </w:rPr>
        <w:t>organisation</w:t>
      </w:r>
      <w:proofErr w:type="spellEnd"/>
      <w:r w:rsidRPr="00445102">
        <w:rPr>
          <w:rFonts w:cs="Arial"/>
        </w:rPr>
        <w:t xml:space="preserve"> is of particular significance as it demonstrates the possible free cash flow that will enable the repayment of debt and </w:t>
      </w:r>
      <w:r w:rsidRPr="00445102">
        <w:rPr>
          <w:rFonts w:cs="Arial"/>
        </w:rPr>
        <w:lastRenderedPageBreak/>
        <w:t>restructuring spendi</w:t>
      </w:r>
      <w:r w:rsidR="00427B5E" w:rsidRPr="00445102">
        <w:rPr>
          <w:rFonts w:cs="Arial"/>
        </w:rPr>
        <w:t xml:space="preserve">ng. According to </w:t>
      </w:r>
      <w:proofErr w:type="spellStart"/>
      <w:r w:rsidR="00427B5E" w:rsidRPr="00445102">
        <w:rPr>
          <w:rFonts w:cs="Arial"/>
        </w:rPr>
        <w:t>Damodaran</w:t>
      </w:r>
      <w:proofErr w:type="spellEnd"/>
      <w:r w:rsidR="00427B5E" w:rsidRPr="00445102">
        <w:rPr>
          <w:rFonts w:cs="Arial"/>
        </w:rPr>
        <w:t xml:space="preserve"> (2014</w:t>
      </w:r>
      <w:r w:rsidRPr="00445102">
        <w:rPr>
          <w:rFonts w:cs="Arial"/>
        </w:rPr>
        <w:t xml:space="preserve">), companies that engage in turnaround strategies must put priority on constructive NPV investments so as to restore solvency and market confidence. Project C is thus the preferred choice in a value </w:t>
      </w:r>
      <w:proofErr w:type="spellStart"/>
      <w:r w:rsidRPr="00445102">
        <w:rPr>
          <w:rFonts w:cs="Arial"/>
        </w:rPr>
        <w:t>maximisation</w:t>
      </w:r>
      <w:proofErr w:type="spellEnd"/>
      <w:r w:rsidRPr="00445102">
        <w:rPr>
          <w:rFonts w:cs="Arial"/>
        </w:rPr>
        <w:t xml:space="preserve"> perspective as revealed by the NPV evidence.</w:t>
      </w:r>
    </w:p>
    <w:p w:rsidR="00273D95" w:rsidRPr="00445102" w:rsidRDefault="00273D95" w:rsidP="00273D95">
      <w:pPr>
        <w:pStyle w:val="Heading2"/>
        <w:rPr>
          <w:rFonts w:cs="Arial"/>
        </w:rPr>
      </w:pPr>
      <w:bookmarkStart w:id="27" w:name="_Toc217270162"/>
      <w:r w:rsidRPr="00445102">
        <w:rPr>
          <w:rFonts w:cs="Arial"/>
        </w:rPr>
        <w:t>4.4 Profitability Index and Capital Rationing Priority</w:t>
      </w:r>
      <w:bookmarkEnd w:id="27"/>
    </w:p>
    <w:p w:rsidR="00273D95" w:rsidRPr="00445102" w:rsidRDefault="00273D95" w:rsidP="00273D95">
      <w:pPr>
        <w:rPr>
          <w:rFonts w:cs="Arial"/>
        </w:rPr>
      </w:pPr>
      <w:r w:rsidRPr="00445102">
        <w:rPr>
          <w:rFonts w:cs="Arial"/>
        </w:rPr>
        <w:t xml:space="preserve">The Profitability Index is an important ranking tool since capital rationing does not allow the firm to undertake a variety of high-value projects at the same time. PI is </w:t>
      </w:r>
      <w:proofErr w:type="gramStart"/>
      <w:r w:rsidRPr="00445102">
        <w:rPr>
          <w:rFonts w:cs="Arial"/>
        </w:rPr>
        <w:t>the per</w:t>
      </w:r>
      <w:proofErr w:type="gramEnd"/>
      <w:r w:rsidRPr="00445102">
        <w:rPr>
          <w:rFonts w:cs="Arial"/>
        </w:rPr>
        <w:t xml:space="preserve"> pound invested and is very common when there is a limitation of capital (Arnold, 2019). Project C has the highest PI, which means it is more efficient, and it proves to be valuable in the limited funding conditions.</w:t>
      </w:r>
    </w:p>
    <w:p w:rsidR="00273D95" w:rsidRPr="00445102" w:rsidRDefault="00273D95" w:rsidP="00273D95">
      <w:pPr>
        <w:rPr>
          <w:rFonts w:cs="Arial"/>
        </w:rPr>
      </w:pPr>
      <w:r w:rsidRPr="00445102">
        <w:rPr>
          <w:rFonts w:cs="Arial"/>
        </w:rPr>
        <w:t>Combination options have to be thought about briefly. The joint choice of projects A (</w:t>
      </w:r>
      <w:r w:rsidR="00D509C8" w:rsidRPr="00445102">
        <w:rPr>
          <w:rFonts w:cs="Arial"/>
        </w:rPr>
        <w:t>£</w:t>
      </w:r>
      <w:r w:rsidRPr="00445102">
        <w:rPr>
          <w:rFonts w:cs="Arial"/>
        </w:rPr>
        <w:t>40m) and B (</w:t>
      </w:r>
      <w:r w:rsidR="001067CF" w:rsidRPr="00445102">
        <w:rPr>
          <w:rFonts w:cs="Arial"/>
        </w:rPr>
        <w:t>£</w:t>
      </w:r>
      <w:r w:rsidRPr="00445102">
        <w:rPr>
          <w:rFonts w:cs="Arial"/>
        </w:rPr>
        <w:t xml:space="preserve">30m) is impossible because it is above the </w:t>
      </w:r>
      <w:r w:rsidR="00D509C8" w:rsidRPr="00445102">
        <w:rPr>
          <w:rFonts w:cs="Arial"/>
        </w:rPr>
        <w:t>£</w:t>
      </w:r>
      <w:r w:rsidRPr="00445102">
        <w:rPr>
          <w:rFonts w:cs="Arial"/>
        </w:rPr>
        <w:t>60m. Though Project B might be able to fit within Project A, the incremental value creation is minimal and the cumulative value creation is not higher in comparison with Project C. Thereby, PI supports a sing</w:t>
      </w:r>
      <w:r w:rsidR="00822B29">
        <w:rPr>
          <w:rFonts w:cs="Arial"/>
        </w:rPr>
        <w:t>le project decision: Project C.</w:t>
      </w:r>
    </w:p>
    <w:p w:rsidR="00273D95" w:rsidRPr="00445102" w:rsidRDefault="00273D95" w:rsidP="00273D95">
      <w:pPr>
        <w:pStyle w:val="Heading2"/>
        <w:rPr>
          <w:rFonts w:cs="Arial"/>
        </w:rPr>
      </w:pPr>
      <w:bookmarkStart w:id="28" w:name="_Toc217270163"/>
      <w:r w:rsidRPr="00445102">
        <w:rPr>
          <w:rFonts w:cs="Arial"/>
        </w:rPr>
        <w:t>4.5 IRR Evaluation and Cost of Capital Sensitivity</w:t>
      </w:r>
      <w:bookmarkEnd w:id="28"/>
    </w:p>
    <w:p w:rsidR="00273D95" w:rsidRPr="00445102" w:rsidRDefault="00273D95" w:rsidP="00273D95">
      <w:pPr>
        <w:rPr>
          <w:rFonts w:cs="Arial"/>
        </w:rPr>
      </w:pPr>
      <w:r w:rsidRPr="00445102">
        <w:rPr>
          <w:rFonts w:cs="Arial"/>
        </w:rPr>
        <w:t>The IRR measure is another risk-adjusted measure performance indicator that compares the amount of returns with the required rate of performance by the firm (</w:t>
      </w:r>
      <w:proofErr w:type="spellStart"/>
      <w:r w:rsidRPr="00445102">
        <w:rPr>
          <w:rFonts w:cs="Arial"/>
        </w:rPr>
        <w:t>Lumby</w:t>
      </w:r>
      <w:proofErr w:type="spellEnd"/>
      <w:r w:rsidRPr="00445102">
        <w:rPr>
          <w:rFonts w:cs="Arial"/>
        </w:rPr>
        <w:t xml:space="preserve"> and Jones, 2015). Project C has a significantly higher IRR than the other two (A and B), and it has a greater range of safety above the 10 percent hurdle rate. IRR of project B is just slightly higher than the discount rate thus sensitive to valuation to minor alteration to the assumptions of cash flow. High IRR is desirable in distressed situations as it gives tolerance to inaccurate forecasting and market volatility. This fact is another argument in support of the choice of the Project C.</w:t>
      </w:r>
    </w:p>
    <w:p w:rsidR="00273D95" w:rsidRPr="00445102" w:rsidRDefault="00273D95" w:rsidP="00273D95">
      <w:pPr>
        <w:pStyle w:val="Heading2"/>
        <w:rPr>
          <w:rFonts w:cs="Arial"/>
        </w:rPr>
      </w:pPr>
      <w:bookmarkStart w:id="29" w:name="_Toc217270164"/>
      <w:r w:rsidRPr="00445102">
        <w:rPr>
          <w:rFonts w:cs="Arial"/>
        </w:rPr>
        <w:t xml:space="preserve">4.6 Risk, </w:t>
      </w:r>
      <w:proofErr w:type="spellStart"/>
      <w:r w:rsidRPr="00445102">
        <w:rPr>
          <w:rFonts w:cs="Arial"/>
        </w:rPr>
        <w:t>Cashflow</w:t>
      </w:r>
      <w:proofErr w:type="spellEnd"/>
      <w:r w:rsidRPr="00445102">
        <w:rPr>
          <w:rFonts w:cs="Arial"/>
        </w:rPr>
        <w:t xml:space="preserve"> Volatility and Strategic Relevance</w:t>
      </w:r>
      <w:bookmarkEnd w:id="29"/>
    </w:p>
    <w:p w:rsidR="00273D95" w:rsidRPr="00445102" w:rsidRDefault="00273D95" w:rsidP="00273D95">
      <w:pPr>
        <w:rPr>
          <w:rFonts w:cs="Arial"/>
        </w:rPr>
      </w:pPr>
      <w:r w:rsidRPr="00445102">
        <w:rPr>
          <w:rFonts w:cs="Arial"/>
        </w:rPr>
        <w:t xml:space="preserve">The risk is not balanced in as far as the Project C as a project exhibits a higher mid-cycle volatility of cash pattern than the other two proposals but still, it has the strategic logic. Corporate finance theory demonstrates that increasing variability is tolerated in exchange </w:t>
      </w:r>
      <w:r w:rsidRPr="00445102">
        <w:rPr>
          <w:rFonts w:cs="Arial"/>
        </w:rPr>
        <w:lastRenderedPageBreak/>
        <w:t>of excellent p</w:t>
      </w:r>
      <w:r w:rsidR="00427B5E" w:rsidRPr="00445102">
        <w:rPr>
          <w:rFonts w:cs="Arial"/>
        </w:rPr>
        <w:t>redicted return (</w:t>
      </w:r>
      <w:proofErr w:type="spellStart"/>
      <w:r w:rsidR="00427B5E" w:rsidRPr="00445102">
        <w:rPr>
          <w:rFonts w:cs="Arial"/>
        </w:rPr>
        <w:t>Damodaran</w:t>
      </w:r>
      <w:proofErr w:type="spellEnd"/>
      <w:r w:rsidR="00427B5E" w:rsidRPr="00445102">
        <w:rPr>
          <w:rFonts w:cs="Arial"/>
        </w:rPr>
        <w:t>, 2014</w:t>
      </w:r>
      <w:r w:rsidRPr="00445102">
        <w:rPr>
          <w:rFonts w:cs="Arial"/>
        </w:rPr>
        <w:t>). General Electronics is not pursuing incremental stability, it is in need of transformational value growth in order to get profitability back on track, to reorganize capital and improve level of competitive position.</w:t>
      </w:r>
    </w:p>
    <w:p w:rsidR="00273D95" w:rsidRPr="00445102" w:rsidRDefault="00273D95" w:rsidP="00273D95">
      <w:pPr>
        <w:rPr>
          <w:rFonts w:cs="Arial"/>
        </w:rPr>
      </w:pPr>
      <w:r w:rsidRPr="00445102">
        <w:rPr>
          <w:rFonts w:cs="Arial"/>
        </w:rPr>
        <w:t xml:space="preserve">Project B, even with constant annual revenue, is not large enough to make any substantial debt reduction or balance-sheet </w:t>
      </w:r>
      <w:r w:rsidR="00427B5E" w:rsidRPr="00445102">
        <w:rPr>
          <w:rFonts w:cs="Arial"/>
        </w:rPr>
        <w:t>meandering</w:t>
      </w:r>
      <w:r w:rsidRPr="00445102">
        <w:rPr>
          <w:rFonts w:cs="Arial"/>
        </w:rPr>
        <w:t>. Project A provides greater speed of cash recovery and average profitability increment, but not the magnitude to have a material impact on leverage or furnish long-term earnings reinvestment ability. In comparison, Project C would provide the strategic distance to rebrand the company in high growth areas of digital, which is consistent with the restructuring priorities mentioned above.</w:t>
      </w:r>
    </w:p>
    <w:p w:rsidR="00273D95" w:rsidRPr="00445102" w:rsidRDefault="00273D95" w:rsidP="00273D95">
      <w:pPr>
        <w:pStyle w:val="Heading2"/>
        <w:rPr>
          <w:rFonts w:cs="Arial"/>
        </w:rPr>
      </w:pPr>
      <w:bookmarkStart w:id="30" w:name="_Toc217270165"/>
      <w:r w:rsidRPr="00445102">
        <w:rPr>
          <w:rFonts w:cs="Arial"/>
        </w:rPr>
        <w:t>4.7 Final Investment Recommendation</w:t>
      </w:r>
      <w:bookmarkEnd w:id="30"/>
    </w:p>
    <w:p w:rsidR="00273D95" w:rsidRPr="00445102" w:rsidRDefault="00273D95" w:rsidP="00273D95">
      <w:pPr>
        <w:rPr>
          <w:rFonts w:cs="Arial"/>
        </w:rPr>
      </w:pPr>
      <w:r w:rsidRPr="00445102">
        <w:rPr>
          <w:rFonts w:cs="Arial"/>
        </w:rPr>
        <w:t xml:space="preserve">In the light of all the appraisal dimensions, Project C is advised. It provides the best NPV, best IRR, the best PI and considerable long-term cash potential. The project meets the capital rationing feasibility of </w:t>
      </w:r>
      <w:r w:rsidR="00D509C8" w:rsidRPr="00445102">
        <w:rPr>
          <w:rFonts w:cs="Arial"/>
        </w:rPr>
        <w:t>£</w:t>
      </w:r>
      <w:r w:rsidRPr="00445102">
        <w:rPr>
          <w:rFonts w:cs="Arial"/>
        </w:rPr>
        <w:t xml:space="preserve">50m, and the remaining </w:t>
      </w:r>
      <w:r w:rsidR="00D509C8" w:rsidRPr="00445102">
        <w:rPr>
          <w:rFonts w:cs="Arial"/>
        </w:rPr>
        <w:t>£</w:t>
      </w:r>
      <w:r w:rsidRPr="00445102">
        <w:rPr>
          <w:rFonts w:cs="Arial"/>
        </w:rPr>
        <w:t>10m of funds can be used to reinstate the working-capital or integrate the expenditure. This would be in line with the principles of value-</w:t>
      </w:r>
      <w:proofErr w:type="spellStart"/>
      <w:r w:rsidRPr="00445102">
        <w:rPr>
          <w:rFonts w:cs="Arial"/>
        </w:rPr>
        <w:t>maximisation</w:t>
      </w:r>
      <w:proofErr w:type="spellEnd"/>
      <w:r w:rsidRPr="00445102">
        <w:rPr>
          <w:rFonts w:cs="Arial"/>
        </w:rPr>
        <w:t xml:space="preserve"> and the acute needs of the firm in terms of recovery.</w:t>
      </w:r>
    </w:p>
    <w:p w:rsidR="00273D95" w:rsidRPr="00445102" w:rsidRDefault="00273D95" w:rsidP="00273D95">
      <w:pPr>
        <w:rPr>
          <w:rFonts w:cs="Arial"/>
        </w:rPr>
      </w:pPr>
      <w:r w:rsidRPr="00445102">
        <w:rPr>
          <w:rFonts w:cs="Arial"/>
        </w:rPr>
        <w:t>Projects A and B are not advisable. Project A does not align with the wealth-creation capacity of C. although it has a faster cash payback, C. would not perform well in any important measure and would be an inefficient use of limited funds.</w:t>
      </w:r>
    </w:p>
    <w:p w:rsidR="00727308" w:rsidRPr="00445102" w:rsidRDefault="00273D95" w:rsidP="00273D95">
      <w:pPr>
        <w:rPr>
          <w:rFonts w:cs="Arial"/>
        </w:rPr>
      </w:pPr>
      <w:r w:rsidRPr="00445102">
        <w:rPr>
          <w:rFonts w:cs="Arial"/>
        </w:rPr>
        <w:t>Overall, Project C can be considered to fit the theoretical hierarchy of capital budgeting, be the most appropriate to maximize shareholder value when rationing is present, be the most appropriate to reposition the strategies in line with the strategic objectives, and offer the financial profile needed in order to help General Electronics move beyond the survival mode of existence to its competitive renewal mode.</w:t>
      </w:r>
    </w:p>
    <w:p w:rsidR="002D282B" w:rsidRDefault="002D282B">
      <w:pPr>
        <w:spacing w:before="0" w:after="200" w:line="276" w:lineRule="auto"/>
        <w:jc w:val="left"/>
        <w:rPr>
          <w:rFonts w:eastAsiaTheme="majorEastAsia" w:cs="Arial"/>
          <w:b/>
          <w:bCs/>
          <w:color w:val="000000" w:themeColor="text1"/>
          <w:sz w:val="32"/>
          <w:szCs w:val="28"/>
        </w:rPr>
      </w:pPr>
      <w:r>
        <w:rPr>
          <w:rFonts w:cs="Arial"/>
        </w:rPr>
        <w:br w:type="page"/>
      </w:r>
    </w:p>
    <w:p w:rsidR="001C7CC0" w:rsidRPr="00445102" w:rsidRDefault="001C7CC0" w:rsidP="003D47D8">
      <w:pPr>
        <w:pStyle w:val="Heading1"/>
        <w:rPr>
          <w:rFonts w:cs="Arial"/>
        </w:rPr>
      </w:pPr>
      <w:bookmarkStart w:id="31" w:name="_Toc217270166"/>
      <w:r w:rsidRPr="00445102">
        <w:rPr>
          <w:rFonts w:cs="Arial"/>
        </w:rPr>
        <w:lastRenderedPageBreak/>
        <w:t>Conclusion</w:t>
      </w:r>
      <w:bookmarkEnd w:id="31"/>
    </w:p>
    <w:p w:rsidR="001C7CC0" w:rsidRDefault="001C7CC0" w:rsidP="003D47D8">
      <w:r w:rsidRPr="00445102">
        <w:rPr>
          <w:rFonts w:cs="Arial"/>
        </w:rPr>
        <w:t xml:space="preserve">This report has revealed that General Electronics is experiencing severe financial problems led by dwindling profitability, poor liquidity, increased leverage and deteriorating cash flow. Ratio analysis, along with Altman Z-Score, confirmed that the company had a high level of insolvency risk, whereas working-capital inefficiencies identified weaknesses in internal operations. To revive and replenish shareholder value; a detailed restructuring plan-focused on divestiture, debt </w:t>
      </w:r>
      <w:proofErr w:type="spellStart"/>
      <w:r w:rsidRPr="00445102">
        <w:rPr>
          <w:rFonts w:cs="Arial"/>
        </w:rPr>
        <w:t>reprofiling</w:t>
      </w:r>
      <w:proofErr w:type="spellEnd"/>
      <w:r w:rsidRPr="00445102">
        <w:rPr>
          <w:rFonts w:cs="Arial"/>
        </w:rPr>
        <w:t xml:space="preserve">, equity </w:t>
      </w:r>
      <w:proofErr w:type="spellStart"/>
      <w:r w:rsidRPr="00445102">
        <w:rPr>
          <w:rFonts w:cs="Arial"/>
        </w:rPr>
        <w:t>recapitalisation</w:t>
      </w:r>
      <w:proofErr w:type="spellEnd"/>
      <w:r w:rsidRPr="00445102">
        <w:rPr>
          <w:rFonts w:cs="Arial"/>
        </w:rPr>
        <w:t xml:space="preserve"> and ethical international management-was suggested. The Strategic investment appraisal showed that Project A was the best capital allocation decision in the case of liquidity pressure and capital rationing, although project C has higher NPV because the rate of payback is higher and its exposure to risk is lower. </w:t>
      </w:r>
      <w:r w:rsidR="00664262" w:rsidRPr="00445102">
        <w:rPr>
          <w:rFonts w:cs="Arial"/>
        </w:rPr>
        <w:t xml:space="preserve">The combined analysis presents a financially feasible and ethically acceptable turnaround path by which the </w:t>
      </w:r>
      <w:proofErr w:type="spellStart"/>
      <w:r w:rsidR="00664262" w:rsidRPr="00445102">
        <w:rPr>
          <w:rFonts w:cs="Arial"/>
        </w:rPr>
        <w:t>organisation</w:t>
      </w:r>
      <w:proofErr w:type="spellEnd"/>
      <w:r w:rsidR="00664262" w:rsidRPr="00445102">
        <w:rPr>
          <w:rFonts w:cs="Arial"/>
        </w:rPr>
        <w:t xml:space="preserve"> can employ in stabilizing performance and setting boundaries towards long-term global competitiveness.</w:t>
      </w:r>
    </w:p>
    <w:p w:rsidR="001C7CC0" w:rsidRDefault="001C7CC0">
      <w:pPr>
        <w:spacing w:before="0" w:after="200" w:line="276" w:lineRule="auto"/>
        <w:jc w:val="left"/>
      </w:pPr>
      <w:r>
        <w:br w:type="page"/>
      </w:r>
    </w:p>
    <w:p w:rsidR="001C7CC0" w:rsidRDefault="001C7CC0" w:rsidP="001C7CC0">
      <w:pPr>
        <w:pStyle w:val="Heading1"/>
      </w:pPr>
      <w:bookmarkStart w:id="32" w:name="_Toc217270167"/>
      <w:r>
        <w:lastRenderedPageBreak/>
        <w:t>References</w:t>
      </w:r>
      <w:bookmarkEnd w:id="32"/>
    </w:p>
    <w:p w:rsidR="00C91A7C" w:rsidRPr="00C91A7C" w:rsidRDefault="00C91A7C" w:rsidP="00C91A7C">
      <w:pPr>
        <w:rPr>
          <w:lang w:val="en-GB"/>
        </w:rPr>
      </w:pPr>
      <w:r w:rsidRPr="00C91A7C">
        <w:rPr>
          <w:lang w:val="en-GB"/>
        </w:rPr>
        <w:t xml:space="preserve">Altman, E.I. (2019). </w:t>
      </w:r>
      <w:r w:rsidRPr="00C91A7C">
        <w:rPr>
          <w:i/>
          <w:iCs/>
          <w:lang w:val="en-GB"/>
        </w:rPr>
        <w:t>Corporate Financial Distress and Bankruptcy</w:t>
      </w:r>
      <w:r w:rsidRPr="00C91A7C">
        <w:rPr>
          <w:lang w:val="en-GB"/>
        </w:rPr>
        <w:t xml:space="preserve">. 4th </w:t>
      </w:r>
      <w:proofErr w:type="spellStart"/>
      <w:r w:rsidRPr="00C91A7C">
        <w:rPr>
          <w:lang w:val="en-GB"/>
        </w:rPr>
        <w:t>edn</w:t>
      </w:r>
      <w:proofErr w:type="spellEnd"/>
      <w:r w:rsidRPr="00C91A7C">
        <w:rPr>
          <w:lang w:val="en-GB"/>
        </w:rPr>
        <w:t>. Hoboken: Wiley.</w:t>
      </w:r>
    </w:p>
    <w:p w:rsidR="00C91A7C" w:rsidRPr="00C91A7C" w:rsidRDefault="00C91A7C" w:rsidP="00C91A7C">
      <w:pPr>
        <w:rPr>
          <w:lang w:val="en-GB"/>
        </w:rPr>
      </w:pPr>
      <w:r w:rsidRPr="00C91A7C">
        <w:rPr>
          <w:lang w:val="en-GB"/>
        </w:rPr>
        <w:t xml:space="preserve">Arnold, G. (2019). </w:t>
      </w:r>
      <w:r w:rsidRPr="00C91A7C">
        <w:rPr>
          <w:i/>
          <w:iCs/>
          <w:lang w:val="en-GB"/>
        </w:rPr>
        <w:t>Corporate Financial Management</w:t>
      </w:r>
      <w:r w:rsidRPr="00C91A7C">
        <w:rPr>
          <w:lang w:val="en-GB"/>
        </w:rPr>
        <w:t xml:space="preserve">. 6th </w:t>
      </w:r>
      <w:proofErr w:type="spellStart"/>
      <w:r w:rsidRPr="00C91A7C">
        <w:rPr>
          <w:lang w:val="en-GB"/>
        </w:rPr>
        <w:t>edn</w:t>
      </w:r>
      <w:proofErr w:type="spellEnd"/>
      <w:r w:rsidRPr="00C91A7C">
        <w:rPr>
          <w:lang w:val="en-GB"/>
        </w:rPr>
        <w:t>. Harlow: Pearson.</w:t>
      </w:r>
    </w:p>
    <w:p w:rsidR="00C91A7C" w:rsidRPr="00C91A7C" w:rsidRDefault="00C91A7C" w:rsidP="00C91A7C">
      <w:pPr>
        <w:rPr>
          <w:lang w:val="en-GB"/>
        </w:rPr>
      </w:pPr>
      <w:proofErr w:type="spellStart"/>
      <w:r w:rsidRPr="00C91A7C">
        <w:rPr>
          <w:lang w:val="en-GB"/>
        </w:rPr>
        <w:t>Atrill</w:t>
      </w:r>
      <w:proofErr w:type="spellEnd"/>
      <w:r w:rsidRPr="00C91A7C">
        <w:rPr>
          <w:lang w:val="en-GB"/>
        </w:rPr>
        <w:t xml:space="preserve">, P. and </w:t>
      </w:r>
      <w:proofErr w:type="spellStart"/>
      <w:r w:rsidRPr="00C91A7C">
        <w:rPr>
          <w:lang w:val="en-GB"/>
        </w:rPr>
        <w:t>McLaney</w:t>
      </w:r>
      <w:proofErr w:type="spellEnd"/>
      <w:r w:rsidRPr="00C91A7C">
        <w:rPr>
          <w:lang w:val="en-GB"/>
        </w:rPr>
        <w:t xml:space="preserve">, E. (2022) </w:t>
      </w:r>
      <w:r w:rsidRPr="00C91A7C">
        <w:rPr>
          <w:i/>
          <w:iCs/>
          <w:lang w:val="en-GB"/>
        </w:rPr>
        <w:t>Accounting and Finance for Non-Specialists</w:t>
      </w:r>
      <w:r w:rsidRPr="00C91A7C">
        <w:rPr>
          <w:lang w:val="en-GB"/>
        </w:rPr>
        <w:t xml:space="preserve">. 12th </w:t>
      </w:r>
      <w:proofErr w:type="spellStart"/>
      <w:r w:rsidRPr="00C91A7C">
        <w:rPr>
          <w:lang w:val="en-GB"/>
        </w:rPr>
        <w:t>edn</w:t>
      </w:r>
      <w:proofErr w:type="spellEnd"/>
      <w:r w:rsidRPr="00C91A7C">
        <w:rPr>
          <w:lang w:val="en-GB"/>
        </w:rPr>
        <w:t>. Harlow: Pearson.</w:t>
      </w:r>
    </w:p>
    <w:p w:rsidR="00C91A7C" w:rsidRPr="00C91A7C" w:rsidRDefault="00C91A7C" w:rsidP="00C91A7C">
      <w:pPr>
        <w:rPr>
          <w:lang w:val="en-GB"/>
        </w:rPr>
      </w:pPr>
      <w:r w:rsidRPr="00C91A7C">
        <w:rPr>
          <w:lang w:val="en-GB"/>
        </w:rPr>
        <w:t xml:space="preserve">Beaver, W.H. (1966). ‘Financial ratios as predictors of failure’, </w:t>
      </w:r>
      <w:r w:rsidRPr="00C91A7C">
        <w:rPr>
          <w:i/>
          <w:iCs/>
          <w:lang w:val="en-GB"/>
        </w:rPr>
        <w:t>Journal of Accounting Research</w:t>
      </w:r>
      <w:r w:rsidRPr="00C91A7C">
        <w:rPr>
          <w:lang w:val="en-GB"/>
        </w:rPr>
        <w:t>, 4(3), pp. 71–111.</w:t>
      </w:r>
    </w:p>
    <w:p w:rsidR="00C91A7C" w:rsidRPr="00C91A7C" w:rsidRDefault="00C91A7C" w:rsidP="00C91A7C">
      <w:pPr>
        <w:rPr>
          <w:lang w:val="en-GB"/>
        </w:rPr>
      </w:pPr>
      <w:r w:rsidRPr="00C91A7C">
        <w:rPr>
          <w:lang w:val="en-GB"/>
        </w:rPr>
        <w:t xml:space="preserve">Bowman, E.H. and Singh, H. (1993). ‘Corporate restructuring: reconfiguring the firm’, </w:t>
      </w:r>
      <w:r w:rsidRPr="00C91A7C">
        <w:rPr>
          <w:i/>
          <w:iCs/>
          <w:lang w:val="en-GB"/>
        </w:rPr>
        <w:t>Strategic Management Journal</w:t>
      </w:r>
      <w:r w:rsidRPr="00C91A7C">
        <w:rPr>
          <w:lang w:val="en-GB"/>
        </w:rPr>
        <w:t>, 14(S1), pp. 5–14.</w:t>
      </w:r>
    </w:p>
    <w:p w:rsidR="00C91A7C" w:rsidRPr="00C91A7C" w:rsidRDefault="00C91A7C" w:rsidP="00C91A7C">
      <w:pPr>
        <w:rPr>
          <w:lang w:val="en-GB"/>
        </w:rPr>
      </w:pPr>
      <w:proofErr w:type="spellStart"/>
      <w:r w:rsidRPr="00C91A7C">
        <w:rPr>
          <w:lang w:val="en-GB"/>
        </w:rPr>
        <w:t>Brealey</w:t>
      </w:r>
      <w:proofErr w:type="spellEnd"/>
      <w:r w:rsidRPr="00C91A7C">
        <w:rPr>
          <w:lang w:val="en-GB"/>
        </w:rPr>
        <w:t xml:space="preserve">, R.A., Myers, S.C. and Allen, F. (2020). </w:t>
      </w:r>
      <w:r w:rsidRPr="00C91A7C">
        <w:rPr>
          <w:i/>
          <w:iCs/>
          <w:lang w:val="en-GB"/>
        </w:rPr>
        <w:t>Principles of Corporate Finance</w:t>
      </w:r>
      <w:r w:rsidRPr="00C91A7C">
        <w:rPr>
          <w:lang w:val="en-GB"/>
        </w:rPr>
        <w:t xml:space="preserve">. 13th </w:t>
      </w:r>
      <w:proofErr w:type="spellStart"/>
      <w:r w:rsidRPr="00C91A7C">
        <w:rPr>
          <w:lang w:val="en-GB"/>
        </w:rPr>
        <w:t>edn</w:t>
      </w:r>
      <w:proofErr w:type="spellEnd"/>
      <w:r w:rsidRPr="00C91A7C">
        <w:rPr>
          <w:lang w:val="en-GB"/>
        </w:rPr>
        <w:t>. New York: McGraw-Hill.</w:t>
      </w:r>
    </w:p>
    <w:p w:rsidR="00C91A7C" w:rsidRPr="00C91A7C" w:rsidRDefault="00C91A7C" w:rsidP="00C91A7C">
      <w:pPr>
        <w:rPr>
          <w:lang w:val="en-GB"/>
        </w:rPr>
      </w:pPr>
      <w:r w:rsidRPr="00C91A7C">
        <w:rPr>
          <w:lang w:val="en-GB"/>
        </w:rPr>
        <w:t xml:space="preserve">Copeland, T., </w:t>
      </w:r>
      <w:proofErr w:type="spellStart"/>
      <w:r w:rsidRPr="00C91A7C">
        <w:rPr>
          <w:lang w:val="en-GB"/>
        </w:rPr>
        <w:t>Koller</w:t>
      </w:r>
      <w:proofErr w:type="spellEnd"/>
      <w:r w:rsidRPr="00C91A7C">
        <w:rPr>
          <w:lang w:val="en-GB"/>
        </w:rPr>
        <w:t xml:space="preserve">, T. and Murrin, J. (2014). </w:t>
      </w:r>
      <w:r w:rsidRPr="00C91A7C">
        <w:rPr>
          <w:i/>
          <w:iCs/>
          <w:lang w:val="en-GB"/>
        </w:rPr>
        <w:t>Valuation: Measuring and Managing the Value of Companies</w:t>
      </w:r>
      <w:r w:rsidRPr="00C91A7C">
        <w:rPr>
          <w:lang w:val="en-GB"/>
        </w:rPr>
        <w:t xml:space="preserve">. 6th </w:t>
      </w:r>
      <w:proofErr w:type="spellStart"/>
      <w:r w:rsidRPr="00C91A7C">
        <w:rPr>
          <w:lang w:val="en-GB"/>
        </w:rPr>
        <w:t>edn</w:t>
      </w:r>
      <w:proofErr w:type="spellEnd"/>
      <w:r w:rsidRPr="00C91A7C">
        <w:rPr>
          <w:lang w:val="en-GB"/>
        </w:rPr>
        <w:t>. Hoboken: Wiley.</w:t>
      </w:r>
    </w:p>
    <w:p w:rsidR="00C91A7C" w:rsidRPr="00C91A7C" w:rsidRDefault="00C91A7C" w:rsidP="00C91A7C">
      <w:pPr>
        <w:rPr>
          <w:lang w:val="en-GB"/>
        </w:rPr>
      </w:pPr>
      <w:r w:rsidRPr="00C91A7C">
        <w:rPr>
          <w:lang w:val="en-GB"/>
        </w:rPr>
        <w:t xml:space="preserve">Crane, A., Matten, D., </w:t>
      </w:r>
      <w:proofErr w:type="spellStart"/>
      <w:r w:rsidRPr="00C91A7C">
        <w:rPr>
          <w:lang w:val="en-GB"/>
        </w:rPr>
        <w:t>Glozer</w:t>
      </w:r>
      <w:proofErr w:type="spellEnd"/>
      <w:r w:rsidRPr="00C91A7C">
        <w:rPr>
          <w:lang w:val="en-GB"/>
        </w:rPr>
        <w:t xml:space="preserve">, S. and Spence, L. (2019). </w:t>
      </w:r>
      <w:r w:rsidRPr="00C91A7C">
        <w:rPr>
          <w:i/>
          <w:iCs/>
          <w:lang w:val="en-GB"/>
        </w:rPr>
        <w:t>Business Ethics</w:t>
      </w:r>
      <w:r w:rsidRPr="00C91A7C">
        <w:rPr>
          <w:lang w:val="en-GB"/>
        </w:rPr>
        <w:t xml:space="preserve">. 6th </w:t>
      </w:r>
      <w:proofErr w:type="spellStart"/>
      <w:r w:rsidRPr="00C91A7C">
        <w:rPr>
          <w:lang w:val="en-GB"/>
        </w:rPr>
        <w:t>edn</w:t>
      </w:r>
      <w:proofErr w:type="spellEnd"/>
      <w:r w:rsidRPr="00C91A7C">
        <w:rPr>
          <w:lang w:val="en-GB"/>
        </w:rPr>
        <w:t>. Oxford: Oxford University Press.</w:t>
      </w:r>
    </w:p>
    <w:p w:rsidR="00C91A7C" w:rsidRPr="00C91A7C" w:rsidRDefault="00C91A7C" w:rsidP="00C91A7C">
      <w:pPr>
        <w:rPr>
          <w:lang w:val="en-GB"/>
        </w:rPr>
      </w:pPr>
      <w:proofErr w:type="spellStart"/>
      <w:r w:rsidRPr="00C91A7C">
        <w:rPr>
          <w:lang w:val="en-GB"/>
        </w:rPr>
        <w:t>Damodaran</w:t>
      </w:r>
      <w:proofErr w:type="spellEnd"/>
      <w:r w:rsidRPr="00C91A7C">
        <w:rPr>
          <w:lang w:val="en-GB"/>
        </w:rPr>
        <w:t xml:space="preserve">, A. (2014). </w:t>
      </w:r>
      <w:r w:rsidRPr="00C91A7C">
        <w:rPr>
          <w:i/>
          <w:iCs/>
          <w:lang w:val="en-GB"/>
        </w:rPr>
        <w:t>Applied Corporate Finance</w:t>
      </w:r>
      <w:r w:rsidRPr="00C91A7C">
        <w:rPr>
          <w:lang w:val="en-GB"/>
        </w:rPr>
        <w:t xml:space="preserve">. 4th </w:t>
      </w:r>
      <w:proofErr w:type="spellStart"/>
      <w:r w:rsidRPr="00C91A7C">
        <w:rPr>
          <w:lang w:val="en-GB"/>
        </w:rPr>
        <w:t>edn</w:t>
      </w:r>
      <w:proofErr w:type="spellEnd"/>
      <w:r w:rsidRPr="00C91A7C">
        <w:rPr>
          <w:lang w:val="en-GB"/>
        </w:rPr>
        <w:t>. Hoboken: Wiley.</w:t>
      </w:r>
    </w:p>
    <w:p w:rsidR="00C91A7C" w:rsidRPr="00C91A7C" w:rsidRDefault="00C91A7C" w:rsidP="00C91A7C">
      <w:pPr>
        <w:rPr>
          <w:lang w:val="en-GB"/>
        </w:rPr>
      </w:pPr>
      <w:r w:rsidRPr="00C91A7C">
        <w:rPr>
          <w:lang w:val="en-GB"/>
        </w:rPr>
        <w:t xml:space="preserve">Drury, C. (2018). </w:t>
      </w:r>
      <w:r w:rsidRPr="00C91A7C">
        <w:rPr>
          <w:i/>
          <w:iCs/>
          <w:lang w:val="en-GB"/>
        </w:rPr>
        <w:t>Management and Cost Accounting</w:t>
      </w:r>
      <w:r w:rsidRPr="00C91A7C">
        <w:rPr>
          <w:lang w:val="en-GB"/>
        </w:rPr>
        <w:t xml:space="preserve">. 10th </w:t>
      </w:r>
      <w:proofErr w:type="spellStart"/>
      <w:r w:rsidRPr="00C91A7C">
        <w:rPr>
          <w:lang w:val="en-GB"/>
        </w:rPr>
        <w:t>edn</w:t>
      </w:r>
      <w:proofErr w:type="spellEnd"/>
      <w:r w:rsidRPr="00C91A7C">
        <w:rPr>
          <w:lang w:val="en-GB"/>
        </w:rPr>
        <w:t>. Andover: Cengage.</w:t>
      </w:r>
    </w:p>
    <w:p w:rsidR="00C91A7C" w:rsidRPr="00C91A7C" w:rsidRDefault="00C91A7C" w:rsidP="00C91A7C">
      <w:pPr>
        <w:rPr>
          <w:lang w:val="en-GB"/>
        </w:rPr>
      </w:pPr>
      <w:r w:rsidRPr="00C91A7C">
        <w:rPr>
          <w:lang w:val="en-GB"/>
        </w:rPr>
        <w:t xml:space="preserve">Edwards, E.O. and Bell, P.W. (1961). </w:t>
      </w:r>
      <w:r w:rsidRPr="00C91A7C">
        <w:rPr>
          <w:i/>
          <w:iCs/>
          <w:lang w:val="en-GB"/>
        </w:rPr>
        <w:t>The Theory and Measurement of Business Income</w:t>
      </w:r>
      <w:r w:rsidRPr="00C91A7C">
        <w:rPr>
          <w:lang w:val="en-GB"/>
        </w:rPr>
        <w:t>. Berkeley: University of California Press.</w:t>
      </w:r>
    </w:p>
    <w:p w:rsidR="00C91A7C" w:rsidRPr="00C91A7C" w:rsidRDefault="00C91A7C" w:rsidP="00C91A7C">
      <w:pPr>
        <w:rPr>
          <w:lang w:val="en-GB"/>
        </w:rPr>
      </w:pPr>
      <w:r w:rsidRPr="00C91A7C">
        <w:rPr>
          <w:lang w:val="en-GB"/>
        </w:rPr>
        <w:t xml:space="preserve">Freeman, R.E. (1984). </w:t>
      </w:r>
      <w:r w:rsidRPr="00C91A7C">
        <w:rPr>
          <w:i/>
          <w:iCs/>
          <w:lang w:val="en-GB"/>
        </w:rPr>
        <w:t>Strategic Management: A Stakeholder Approach</w:t>
      </w:r>
      <w:r w:rsidRPr="00C91A7C">
        <w:rPr>
          <w:lang w:val="en-GB"/>
        </w:rPr>
        <w:t>. Boston: Pitman.</w:t>
      </w:r>
    </w:p>
    <w:p w:rsidR="00C91A7C" w:rsidRPr="00C91A7C" w:rsidRDefault="00C91A7C" w:rsidP="00C91A7C">
      <w:pPr>
        <w:rPr>
          <w:lang w:val="en-GB"/>
        </w:rPr>
      </w:pPr>
      <w:proofErr w:type="spellStart"/>
      <w:r w:rsidRPr="00C91A7C">
        <w:rPr>
          <w:lang w:val="en-GB"/>
        </w:rPr>
        <w:t>Fridson</w:t>
      </w:r>
      <w:proofErr w:type="spellEnd"/>
      <w:r w:rsidRPr="00C91A7C">
        <w:rPr>
          <w:lang w:val="en-GB"/>
        </w:rPr>
        <w:t xml:space="preserve">, M.S. and Alvarez, F. (2022). </w:t>
      </w:r>
      <w:r w:rsidRPr="00C91A7C">
        <w:rPr>
          <w:i/>
          <w:iCs/>
          <w:lang w:val="en-GB"/>
        </w:rPr>
        <w:t>Financial Statement Analysis: A Practitioner’s Guide</w:t>
      </w:r>
      <w:r w:rsidRPr="00C91A7C">
        <w:rPr>
          <w:lang w:val="en-GB"/>
        </w:rPr>
        <w:t xml:space="preserve">. 6th </w:t>
      </w:r>
      <w:proofErr w:type="spellStart"/>
      <w:r w:rsidRPr="00C91A7C">
        <w:rPr>
          <w:lang w:val="en-GB"/>
        </w:rPr>
        <w:t>edn</w:t>
      </w:r>
      <w:proofErr w:type="spellEnd"/>
      <w:r w:rsidRPr="00C91A7C">
        <w:rPr>
          <w:lang w:val="en-GB"/>
        </w:rPr>
        <w:t>. Hoboken: Wiley.</w:t>
      </w:r>
    </w:p>
    <w:p w:rsidR="00C91A7C" w:rsidRPr="00C91A7C" w:rsidRDefault="00C91A7C" w:rsidP="00C91A7C">
      <w:pPr>
        <w:rPr>
          <w:lang w:val="en-GB"/>
        </w:rPr>
      </w:pPr>
      <w:r w:rsidRPr="00C91A7C">
        <w:rPr>
          <w:lang w:val="en-GB"/>
        </w:rPr>
        <w:t xml:space="preserve">Hotchkiss, E.S., Smith, D.C., </w:t>
      </w:r>
      <w:proofErr w:type="spellStart"/>
      <w:r w:rsidRPr="00C91A7C">
        <w:rPr>
          <w:lang w:val="en-GB"/>
        </w:rPr>
        <w:t>Strömberg</w:t>
      </w:r>
      <w:proofErr w:type="spellEnd"/>
      <w:r w:rsidRPr="00C91A7C">
        <w:rPr>
          <w:lang w:val="en-GB"/>
        </w:rPr>
        <w:t xml:space="preserve">, P. and </w:t>
      </w:r>
      <w:proofErr w:type="spellStart"/>
      <w:r w:rsidRPr="00C91A7C">
        <w:rPr>
          <w:lang w:val="en-GB"/>
        </w:rPr>
        <w:t>Thorburn</w:t>
      </w:r>
      <w:proofErr w:type="spellEnd"/>
      <w:r w:rsidRPr="00C91A7C">
        <w:rPr>
          <w:lang w:val="en-GB"/>
        </w:rPr>
        <w:t xml:space="preserve">, K.S. (2020). ‘Restructuring in practice’, </w:t>
      </w:r>
      <w:r w:rsidRPr="00C91A7C">
        <w:rPr>
          <w:i/>
          <w:iCs/>
          <w:lang w:val="en-GB"/>
        </w:rPr>
        <w:t>Journal of Financial Economics</w:t>
      </w:r>
      <w:r w:rsidRPr="00C91A7C">
        <w:rPr>
          <w:lang w:val="en-GB"/>
        </w:rPr>
        <w:t>, 139(2), pp. 319–342.</w:t>
      </w:r>
    </w:p>
    <w:p w:rsidR="00C91A7C" w:rsidRPr="00C91A7C" w:rsidRDefault="00C91A7C" w:rsidP="00C91A7C">
      <w:pPr>
        <w:rPr>
          <w:lang w:val="en-GB"/>
        </w:rPr>
      </w:pPr>
      <w:r w:rsidRPr="00C91A7C">
        <w:rPr>
          <w:lang w:val="en-GB"/>
        </w:rPr>
        <w:lastRenderedPageBreak/>
        <w:t xml:space="preserve">Lev, B. and </w:t>
      </w:r>
      <w:proofErr w:type="spellStart"/>
      <w:r w:rsidRPr="00C91A7C">
        <w:rPr>
          <w:lang w:val="en-GB"/>
        </w:rPr>
        <w:t>Thiagarajan</w:t>
      </w:r>
      <w:proofErr w:type="spellEnd"/>
      <w:r w:rsidRPr="00C91A7C">
        <w:rPr>
          <w:lang w:val="en-GB"/>
        </w:rPr>
        <w:t xml:space="preserve">, S.R. (1993). ‘Fundamental information </w:t>
      </w:r>
      <w:proofErr w:type="gramStart"/>
      <w:r w:rsidRPr="00C91A7C">
        <w:rPr>
          <w:lang w:val="en-GB"/>
        </w:rPr>
        <w:t>analysis’</w:t>
      </w:r>
      <w:proofErr w:type="gramEnd"/>
      <w:r w:rsidRPr="00C91A7C">
        <w:rPr>
          <w:lang w:val="en-GB"/>
        </w:rPr>
        <w:t xml:space="preserve">, </w:t>
      </w:r>
      <w:r w:rsidRPr="00C91A7C">
        <w:rPr>
          <w:i/>
          <w:iCs/>
          <w:lang w:val="en-GB"/>
        </w:rPr>
        <w:t>Journal of Accounting Research</w:t>
      </w:r>
      <w:r w:rsidRPr="00C91A7C">
        <w:rPr>
          <w:lang w:val="en-GB"/>
        </w:rPr>
        <w:t>, 31(2), pp. 190–215.</w:t>
      </w:r>
    </w:p>
    <w:p w:rsidR="00C91A7C" w:rsidRPr="00C91A7C" w:rsidRDefault="00C91A7C" w:rsidP="00C91A7C">
      <w:pPr>
        <w:rPr>
          <w:lang w:val="en-GB"/>
        </w:rPr>
      </w:pPr>
      <w:proofErr w:type="spellStart"/>
      <w:r w:rsidRPr="00C91A7C">
        <w:rPr>
          <w:lang w:val="en-GB"/>
        </w:rPr>
        <w:t>Lumby</w:t>
      </w:r>
      <w:proofErr w:type="spellEnd"/>
      <w:r w:rsidRPr="00C91A7C">
        <w:rPr>
          <w:lang w:val="en-GB"/>
        </w:rPr>
        <w:t xml:space="preserve">, S. and Jones, C. (2015). </w:t>
      </w:r>
      <w:r w:rsidRPr="00C91A7C">
        <w:rPr>
          <w:i/>
          <w:iCs/>
          <w:lang w:val="en-GB"/>
        </w:rPr>
        <w:t>Corporate finance [electronic resource].</w:t>
      </w:r>
      <w:r w:rsidRPr="00C91A7C">
        <w:rPr>
          <w:lang w:val="en-GB"/>
        </w:rPr>
        <w:t xml:space="preserve"> 9th ed. London: Cengage Textbooks.</w:t>
      </w:r>
    </w:p>
    <w:p w:rsidR="00C91A7C" w:rsidRPr="00C91A7C" w:rsidRDefault="00C91A7C" w:rsidP="00C91A7C">
      <w:pPr>
        <w:rPr>
          <w:lang w:val="en-GB"/>
        </w:rPr>
      </w:pPr>
      <w:r w:rsidRPr="00C91A7C">
        <w:rPr>
          <w:lang w:val="en-GB"/>
        </w:rPr>
        <w:t xml:space="preserve">Madura, J. (2021). </w:t>
      </w:r>
      <w:r w:rsidRPr="00C91A7C">
        <w:rPr>
          <w:i/>
          <w:iCs/>
          <w:lang w:val="en-GB"/>
        </w:rPr>
        <w:t>International Financial Management</w:t>
      </w:r>
      <w:r w:rsidRPr="00C91A7C">
        <w:rPr>
          <w:lang w:val="en-GB"/>
        </w:rPr>
        <w:t xml:space="preserve">. 14th </w:t>
      </w:r>
      <w:proofErr w:type="spellStart"/>
      <w:r w:rsidRPr="00C91A7C">
        <w:rPr>
          <w:lang w:val="en-GB"/>
        </w:rPr>
        <w:t>edn</w:t>
      </w:r>
      <w:proofErr w:type="spellEnd"/>
      <w:r w:rsidRPr="00C91A7C">
        <w:rPr>
          <w:lang w:val="en-GB"/>
        </w:rPr>
        <w:t>. Boston: Cengage.</w:t>
      </w:r>
    </w:p>
    <w:p w:rsidR="00C91A7C" w:rsidRPr="00C91A7C" w:rsidRDefault="00C91A7C" w:rsidP="00C91A7C">
      <w:pPr>
        <w:rPr>
          <w:lang w:val="en-GB"/>
        </w:rPr>
      </w:pPr>
      <w:r w:rsidRPr="00C91A7C">
        <w:rPr>
          <w:lang w:val="en-GB"/>
        </w:rPr>
        <w:t xml:space="preserve">Mao, J.C.T. (1970). ‘Survey of capital budgeting theory’, </w:t>
      </w:r>
      <w:r w:rsidRPr="00C91A7C">
        <w:rPr>
          <w:i/>
          <w:iCs/>
          <w:lang w:val="en-GB"/>
        </w:rPr>
        <w:t>The Journal of Finance</w:t>
      </w:r>
      <w:r w:rsidRPr="00C91A7C">
        <w:rPr>
          <w:lang w:val="en-GB"/>
        </w:rPr>
        <w:t>, 25(2), pp. 349–360.</w:t>
      </w:r>
    </w:p>
    <w:p w:rsidR="00C91A7C" w:rsidRPr="00C91A7C" w:rsidRDefault="00C91A7C" w:rsidP="00C91A7C">
      <w:pPr>
        <w:rPr>
          <w:lang w:val="en-GB"/>
        </w:rPr>
      </w:pPr>
      <w:r w:rsidRPr="00C91A7C">
        <w:rPr>
          <w:lang w:val="en-GB"/>
        </w:rPr>
        <w:t xml:space="preserve">Modigliani, F. and Miller, M.H. (1963). ‘Corporate income taxes and the cost of capital’, </w:t>
      </w:r>
      <w:r w:rsidRPr="00C91A7C">
        <w:rPr>
          <w:i/>
          <w:iCs/>
          <w:lang w:val="en-GB"/>
        </w:rPr>
        <w:t>American Economic Review</w:t>
      </w:r>
      <w:r w:rsidRPr="00C91A7C">
        <w:rPr>
          <w:lang w:val="en-GB"/>
        </w:rPr>
        <w:t>, 53(3), pp. 433–443.</w:t>
      </w:r>
    </w:p>
    <w:p w:rsidR="00C91A7C" w:rsidRPr="00C91A7C" w:rsidRDefault="00C91A7C" w:rsidP="00C91A7C">
      <w:pPr>
        <w:rPr>
          <w:lang w:val="en-GB"/>
        </w:rPr>
      </w:pPr>
      <w:r w:rsidRPr="00C91A7C">
        <w:rPr>
          <w:lang w:val="en-GB"/>
        </w:rPr>
        <w:t xml:space="preserve">Myers, S.C. (1977). ‘Determinants of corporate borrowing’, </w:t>
      </w:r>
      <w:r w:rsidRPr="00C91A7C">
        <w:rPr>
          <w:i/>
          <w:iCs/>
          <w:lang w:val="en-GB"/>
        </w:rPr>
        <w:t>Journal of Financial Economics</w:t>
      </w:r>
      <w:r w:rsidRPr="00C91A7C">
        <w:rPr>
          <w:lang w:val="en-GB"/>
        </w:rPr>
        <w:t>, 5(2), pp. 147–175.</w:t>
      </w:r>
    </w:p>
    <w:p w:rsidR="00C91A7C" w:rsidRPr="00C91A7C" w:rsidRDefault="00C91A7C" w:rsidP="00C91A7C">
      <w:pPr>
        <w:rPr>
          <w:lang w:val="en-GB"/>
        </w:rPr>
      </w:pPr>
      <w:r w:rsidRPr="00C91A7C">
        <w:rPr>
          <w:lang w:val="en-GB"/>
        </w:rPr>
        <w:t xml:space="preserve">Pearce, J.A. and Robbins, D.K. (1993). ‘Toward improved theory and research on business turnaround’, </w:t>
      </w:r>
      <w:r w:rsidRPr="00C91A7C">
        <w:rPr>
          <w:i/>
          <w:iCs/>
          <w:lang w:val="en-GB"/>
        </w:rPr>
        <w:t>Journal of Management</w:t>
      </w:r>
      <w:r w:rsidRPr="00C91A7C">
        <w:rPr>
          <w:lang w:val="en-GB"/>
        </w:rPr>
        <w:t>, 19(3), pp. 613–636.</w:t>
      </w:r>
    </w:p>
    <w:p w:rsidR="00C91A7C" w:rsidRPr="00C91A7C" w:rsidRDefault="00C91A7C" w:rsidP="00C91A7C">
      <w:pPr>
        <w:rPr>
          <w:lang w:val="en-GB"/>
        </w:rPr>
      </w:pPr>
      <w:r w:rsidRPr="00C91A7C">
        <w:rPr>
          <w:lang w:val="en-GB"/>
        </w:rPr>
        <w:t xml:space="preserve">Penman, S.H. (2013). </w:t>
      </w:r>
      <w:r w:rsidRPr="00C91A7C">
        <w:rPr>
          <w:i/>
          <w:iCs/>
          <w:lang w:val="en-GB"/>
        </w:rPr>
        <w:t>Financial Statement Analysis and Security Valuation</w:t>
      </w:r>
      <w:r w:rsidRPr="00C91A7C">
        <w:rPr>
          <w:lang w:val="en-GB"/>
        </w:rPr>
        <w:t xml:space="preserve">. 5th </w:t>
      </w:r>
      <w:proofErr w:type="spellStart"/>
      <w:r w:rsidRPr="00C91A7C">
        <w:rPr>
          <w:lang w:val="en-GB"/>
        </w:rPr>
        <w:t>edn</w:t>
      </w:r>
      <w:proofErr w:type="spellEnd"/>
      <w:r w:rsidRPr="00C91A7C">
        <w:rPr>
          <w:lang w:val="en-GB"/>
        </w:rPr>
        <w:t>. New York: McGraw-Hill.</w:t>
      </w:r>
    </w:p>
    <w:p w:rsidR="00C91A7C" w:rsidRPr="00C91A7C" w:rsidRDefault="00C91A7C" w:rsidP="00C91A7C">
      <w:pPr>
        <w:rPr>
          <w:lang w:val="en-GB"/>
        </w:rPr>
      </w:pPr>
      <w:r w:rsidRPr="00C91A7C">
        <w:rPr>
          <w:lang w:val="en-GB"/>
        </w:rPr>
        <w:t xml:space="preserve">Petersen, M.A. and </w:t>
      </w:r>
      <w:proofErr w:type="spellStart"/>
      <w:r w:rsidRPr="00C91A7C">
        <w:rPr>
          <w:lang w:val="en-GB"/>
        </w:rPr>
        <w:t>Rajan</w:t>
      </w:r>
      <w:proofErr w:type="spellEnd"/>
      <w:r w:rsidRPr="00C91A7C">
        <w:rPr>
          <w:lang w:val="en-GB"/>
        </w:rPr>
        <w:t xml:space="preserve">, R.G. (1997). ‘Trade credit: theories and evidence’, </w:t>
      </w:r>
      <w:r w:rsidRPr="00C91A7C">
        <w:rPr>
          <w:i/>
          <w:iCs/>
          <w:lang w:val="en-GB"/>
        </w:rPr>
        <w:t>The Journal of Finance</w:t>
      </w:r>
      <w:r w:rsidRPr="00C91A7C">
        <w:rPr>
          <w:lang w:val="en-GB"/>
        </w:rPr>
        <w:t>, 52(3), pp. 1113–1137.</w:t>
      </w:r>
    </w:p>
    <w:p w:rsidR="00C91A7C" w:rsidRPr="00C91A7C" w:rsidRDefault="00C91A7C" w:rsidP="00C91A7C">
      <w:pPr>
        <w:rPr>
          <w:lang w:val="en-GB"/>
        </w:rPr>
      </w:pPr>
      <w:r w:rsidRPr="00C91A7C">
        <w:rPr>
          <w:lang w:val="en-GB"/>
        </w:rPr>
        <w:t xml:space="preserve">Porter, M.E. (1985). </w:t>
      </w:r>
      <w:r w:rsidRPr="00C91A7C">
        <w:rPr>
          <w:i/>
          <w:iCs/>
          <w:lang w:val="en-GB"/>
        </w:rPr>
        <w:t>Competitive Advantage: Creating and Sustaining Superior Performance</w:t>
      </w:r>
      <w:r w:rsidRPr="00C91A7C">
        <w:rPr>
          <w:lang w:val="en-GB"/>
        </w:rPr>
        <w:t>. New York: Free Press.</w:t>
      </w:r>
    </w:p>
    <w:p w:rsidR="00C91A7C" w:rsidRPr="00C91A7C" w:rsidRDefault="00C91A7C" w:rsidP="00C91A7C">
      <w:pPr>
        <w:rPr>
          <w:lang w:val="en-GB"/>
        </w:rPr>
      </w:pPr>
      <w:r w:rsidRPr="00C91A7C">
        <w:rPr>
          <w:lang w:val="en-GB"/>
        </w:rPr>
        <w:t xml:space="preserve">Richards, V.D. and Laughlin, E.J. (1980). ‘A cash conversion cycle approach’, </w:t>
      </w:r>
      <w:r w:rsidRPr="00C91A7C">
        <w:rPr>
          <w:i/>
          <w:iCs/>
          <w:lang w:val="en-GB"/>
        </w:rPr>
        <w:t>Financial Management</w:t>
      </w:r>
      <w:r w:rsidRPr="00C91A7C">
        <w:rPr>
          <w:lang w:val="en-GB"/>
        </w:rPr>
        <w:t>, 9(1), pp. 32–38.</w:t>
      </w:r>
    </w:p>
    <w:p w:rsidR="00C91A7C" w:rsidRPr="00C91A7C" w:rsidRDefault="00C91A7C" w:rsidP="00C91A7C">
      <w:pPr>
        <w:rPr>
          <w:lang w:val="en-GB"/>
        </w:rPr>
      </w:pPr>
      <w:r w:rsidRPr="00C91A7C">
        <w:rPr>
          <w:lang w:val="en-GB"/>
        </w:rPr>
        <w:t xml:space="preserve">Ross, S.A., Westerfield, R.W. and Jaffe, J.F. (2022). </w:t>
      </w:r>
      <w:r w:rsidRPr="00C91A7C">
        <w:rPr>
          <w:i/>
          <w:iCs/>
          <w:lang w:val="en-GB"/>
        </w:rPr>
        <w:t>Corporate Finance</w:t>
      </w:r>
      <w:r w:rsidRPr="00C91A7C">
        <w:rPr>
          <w:lang w:val="en-GB"/>
        </w:rPr>
        <w:t xml:space="preserve">. 14th </w:t>
      </w:r>
      <w:proofErr w:type="spellStart"/>
      <w:r w:rsidRPr="00C91A7C">
        <w:rPr>
          <w:lang w:val="en-GB"/>
        </w:rPr>
        <w:t>edn</w:t>
      </w:r>
      <w:proofErr w:type="spellEnd"/>
      <w:r w:rsidRPr="00C91A7C">
        <w:rPr>
          <w:lang w:val="en-GB"/>
        </w:rPr>
        <w:t>. New York: McGraw-Hill.</w:t>
      </w:r>
    </w:p>
    <w:p w:rsidR="00C91A7C" w:rsidRPr="00C91A7C" w:rsidRDefault="00C91A7C" w:rsidP="00C91A7C">
      <w:pPr>
        <w:rPr>
          <w:lang w:val="en-GB"/>
        </w:rPr>
      </w:pPr>
      <w:r w:rsidRPr="00C91A7C">
        <w:rPr>
          <w:lang w:val="en-GB"/>
        </w:rPr>
        <w:t xml:space="preserve">Shin, H.H. and </w:t>
      </w:r>
      <w:proofErr w:type="spellStart"/>
      <w:r w:rsidRPr="00C91A7C">
        <w:rPr>
          <w:lang w:val="en-GB"/>
        </w:rPr>
        <w:t>Soenen</w:t>
      </w:r>
      <w:proofErr w:type="spellEnd"/>
      <w:r w:rsidRPr="00C91A7C">
        <w:rPr>
          <w:lang w:val="en-GB"/>
        </w:rPr>
        <w:t xml:space="preserve">, L. (1998). ‘Efficiency of working capital and corporate profitability’, </w:t>
      </w:r>
      <w:r w:rsidRPr="00C91A7C">
        <w:rPr>
          <w:i/>
          <w:iCs/>
          <w:lang w:val="en-GB"/>
        </w:rPr>
        <w:t>Financial Practice and Education</w:t>
      </w:r>
      <w:r w:rsidRPr="00C91A7C">
        <w:rPr>
          <w:lang w:val="en-GB"/>
        </w:rPr>
        <w:t>, 8(2), pp. 37-45.</w:t>
      </w:r>
    </w:p>
    <w:p w:rsidR="00C91A7C" w:rsidRPr="00C91A7C" w:rsidRDefault="00C91A7C" w:rsidP="00C91A7C">
      <w:pPr>
        <w:rPr>
          <w:lang w:val="en-GB"/>
        </w:rPr>
      </w:pPr>
      <w:r w:rsidRPr="00C91A7C">
        <w:rPr>
          <w:lang w:val="en-GB"/>
        </w:rPr>
        <w:t xml:space="preserve">Solomon, J. (2020). </w:t>
      </w:r>
      <w:r w:rsidRPr="00C91A7C">
        <w:rPr>
          <w:i/>
          <w:iCs/>
          <w:lang w:val="en-GB"/>
        </w:rPr>
        <w:t>Corporate Governance and Accountability</w:t>
      </w:r>
      <w:r w:rsidRPr="00C91A7C">
        <w:rPr>
          <w:lang w:val="en-GB"/>
        </w:rPr>
        <w:t xml:space="preserve">. 5th </w:t>
      </w:r>
      <w:proofErr w:type="spellStart"/>
      <w:r w:rsidRPr="00C91A7C">
        <w:rPr>
          <w:lang w:val="en-GB"/>
        </w:rPr>
        <w:t>edn</w:t>
      </w:r>
      <w:proofErr w:type="spellEnd"/>
      <w:r w:rsidRPr="00C91A7C">
        <w:rPr>
          <w:lang w:val="en-GB"/>
        </w:rPr>
        <w:t>. Hoboken: Wiley.</w:t>
      </w:r>
    </w:p>
    <w:p w:rsidR="00C91A7C" w:rsidRPr="00C91A7C" w:rsidRDefault="00C91A7C" w:rsidP="00C91A7C">
      <w:pPr>
        <w:rPr>
          <w:lang w:val="en-GB"/>
        </w:rPr>
      </w:pPr>
      <w:proofErr w:type="spellStart"/>
      <w:r w:rsidRPr="00C91A7C">
        <w:rPr>
          <w:lang w:val="en-GB"/>
        </w:rPr>
        <w:lastRenderedPageBreak/>
        <w:t>Sudarsanam</w:t>
      </w:r>
      <w:proofErr w:type="spellEnd"/>
      <w:r w:rsidRPr="00C91A7C">
        <w:rPr>
          <w:lang w:val="en-GB"/>
        </w:rPr>
        <w:t xml:space="preserve">, S. (2003). </w:t>
      </w:r>
      <w:r w:rsidRPr="00C91A7C">
        <w:rPr>
          <w:i/>
          <w:iCs/>
          <w:lang w:val="en-GB"/>
        </w:rPr>
        <w:t>Creating Value from Mergers and Acquisitions: The Challenges</w:t>
      </w:r>
      <w:r w:rsidRPr="00C91A7C">
        <w:rPr>
          <w:lang w:val="en-GB"/>
        </w:rPr>
        <w:t>. Harlow: FT Prentice Hall.</w:t>
      </w:r>
    </w:p>
    <w:p w:rsidR="00C91A7C" w:rsidRPr="00C91A7C" w:rsidRDefault="00C91A7C" w:rsidP="00C91A7C">
      <w:pPr>
        <w:rPr>
          <w:lang w:val="en-GB"/>
        </w:rPr>
      </w:pPr>
      <w:proofErr w:type="spellStart"/>
      <w:r w:rsidRPr="00C91A7C">
        <w:rPr>
          <w:lang w:val="en-GB"/>
        </w:rPr>
        <w:t>Trautwein</w:t>
      </w:r>
      <w:proofErr w:type="spellEnd"/>
      <w:r w:rsidRPr="00C91A7C">
        <w:rPr>
          <w:lang w:val="en-GB"/>
        </w:rPr>
        <w:t xml:space="preserve">, F. (1990). ‘Merger motives and theories’, </w:t>
      </w:r>
      <w:r w:rsidRPr="00C91A7C">
        <w:rPr>
          <w:i/>
          <w:iCs/>
          <w:lang w:val="en-GB"/>
        </w:rPr>
        <w:t>Strategic Management Journal</w:t>
      </w:r>
      <w:r w:rsidRPr="00C91A7C">
        <w:rPr>
          <w:lang w:val="en-GB"/>
        </w:rPr>
        <w:t>, 11(4), pp. 283–295.</w:t>
      </w:r>
    </w:p>
    <w:p w:rsidR="00C91A7C" w:rsidRPr="00C91A7C" w:rsidRDefault="00C91A7C" w:rsidP="00C91A7C">
      <w:pPr>
        <w:rPr>
          <w:lang w:val="en-GB"/>
        </w:rPr>
      </w:pPr>
      <w:r w:rsidRPr="00C91A7C">
        <w:rPr>
          <w:lang w:val="en-GB"/>
        </w:rPr>
        <w:t xml:space="preserve">Watson, D. and Head, A. (2020). </w:t>
      </w:r>
      <w:r w:rsidRPr="00C91A7C">
        <w:rPr>
          <w:i/>
          <w:iCs/>
          <w:lang w:val="en-GB"/>
        </w:rPr>
        <w:t>Corporate Finance: Principles and Practice</w:t>
      </w:r>
      <w:r w:rsidRPr="00C91A7C">
        <w:rPr>
          <w:lang w:val="en-GB"/>
        </w:rPr>
        <w:t xml:space="preserve">. 8th </w:t>
      </w:r>
      <w:proofErr w:type="spellStart"/>
      <w:r w:rsidRPr="00C91A7C">
        <w:rPr>
          <w:lang w:val="en-GB"/>
        </w:rPr>
        <w:t>edn</w:t>
      </w:r>
      <w:proofErr w:type="spellEnd"/>
      <w:r w:rsidRPr="00C91A7C">
        <w:rPr>
          <w:lang w:val="en-GB"/>
        </w:rPr>
        <w:t>. Harlow: Pearson.</w:t>
      </w:r>
    </w:p>
    <w:p w:rsidR="001B0031" w:rsidRDefault="001B0031">
      <w:pPr>
        <w:spacing w:before="0" w:after="200" w:line="276" w:lineRule="auto"/>
        <w:jc w:val="left"/>
        <w:rPr>
          <w:lang w:val="en-GB"/>
        </w:rPr>
      </w:pPr>
      <w:r>
        <w:rPr>
          <w:lang w:val="en-GB"/>
        </w:rPr>
        <w:br w:type="page"/>
      </w:r>
    </w:p>
    <w:p w:rsidR="009129AD" w:rsidRPr="009129AD" w:rsidRDefault="001B0031" w:rsidP="00822B29">
      <w:pPr>
        <w:pStyle w:val="Heading1"/>
        <w:rPr>
          <w:lang w:val="en-GB"/>
        </w:rPr>
      </w:pPr>
      <w:bookmarkStart w:id="33" w:name="_Toc217270168"/>
      <w:r>
        <w:rPr>
          <w:lang w:val="en-GB"/>
        </w:rPr>
        <w:lastRenderedPageBreak/>
        <w:t>Appendix</w:t>
      </w:r>
      <w:bookmarkEnd w:id="33"/>
    </w:p>
    <w:p w:rsidR="00482686" w:rsidRDefault="003D47D8" w:rsidP="003D47D8">
      <w:pPr>
        <w:rPr>
          <w:b/>
          <w:color w:val="4F81BD" w:themeColor="accent1"/>
          <w:sz w:val="28"/>
          <w:lang w:val="en-GB"/>
        </w:rPr>
      </w:pPr>
      <w:r w:rsidRPr="003D47D8">
        <w:rPr>
          <w:b/>
          <w:color w:val="4F81BD" w:themeColor="accent1"/>
          <w:sz w:val="28"/>
          <w:lang w:val="en-GB"/>
        </w:rPr>
        <w:t xml:space="preserve">Appendix A: </w:t>
      </w:r>
      <w:r w:rsidR="00C91A7C" w:rsidRPr="003D47D8">
        <w:rPr>
          <w:b/>
          <w:color w:val="4F81BD" w:themeColor="accent1"/>
          <w:sz w:val="28"/>
          <w:lang w:val="en-GB"/>
        </w:rPr>
        <w:t xml:space="preserve">Profitability Ratios </w:t>
      </w:r>
    </w:p>
    <w:p w:rsidR="00C91A7C" w:rsidRPr="00C91A7C" w:rsidRDefault="00C91A7C" w:rsidP="00C91A7C">
      <w:pPr>
        <w:rPr>
          <w:b/>
          <w:lang w:val="en-GB"/>
        </w:rPr>
      </w:pPr>
      <w:r w:rsidRPr="00C91A7C">
        <w:rPr>
          <w:b/>
          <w:lang w:val="en-GB"/>
        </w:rPr>
        <w:t>Table A1: Profitability Ratios (2020–2024)</w:t>
      </w:r>
    </w:p>
    <w:tbl>
      <w:tblPr>
        <w:tblStyle w:val="TableGrid"/>
        <w:tblW w:w="0" w:type="auto"/>
        <w:jc w:val="center"/>
        <w:tblLook w:val="04A0" w:firstRow="1" w:lastRow="0" w:firstColumn="1" w:lastColumn="0" w:noHBand="0" w:noVBand="1"/>
      </w:tblPr>
      <w:tblGrid>
        <w:gridCol w:w="1705"/>
        <w:gridCol w:w="2340"/>
        <w:gridCol w:w="1080"/>
        <w:gridCol w:w="1080"/>
        <w:gridCol w:w="990"/>
        <w:gridCol w:w="990"/>
        <w:gridCol w:w="1165"/>
      </w:tblGrid>
      <w:tr w:rsidR="003D47D8" w:rsidRPr="003D47D8" w:rsidTr="00C5701E">
        <w:trPr>
          <w:jc w:val="center"/>
        </w:trPr>
        <w:tc>
          <w:tcPr>
            <w:tcW w:w="1705" w:type="dxa"/>
            <w:hideMark/>
          </w:tcPr>
          <w:p w:rsidR="003D47D8" w:rsidRPr="003D47D8" w:rsidRDefault="003D47D8" w:rsidP="00FE779F">
            <w:pPr>
              <w:spacing w:line="240" w:lineRule="auto"/>
              <w:rPr>
                <w:b/>
                <w:bCs/>
                <w:lang w:val="en-GB"/>
              </w:rPr>
            </w:pPr>
            <w:r w:rsidRPr="003D47D8">
              <w:rPr>
                <w:b/>
                <w:bCs/>
                <w:lang w:val="en-GB"/>
              </w:rPr>
              <w:t>Ratio</w:t>
            </w:r>
          </w:p>
        </w:tc>
        <w:tc>
          <w:tcPr>
            <w:tcW w:w="2340" w:type="dxa"/>
            <w:hideMark/>
          </w:tcPr>
          <w:p w:rsidR="003D47D8" w:rsidRPr="003D47D8" w:rsidRDefault="003D47D8" w:rsidP="00FE779F">
            <w:pPr>
              <w:spacing w:line="240" w:lineRule="auto"/>
              <w:rPr>
                <w:b/>
                <w:bCs/>
                <w:lang w:val="en-GB"/>
              </w:rPr>
            </w:pPr>
            <w:r w:rsidRPr="003D47D8">
              <w:rPr>
                <w:b/>
                <w:bCs/>
                <w:lang w:val="en-GB"/>
              </w:rPr>
              <w:t>Formula</w:t>
            </w:r>
          </w:p>
        </w:tc>
        <w:tc>
          <w:tcPr>
            <w:tcW w:w="1080" w:type="dxa"/>
            <w:hideMark/>
          </w:tcPr>
          <w:p w:rsidR="003D47D8" w:rsidRPr="003D47D8" w:rsidRDefault="003D47D8" w:rsidP="00FE779F">
            <w:pPr>
              <w:spacing w:line="240" w:lineRule="auto"/>
              <w:rPr>
                <w:b/>
                <w:bCs/>
                <w:lang w:val="en-GB"/>
              </w:rPr>
            </w:pPr>
            <w:r w:rsidRPr="003D47D8">
              <w:rPr>
                <w:b/>
                <w:bCs/>
                <w:lang w:val="en-GB"/>
              </w:rPr>
              <w:t>2020</w:t>
            </w:r>
          </w:p>
        </w:tc>
        <w:tc>
          <w:tcPr>
            <w:tcW w:w="1080" w:type="dxa"/>
            <w:hideMark/>
          </w:tcPr>
          <w:p w:rsidR="003D47D8" w:rsidRPr="003D47D8" w:rsidRDefault="003D47D8" w:rsidP="00FE779F">
            <w:pPr>
              <w:spacing w:line="240" w:lineRule="auto"/>
              <w:rPr>
                <w:b/>
                <w:bCs/>
                <w:lang w:val="en-GB"/>
              </w:rPr>
            </w:pPr>
            <w:r w:rsidRPr="003D47D8">
              <w:rPr>
                <w:b/>
                <w:bCs/>
                <w:lang w:val="en-GB"/>
              </w:rPr>
              <w:t>2021</w:t>
            </w:r>
          </w:p>
        </w:tc>
        <w:tc>
          <w:tcPr>
            <w:tcW w:w="990" w:type="dxa"/>
            <w:hideMark/>
          </w:tcPr>
          <w:p w:rsidR="003D47D8" w:rsidRPr="003D47D8" w:rsidRDefault="003D47D8" w:rsidP="00FE779F">
            <w:pPr>
              <w:spacing w:line="240" w:lineRule="auto"/>
              <w:rPr>
                <w:b/>
                <w:bCs/>
                <w:lang w:val="en-GB"/>
              </w:rPr>
            </w:pPr>
            <w:r w:rsidRPr="003D47D8">
              <w:rPr>
                <w:b/>
                <w:bCs/>
                <w:lang w:val="en-GB"/>
              </w:rPr>
              <w:t>2022</w:t>
            </w:r>
          </w:p>
        </w:tc>
        <w:tc>
          <w:tcPr>
            <w:tcW w:w="990" w:type="dxa"/>
            <w:hideMark/>
          </w:tcPr>
          <w:p w:rsidR="003D47D8" w:rsidRPr="003D47D8" w:rsidRDefault="003D47D8" w:rsidP="00FE779F">
            <w:pPr>
              <w:spacing w:line="240" w:lineRule="auto"/>
              <w:rPr>
                <w:b/>
                <w:bCs/>
                <w:lang w:val="en-GB"/>
              </w:rPr>
            </w:pPr>
            <w:r w:rsidRPr="003D47D8">
              <w:rPr>
                <w:b/>
                <w:bCs/>
                <w:lang w:val="en-GB"/>
              </w:rPr>
              <w:t>2023</w:t>
            </w:r>
          </w:p>
        </w:tc>
        <w:tc>
          <w:tcPr>
            <w:tcW w:w="1165" w:type="dxa"/>
            <w:hideMark/>
          </w:tcPr>
          <w:p w:rsidR="003D47D8" w:rsidRPr="003D47D8" w:rsidRDefault="003D47D8" w:rsidP="00FE779F">
            <w:pPr>
              <w:spacing w:line="240" w:lineRule="auto"/>
              <w:rPr>
                <w:b/>
                <w:bCs/>
                <w:lang w:val="en-GB"/>
              </w:rPr>
            </w:pPr>
            <w:r w:rsidRPr="003D47D8">
              <w:rPr>
                <w:b/>
                <w:bCs/>
                <w:lang w:val="en-GB"/>
              </w:rPr>
              <w:t>2024</w:t>
            </w:r>
          </w:p>
        </w:tc>
      </w:tr>
      <w:tr w:rsidR="003D47D8" w:rsidRPr="003D47D8" w:rsidTr="00C5701E">
        <w:trPr>
          <w:jc w:val="center"/>
        </w:trPr>
        <w:tc>
          <w:tcPr>
            <w:tcW w:w="1705" w:type="dxa"/>
            <w:hideMark/>
          </w:tcPr>
          <w:p w:rsidR="003D47D8" w:rsidRPr="003D47D8" w:rsidRDefault="003D47D8" w:rsidP="00FE779F">
            <w:pPr>
              <w:spacing w:line="240" w:lineRule="auto"/>
              <w:rPr>
                <w:lang w:val="en-GB"/>
              </w:rPr>
            </w:pPr>
            <w:r w:rsidRPr="003D47D8">
              <w:rPr>
                <w:lang w:val="en-GB"/>
              </w:rPr>
              <w:t>Gross Profit Margin</w:t>
            </w:r>
          </w:p>
        </w:tc>
        <w:tc>
          <w:tcPr>
            <w:tcW w:w="2340" w:type="dxa"/>
            <w:hideMark/>
          </w:tcPr>
          <w:p w:rsidR="003D47D8" w:rsidRPr="003D47D8" w:rsidRDefault="003D47D8" w:rsidP="00FE779F">
            <w:pPr>
              <w:spacing w:line="240" w:lineRule="auto"/>
              <w:rPr>
                <w:lang w:val="en-GB"/>
              </w:rPr>
            </w:pPr>
            <w:r w:rsidRPr="003D47D8">
              <w:rPr>
                <w:lang w:val="en-GB"/>
              </w:rPr>
              <w:t>GP / Sales</w:t>
            </w:r>
          </w:p>
        </w:tc>
        <w:tc>
          <w:tcPr>
            <w:tcW w:w="1080" w:type="dxa"/>
            <w:hideMark/>
          </w:tcPr>
          <w:p w:rsidR="003D47D8" w:rsidRPr="003D47D8" w:rsidRDefault="003D47D8" w:rsidP="00FE779F">
            <w:pPr>
              <w:spacing w:line="240" w:lineRule="auto"/>
              <w:rPr>
                <w:lang w:val="en-GB"/>
              </w:rPr>
            </w:pPr>
            <w:r w:rsidRPr="003D47D8">
              <w:rPr>
                <w:lang w:val="en-GB"/>
              </w:rPr>
              <w:t>28.7%</w:t>
            </w:r>
          </w:p>
        </w:tc>
        <w:tc>
          <w:tcPr>
            <w:tcW w:w="1080" w:type="dxa"/>
            <w:hideMark/>
          </w:tcPr>
          <w:p w:rsidR="003D47D8" w:rsidRPr="003D47D8" w:rsidRDefault="003D47D8" w:rsidP="00FE779F">
            <w:pPr>
              <w:spacing w:line="240" w:lineRule="auto"/>
              <w:rPr>
                <w:lang w:val="en-GB"/>
              </w:rPr>
            </w:pPr>
            <w:r w:rsidRPr="003D47D8">
              <w:rPr>
                <w:lang w:val="en-GB"/>
              </w:rPr>
              <w:t>28.8%</w:t>
            </w:r>
          </w:p>
        </w:tc>
        <w:tc>
          <w:tcPr>
            <w:tcW w:w="990" w:type="dxa"/>
            <w:hideMark/>
          </w:tcPr>
          <w:p w:rsidR="003D47D8" w:rsidRPr="003D47D8" w:rsidRDefault="003D47D8" w:rsidP="00FE779F">
            <w:pPr>
              <w:spacing w:line="240" w:lineRule="auto"/>
              <w:rPr>
                <w:lang w:val="en-GB"/>
              </w:rPr>
            </w:pPr>
            <w:r w:rsidRPr="003D47D8">
              <w:rPr>
                <w:lang w:val="en-GB"/>
              </w:rPr>
              <w:t>28.1%</w:t>
            </w:r>
          </w:p>
        </w:tc>
        <w:tc>
          <w:tcPr>
            <w:tcW w:w="990" w:type="dxa"/>
            <w:hideMark/>
          </w:tcPr>
          <w:p w:rsidR="003D47D8" w:rsidRPr="003D47D8" w:rsidRDefault="003D47D8" w:rsidP="00FE779F">
            <w:pPr>
              <w:spacing w:line="240" w:lineRule="auto"/>
              <w:rPr>
                <w:lang w:val="en-GB"/>
              </w:rPr>
            </w:pPr>
            <w:r w:rsidRPr="003D47D8">
              <w:rPr>
                <w:lang w:val="en-GB"/>
              </w:rPr>
              <w:t>23.2%</w:t>
            </w:r>
          </w:p>
        </w:tc>
        <w:tc>
          <w:tcPr>
            <w:tcW w:w="1165" w:type="dxa"/>
            <w:hideMark/>
          </w:tcPr>
          <w:p w:rsidR="003D47D8" w:rsidRPr="003D47D8" w:rsidRDefault="003D47D8" w:rsidP="00FE779F">
            <w:pPr>
              <w:spacing w:line="240" w:lineRule="auto"/>
              <w:rPr>
                <w:lang w:val="en-GB"/>
              </w:rPr>
            </w:pPr>
            <w:r w:rsidRPr="003D47D8">
              <w:rPr>
                <w:lang w:val="en-GB"/>
              </w:rPr>
              <w:t>28.9%</w:t>
            </w:r>
          </w:p>
        </w:tc>
      </w:tr>
      <w:tr w:rsidR="003D47D8" w:rsidRPr="003D47D8" w:rsidTr="00C5701E">
        <w:trPr>
          <w:jc w:val="center"/>
        </w:trPr>
        <w:tc>
          <w:tcPr>
            <w:tcW w:w="1705" w:type="dxa"/>
            <w:hideMark/>
          </w:tcPr>
          <w:p w:rsidR="003D47D8" w:rsidRPr="003D47D8" w:rsidRDefault="003D47D8" w:rsidP="00FE779F">
            <w:pPr>
              <w:spacing w:line="240" w:lineRule="auto"/>
              <w:rPr>
                <w:lang w:val="en-GB"/>
              </w:rPr>
            </w:pPr>
            <w:r w:rsidRPr="003D47D8">
              <w:rPr>
                <w:lang w:val="en-GB"/>
              </w:rPr>
              <w:t>Operating Profit Margin</w:t>
            </w:r>
          </w:p>
        </w:tc>
        <w:tc>
          <w:tcPr>
            <w:tcW w:w="2340" w:type="dxa"/>
            <w:hideMark/>
          </w:tcPr>
          <w:p w:rsidR="003D47D8" w:rsidRPr="003D47D8" w:rsidRDefault="003D47D8" w:rsidP="00FE779F">
            <w:pPr>
              <w:spacing w:line="240" w:lineRule="auto"/>
              <w:rPr>
                <w:lang w:val="en-GB"/>
              </w:rPr>
            </w:pPr>
            <w:r w:rsidRPr="003D47D8">
              <w:rPr>
                <w:lang w:val="en-GB"/>
              </w:rPr>
              <w:t>Operating Profit / Sales</w:t>
            </w:r>
          </w:p>
        </w:tc>
        <w:tc>
          <w:tcPr>
            <w:tcW w:w="1080" w:type="dxa"/>
            <w:hideMark/>
          </w:tcPr>
          <w:p w:rsidR="003D47D8" w:rsidRPr="003D47D8" w:rsidRDefault="003D47D8" w:rsidP="00FE779F">
            <w:pPr>
              <w:spacing w:line="240" w:lineRule="auto"/>
              <w:rPr>
                <w:lang w:val="en-GB"/>
              </w:rPr>
            </w:pPr>
            <w:r w:rsidRPr="003D47D8">
              <w:rPr>
                <w:lang w:val="en-GB"/>
              </w:rPr>
              <w:t>6.1%</w:t>
            </w:r>
          </w:p>
        </w:tc>
        <w:tc>
          <w:tcPr>
            <w:tcW w:w="1080" w:type="dxa"/>
            <w:hideMark/>
          </w:tcPr>
          <w:p w:rsidR="003D47D8" w:rsidRPr="003D47D8" w:rsidRDefault="003D47D8" w:rsidP="00FE779F">
            <w:pPr>
              <w:spacing w:line="240" w:lineRule="auto"/>
              <w:rPr>
                <w:lang w:val="en-GB"/>
              </w:rPr>
            </w:pPr>
            <w:r w:rsidRPr="003D47D8">
              <w:rPr>
                <w:lang w:val="en-GB"/>
              </w:rPr>
              <w:t>3.9%</w:t>
            </w:r>
          </w:p>
        </w:tc>
        <w:tc>
          <w:tcPr>
            <w:tcW w:w="990" w:type="dxa"/>
            <w:hideMark/>
          </w:tcPr>
          <w:p w:rsidR="003D47D8" w:rsidRPr="003D47D8" w:rsidRDefault="003D47D8" w:rsidP="00FE779F">
            <w:pPr>
              <w:spacing w:line="240" w:lineRule="auto"/>
              <w:rPr>
                <w:lang w:val="en-GB"/>
              </w:rPr>
            </w:pPr>
            <w:r w:rsidRPr="003D47D8">
              <w:rPr>
                <w:lang w:val="en-GB"/>
              </w:rPr>
              <w:t>2.7%</w:t>
            </w:r>
          </w:p>
        </w:tc>
        <w:tc>
          <w:tcPr>
            <w:tcW w:w="990" w:type="dxa"/>
            <w:hideMark/>
          </w:tcPr>
          <w:p w:rsidR="003D47D8" w:rsidRPr="003D47D8" w:rsidRDefault="003D47D8" w:rsidP="00FE779F">
            <w:pPr>
              <w:spacing w:line="240" w:lineRule="auto"/>
              <w:rPr>
                <w:lang w:val="en-GB"/>
              </w:rPr>
            </w:pPr>
            <w:r w:rsidRPr="003D47D8">
              <w:rPr>
                <w:lang w:val="en-GB"/>
              </w:rPr>
              <w:t>-20.3%</w:t>
            </w:r>
          </w:p>
        </w:tc>
        <w:tc>
          <w:tcPr>
            <w:tcW w:w="1165" w:type="dxa"/>
            <w:hideMark/>
          </w:tcPr>
          <w:p w:rsidR="003D47D8" w:rsidRPr="003D47D8" w:rsidRDefault="003D47D8" w:rsidP="00FE779F">
            <w:pPr>
              <w:spacing w:line="240" w:lineRule="auto"/>
              <w:rPr>
                <w:lang w:val="en-GB"/>
              </w:rPr>
            </w:pPr>
            <w:r w:rsidRPr="003D47D8">
              <w:rPr>
                <w:lang w:val="en-GB"/>
              </w:rPr>
              <w:t>-3.9%</w:t>
            </w:r>
          </w:p>
        </w:tc>
      </w:tr>
      <w:tr w:rsidR="003D47D8" w:rsidRPr="003D47D8" w:rsidTr="00C5701E">
        <w:trPr>
          <w:jc w:val="center"/>
        </w:trPr>
        <w:tc>
          <w:tcPr>
            <w:tcW w:w="1705" w:type="dxa"/>
            <w:hideMark/>
          </w:tcPr>
          <w:p w:rsidR="003D47D8" w:rsidRPr="003D47D8" w:rsidRDefault="003D47D8" w:rsidP="00FE779F">
            <w:pPr>
              <w:spacing w:line="240" w:lineRule="auto"/>
              <w:rPr>
                <w:lang w:val="en-GB"/>
              </w:rPr>
            </w:pPr>
            <w:r w:rsidRPr="003D47D8">
              <w:rPr>
                <w:lang w:val="en-GB"/>
              </w:rPr>
              <w:t>Net Profit Margin</w:t>
            </w:r>
          </w:p>
        </w:tc>
        <w:tc>
          <w:tcPr>
            <w:tcW w:w="2340" w:type="dxa"/>
            <w:hideMark/>
          </w:tcPr>
          <w:p w:rsidR="003D47D8" w:rsidRPr="003D47D8" w:rsidRDefault="003D47D8" w:rsidP="00FE779F">
            <w:pPr>
              <w:spacing w:line="240" w:lineRule="auto"/>
              <w:rPr>
                <w:lang w:val="en-GB"/>
              </w:rPr>
            </w:pPr>
            <w:r w:rsidRPr="003D47D8">
              <w:rPr>
                <w:lang w:val="en-GB"/>
              </w:rPr>
              <w:t>Net Profit / Sales</w:t>
            </w:r>
          </w:p>
        </w:tc>
        <w:tc>
          <w:tcPr>
            <w:tcW w:w="1080" w:type="dxa"/>
            <w:hideMark/>
          </w:tcPr>
          <w:p w:rsidR="003D47D8" w:rsidRPr="003D47D8" w:rsidRDefault="003D47D8" w:rsidP="00FE779F">
            <w:pPr>
              <w:spacing w:line="240" w:lineRule="auto"/>
              <w:rPr>
                <w:lang w:val="en-GB"/>
              </w:rPr>
            </w:pPr>
            <w:r w:rsidRPr="003D47D8">
              <w:rPr>
                <w:lang w:val="en-GB"/>
              </w:rPr>
              <w:t>6.3%</w:t>
            </w:r>
          </w:p>
        </w:tc>
        <w:tc>
          <w:tcPr>
            <w:tcW w:w="1080" w:type="dxa"/>
            <w:hideMark/>
          </w:tcPr>
          <w:p w:rsidR="003D47D8" w:rsidRPr="003D47D8" w:rsidRDefault="003D47D8" w:rsidP="00FE779F">
            <w:pPr>
              <w:spacing w:line="240" w:lineRule="auto"/>
              <w:rPr>
                <w:lang w:val="en-GB"/>
              </w:rPr>
            </w:pPr>
            <w:r w:rsidRPr="003D47D8">
              <w:rPr>
                <w:lang w:val="en-GB"/>
              </w:rPr>
              <w:t>0.9%</w:t>
            </w:r>
          </w:p>
        </w:tc>
        <w:tc>
          <w:tcPr>
            <w:tcW w:w="990" w:type="dxa"/>
            <w:hideMark/>
          </w:tcPr>
          <w:p w:rsidR="003D47D8" w:rsidRPr="003D47D8" w:rsidRDefault="003D47D8" w:rsidP="00FE779F">
            <w:pPr>
              <w:spacing w:line="240" w:lineRule="auto"/>
              <w:rPr>
                <w:lang w:val="en-GB"/>
              </w:rPr>
            </w:pPr>
            <w:r w:rsidRPr="003D47D8">
              <w:rPr>
                <w:lang w:val="en-GB"/>
              </w:rPr>
              <w:t>0.07%</w:t>
            </w:r>
          </w:p>
        </w:tc>
        <w:tc>
          <w:tcPr>
            <w:tcW w:w="990" w:type="dxa"/>
            <w:hideMark/>
          </w:tcPr>
          <w:p w:rsidR="003D47D8" w:rsidRPr="003D47D8" w:rsidRDefault="003D47D8" w:rsidP="00FE779F">
            <w:pPr>
              <w:spacing w:line="240" w:lineRule="auto"/>
              <w:rPr>
                <w:lang w:val="en-GB"/>
              </w:rPr>
            </w:pPr>
            <w:r w:rsidRPr="003D47D8">
              <w:rPr>
                <w:lang w:val="en-GB"/>
              </w:rPr>
              <w:t>-23.4%</w:t>
            </w:r>
          </w:p>
        </w:tc>
        <w:tc>
          <w:tcPr>
            <w:tcW w:w="1165" w:type="dxa"/>
            <w:hideMark/>
          </w:tcPr>
          <w:p w:rsidR="003D47D8" w:rsidRPr="003D47D8" w:rsidRDefault="003D47D8" w:rsidP="00FE779F">
            <w:pPr>
              <w:spacing w:line="240" w:lineRule="auto"/>
              <w:rPr>
                <w:lang w:val="en-GB"/>
              </w:rPr>
            </w:pPr>
            <w:r w:rsidRPr="003D47D8">
              <w:rPr>
                <w:lang w:val="en-GB"/>
              </w:rPr>
              <w:t>-6.1%</w:t>
            </w:r>
          </w:p>
        </w:tc>
      </w:tr>
      <w:tr w:rsidR="003D47D8" w:rsidRPr="003D47D8" w:rsidTr="00C5701E">
        <w:trPr>
          <w:jc w:val="center"/>
        </w:trPr>
        <w:tc>
          <w:tcPr>
            <w:tcW w:w="1705" w:type="dxa"/>
            <w:hideMark/>
          </w:tcPr>
          <w:p w:rsidR="003D47D8" w:rsidRPr="003D47D8" w:rsidRDefault="003D47D8" w:rsidP="00FE779F">
            <w:pPr>
              <w:spacing w:line="240" w:lineRule="auto"/>
              <w:rPr>
                <w:lang w:val="en-GB"/>
              </w:rPr>
            </w:pPr>
            <w:r w:rsidRPr="003D47D8">
              <w:rPr>
                <w:lang w:val="en-GB"/>
              </w:rPr>
              <w:t>ROA</w:t>
            </w:r>
          </w:p>
        </w:tc>
        <w:tc>
          <w:tcPr>
            <w:tcW w:w="2340" w:type="dxa"/>
            <w:hideMark/>
          </w:tcPr>
          <w:p w:rsidR="003D47D8" w:rsidRPr="003D47D8" w:rsidRDefault="003D47D8" w:rsidP="00FE779F">
            <w:pPr>
              <w:spacing w:line="240" w:lineRule="auto"/>
              <w:rPr>
                <w:lang w:val="en-GB"/>
              </w:rPr>
            </w:pPr>
            <w:r w:rsidRPr="003D47D8">
              <w:rPr>
                <w:lang w:val="en-GB"/>
              </w:rPr>
              <w:t>Profit / Total Assets</w:t>
            </w:r>
          </w:p>
        </w:tc>
        <w:tc>
          <w:tcPr>
            <w:tcW w:w="1080" w:type="dxa"/>
            <w:hideMark/>
          </w:tcPr>
          <w:p w:rsidR="003D47D8" w:rsidRPr="003D47D8" w:rsidRDefault="003D47D8" w:rsidP="00FE779F">
            <w:pPr>
              <w:spacing w:line="240" w:lineRule="auto"/>
              <w:rPr>
                <w:lang w:val="en-GB"/>
              </w:rPr>
            </w:pPr>
            <w:r w:rsidRPr="003D47D8">
              <w:rPr>
                <w:lang w:val="en-GB"/>
              </w:rPr>
              <w:t>7.6%</w:t>
            </w:r>
          </w:p>
        </w:tc>
        <w:tc>
          <w:tcPr>
            <w:tcW w:w="1080" w:type="dxa"/>
            <w:hideMark/>
          </w:tcPr>
          <w:p w:rsidR="003D47D8" w:rsidRPr="003D47D8" w:rsidRDefault="003D47D8" w:rsidP="00FE779F">
            <w:pPr>
              <w:spacing w:line="240" w:lineRule="auto"/>
              <w:rPr>
                <w:lang w:val="en-GB"/>
              </w:rPr>
            </w:pPr>
            <w:r w:rsidRPr="003D47D8">
              <w:rPr>
                <w:lang w:val="en-GB"/>
              </w:rPr>
              <w:t>1.0%</w:t>
            </w:r>
          </w:p>
        </w:tc>
        <w:tc>
          <w:tcPr>
            <w:tcW w:w="990" w:type="dxa"/>
            <w:hideMark/>
          </w:tcPr>
          <w:p w:rsidR="003D47D8" w:rsidRPr="003D47D8" w:rsidRDefault="003D47D8" w:rsidP="00FE779F">
            <w:pPr>
              <w:spacing w:line="240" w:lineRule="auto"/>
              <w:rPr>
                <w:lang w:val="en-GB"/>
              </w:rPr>
            </w:pPr>
            <w:r w:rsidRPr="003D47D8">
              <w:rPr>
                <w:lang w:val="en-GB"/>
              </w:rPr>
              <w:t>0.08%</w:t>
            </w:r>
          </w:p>
        </w:tc>
        <w:tc>
          <w:tcPr>
            <w:tcW w:w="990" w:type="dxa"/>
            <w:hideMark/>
          </w:tcPr>
          <w:p w:rsidR="003D47D8" w:rsidRPr="003D47D8" w:rsidRDefault="003D47D8" w:rsidP="00FE779F">
            <w:pPr>
              <w:spacing w:line="240" w:lineRule="auto"/>
              <w:rPr>
                <w:lang w:val="en-GB"/>
              </w:rPr>
            </w:pPr>
            <w:r w:rsidRPr="003D47D8">
              <w:rPr>
                <w:lang w:val="en-GB"/>
              </w:rPr>
              <w:t>-27.6%</w:t>
            </w:r>
          </w:p>
        </w:tc>
        <w:tc>
          <w:tcPr>
            <w:tcW w:w="1165" w:type="dxa"/>
            <w:hideMark/>
          </w:tcPr>
          <w:p w:rsidR="003D47D8" w:rsidRPr="003D47D8" w:rsidRDefault="003D47D8" w:rsidP="00FE779F">
            <w:pPr>
              <w:spacing w:line="240" w:lineRule="auto"/>
              <w:rPr>
                <w:lang w:val="en-GB"/>
              </w:rPr>
            </w:pPr>
            <w:r w:rsidRPr="003D47D8">
              <w:rPr>
                <w:lang w:val="en-GB"/>
              </w:rPr>
              <w:t>-7.4%</w:t>
            </w:r>
          </w:p>
        </w:tc>
      </w:tr>
      <w:tr w:rsidR="003D47D8" w:rsidRPr="003D47D8" w:rsidTr="00C5701E">
        <w:trPr>
          <w:jc w:val="center"/>
        </w:trPr>
        <w:tc>
          <w:tcPr>
            <w:tcW w:w="1705" w:type="dxa"/>
            <w:hideMark/>
          </w:tcPr>
          <w:p w:rsidR="003D47D8" w:rsidRPr="003D47D8" w:rsidRDefault="003D47D8" w:rsidP="00FE779F">
            <w:pPr>
              <w:spacing w:line="240" w:lineRule="auto"/>
              <w:rPr>
                <w:lang w:val="en-GB"/>
              </w:rPr>
            </w:pPr>
            <w:r w:rsidRPr="003D47D8">
              <w:rPr>
                <w:lang w:val="en-GB"/>
              </w:rPr>
              <w:t>ROE</w:t>
            </w:r>
          </w:p>
        </w:tc>
        <w:tc>
          <w:tcPr>
            <w:tcW w:w="2340" w:type="dxa"/>
            <w:hideMark/>
          </w:tcPr>
          <w:p w:rsidR="003D47D8" w:rsidRPr="003D47D8" w:rsidRDefault="003D47D8" w:rsidP="00FE779F">
            <w:pPr>
              <w:spacing w:line="240" w:lineRule="auto"/>
              <w:rPr>
                <w:lang w:val="en-GB"/>
              </w:rPr>
            </w:pPr>
            <w:r w:rsidRPr="003D47D8">
              <w:rPr>
                <w:lang w:val="en-GB"/>
              </w:rPr>
              <w:t>Profit / Equity</w:t>
            </w:r>
          </w:p>
        </w:tc>
        <w:tc>
          <w:tcPr>
            <w:tcW w:w="1080" w:type="dxa"/>
            <w:hideMark/>
          </w:tcPr>
          <w:p w:rsidR="003D47D8" w:rsidRPr="003D47D8" w:rsidRDefault="003D47D8" w:rsidP="00FE779F">
            <w:pPr>
              <w:spacing w:line="240" w:lineRule="auto"/>
              <w:rPr>
                <w:lang w:val="en-GB"/>
              </w:rPr>
            </w:pPr>
            <w:r w:rsidRPr="003D47D8">
              <w:rPr>
                <w:lang w:val="en-GB"/>
              </w:rPr>
              <w:t>12.3%</w:t>
            </w:r>
          </w:p>
        </w:tc>
        <w:tc>
          <w:tcPr>
            <w:tcW w:w="1080" w:type="dxa"/>
            <w:hideMark/>
          </w:tcPr>
          <w:p w:rsidR="003D47D8" w:rsidRPr="003D47D8" w:rsidRDefault="003D47D8" w:rsidP="00FE779F">
            <w:pPr>
              <w:spacing w:line="240" w:lineRule="auto"/>
              <w:rPr>
                <w:lang w:val="en-GB"/>
              </w:rPr>
            </w:pPr>
            <w:r w:rsidRPr="003D47D8">
              <w:rPr>
                <w:lang w:val="en-GB"/>
              </w:rPr>
              <w:t>1.9%</w:t>
            </w:r>
          </w:p>
        </w:tc>
        <w:tc>
          <w:tcPr>
            <w:tcW w:w="990" w:type="dxa"/>
            <w:hideMark/>
          </w:tcPr>
          <w:p w:rsidR="003D47D8" w:rsidRPr="003D47D8" w:rsidRDefault="003D47D8" w:rsidP="00FE779F">
            <w:pPr>
              <w:spacing w:line="240" w:lineRule="auto"/>
              <w:rPr>
                <w:lang w:val="en-GB"/>
              </w:rPr>
            </w:pPr>
            <w:r w:rsidRPr="003D47D8">
              <w:rPr>
                <w:lang w:val="en-GB"/>
              </w:rPr>
              <w:t>0.15%</w:t>
            </w:r>
          </w:p>
        </w:tc>
        <w:tc>
          <w:tcPr>
            <w:tcW w:w="990" w:type="dxa"/>
            <w:hideMark/>
          </w:tcPr>
          <w:p w:rsidR="003D47D8" w:rsidRPr="003D47D8" w:rsidRDefault="003D47D8" w:rsidP="00FE779F">
            <w:pPr>
              <w:spacing w:line="240" w:lineRule="auto"/>
              <w:rPr>
                <w:lang w:val="en-GB"/>
              </w:rPr>
            </w:pPr>
            <w:r w:rsidRPr="003D47D8">
              <w:rPr>
                <w:lang w:val="en-GB"/>
              </w:rPr>
              <w:t>-54.9%</w:t>
            </w:r>
          </w:p>
        </w:tc>
        <w:tc>
          <w:tcPr>
            <w:tcW w:w="1165" w:type="dxa"/>
            <w:hideMark/>
          </w:tcPr>
          <w:p w:rsidR="003D47D8" w:rsidRPr="003D47D8" w:rsidRDefault="003D47D8" w:rsidP="00FE779F">
            <w:pPr>
              <w:spacing w:line="240" w:lineRule="auto"/>
              <w:rPr>
                <w:lang w:val="en-GB"/>
              </w:rPr>
            </w:pPr>
            <w:r w:rsidRPr="003D47D8">
              <w:rPr>
                <w:lang w:val="en-GB"/>
              </w:rPr>
              <w:t>-15.7%</w:t>
            </w:r>
          </w:p>
        </w:tc>
      </w:tr>
    </w:tbl>
    <w:p w:rsidR="00C5701E" w:rsidRDefault="00C91A7C" w:rsidP="00822B29">
      <w:pPr>
        <w:jc w:val="center"/>
        <w:rPr>
          <w:lang w:val="en-GB"/>
        </w:rPr>
      </w:pPr>
      <w:r>
        <w:rPr>
          <w:lang w:val="en-GB"/>
        </w:rPr>
        <w:t>Source: General Electronics Financial Statement (2024)</w:t>
      </w:r>
    </w:p>
    <w:p w:rsidR="00C5701E" w:rsidRDefault="00C5701E" w:rsidP="00C91A7C">
      <w:pPr>
        <w:rPr>
          <w:lang w:val="en-GB"/>
        </w:rPr>
      </w:pPr>
    </w:p>
    <w:p w:rsidR="00C5701E" w:rsidRPr="00C5701E" w:rsidRDefault="00C5701E" w:rsidP="00C91A7C">
      <w:pPr>
        <w:rPr>
          <w:rFonts w:cs="Arial"/>
          <w:b/>
          <w:lang w:val="en-GB"/>
        </w:rPr>
      </w:pPr>
      <w:r w:rsidRPr="00C5701E">
        <w:rPr>
          <w:rFonts w:cs="Arial"/>
          <w:b/>
          <w:lang w:val="en-GB"/>
        </w:rPr>
        <w:t xml:space="preserve">Figure A1: </w:t>
      </w:r>
      <w:r w:rsidRPr="00C5701E">
        <w:rPr>
          <w:rFonts w:eastAsia="Times New Roman" w:cs="Arial"/>
          <w:b/>
          <w:bCs/>
          <w:szCs w:val="24"/>
          <w:lang w:val="en-GB" w:eastAsia="en-GB"/>
        </w:rPr>
        <w:t>Chart – Profitability Ratios (2020–2024)</w:t>
      </w:r>
    </w:p>
    <w:p w:rsidR="00C91A7C" w:rsidRDefault="00C5701E" w:rsidP="00C5701E">
      <w:pPr>
        <w:jc w:val="center"/>
        <w:rPr>
          <w:lang w:val="en-GB"/>
        </w:rPr>
      </w:pPr>
      <w:r>
        <w:rPr>
          <w:noProof/>
          <w:lang w:val="en-GB" w:eastAsia="en-GB"/>
        </w:rPr>
        <w:drawing>
          <wp:inline distT="0" distB="0" distL="0" distR="0" wp14:anchorId="10801AFE">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C91A7C" w:rsidRDefault="00C5701E" w:rsidP="00267FC6">
      <w:pPr>
        <w:jc w:val="center"/>
        <w:rPr>
          <w:lang w:val="en-GB"/>
        </w:rPr>
      </w:pPr>
      <w:r>
        <w:rPr>
          <w:lang w:val="en-GB"/>
        </w:rPr>
        <w:t>(Source: Self-generated)</w:t>
      </w:r>
    </w:p>
    <w:p w:rsidR="00C91A7C" w:rsidRDefault="00C91A7C" w:rsidP="001C7CC0">
      <w:pPr>
        <w:rPr>
          <w:lang w:val="en-GB"/>
        </w:rPr>
      </w:pPr>
    </w:p>
    <w:p w:rsidR="001B0031" w:rsidRDefault="00C5701E" w:rsidP="001C7CC0">
      <w:pPr>
        <w:rPr>
          <w:b/>
          <w:color w:val="4F81BD" w:themeColor="accent1"/>
          <w:sz w:val="28"/>
          <w:lang w:val="en-GB"/>
        </w:rPr>
      </w:pPr>
      <w:r>
        <w:rPr>
          <w:b/>
          <w:color w:val="4F81BD" w:themeColor="accent1"/>
          <w:sz w:val="28"/>
          <w:lang w:val="en-GB"/>
        </w:rPr>
        <w:t>Appendix B: Liquidity Ratios</w:t>
      </w:r>
    </w:p>
    <w:p w:rsidR="00C5701E" w:rsidRPr="005A6908" w:rsidRDefault="00C5701E" w:rsidP="00C5701E">
      <w:pPr>
        <w:rPr>
          <w:b/>
          <w:lang w:val="en-GB"/>
        </w:rPr>
      </w:pPr>
      <w:r w:rsidRPr="005A6908">
        <w:rPr>
          <w:b/>
          <w:lang w:val="en-GB"/>
        </w:rPr>
        <w:t>Table B1: Liquidity Ratios Calculation (2020–2024)</w:t>
      </w:r>
    </w:p>
    <w:tbl>
      <w:tblPr>
        <w:tblStyle w:val="TableGrid"/>
        <w:tblW w:w="0" w:type="auto"/>
        <w:jc w:val="center"/>
        <w:tblLook w:val="04A0" w:firstRow="1" w:lastRow="0" w:firstColumn="1" w:lastColumn="0" w:noHBand="0" w:noVBand="1"/>
      </w:tblPr>
      <w:tblGrid>
        <w:gridCol w:w="1644"/>
        <w:gridCol w:w="1870"/>
        <w:gridCol w:w="750"/>
        <w:gridCol w:w="750"/>
        <w:gridCol w:w="750"/>
        <w:gridCol w:w="750"/>
        <w:gridCol w:w="750"/>
      </w:tblGrid>
      <w:tr w:rsidR="003D47D8" w:rsidRPr="003D47D8" w:rsidTr="00C5701E">
        <w:trPr>
          <w:jc w:val="center"/>
        </w:trPr>
        <w:tc>
          <w:tcPr>
            <w:tcW w:w="0" w:type="auto"/>
            <w:hideMark/>
          </w:tcPr>
          <w:p w:rsidR="003D47D8" w:rsidRPr="003D47D8" w:rsidRDefault="003D47D8" w:rsidP="00786278">
            <w:pPr>
              <w:spacing w:line="240" w:lineRule="auto"/>
              <w:rPr>
                <w:b/>
                <w:bCs/>
                <w:lang w:val="en-GB"/>
              </w:rPr>
            </w:pPr>
            <w:r w:rsidRPr="003D47D8">
              <w:rPr>
                <w:b/>
                <w:bCs/>
                <w:lang w:val="en-GB"/>
              </w:rPr>
              <w:t>Ratio</w:t>
            </w:r>
          </w:p>
        </w:tc>
        <w:tc>
          <w:tcPr>
            <w:tcW w:w="0" w:type="auto"/>
            <w:hideMark/>
          </w:tcPr>
          <w:p w:rsidR="003D47D8" w:rsidRPr="003D47D8" w:rsidRDefault="003D47D8" w:rsidP="00786278">
            <w:pPr>
              <w:spacing w:line="240" w:lineRule="auto"/>
              <w:rPr>
                <w:b/>
                <w:bCs/>
                <w:lang w:val="en-GB"/>
              </w:rPr>
            </w:pPr>
            <w:r w:rsidRPr="003D47D8">
              <w:rPr>
                <w:b/>
                <w:bCs/>
                <w:lang w:val="en-GB"/>
              </w:rPr>
              <w:t>Formula</w:t>
            </w:r>
          </w:p>
        </w:tc>
        <w:tc>
          <w:tcPr>
            <w:tcW w:w="0" w:type="auto"/>
            <w:hideMark/>
          </w:tcPr>
          <w:p w:rsidR="003D47D8" w:rsidRPr="003D47D8" w:rsidRDefault="003D47D8" w:rsidP="00786278">
            <w:pPr>
              <w:spacing w:line="240" w:lineRule="auto"/>
              <w:rPr>
                <w:b/>
                <w:bCs/>
                <w:lang w:val="en-GB"/>
              </w:rPr>
            </w:pPr>
            <w:r w:rsidRPr="003D47D8">
              <w:rPr>
                <w:b/>
                <w:bCs/>
                <w:lang w:val="en-GB"/>
              </w:rPr>
              <w:t>2020</w:t>
            </w:r>
          </w:p>
        </w:tc>
        <w:tc>
          <w:tcPr>
            <w:tcW w:w="0" w:type="auto"/>
            <w:hideMark/>
          </w:tcPr>
          <w:p w:rsidR="003D47D8" w:rsidRPr="003D47D8" w:rsidRDefault="003D47D8" w:rsidP="00786278">
            <w:pPr>
              <w:spacing w:line="240" w:lineRule="auto"/>
              <w:rPr>
                <w:b/>
                <w:bCs/>
                <w:lang w:val="en-GB"/>
              </w:rPr>
            </w:pPr>
            <w:r w:rsidRPr="003D47D8">
              <w:rPr>
                <w:b/>
                <w:bCs/>
                <w:lang w:val="en-GB"/>
              </w:rPr>
              <w:t>2021</w:t>
            </w:r>
          </w:p>
        </w:tc>
        <w:tc>
          <w:tcPr>
            <w:tcW w:w="0" w:type="auto"/>
            <w:hideMark/>
          </w:tcPr>
          <w:p w:rsidR="003D47D8" w:rsidRPr="003D47D8" w:rsidRDefault="003D47D8" w:rsidP="00786278">
            <w:pPr>
              <w:spacing w:line="240" w:lineRule="auto"/>
              <w:rPr>
                <w:b/>
                <w:bCs/>
                <w:lang w:val="en-GB"/>
              </w:rPr>
            </w:pPr>
            <w:r w:rsidRPr="003D47D8">
              <w:rPr>
                <w:b/>
                <w:bCs/>
                <w:lang w:val="en-GB"/>
              </w:rPr>
              <w:t>2022</w:t>
            </w:r>
          </w:p>
        </w:tc>
        <w:tc>
          <w:tcPr>
            <w:tcW w:w="0" w:type="auto"/>
            <w:hideMark/>
          </w:tcPr>
          <w:p w:rsidR="003D47D8" w:rsidRPr="003D47D8" w:rsidRDefault="003D47D8" w:rsidP="00786278">
            <w:pPr>
              <w:spacing w:line="240" w:lineRule="auto"/>
              <w:rPr>
                <w:b/>
                <w:bCs/>
                <w:lang w:val="en-GB"/>
              </w:rPr>
            </w:pPr>
            <w:r w:rsidRPr="003D47D8">
              <w:rPr>
                <w:b/>
                <w:bCs/>
                <w:lang w:val="en-GB"/>
              </w:rPr>
              <w:t>2023</w:t>
            </w:r>
          </w:p>
        </w:tc>
        <w:tc>
          <w:tcPr>
            <w:tcW w:w="0" w:type="auto"/>
            <w:hideMark/>
          </w:tcPr>
          <w:p w:rsidR="003D47D8" w:rsidRPr="003D47D8" w:rsidRDefault="003D47D8" w:rsidP="00786278">
            <w:pPr>
              <w:spacing w:line="240" w:lineRule="auto"/>
              <w:rPr>
                <w:b/>
                <w:bCs/>
                <w:lang w:val="en-GB"/>
              </w:rPr>
            </w:pPr>
            <w:r w:rsidRPr="003D47D8">
              <w:rPr>
                <w:b/>
                <w:bCs/>
                <w:lang w:val="en-GB"/>
              </w:rPr>
              <w:t>2024</w:t>
            </w:r>
          </w:p>
        </w:tc>
      </w:tr>
      <w:tr w:rsidR="003D47D8" w:rsidRPr="003D47D8" w:rsidTr="00C5701E">
        <w:trPr>
          <w:jc w:val="center"/>
        </w:trPr>
        <w:tc>
          <w:tcPr>
            <w:tcW w:w="0" w:type="auto"/>
            <w:hideMark/>
          </w:tcPr>
          <w:p w:rsidR="003D47D8" w:rsidRPr="003D47D8" w:rsidRDefault="003D47D8" w:rsidP="00786278">
            <w:pPr>
              <w:spacing w:line="240" w:lineRule="auto"/>
              <w:rPr>
                <w:lang w:val="en-GB"/>
              </w:rPr>
            </w:pPr>
            <w:r w:rsidRPr="003D47D8">
              <w:rPr>
                <w:lang w:val="en-GB"/>
              </w:rPr>
              <w:t>Current Ratio</w:t>
            </w:r>
          </w:p>
        </w:tc>
        <w:tc>
          <w:tcPr>
            <w:tcW w:w="0" w:type="auto"/>
            <w:hideMark/>
          </w:tcPr>
          <w:p w:rsidR="003D47D8" w:rsidRPr="003D47D8" w:rsidRDefault="003D47D8" w:rsidP="00786278">
            <w:pPr>
              <w:spacing w:line="240" w:lineRule="auto"/>
              <w:rPr>
                <w:lang w:val="en-GB"/>
              </w:rPr>
            </w:pPr>
            <w:r w:rsidRPr="003D47D8">
              <w:rPr>
                <w:lang w:val="en-GB"/>
              </w:rPr>
              <w:t>CA / CL</w:t>
            </w:r>
          </w:p>
        </w:tc>
        <w:tc>
          <w:tcPr>
            <w:tcW w:w="0" w:type="auto"/>
            <w:hideMark/>
          </w:tcPr>
          <w:p w:rsidR="003D47D8" w:rsidRPr="003D47D8" w:rsidRDefault="003D47D8" w:rsidP="00786278">
            <w:pPr>
              <w:spacing w:line="240" w:lineRule="auto"/>
              <w:rPr>
                <w:lang w:val="en-GB"/>
              </w:rPr>
            </w:pPr>
            <w:r w:rsidRPr="003D47D8">
              <w:rPr>
                <w:lang w:val="en-GB"/>
              </w:rPr>
              <w:t>1.82</w:t>
            </w:r>
          </w:p>
        </w:tc>
        <w:tc>
          <w:tcPr>
            <w:tcW w:w="0" w:type="auto"/>
            <w:hideMark/>
          </w:tcPr>
          <w:p w:rsidR="003D47D8" w:rsidRPr="003D47D8" w:rsidRDefault="003D47D8" w:rsidP="00786278">
            <w:pPr>
              <w:spacing w:line="240" w:lineRule="auto"/>
              <w:rPr>
                <w:lang w:val="en-GB"/>
              </w:rPr>
            </w:pPr>
            <w:r w:rsidRPr="003D47D8">
              <w:rPr>
                <w:lang w:val="en-GB"/>
              </w:rPr>
              <w:t>1.56</w:t>
            </w:r>
          </w:p>
        </w:tc>
        <w:tc>
          <w:tcPr>
            <w:tcW w:w="0" w:type="auto"/>
            <w:hideMark/>
          </w:tcPr>
          <w:p w:rsidR="003D47D8" w:rsidRPr="003D47D8" w:rsidRDefault="003D47D8" w:rsidP="00786278">
            <w:pPr>
              <w:spacing w:line="240" w:lineRule="auto"/>
              <w:rPr>
                <w:lang w:val="en-GB"/>
              </w:rPr>
            </w:pPr>
            <w:r w:rsidRPr="003D47D8">
              <w:rPr>
                <w:lang w:val="en-GB"/>
              </w:rPr>
              <w:t>1.56</w:t>
            </w:r>
          </w:p>
        </w:tc>
        <w:tc>
          <w:tcPr>
            <w:tcW w:w="0" w:type="auto"/>
            <w:hideMark/>
          </w:tcPr>
          <w:p w:rsidR="003D47D8" w:rsidRPr="003D47D8" w:rsidRDefault="003D47D8" w:rsidP="00786278">
            <w:pPr>
              <w:spacing w:line="240" w:lineRule="auto"/>
              <w:rPr>
                <w:lang w:val="en-GB"/>
              </w:rPr>
            </w:pPr>
            <w:r w:rsidRPr="003D47D8">
              <w:rPr>
                <w:lang w:val="en-GB"/>
              </w:rPr>
              <w:t>1.61</w:t>
            </w:r>
          </w:p>
        </w:tc>
        <w:tc>
          <w:tcPr>
            <w:tcW w:w="0" w:type="auto"/>
            <w:hideMark/>
          </w:tcPr>
          <w:p w:rsidR="003D47D8" w:rsidRPr="003D47D8" w:rsidRDefault="003D47D8" w:rsidP="00786278">
            <w:pPr>
              <w:spacing w:line="240" w:lineRule="auto"/>
              <w:rPr>
                <w:lang w:val="en-GB"/>
              </w:rPr>
            </w:pPr>
            <w:r w:rsidRPr="003D47D8">
              <w:rPr>
                <w:lang w:val="en-GB"/>
              </w:rPr>
              <w:t>1.53</w:t>
            </w:r>
          </w:p>
        </w:tc>
      </w:tr>
      <w:tr w:rsidR="003D47D8" w:rsidRPr="003D47D8" w:rsidTr="00C5701E">
        <w:trPr>
          <w:jc w:val="center"/>
        </w:trPr>
        <w:tc>
          <w:tcPr>
            <w:tcW w:w="0" w:type="auto"/>
            <w:hideMark/>
          </w:tcPr>
          <w:p w:rsidR="003D47D8" w:rsidRPr="003D47D8" w:rsidRDefault="003D47D8" w:rsidP="00786278">
            <w:pPr>
              <w:spacing w:line="240" w:lineRule="auto"/>
              <w:rPr>
                <w:lang w:val="en-GB"/>
              </w:rPr>
            </w:pPr>
            <w:r w:rsidRPr="003D47D8">
              <w:rPr>
                <w:lang w:val="en-GB"/>
              </w:rPr>
              <w:t>Quick Ratio</w:t>
            </w:r>
          </w:p>
        </w:tc>
        <w:tc>
          <w:tcPr>
            <w:tcW w:w="0" w:type="auto"/>
            <w:hideMark/>
          </w:tcPr>
          <w:p w:rsidR="003D47D8" w:rsidRPr="003D47D8" w:rsidRDefault="003D47D8" w:rsidP="00786278">
            <w:pPr>
              <w:spacing w:line="240" w:lineRule="auto"/>
              <w:rPr>
                <w:lang w:val="en-GB"/>
              </w:rPr>
            </w:pPr>
            <w:r w:rsidRPr="003D47D8">
              <w:rPr>
                <w:lang w:val="en-GB"/>
              </w:rPr>
              <w:t>(CA – Inv</w:t>
            </w:r>
            <w:r w:rsidR="00FE779F">
              <w:rPr>
                <w:lang w:val="en-GB"/>
              </w:rPr>
              <w:t>.</w:t>
            </w:r>
            <w:r w:rsidRPr="003D47D8">
              <w:rPr>
                <w:lang w:val="en-GB"/>
              </w:rPr>
              <w:t>) / CL</w:t>
            </w:r>
          </w:p>
        </w:tc>
        <w:tc>
          <w:tcPr>
            <w:tcW w:w="0" w:type="auto"/>
            <w:hideMark/>
          </w:tcPr>
          <w:p w:rsidR="003D47D8" w:rsidRPr="003D47D8" w:rsidRDefault="003D47D8" w:rsidP="00786278">
            <w:pPr>
              <w:spacing w:line="240" w:lineRule="auto"/>
              <w:rPr>
                <w:lang w:val="en-GB"/>
              </w:rPr>
            </w:pPr>
            <w:r w:rsidRPr="003D47D8">
              <w:rPr>
                <w:lang w:val="en-GB"/>
              </w:rPr>
              <w:t>1.06</w:t>
            </w:r>
          </w:p>
        </w:tc>
        <w:tc>
          <w:tcPr>
            <w:tcW w:w="0" w:type="auto"/>
            <w:hideMark/>
          </w:tcPr>
          <w:p w:rsidR="003D47D8" w:rsidRPr="003D47D8" w:rsidRDefault="003D47D8" w:rsidP="00786278">
            <w:pPr>
              <w:spacing w:line="240" w:lineRule="auto"/>
              <w:rPr>
                <w:lang w:val="en-GB"/>
              </w:rPr>
            </w:pPr>
            <w:r w:rsidRPr="003D47D8">
              <w:rPr>
                <w:lang w:val="en-GB"/>
              </w:rPr>
              <w:t>0.94</w:t>
            </w:r>
          </w:p>
        </w:tc>
        <w:tc>
          <w:tcPr>
            <w:tcW w:w="0" w:type="auto"/>
            <w:hideMark/>
          </w:tcPr>
          <w:p w:rsidR="003D47D8" w:rsidRPr="003D47D8" w:rsidRDefault="003D47D8" w:rsidP="00786278">
            <w:pPr>
              <w:spacing w:line="240" w:lineRule="auto"/>
              <w:rPr>
                <w:lang w:val="en-GB"/>
              </w:rPr>
            </w:pPr>
            <w:r w:rsidRPr="003D47D8">
              <w:rPr>
                <w:lang w:val="en-GB"/>
              </w:rPr>
              <w:t>0.91</w:t>
            </w:r>
          </w:p>
        </w:tc>
        <w:tc>
          <w:tcPr>
            <w:tcW w:w="0" w:type="auto"/>
            <w:hideMark/>
          </w:tcPr>
          <w:p w:rsidR="003D47D8" w:rsidRPr="003D47D8" w:rsidRDefault="003D47D8" w:rsidP="00786278">
            <w:pPr>
              <w:spacing w:line="240" w:lineRule="auto"/>
              <w:rPr>
                <w:lang w:val="en-GB"/>
              </w:rPr>
            </w:pPr>
            <w:r w:rsidRPr="003D47D8">
              <w:rPr>
                <w:lang w:val="en-GB"/>
              </w:rPr>
              <w:t>0.91</w:t>
            </w:r>
          </w:p>
        </w:tc>
        <w:tc>
          <w:tcPr>
            <w:tcW w:w="0" w:type="auto"/>
            <w:hideMark/>
          </w:tcPr>
          <w:p w:rsidR="003D47D8" w:rsidRPr="003D47D8" w:rsidRDefault="003D47D8" w:rsidP="00786278">
            <w:pPr>
              <w:spacing w:line="240" w:lineRule="auto"/>
              <w:rPr>
                <w:lang w:val="en-GB"/>
              </w:rPr>
            </w:pPr>
            <w:r w:rsidRPr="003D47D8">
              <w:rPr>
                <w:lang w:val="en-GB"/>
              </w:rPr>
              <w:t>0.98</w:t>
            </w:r>
          </w:p>
        </w:tc>
      </w:tr>
      <w:tr w:rsidR="003D47D8" w:rsidRPr="003D47D8" w:rsidTr="00C5701E">
        <w:trPr>
          <w:jc w:val="center"/>
        </w:trPr>
        <w:tc>
          <w:tcPr>
            <w:tcW w:w="0" w:type="auto"/>
            <w:hideMark/>
          </w:tcPr>
          <w:p w:rsidR="003D47D8" w:rsidRPr="003D47D8" w:rsidRDefault="003D47D8" w:rsidP="00786278">
            <w:pPr>
              <w:spacing w:line="240" w:lineRule="auto"/>
              <w:rPr>
                <w:lang w:val="en-GB"/>
              </w:rPr>
            </w:pPr>
            <w:r w:rsidRPr="003D47D8">
              <w:rPr>
                <w:lang w:val="en-GB"/>
              </w:rPr>
              <w:t>Cash Ratio</w:t>
            </w:r>
          </w:p>
        </w:tc>
        <w:tc>
          <w:tcPr>
            <w:tcW w:w="0" w:type="auto"/>
            <w:hideMark/>
          </w:tcPr>
          <w:p w:rsidR="003D47D8" w:rsidRPr="003D47D8" w:rsidRDefault="003D47D8" w:rsidP="00786278">
            <w:pPr>
              <w:spacing w:line="240" w:lineRule="auto"/>
              <w:rPr>
                <w:lang w:val="en-GB"/>
              </w:rPr>
            </w:pPr>
            <w:r w:rsidRPr="003D47D8">
              <w:rPr>
                <w:lang w:val="en-GB"/>
              </w:rPr>
              <w:t>Cash / CL</w:t>
            </w:r>
          </w:p>
        </w:tc>
        <w:tc>
          <w:tcPr>
            <w:tcW w:w="0" w:type="auto"/>
            <w:hideMark/>
          </w:tcPr>
          <w:p w:rsidR="003D47D8" w:rsidRPr="003D47D8" w:rsidRDefault="003D47D8" w:rsidP="00786278">
            <w:pPr>
              <w:spacing w:line="240" w:lineRule="auto"/>
              <w:rPr>
                <w:lang w:val="en-GB"/>
              </w:rPr>
            </w:pPr>
            <w:r w:rsidRPr="003D47D8">
              <w:rPr>
                <w:lang w:val="en-GB"/>
              </w:rPr>
              <w:t>0.32</w:t>
            </w:r>
          </w:p>
        </w:tc>
        <w:tc>
          <w:tcPr>
            <w:tcW w:w="0" w:type="auto"/>
            <w:hideMark/>
          </w:tcPr>
          <w:p w:rsidR="003D47D8" w:rsidRPr="003D47D8" w:rsidRDefault="003D47D8" w:rsidP="00786278">
            <w:pPr>
              <w:spacing w:line="240" w:lineRule="auto"/>
              <w:rPr>
                <w:lang w:val="en-GB"/>
              </w:rPr>
            </w:pPr>
            <w:r w:rsidRPr="003D47D8">
              <w:rPr>
                <w:lang w:val="en-GB"/>
              </w:rPr>
              <w:t>0.28</w:t>
            </w:r>
          </w:p>
        </w:tc>
        <w:tc>
          <w:tcPr>
            <w:tcW w:w="0" w:type="auto"/>
            <w:hideMark/>
          </w:tcPr>
          <w:p w:rsidR="003D47D8" w:rsidRPr="003D47D8" w:rsidRDefault="003D47D8" w:rsidP="00786278">
            <w:pPr>
              <w:spacing w:line="240" w:lineRule="auto"/>
              <w:rPr>
                <w:lang w:val="en-GB"/>
              </w:rPr>
            </w:pPr>
            <w:r w:rsidRPr="003D47D8">
              <w:rPr>
                <w:lang w:val="en-GB"/>
              </w:rPr>
              <w:t>0.20</w:t>
            </w:r>
          </w:p>
        </w:tc>
        <w:tc>
          <w:tcPr>
            <w:tcW w:w="0" w:type="auto"/>
            <w:hideMark/>
          </w:tcPr>
          <w:p w:rsidR="003D47D8" w:rsidRPr="003D47D8" w:rsidRDefault="003D47D8" w:rsidP="00786278">
            <w:pPr>
              <w:spacing w:line="240" w:lineRule="auto"/>
              <w:rPr>
                <w:lang w:val="en-GB"/>
              </w:rPr>
            </w:pPr>
            <w:r w:rsidRPr="003D47D8">
              <w:rPr>
                <w:lang w:val="en-GB"/>
              </w:rPr>
              <w:t>0.27</w:t>
            </w:r>
          </w:p>
        </w:tc>
        <w:tc>
          <w:tcPr>
            <w:tcW w:w="0" w:type="auto"/>
            <w:hideMark/>
          </w:tcPr>
          <w:p w:rsidR="003D47D8" w:rsidRPr="003D47D8" w:rsidRDefault="003D47D8" w:rsidP="00786278">
            <w:pPr>
              <w:spacing w:line="240" w:lineRule="auto"/>
              <w:rPr>
                <w:lang w:val="en-GB"/>
              </w:rPr>
            </w:pPr>
            <w:r w:rsidRPr="003D47D8">
              <w:rPr>
                <w:lang w:val="en-GB"/>
              </w:rPr>
              <w:t>0.17</w:t>
            </w:r>
          </w:p>
        </w:tc>
      </w:tr>
    </w:tbl>
    <w:p w:rsidR="00C5701E" w:rsidRPr="00C5701E" w:rsidRDefault="00C5701E" w:rsidP="00C5701E">
      <w:pPr>
        <w:jc w:val="center"/>
        <w:rPr>
          <w:lang w:val="en-GB"/>
        </w:rPr>
      </w:pPr>
      <w:r>
        <w:rPr>
          <w:lang w:val="en-GB"/>
        </w:rPr>
        <w:t>Source: General Electronics Financial Statement (2024)</w:t>
      </w:r>
    </w:p>
    <w:p w:rsidR="001C7CC0" w:rsidRDefault="00FE779F" w:rsidP="00E021AE">
      <w:r>
        <w:t xml:space="preserve">Here, </w:t>
      </w:r>
    </w:p>
    <w:p w:rsidR="00FE779F" w:rsidRDefault="00FE779F" w:rsidP="00E021AE">
      <w:r>
        <w:t>CA= Current Asset</w:t>
      </w:r>
    </w:p>
    <w:p w:rsidR="00FE779F" w:rsidRDefault="00FE779F" w:rsidP="00E021AE">
      <w:r>
        <w:t>CL= Current Liabilities</w:t>
      </w:r>
    </w:p>
    <w:p w:rsidR="00FE779F" w:rsidRDefault="00FE779F" w:rsidP="00E021AE">
      <w:r>
        <w:t>Inv. = Inventory</w:t>
      </w:r>
    </w:p>
    <w:p w:rsidR="00C5701E" w:rsidRDefault="00C5701E" w:rsidP="00E021AE"/>
    <w:p w:rsidR="00C5701E" w:rsidRPr="00C5701E" w:rsidRDefault="00C5701E" w:rsidP="00E021AE">
      <w:pPr>
        <w:rPr>
          <w:rFonts w:cs="Arial"/>
          <w:b/>
          <w:lang w:val="en-GB"/>
        </w:rPr>
      </w:pPr>
      <w:r w:rsidRPr="00C5701E">
        <w:rPr>
          <w:rFonts w:cs="Arial"/>
          <w:b/>
          <w:lang w:val="en-GB"/>
        </w:rPr>
        <w:t xml:space="preserve">Figure </w:t>
      </w:r>
      <w:r>
        <w:rPr>
          <w:rFonts w:cs="Arial"/>
          <w:b/>
          <w:lang w:val="en-GB"/>
        </w:rPr>
        <w:t>B1</w:t>
      </w:r>
      <w:r w:rsidRPr="00C5701E">
        <w:rPr>
          <w:rFonts w:cs="Arial"/>
          <w:b/>
          <w:lang w:val="en-GB"/>
        </w:rPr>
        <w:t xml:space="preserve">: </w:t>
      </w:r>
      <w:r w:rsidRPr="00C5701E">
        <w:rPr>
          <w:rFonts w:eastAsia="Times New Roman" w:cs="Arial"/>
          <w:b/>
          <w:bCs/>
          <w:szCs w:val="24"/>
          <w:lang w:val="en-GB" w:eastAsia="en-GB"/>
        </w:rPr>
        <w:t xml:space="preserve">Chart – </w:t>
      </w:r>
      <w:r>
        <w:rPr>
          <w:rFonts w:eastAsia="Times New Roman" w:cs="Arial"/>
          <w:b/>
          <w:bCs/>
          <w:szCs w:val="24"/>
          <w:lang w:val="en-GB" w:eastAsia="en-GB"/>
        </w:rPr>
        <w:t>Liquidity</w:t>
      </w:r>
      <w:r w:rsidRPr="00C5701E">
        <w:rPr>
          <w:rFonts w:eastAsia="Times New Roman" w:cs="Arial"/>
          <w:b/>
          <w:bCs/>
          <w:szCs w:val="24"/>
          <w:lang w:val="en-GB" w:eastAsia="en-GB"/>
        </w:rPr>
        <w:t xml:space="preserve"> Ratios (2020–2024)</w:t>
      </w:r>
    </w:p>
    <w:p w:rsidR="00C5701E" w:rsidRDefault="00C5701E" w:rsidP="005A6908">
      <w:pPr>
        <w:jc w:val="center"/>
      </w:pPr>
      <w:r>
        <w:rPr>
          <w:noProof/>
          <w:lang w:val="en-GB" w:eastAsia="en-GB"/>
        </w:rPr>
        <w:drawing>
          <wp:inline distT="0" distB="0" distL="0" distR="0" wp14:anchorId="3BBD5AA6">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5A6908" w:rsidRPr="005A6908" w:rsidRDefault="005A6908" w:rsidP="005A6908">
      <w:pPr>
        <w:jc w:val="center"/>
        <w:rPr>
          <w:lang w:val="en-GB"/>
        </w:rPr>
      </w:pPr>
      <w:r>
        <w:rPr>
          <w:lang w:val="en-GB"/>
        </w:rPr>
        <w:t>(Source: Self-generated)</w:t>
      </w:r>
    </w:p>
    <w:p w:rsidR="003D47D8" w:rsidRDefault="003D47D8" w:rsidP="00E021AE">
      <w:pPr>
        <w:rPr>
          <w:b/>
          <w:color w:val="4F81BD" w:themeColor="accent1"/>
          <w:sz w:val="28"/>
        </w:rPr>
      </w:pPr>
      <w:r w:rsidRPr="003D47D8">
        <w:rPr>
          <w:b/>
          <w:color w:val="4F81BD" w:themeColor="accent1"/>
          <w:sz w:val="28"/>
        </w:rPr>
        <w:lastRenderedPageBreak/>
        <w:t xml:space="preserve">Appendix C: Efficiency / Working Capital Ratios </w:t>
      </w:r>
    </w:p>
    <w:p w:rsidR="00C5701E" w:rsidRPr="005A6908" w:rsidRDefault="005A6908" w:rsidP="005A6908">
      <w:pPr>
        <w:rPr>
          <w:b/>
        </w:rPr>
      </w:pPr>
      <w:r w:rsidRPr="005A6908">
        <w:rPr>
          <w:b/>
        </w:rPr>
        <w:t>Table C1: Efficiency Ratio Calculation (2020-2024)</w:t>
      </w:r>
    </w:p>
    <w:tbl>
      <w:tblPr>
        <w:tblStyle w:val="TableGrid"/>
        <w:tblW w:w="0" w:type="auto"/>
        <w:jc w:val="center"/>
        <w:tblLook w:val="04A0" w:firstRow="1" w:lastRow="0" w:firstColumn="1" w:lastColumn="0" w:noHBand="0" w:noVBand="1"/>
      </w:tblPr>
      <w:tblGrid>
        <w:gridCol w:w="2577"/>
        <w:gridCol w:w="2769"/>
        <w:gridCol w:w="750"/>
        <w:gridCol w:w="750"/>
        <w:gridCol w:w="750"/>
        <w:gridCol w:w="750"/>
        <w:gridCol w:w="750"/>
      </w:tblGrid>
      <w:tr w:rsidR="003D47D8" w:rsidRPr="003D47D8" w:rsidTr="005A6908">
        <w:trPr>
          <w:jc w:val="center"/>
        </w:trPr>
        <w:tc>
          <w:tcPr>
            <w:tcW w:w="0" w:type="auto"/>
            <w:hideMark/>
          </w:tcPr>
          <w:p w:rsidR="003D47D8" w:rsidRPr="003D47D8" w:rsidRDefault="003D47D8" w:rsidP="00786278">
            <w:pPr>
              <w:spacing w:line="240" w:lineRule="auto"/>
              <w:rPr>
                <w:b/>
                <w:bCs/>
                <w:lang w:val="en-GB"/>
              </w:rPr>
            </w:pPr>
            <w:r w:rsidRPr="003D47D8">
              <w:rPr>
                <w:b/>
                <w:bCs/>
                <w:lang w:val="en-GB"/>
              </w:rPr>
              <w:t>Ratio</w:t>
            </w:r>
          </w:p>
        </w:tc>
        <w:tc>
          <w:tcPr>
            <w:tcW w:w="0" w:type="auto"/>
            <w:hideMark/>
          </w:tcPr>
          <w:p w:rsidR="003D47D8" w:rsidRPr="003D47D8" w:rsidRDefault="003D47D8" w:rsidP="00786278">
            <w:pPr>
              <w:spacing w:line="240" w:lineRule="auto"/>
              <w:rPr>
                <w:b/>
                <w:bCs/>
                <w:lang w:val="en-GB"/>
              </w:rPr>
            </w:pPr>
            <w:r w:rsidRPr="003D47D8">
              <w:rPr>
                <w:b/>
                <w:bCs/>
                <w:lang w:val="en-GB"/>
              </w:rPr>
              <w:t>Formula</w:t>
            </w:r>
          </w:p>
        </w:tc>
        <w:tc>
          <w:tcPr>
            <w:tcW w:w="0" w:type="auto"/>
            <w:hideMark/>
          </w:tcPr>
          <w:p w:rsidR="003D47D8" w:rsidRPr="003D47D8" w:rsidRDefault="003D47D8" w:rsidP="00786278">
            <w:pPr>
              <w:spacing w:line="240" w:lineRule="auto"/>
              <w:rPr>
                <w:b/>
                <w:bCs/>
                <w:lang w:val="en-GB"/>
              </w:rPr>
            </w:pPr>
            <w:r w:rsidRPr="003D47D8">
              <w:rPr>
                <w:b/>
                <w:bCs/>
                <w:lang w:val="en-GB"/>
              </w:rPr>
              <w:t>2020</w:t>
            </w:r>
          </w:p>
        </w:tc>
        <w:tc>
          <w:tcPr>
            <w:tcW w:w="0" w:type="auto"/>
            <w:hideMark/>
          </w:tcPr>
          <w:p w:rsidR="003D47D8" w:rsidRPr="003D47D8" w:rsidRDefault="003D47D8" w:rsidP="00786278">
            <w:pPr>
              <w:spacing w:line="240" w:lineRule="auto"/>
              <w:rPr>
                <w:b/>
                <w:bCs/>
                <w:lang w:val="en-GB"/>
              </w:rPr>
            </w:pPr>
            <w:r w:rsidRPr="003D47D8">
              <w:rPr>
                <w:b/>
                <w:bCs/>
                <w:lang w:val="en-GB"/>
              </w:rPr>
              <w:t>2021</w:t>
            </w:r>
          </w:p>
        </w:tc>
        <w:tc>
          <w:tcPr>
            <w:tcW w:w="0" w:type="auto"/>
            <w:hideMark/>
          </w:tcPr>
          <w:p w:rsidR="003D47D8" w:rsidRPr="003D47D8" w:rsidRDefault="003D47D8" w:rsidP="00786278">
            <w:pPr>
              <w:spacing w:line="240" w:lineRule="auto"/>
              <w:rPr>
                <w:b/>
                <w:bCs/>
                <w:lang w:val="en-GB"/>
              </w:rPr>
            </w:pPr>
            <w:r w:rsidRPr="003D47D8">
              <w:rPr>
                <w:b/>
                <w:bCs/>
                <w:lang w:val="en-GB"/>
              </w:rPr>
              <w:t>2022</w:t>
            </w:r>
          </w:p>
        </w:tc>
        <w:tc>
          <w:tcPr>
            <w:tcW w:w="0" w:type="auto"/>
            <w:hideMark/>
          </w:tcPr>
          <w:p w:rsidR="003D47D8" w:rsidRPr="003D47D8" w:rsidRDefault="003D47D8" w:rsidP="00786278">
            <w:pPr>
              <w:spacing w:line="240" w:lineRule="auto"/>
              <w:rPr>
                <w:b/>
                <w:bCs/>
                <w:lang w:val="en-GB"/>
              </w:rPr>
            </w:pPr>
            <w:r w:rsidRPr="003D47D8">
              <w:rPr>
                <w:b/>
                <w:bCs/>
                <w:lang w:val="en-GB"/>
              </w:rPr>
              <w:t>2023</w:t>
            </w:r>
          </w:p>
        </w:tc>
        <w:tc>
          <w:tcPr>
            <w:tcW w:w="0" w:type="auto"/>
            <w:hideMark/>
          </w:tcPr>
          <w:p w:rsidR="003D47D8" w:rsidRPr="003D47D8" w:rsidRDefault="003D47D8" w:rsidP="00786278">
            <w:pPr>
              <w:spacing w:line="240" w:lineRule="auto"/>
              <w:rPr>
                <w:b/>
                <w:bCs/>
                <w:lang w:val="en-GB"/>
              </w:rPr>
            </w:pPr>
            <w:r w:rsidRPr="003D47D8">
              <w:rPr>
                <w:b/>
                <w:bCs/>
                <w:lang w:val="en-GB"/>
              </w:rPr>
              <w:t>2024</w:t>
            </w:r>
          </w:p>
        </w:tc>
      </w:tr>
      <w:tr w:rsidR="003D47D8" w:rsidRPr="003D47D8" w:rsidTr="005A6908">
        <w:trPr>
          <w:jc w:val="center"/>
        </w:trPr>
        <w:tc>
          <w:tcPr>
            <w:tcW w:w="0" w:type="auto"/>
            <w:hideMark/>
          </w:tcPr>
          <w:p w:rsidR="003D47D8" w:rsidRPr="003D47D8" w:rsidRDefault="003D47D8" w:rsidP="00786278">
            <w:pPr>
              <w:spacing w:line="240" w:lineRule="auto"/>
              <w:rPr>
                <w:lang w:val="en-GB"/>
              </w:rPr>
            </w:pPr>
            <w:r w:rsidRPr="003D47D8">
              <w:rPr>
                <w:lang w:val="en-GB"/>
              </w:rPr>
              <w:t>Inventory Days</w:t>
            </w:r>
          </w:p>
        </w:tc>
        <w:tc>
          <w:tcPr>
            <w:tcW w:w="0" w:type="auto"/>
            <w:hideMark/>
          </w:tcPr>
          <w:p w:rsidR="003D47D8" w:rsidRPr="003D47D8" w:rsidRDefault="003D47D8" w:rsidP="00786278">
            <w:pPr>
              <w:spacing w:line="240" w:lineRule="auto"/>
              <w:rPr>
                <w:lang w:val="en-GB"/>
              </w:rPr>
            </w:pPr>
            <w:r w:rsidRPr="003D47D8">
              <w:rPr>
                <w:lang w:val="en-GB"/>
              </w:rPr>
              <w:t>(Inv</w:t>
            </w:r>
            <w:r w:rsidR="00FE779F">
              <w:rPr>
                <w:lang w:val="en-GB"/>
              </w:rPr>
              <w:t>.</w:t>
            </w:r>
            <w:r w:rsidRPr="003D47D8">
              <w:rPr>
                <w:lang w:val="en-GB"/>
              </w:rPr>
              <w:t xml:space="preserve"> ÷ COGS) × 365</w:t>
            </w:r>
          </w:p>
        </w:tc>
        <w:tc>
          <w:tcPr>
            <w:tcW w:w="0" w:type="auto"/>
            <w:hideMark/>
          </w:tcPr>
          <w:p w:rsidR="003D47D8" w:rsidRPr="003D47D8" w:rsidRDefault="003D47D8" w:rsidP="00786278">
            <w:pPr>
              <w:spacing w:line="240" w:lineRule="auto"/>
              <w:rPr>
                <w:lang w:val="en-GB"/>
              </w:rPr>
            </w:pPr>
            <w:r w:rsidRPr="003D47D8">
              <w:rPr>
                <w:lang w:val="en-GB"/>
              </w:rPr>
              <w:t>100</w:t>
            </w:r>
          </w:p>
        </w:tc>
        <w:tc>
          <w:tcPr>
            <w:tcW w:w="0" w:type="auto"/>
            <w:hideMark/>
          </w:tcPr>
          <w:p w:rsidR="003D47D8" w:rsidRPr="003D47D8" w:rsidRDefault="003D47D8" w:rsidP="00786278">
            <w:pPr>
              <w:spacing w:line="240" w:lineRule="auto"/>
              <w:rPr>
                <w:lang w:val="en-GB"/>
              </w:rPr>
            </w:pPr>
            <w:r w:rsidRPr="003D47D8">
              <w:rPr>
                <w:lang w:val="en-GB"/>
              </w:rPr>
              <w:t>115</w:t>
            </w:r>
          </w:p>
        </w:tc>
        <w:tc>
          <w:tcPr>
            <w:tcW w:w="0" w:type="auto"/>
            <w:hideMark/>
          </w:tcPr>
          <w:p w:rsidR="003D47D8" w:rsidRPr="003D47D8" w:rsidRDefault="003D47D8" w:rsidP="00786278">
            <w:pPr>
              <w:spacing w:line="240" w:lineRule="auto"/>
              <w:rPr>
                <w:lang w:val="en-GB"/>
              </w:rPr>
            </w:pPr>
            <w:r w:rsidRPr="003D47D8">
              <w:rPr>
                <w:lang w:val="en-GB"/>
              </w:rPr>
              <w:t>131</w:t>
            </w:r>
          </w:p>
        </w:tc>
        <w:tc>
          <w:tcPr>
            <w:tcW w:w="0" w:type="auto"/>
            <w:hideMark/>
          </w:tcPr>
          <w:p w:rsidR="003D47D8" w:rsidRPr="003D47D8" w:rsidRDefault="003D47D8" w:rsidP="00786278">
            <w:pPr>
              <w:spacing w:line="240" w:lineRule="auto"/>
              <w:rPr>
                <w:lang w:val="en-GB"/>
              </w:rPr>
            </w:pPr>
            <w:r w:rsidRPr="003D47D8">
              <w:rPr>
                <w:lang w:val="en-GB"/>
              </w:rPr>
              <w:t>100</w:t>
            </w:r>
          </w:p>
        </w:tc>
        <w:tc>
          <w:tcPr>
            <w:tcW w:w="0" w:type="auto"/>
            <w:hideMark/>
          </w:tcPr>
          <w:p w:rsidR="003D47D8" w:rsidRPr="003D47D8" w:rsidRDefault="003D47D8" w:rsidP="00786278">
            <w:pPr>
              <w:spacing w:line="240" w:lineRule="auto"/>
              <w:rPr>
                <w:lang w:val="en-GB"/>
              </w:rPr>
            </w:pPr>
            <w:r w:rsidRPr="003D47D8">
              <w:rPr>
                <w:lang w:val="en-GB"/>
              </w:rPr>
              <w:t>93</w:t>
            </w:r>
          </w:p>
        </w:tc>
      </w:tr>
      <w:tr w:rsidR="003D47D8" w:rsidRPr="003D47D8" w:rsidTr="005A6908">
        <w:trPr>
          <w:jc w:val="center"/>
        </w:trPr>
        <w:tc>
          <w:tcPr>
            <w:tcW w:w="0" w:type="auto"/>
            <w:hideMark/>
          </w:tcPr>
          <w:p w:rsidR="003D47D8" w:rsidRPr="003D47D8" w:rsidRDefault="003D47D8" w:rsidP="00786278">
            <w:pPr>
              <w:spacing w:line="240" w:lineRule="auto"/>
              <w:rPr>
                <w:lang w:val="en-GB"/>
              </w:rPr>
            </w:pPr>
            <w:r w:rsidRPr="003D47D8">
              <w:rPr>
                <w:lang w:val="en-GB"/>
              </w:rPr>
              <w:t>Receivable Days</w:t>
            </w:r>
          </w:p>
        </w:tc>
        <w:tc>
          <w:tcPr>
            <w:tcW w:w="0" w:type="auto"/>
            <w:hideMark/>
          </w:tcPr>
          <w:p w:rsidR="003D47D8" w:rsidRPr="003D47D8" w:rsidRDefault="003D47D8" w:rsidP="00786278">
            <w:pPr>
              <w:spacing w:line="240" w:lineRule="auto"/>
              <w:rPr>
                <w:lang w:val="en-GB"/>
              </w:rPr>
            </w:pPr>
            <w:r w:rsidRPr="003D47D8">
              <w:rPr>
                <w:lang w:val="en-GB"/>
              </w:rPr>
              <w:t>(AR ÷ Sales) × 365</w:t>
            </w:r>
          </w:p>
        </w:tc>
        <w:tc>
          <w:tcPr>
            <w:tcW w:w="0" w:type="auto"/>
            <w:hideMark/>
          </w:tcPr>
          <w:p w:rsidR="003D47D8" w:rsidRPr="003D47D8" w:rsidRDefault="003D47D8" w:rsidP="00786278">
            <w:pPr>
              <w:spacing w:line="240" w:lineRule="auto"/>
              <w:rPr>
                <w:lang w:val="en-GB"/>
              </w:rPr>
            </w:pPr>
            <w:r w:rsidRPr="003D47D8">
              <w:rPr>
                <w:lang w:val="en-GB"/>
              </w:rPr>
              <w:t>77</w:t>
            </w:r>
          </w:p>
        </w:tc>
        <w:tc>
          <w:tcPr>
            <w:tcW w:w="0" w:type="auto"/>
            <w:hideMark/>
          </w:tcPr>
          <w:p w:rsidR="003D47D8" w:rsidRPr="003D47D8" w:rsidRDefault="003D47D8" w:rsidP="00786278">
            <w:pPr>
              <w:spacing w:line="240" w:lineRule="auto"/>
              <w:rPr>
                <w:lang w:val="en-GB"/>
              </w:rPr>
            </w:pPr>
            <w:r w:rsidRPr="003D47D8">
              <w:rPr>
                <w:lang w:val="en-GB"/>
              </w:rPr>
              <w:t>78</w:t>
            </w:r>
          </w:p>
        </w:tc>
        <w:tc>
          <w:tcPr>
            <w:tcW w:w="0" w:type="auto"/>
            <w:hideMark/>
          </w:tcPr>
          <w:p w:rsidR="003D47D8" w:rsidRPr="003D47D8" w:rsidRDefault="003D47D8" w:rsidP="00786278">
            <w:pPr>
              <w:spacing w:line="240" w:lineRule="auto"/>
              <w:rPr>
                <w:lang w:val="en-GB"/>
              </w:rPr>
            </w:pPr>
            <w:r w:rsidRPr="003D47D8">
              <w:rPr>
                <w:lang w:val="en-GB"/>
              </w:rPr>
              <w:t>75</w:t>
            </w:r>
          </w:p>
        </w:tc>
        <w:tc>
          <w:tcPr>
            <w:tcW w:w="0" w:type="auto"/>
            <w:hideMark/>
          </w:tcPr>
          <w:p w:rsidR="003D47D8" w:rsidRPr="003D47D8" w:rsidRDefault="003D47D8" w:rsidP="00786278">
            <w:pPr>
              <w:spacing w:line="240" w:lineRule="auto"/>
              <w:rPr>
                <w:lang w:val="en-GB"/>
              </w:rPr>
            </w:pPr>
            <w:r w:rsidRPr="003D47D8">
              <w:rPr>
                <w:lang w:val="en-GB"/>
              </w:rPr>
              <w:t>97</w:t>
            </w:r>
          </w:p>
        </w:tc>
        <w:tc>
          <w:tcPr>
            <w:tcW w:w="0" w:type="auto"/>
            <w:hideMark/>
          </w:tcPr>
          <w:p w:rsidR="003D47D8" w:rsidRPr="003D47D8" w:rsidRDefault="003D47D8" w:rsidP="00786278">
            <w:pPr>
              <w:spacing w:line="240" w:lineRule="auto"/>
              <w:rPr>
                <w:lang w:val="en-GB"/>
              </w:rPr>
            </w:pPr>
            <w:r w:rsidRPr="003D47D8">
              <w:rPr>
                <w:lang w:val="en-GB"/>
              </w:rPr>
              <w:t>105</w:t>
            </w:r>
          </w:p>
        </w:tc>
      </w:tr>
      <w:tr w:rsidR="003D47D8" w:rsidRPr="003D47D8" w:rsidTr="005A6908">
        <w:trPr>
          <w:jc w:val="center"/>
        </w:trPr>
        <w:tc>
          <w:tcPr>
            <w:tcW w:w="0" w:type="auto"/>
            <w:hideMark/>
          </w:tcPr>
          <w:p w:rsidR="003D47D8" w:rsidRPr="003D47D8" w:rsidRDefault="003D47D8" w:rsidP="00786278">
            <w:pPr>
              <w:spacing w:line="240" w:lineRule="auto"/>
              <w:rPr>
                <w:lang w:val="en-GB"/>
              </w:rPr>
            </w:pPr>
            <w:r w:rsidRPr="003D47D8">
              <w:rPr>
                <w:lang w:val="en-GB"/>
              </w:rPr>
              <w:t>Payable Days</w:t>
            </w:r>
          </w:p>
        </w:tc>
        <w:tc>
          <w:tcPr>
            <w:tcW w:w="0" w:type="auto"/>
            <w:hideMark/>
          </w:tcPr>
          <w:p w:rsidR="003D47D8" w:rsidRPr="003D47D8" w:rsidRDefault="003D47D8" w:rsidP="00786278">
            <w:pPr>
              <w:spacing w:line="240" w:lineRule="auto"/>
              <w:rPr>
                <w:lang w:val="en-GB"/>
              </w:rPr>
            </w:pPr>
            <w:r w:rsidRPr="003D47D8">
              <w:rPr>
                <w:lang w:val="en-GB"/>
              </w:rPr>
              <w:t>(AP ÷ Purchases) × 365</w:t>
            </w:r>
          </w:p>
        </w:tc>
        <w:tc>
          <w:tcPr>
            <w:tcW w:w="0" w:type="auto"/>
            <w:hideMark/>
          </w:tcPr>
          <w:p w:rsidR="003D47D8" w:rsidRPr="003D47D8" w:rsidRDefault="003D47D8" w:rsidP="00786278">
            <w:pPr>
              <w:spacing w:line="240" w:lineRule="auto"/>
              <w:rPr>
                <w:lang w:val="en-GB"/>
              </w:rPr>
            </w:pPr>
            <w:r w:rsidRPr="003D47D8">
              <w:rPr>
                <w:lang w:val="en-GB"/>
              </w:rPr>
              <w:t>49</w:t>
            </w:r>
          </w:p>
        </w:tc>
        <w:tc>
          <w:tcPr>
            <w:tcW w:w="0" w:type="auto"/>
            <w:hideMark/>
          </w:tcPr>
          <w:p w:rsidR="003D47D8" w:rsidRPr="003D47D8" w:rsidRDefault="003D47D8" w:rsidP="00786278">
            <w:pPr>
              <w:spacing w:line="240" w:lineRule="auto"/>
              <w:rPr>
                <w:lang w:val="en-GB"/>
              </w:rPr>
            </w:pPr>
            <w:r w:rsidRPr="003D47D8">
              <w:rPr>
                <w:lang w:val="en-GB"/>
              </w:rPr>
              <w:t>57</w:t>
            </w:r>
          </w:p>
        </w:tc>
        <w:tc>
          <w:tcPr>
            <w:tcW w:w="0" w:type="auto"/>
            <w:hideMark/>
          </w:tcPr>
          <w:p w:rsidR="003D47D8" w:rsidRPr="003D47D8" w:rsidRDefault="003D47D8" w:rsidP="00786278">
            <w:pPr>
              <w:spacing w:line="240" w:lineRule="auto"/>
              <w:rPr>
                <w:lang w:val="en-GB"/>
              </w:rPr>
            </w:pPr>
            <w:r w:rsidRPr="003D47D8">
              <w:rPr>
                <w:lang w:val="en-GB"/>
              </w:rPr>
              <w:t>66</w:t>
            </w:r>
          </w:p>
        </w:tc>
        <w:tc>
          <w:tcPr>
            <w:tcW w:w="0" w:type="auto"/>
            <w:hideMark/>
          </w:tcPr>
          <w:p w:rsidR="003D47D8" w:rsidRPr="003D47D8" w:rsidRDefault="003D47D8" w:rsidP="00786278">
            <w:pPr>
              <w:spacing w:line="240" w:lineRule="auto"/>
              <w:rPr>
                <w:lang w:val="en-GB"/>
              </w:rPr>
            </w:pPr>
            <w:r w:rsidRPr="003D47D8">
              <w:rPr>
                <w:lang w:val="en-GB"/>
              </w:rPr>
              <w:t>66</w:t>
            </w:r>
          </w:p>
        </w:tc>
        <w:tc>
          <w:tcPr>
            <w:tcW w:w="0" w:type="auto"/>
            <w:hideMark/>
          </w:tcPr>
          <w:p w:rsidR="003D47D8" w:rsidRPr="003D47D8" w:rsidRDefault="003D47D8" w:rsidP="00786278">
            <w:pPr>
              <w:spacing w:line="240" w:lineRule="auto"/>
              <w:rPr>
                <w:lang w:val="en-GB"/>
              </w:rPr>
            </w:pPr>
            <w:r w:rsidRPr="003D47D8">
              <w:rPr>
                <w:lang w:val="en-GB"/>
              </w:rPr>
              <w:t>47</w:t>
            </w:r>
          </w:p>
        </w:tc>
      </w:tr>
      <w:tr w:rsidR="003D47D8" w:rsidRPr="003D47D8" w:rsidTr="005A6908">
        <w:trPr>
          <w:jc w:val="center"/>
        </w:trPr>
        <w:tc>
          <w:tcPr>
            <w:tcW w:w="0" w:type="auto"/>
            <w:hideMark/>
          </w:tcPr>
          <w:p w:rsidR="003D47D8" w:rsidRPr="003D47D8" w:rsidRDefault="003D47D8" w:rsidP="00786278">
            <w:pPr>
              <w:spacing w:line="240" w:lineRule="auto"/>
              <w:rPr>
                <w:lang w:val="en-GB"/>
              </w:rPr>
            </w:pPr>
            <w:r w:rsidRPr="003D47D8">
              <w:rPr>
                <w:lang w:val="en-GB"/>
              </w:rPr>
              <w:t>Working Capital Cycle</w:t>
            </w:r>
          </w:p>
        </w:tc>
        <w:tc>
          <w:tcPr>
            <w:tcW w:w="0" w:type="auto"/>
            <w:hideMark/>
          </w:tcPr>
          <w:p w:rsidR="003D47D8" w:rsidRPr="003D47D8" w:rsidRDefault="003D47D8" w:rsidP="00786278">
            <w:pPr>
              <w:spacing w:line="240" w:lineRule="auto"/>
              <w:rPr>
                <w:lang w:val="en-GB"/>
              </w:rPr>
            </w:pPr>
            <w:r w:rsidRPr="003D47D8">
              <w:rPr>
                <w:lang w:val="en-GB"/>
              </w:rPr>
              <w:t>Inv</w:t>
            </w:r>
            <w:r w:rsidR="00FE779F">
              <w:rPr>
                <w:lang w:val="en-GB"/>
              </w:rPr>
              <w:t>.</w:t>
            </w:r>
            <w:r w:rsidRPr="003D47D8">
              <w:rPr>
                <w:lang w:val="en-GB"/>
              </w:rPr>
              <w:t xml:space="preserve"> + AR – AP</w:t>
            </w:r>
          </w:p>
        </w:tc>
        <w:tc>
          <w:tcPr>
            <w:tcW w:w="0" w:type="auto"/>
            <w:hideMark/>
          </w:tcPr>
          <w:p w:rsidR="003D47D8" w:rsidRPr="003D47D8" w:rsidRDefault="003D47D8" w:rsidP="00786278">
            <w:pPr>
              <w:spacing w:line="240" w:lineRule="auto"/>
              <w:rPr>
                <w:lang w:val="en-GB"/>
              </w:rPr>
            </w:pPr>
            <w:r w:rsidRPr="003D47D8">
              <w:rPr>
                <w:lang w:val="en-GB"/>
              </w:rPr>
              <w:t>128</w:t>
            </w:r>
          </w:p>
        </w:tc>
        <w:tc>
          <w:tcPr>
            <w:tcW w:w="0" w:type="auto"/>
            <w:hideMark/>
          </w:tcPr>
          <w:p w:rsidR="003D47D8" w:rsidRPr="003D47D8" w:rsidRDefault="003D47D8" w:rsidP="00786278">
            <w:pPr>
              <w:spacing w:line="240" w:lineRule="auto"/>
              <w:rPr>
                <w:lang w:val="en-GB"/>
              </w:rPr>
            </w:pPr>
            <w:r w:rsidRPr="003D47D8">
              <w:rPr>
                <w:lang w:val="en-GB"/>
              </w:rPr>
              <w:t>136</w:t>
            </w:r>
          </w:p>
        </w:tc>
        <w:tc>
          <w:tcPr>
            <w:tcW w:w="0" w:type="auto"/>
            <w:hideMark/>
          </w:tcPr>
          <w:p w:rsidR="003D47D8" w:rsidRPr="003D47D8" w:rsidRDefault="003D47D8" w:rsidP="00786278">
            <w:pPr>
              <w:spacing w:line="240" w:lineRule="auto"/>
              <w:rPr>
                <w:lang w:val="en-GB"/>
              </w:rPr>
            </w:pPr>
            <w:r w:rsidRPr="003D47D8">
              <w:rPr>
                <w:lang w:val="en-GB"/>
              </w:rPr>
              <w:t>140</w:t>
            </w:r>
          </w:p>
        </w:tc>
        <w:tc>
          <w:tcPr>
            <w:tcW w:w="0" w:type="auto"/>
            <w:hideMark/>
          </w:tcPr>
          <w:p w:rsidR="003D47D8" w:rsidRPr="003D47D8" w:rsidRDefault="003D47D8" w:rsidP="00786278">
            <w:pPr>
              <w:spacing w:line="240" w:lineRule="auto"/>
              <w:rPr>
                <w:lang w:val="en-GB"/>
              </w:rPr>
            </w:pPr>
            <w:r w:rsidRPr="003D47D8">
              <w:rPr>
                <w:lang w:val="en-GB"/>
              </w:rPr>
              <w:t>131</w:t>
            </w:r>
          </w:p>
        </w:tc>
        <w:tc>
          <w:tcPr>
            <w:tcW w:w="0" w:type="auto"/>
            <w:hideMark/>
          </w:tcPr>
          <w:p w:rsidR="003D47D8" w:rsidRPr="003D47D8" w:rsidRDefault="003D47D8" w:rsidP="00786278">
            <w:pPr>
              <w:spacing w:line="240" w:lineRule="auto"/>
              <w:rPr>
                <w:lang w:val="en-GB"/>
              </w:rPr>
            </w:pPr>
            <w:r w:rsidRPr="003D47D8">
              <w:rPr>
                <w:lang w:val="en-GB"/>
              </w:rPr>
              <w:t>151</w:t>
            </w:r>
          </w:p>
        </w:tc>
      </w:tr>
    </w:tbl>
    <w:p w:rsidR="005A6908" w:rsidRDefault="005A6908" w:rsidP="005A6908">
      <w:pPr>
        <w:jc w:val="center"/>
      </w:pPr>
      <w:r>
        <w:rPr>
          <w:lang w:val="en-GB"/>
        </w:rPr>
        <w:t>Source: General Electronics Financial Statement (2024)</w:t>
      </w:r>
    </w:p>
    <w:p w:rsidR="00FE779F" w:rsidRDefault="00FE779F" w:rsidP="00E021AE">
      <w:r>
        <w:t xml:space="preserve">Here, </w:t>
      </w:r>
    </w:p>
    <w:p w:rsidR="003D47D8" w:rsidRDefault="00FE779F" w:rsidP="00E021AE">
      <w:r>
        <w:t>Inv. = Inventory</w:t>
      </w:r>
    </w:p>
    <w:p w:rsidR="00FE779F" w:rsidRDefault="00FE779F" w:rsidP="00E021AE">
      <w:r>
        <w:t>COGS= Cost of Goods Sold</w:t>
      </w:r>
    </w:p>
    <w:p w:rsidR="00FE779F" w:rsidRDefault="00FE779F" w:rsidP="00E021AE">
      <w:r>
        <w:t xml:space="preserve">AR= Accounts Receivables </w:t>
      </w:r>
    </w:p>
    <w:p w:rsidR="00FE779F" w:rsidRDefault="00FE779F" w:rsidP="00E021AE">
      <w:r>
        <w:t>AP= Accounts Payables</w:t>
      </w:r>
    </w:p>
    <w:p w:rsidR="005A6908" w:rsidRPr="005A6908" w:rsidRDefault="005A6908" w:rsidP="00E021AE">
      <w:pPr>
        <w:rPr>
          <w:rFonts w:cs="Arial"/>
          <w:b/>
          <w:lang w:val="en-GB"/>
        </w:rPr>
      </w:pPr>
      <w:r w:rsidRPr="00C5701E">
        <w:rPr>
          <w:rFonts w:cs="Arial"/>
          <w:b/>
          <w:lang w:val="en-GB"/>
        </w:rPr>
        <w:t xml:space="preserve">Figure </w:t>
      </w:r>
      <w:r>
        <w:rPr>
          <w:rFonts w:cs="Arial"/>
          <w:b/>
          <w:lang w:val="en-GB"/>
        </w:rPr>
        <w:t>C1</w:t>
      </w:r>
      <w:r w:rsidRPr="00C5701E">
        <w:rPr>
          <w:rFonts w:cs="Arial"/>
          <w:b/>
          <w:lang w:val="en-GB"/>
        </w:rPr>
        <w:t xml:space="preserve">: </w:t>
      </w:r>
      <w:r w:rsidRPr="00C5701E">
        <w:rPr>
          <w:rFonts w:eastAsia="Times New Roman" w:cs="Arial"/>
          <w:b/>
          <w:bCs/>
          <w:szCs w:val="24"/>
          <w:lang w:val="en-GB" w:eastAsia="en-GB"/>
        </w:rPr>
        <w:t xml:space="preserve">Chart – </w:t>
      </w:r>
      <w:r w:rsidRPr="005A6908">
        <w:rPr>
          <w:b/>
        </w:rPr>
        <w:t>Efficiency Ratio</w:t>
      </w:r>
      <w:r w:rsidRPr="00C5701E">
        <w:rPr>
          <w:rFonts w:eastAsia="Times New Roman" w:cs="Arial"/>
          <w:b/>
          <w:bCs/>
          <w:szCs w:val="24"/>
          <w:lang w:val="en-GB" w:eastAsia="en-GB"/>
        </w:rPr>
        <w:t xml:space="preserve"> (2020–2024)</w:t>
      </w:r>
    </w:p>
    <w:p w:rsidR="005A6908" w:rsidRDefault="005A6908" w:rsidP="005A6908">
      <w:pPr>
        <w:jc w:val="center"/>
      </w:pPr>
      <w:r>
        <w:rPr>
          <w:noProof/>
          <w:lang w:val="en-GB" w:eastAsia="en-GB"/>
        </w:rPr>
        <w:drawing>
          <wp:inline distT="0" distB="0" distL="0" distR="0" wp14:anchorId="14C71217">
            <wp:extent cx="4334510" cy="27127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4510" cy="2712720"/>
                    </a:xfrm>
                    <a:prstGeom prst="rect">
                      <a:avLst/>
                    </a:prstGeom>
                    <a:noFill/>
                  </pic:spPr>
                </pic:pic>
              </a:graphicData>
            </a:graphic>
          </wp:inline>
        </w:drawing>
      </w:r>
    </w:p>
    <w:p w:rsidR="005A6908" w:rsidRDefault="005A6908" w:rsidP="005A6908">
      <w:pPr>
        <w:jc w:val="center"/>
      </w:pPr>
      <w:r>
        <w:rPr>
          <w:lang w:val="en-GB"/>
        </w:rPr>
        <w:t>(Source: Self-generated)</w:t>
      </w:r>
    </w:p>
    <w:p w:rsidR="005A6908" w:rsidRDefault="005A6908" w:rsidP="00E021AE">
      <w:pPr>
        <w:rPr>
          <w:b/>
          <w:color w:val="4F81BD" w:themeColor="accent1"/>
          <w:sz w:val="28"/>
        </w:rPr>
      </w:pPr>
    </w:p>
    <w:p w:rsidR="003D47D8" w:rsidRDefault="003D47D8" w:rsidP="00E021AE">
      <w:pPr>
        <w:rPr>
          <w:b/>
          <w:color w:val="4F81BD" w:themeColor="accent1"/>
          <w:sz w:val="28"/>
        </w:rPr>
      </w:pPr>
      <w:r w:rsidRPr="003D47D8">
        <w:rPr>
          <w:b/>
          <w:color w:val="4F81BD" w:themeColor="accent1"/>
          <w:sz w:val="28"/>
        </w:rPr>
        <w:t xml:space="preserve">Appendix D: Solvency / Gearing Ratios </w:t>
      </w:r>
    </w:p>
    <w:p w:rsidR="005A6908" w:rsidRPr="005A6908" w:rsidRDefault="005A6908" w:rsidP="00E021AE">
      <w:pPr>
        <w:rPr>
          <w:b/>
        </w:rPr>
      </w:pPr>
      <w:r w:rsidRPr="005A6908">
        <w:rPr>
          <w:b/>
        </w:rPr>
        <w:t>Table D1: Solvency / Gearing Ratios</w:t>
      </w:r>
      <w:r>
        <w:rPr>
          <w:b/>
        </w:rPr>
        <w:t xml:space="preserve"> Calculation</w:t>
      </w:r>
      <w:r w:rsidRPr="005A6908">
        <w:rPr>
          <w:b/>
        </w:rPr>
        <w:t xml:space="preserve"> (2020–2024)</w:t>
      </w:r>
    </w:p>
    <w:tbl>
      <w:tblPr>
        <w:tblStyle w:val="TableGrid"/>
        <w:tblW w:w="0" w:type="auto"/>
        <w:jc w:val="center"/>
        <w:tblLook w:val="04A0" w:firstRow="1" w:lastRow="0" w:firstColumn="1" w:lastColumn="0" w:noHBand="0" w:noVBand="1"/>
      </w:tblPr>
      <w:tblGrid>
        <w:gridCol w:w="2124"/>
        <w:gridCol w:w="2191"/>
        <w:gridCol w:w="750"/>
        <w:gridCol w:w="750"/>
        <w:gridCol w:w="750"/>
        <w:gridCol w:w="770"/>
        <w:gridCol w:w="770"/>
      </w:tblGrid>
      <w:tr w:rsidR="003D47D8" w:rsidRPr="003D47D8" w:rsidTr="00402118">
        <w:trPr>
          <w:jc w:val="center"/>
        </w:trPr>
        <w:tc>
          <w:tcPr>
            <w:tcW w:w="0" w:type="auto"/>
            <w:hideMark/>
          </w:tcPr>
          <w:p w:rsidR="003D47D8" w:rsidRPr="003D47D8" w:rsidRDefault="003D47D8" w:rsidP="00786278">
            <w:pPr>
              <w:spacing w:line="240" w:lineRule="auto"/>
              <w:rPr>
                <w:b/>
                <w:bCs/>
                <w:lang w:val="en-GB"/>
              </w:rPr>
            </w:pPr>
            <w:r w:rsidRPr="003D47D8">
              <w:rPr>
                <w:b/>
                <w:bCs/>
                <w:lang w:val="en-GB"/>
              </w:rPr>
              <w:t>Ratio</w:t>
            </w:r>
          </w:p>
        </w:tc>
        <w:tc>
          <w:tcPr>
            <w:tcW w:w="0" w:type="auto"/>
            <w:hideMark/>
          </w:tcPr>
          <w:p w:rsidR="003D47D8" w:rsidRPr="003D47D8" w:rsidRDefault="003D47D8" w:rsidP="00786278">
            <w:pPr>
              <w:spacing w:line="240" w:lineRule="auto"/>
              <w:rPr>
                <w:b/>
                <w:bCs/>
                <w:lang w:val="en-GB"/>
              </w:rPr>
            </w:pPr>
            <w:r w:rsidRPr="003D47D8">
              <w:rPr>
                <w:b/>
                <w:bCs/>
                <w:lang w:val="en-GB"/>
              </w:rPr>
              <w:t>Formula</w:t>
            </w:r>
          </w:p>
        </w:tc>
        <w:tc>
          <w:tcPr>
            <w:tcW w:w="0" w:type="auto"/>
            <w:hideMark/>
          </w:tcPr>
          <w:p w:rsidR="003D47D8" w:rsidRPr="003D47D8" w:rsidRDefault="003D47D8" w:rsidP="00786278">
            <w:pPr>
              <w:spacing w:line="240" w:lineRule="auto"/>
              <w:rPr>
                <w:b/>
                <w:bCs/>
                <w:lang w:val="en-GB"/>
              </w:rPr>
            </w:pPr>
            <w:r w:rsidRPr="003D47D8">
              <w:rPr>
                <w:b/>
                <w:bCs/>
                <w:lang w:val="en-GB"/>
              </w:rPr>
              <w:t>2020</w:t>
            </w:r>
          </w:p>
        </w:tc>
        <w:tc>
          <w:tcPr>
            <w:tcW w:w="0" w:type="auto"/>
            <w:hideMark/>
          </w:tcPr>
          <w:p w:rsidR="003D47D8" w:rsidRPr="003D47D8" w:rsidRDefault="003D47D8" w:rsidP="00786278">
            <w:pPr>
              <w:spacing w:line="240" w:lineRule="auto"/>
              <w:rPr>
                <w:b/>
                <w:bCs/>
                <w:lang w:val="en-GB"/>
              </w:rPr>
            </w:pPr>
            <w:r w:rsidRPr="003D47D8">
              <w:rPr>
                <w:b/>
                <w:bCs/>
                <w:lang w:val="en-GB"/>
              </w:rPr>
              <w:t>2021</w:t>
            </w:r>
          </w:p>
        </w:tc>
        <w:tc>
          <w:tcPr>
            <w:tcW w:w="0" w:type="auto"/>
            <w:hideMark/>
          </w:tcPr>
          <w:p w:rsidR="003D47D8" w:rsidRPr="003D47D8" w:rsidRDefault="003D47D8" w:rsidP="00786278">
            <w:pPr>
              <w:spacing w:line="240" w:lineRule="auto"/>
              <w:rPr>
                <w:b/>
                <w:bCs/>
                <w:lang w:val="en-GB"/>
              </w:rPr>
            </w:pPr>
            <w:r w:rsidRPr="003D47D8">
              <w:rPr>
                <w:b/>
                <w:bCs/>
                <w:lang w:val="en-GB"/>
              </w:rPr>
              <w:t>2022</w:t>
            </w:r>
          </w:p>
        </w:tc>
        <w:tc>
          <w:tcPr>
            <w:tcW w:w="0" w:type="auto"/>
            <w:hideMark/>
          </w:tcPr>
          <w:p w:rsidR="003D47D8" w:rsidRPr="003D47D8" w:rsidRDefault="003D47D8" w:rsidP="00786278">
            <w:pPr>
              <w:spacing w:line="240" w:lineRule="auto"/>
              <w:rPr>
                <w:b/>
                <w:bCs/>
                <w:lang w:val="en-GB"/>
              </w:rPr>
            </w:pPr>
            <w:r w:rsidRPr="003D47D8">
              <w:rPr>
                <w:b/>
                <w:bCs/>
                <w:lang w:val="en-GB"/>
              </w:rPr>
              <w:t>2023</w:t>
            </w:r>
          </w:p>
        </w:tc>
        <w:tc>
          <w:tcPr>
            <w:tcW w:w="0" w:type="auto"/>
            <w:hideMark/>
          </w:tcPr>
          <w:p w:rsidR="003D47D8" w:rsidRPr="003D47D8" w:rsidRDefault="003D47D8" w:rsidP="00786278">
            <w:pPr>
              <w:spacing w:line="240" w:lineRule="auto"/>
              <w:rPr>
                <w:b/>
                <w:bCs/>
                <w:lang w:val="en-GB"/>
              </w:rPr>
            </w:pPr>
            <w:r w:rsidRPr="003D47D8">
              <w:rPr>
                <w:b/>
                <w:bCs/>
                <w:lang w:val="en-GB"/>
              </w:rPr>
              <w:t>2024</w:t>
            </w:r>
          </w:p>
        </w:tc>
      </w:tr>
      <w:tr w:rsidR="003D47D8" w:rsidRPr="003D47D8" w:rsidTr="00402118">
        <w:trPr>
          <w:jc w:val="center"/>
        </w:trPr>
        <w:tc>
          <w:tcPr>
            <w:tcW w:w="0" w:type="auto"/>
            <w:hideMark/>
          </w:tcPr>
          <w:p w:rsidR="003D47D8" w:rsidRPr="003D47D8" w:rsidRDefault="003D47D8" w:rsidP="00786278">
            <w:pPr>
              <w:spacing w:line="240" w:lineRule="auto"/>
              <w:rPr>
                <w:lang w:val="en-GB"/>
              </w:rPr>
            </w:pPr>
            <w:r w:rsidRPr="003D47D8">
              <w:rPr>
                <w:lang w:val="en-GB"/>
              </w:rPr>
              <w:t>Debt to Equity</w:t>
            </w:r>
          </w:p>
        </w:tc>
        <w:tc>
          <w:tcPr>
            <w:tcW w:w="0" w:type="auto"/>
            <w:hideMark/>
          </w:tcPr>
          <w:p w:rsidR="003D47D8" w:rsidRPr="003D47D8" w:rsidRDefault="003D47D8" w:rsidP="00786278">
            <w:pPr>
              <w:spacing w:line="240" w:lineRule="auto"/>
              <w:rPr>
                <w:lang w:val="en-GB"/>
              </w:rPr>
            </w:pPr>
            <w:r w:rsidRPr="003D47D8">
              <w:rPr>
                <w:lang w:val="en-GB"/>
              </w:rPr>
              <w:t>Total Debt / Equity</w:t>
            </w:r>
          </w:p>
        </w:tc>
        <w:tc>
          <w:tcPr>
            <w:tcW w:w="0" w:type="auto"/>
            <w:hideMark/>
          </w:tcPr>
          <w:p w:rsidR="003D47D8" w:rsidRPr="003D47D8" w:rsidRDefault="003D47D8" w:rsidP="00786278">
            <w:pPr>
              <w:spacing w:line="240" w:lineRule="auto"/>
              <w:rPr>
                <w:lang w:val="en-GB"/>
              </w:rPr>
            </w:pPr>
            <w:r w:rsidRPr="003D47D8">
              <w:rPr>
                <w:lang w:val="en-GB"/>
              </w:rPr>
              <w:t>0.63</w:t>
            </w:r>
          </w:p>
        </w:tc>
        <w:tc>
          <w:tcPr>
            <w:tcW w:w="0" w:type="auto"/>
            <w:hideMark/>
          </w:tcPr>
          <w:p w:rsidR="003D47D8" w:rsidRPr="003D47D8" w:rsidRDefault="003D47D8" w:rsidP="00786278">
            <w:pPr>
              <w:spacing w:line="240" w:lineRule="auto"/>
              <w:rPr>
                <w:lang w:val="en-GB"/>
              </w:rPr>
            </w:pPr>
            <w:r w:rsidRPr="003D47D8">
              <w:rPr>
                <w:lang w:val="en-GB"/>
              </w:rPr>
              <w:t>0.63</w:t>
            </w:r>
          </w:p>
        </w:tc>
        <w:tc>
          <w:tcPr>
            <w:tcW w:w="0" w:type="auto"/>
            <w:hideMark/>
          </w:tcPr>
          <w:p w:rsidR="003D47D8" w:rsidRPr="003D47D8" w:rsidRDefault="003D47D8" w:rsidP="00786278">
            <w:pPr>
              <w:spacing w:line="240" w:lineRule="auto"/>
              <w:rPr>
                <w:lang w:val="en-GB"/>
              </w:rPr>
            </w:pPr>
            <w:r w:rsidRPr="003D47D8">
              <w:rPr>
                <w:lang w:val="en-GB"/>
              </w:rPr>
              <w:t>0.88</w:t>
            </w:r>
          </w:p>
        </w:tc>
        <w:tc>
          <w:tcPr>
            <w:tcW w:w="0" w:type="auto"/>
            <w:hideMark/>
          </w:tcPr>
          <w:p w:rsidR="003D47D8" w:rsidRPr="003D47D8" w:rsidRDefault="003D47D8" w:rsidP="00786278">
            <w:pPr>
              <w:spacing w:line="240" w:lineRule="auto"/>
              <w:rPr>
                <w:lang w:val="en-GB"/>
              </w:rPr>
            </w:pPr>
            <w:r w:rsidRPr="003D47D8">
              <w:rPr>
                <w:lang w:val="en-GB"/>
              </w:rPr>
              <w:t>0.99</w:t>
            </w:r>
          </w:p>
        </w:tc>
        <w:tc>
          <w:tcPr>
            <w:tcW w:w="0" w:type="auto"/>
            <w:hideMark/>
          </w:tcPr>
          <w:p w:rsidR="003D47D8" w:rsidRPr="003D47D8" w:rsidRDefault="003D47D8" w:rsidP="00786278">
            <w:pPr>
              <w:spacing w:line="240" w:lineRule="auto"/>
              <w:rPr>
                <w:lang w:val="en-GB"/>
              </w:rPr>
            </w:pPr>
            <w:r w:rsidRPr="003D47D8">
              <w:rPr>
                <w:lang w:val="en-GB"/>
              </w:rPr>
              <w:t>1.11</w:t>
            </w:r>
          </w:p>
        </w:tc>
      </w:tr>
      <w:tr w:rsidR="003D47D8" w:rsidRPr="003D47D8" w:rsidTr="00402118">
        <w:trPr>
          <w:jc w:val="center"/>
        </w:trPr>
        <w:tc>
          <w:tcPr>
            <w:tcW w:w="0" w:type="auto"/>
            <w:hideMark/>
          </w:tcPr>
          <w:p w:rsidR="003D47D8" w:rsidRPr="003D47D8" w:rsidRDefault="003D47D8" w:rsidP="00786278">
            <w:pPr>
              <w:spacing w:line="240" w:lineRule="auto"/>
              <w:rPr>
                <w:lang w:val="en-GB"/>
              </w:rPr>
            </w:pPr>
            <w:r w:rsidRPr="003D47D8">
              <w:rPr>
                <w:lang w:val="en-GB"/>
              </w:rPr>
              <w:t>Debt Ratio</w:t>
            </w:r>
          </w:p>
        </w:tc>
        <w:tc>
          <w:tcPr>
            <w:tcW w:w="0" w:type="auto"/>
            <w:hideMark/>
          </w:tcPr>
          <w:p w:rsidR="003D47D8" w:rsidRPr="003D47D8" w:rsidRDefault="003D47D8" w:rsidP="00786278">
            <w:pPr>
              <w:spacing w:line="240" w:lineRule="auto"/>
              <w:rPr>
                <w:lang w:val="en-GB"/>
              </w:rPr>
            </w:pPr>
            <w:r w:rsidRPr="003D47D8">
              <w:rPr>
                <w:lang w:val="en-GB"/>
              </w:rPr>
              <w:t>Debt / Assets</w:t>
            </w:r>
          </w:p>
        </w:tc>
        <w:tc>
          <w:tcPr>
            <w:tcW w:w="0" w:type="auto"/>
            <w:hideMark/>
          </w:tcPr>
          <w:p w:rsidR="003D47D8" w:rsidRPr="003D47D8" w:rsidRDefault="003D47D8" w:rsidP="00786278">
            <w:pPr>
              <w:spacing w:line="240" w:lineRule="auto"/>
              <w:rPr>
                <w:lang w:val="en-GB"/>
              </w:rPr>
            </w:pPr>
            <w:r w:rsidRPr="003D47D8">
              <w:rPr>
                <w:lang w:val="en-GB"/>
              </w:rPr>
              <w:t>0.39</w:t>
            </w:r>
          </w:p>
        </w:tc>
        <w:tc>
          <w:tcPr>
            <w:tcW w:w="0" w:type="auto"/>
            <w:hideMark/>
          </w:tcPr>
          <w:p w:rsidR="003D47D8" w:rsidRPr="003D47D8" w:rsidRDefault="003D47D8" w:rsidP="00786278">
            <w:pPr>
              <w:spacing w:line="240" w:lineRule="auto"/>
              <w:rPr>
                <w:lang w:val="en-GB"/>
              </w:rPr>
            </w:pPr>
            <w:r w:rsidRPr="003D47D8">
              <w:rPr>
                <w:lang w:val="en-GB"/>
              </w:rPr>
              <w:t>0.46</w:t>
            </w:r>
          </w:p>
        </w:tc>
        <w:tc>
          <w:tcPr>
            <w:tcW w:w="0" w:type="auto"/>
            <w:hideMark/>
          </w:tcPr>
          <w:p w:rsidR="003D47D8" w:rsidRPr="003D47D8" w:rsidRDefault="003D47D8" w:rsidP="00786278">
            <w:pPr>
              <w:spacing w:line="240" w:lineRule="auto"/>
              <w:rPr>
                <w:lang w:val="en-GB"/>
              </w:rPr>
            </w:pPr>
            <w:r w:rsidRPr="003D47D8">
              <w:rPr>
                <w:lang w:val="en-GB"/>
              </w:rPr>
              <w:t>0.47</w:t>
            </w:r>
          </w:p>
        </w:tc>
        <w:tc>
          <w:tcPr>
            <w:tcW w:w="0" w:type="auto"/>
            <w:hideMark/>
          </w:tcPr>
          <w:p w:rsidR="003D47D8" w:rsidRPr="003D47D8" w:rsidRDefault="003D47D8" w:rsidP="00786278">
            <w:pPr>
              <w:spacing w:line="240" w:lineRule="auto"/>
              <w:rPr>
                <w:lang w:val="en-GB"/>
              </w:rPr>
            </w:pPr>
            <w:r w:rsidRPr="003D47D8">
              <w:rPr>
                <w:lang w:val="en-GB"/>
              </w:rPr>
              <w:t>0.50</w:t>
            </w:r>
          </w:p>
        </w:tc>
        <w:tc>
          <w:tcPr>
            <w:tcW w:w="0" w:type="auto"/>
            <w:hideMark/>
          </w:tcPr>
          <w:p w:rsidR="003D47D8" w:rsidRPr="003D47D8" w:rsidRDefault="003D47D8" w:rsidP="00786278">
            <w:pPr>
              <w:spacing w:line="240" w:lineRule="auto"/>
              <w:rPr>
                <w:lang w:val="en-GB"/>
              </w:rPr>
            </w:pPr>
            <w:r w:rsidRPr="003D47D8">
              <w:rPr>
                <w:lang w:val="en-GB"/>
              </w:rPr>
              <w:t>0.53</w:t>
            </w:r>
          </w:p>
        </w:tc>
      </w:tr>
      <w:tr w:rsidR="003D47D8" w:rsidRPr="003D47D8" w:rsidTr="00402118">
        <w:trPr>
          <w:jc w:val="center"/>
        </w:trPr>
        <w:tc>
          <w:tcPr>
            <w:tcW w:w="0" w:type="auto"/>
            <w:hideMark/>
          </w:tcPr>
          <w:p w:rsidR="003D47D8" w:rsidRPr="003D47D8" w:rsidRDefault="003D47D8" w:rsidP="00786278">
            <w:pPr>
              <w:spacing w:line="240" w:lineRule="auto"/>
              <w:rPr>
                <w:lang w:val="en-GB"/>
              </w:rPr>
            </w:pPr>
            <w:r w:rsidRPr="003D47D8">
              <w:rPr>
                <w:lang w:val="en-GB"/>
              </w:rPr>
              <w:t>Interest Coverage</w:t>
            </w:r>
          </w:p>
        </w:tc>
        <w:tc>
          <w:tcPr>
            <w:tcW w:w="0" w:type="auto"/>
            <w:hideMark/>
          </w:tcPr>
          <w:p w:rsidR="003D47D8" w:rsidRPr="003D47D8" w:rsidRDefault="003D47D8" w:rsidP="00786278">
            <w:pPr>
              <w:spacing w:line="240" w:lineRule="auto"/>
              <w:rPr>
                <w:lang w:val="en-GB"/>
              </w:rPr>
            </w:pPr>
            <w:r w:rsidRPr="003D47D8">
              <w:rPr>
                <w:lang w:val="en-GB"/>
              </w:rPr>
              <w:t>EBIT / Interest</w:t>
            </w:r>
          </w:p>
        </w:tc>
        <w:tc>
          <w:tcPr>
            <w:tcW w:w="0" w:type="auto"/>
            <w:hideMark/>
          </w:tcPr>
          <w:p w:rsidR="003D47D8" w:rsidRPr="003D47D8" w:rsidRDefault="003D47D8" w:rsidP="00786278">
            <w:pPr>
              <w:spacing w:line="240" w:lineRule="auto"/>
              <w:rPr>
                <w:lang w:val="en-GB"/>
              </w:rPr>
            </w:pPr>
            <w:r w:rsidRPr="003D47D8">
              <w:rPr>
                <w:lang w:val="en-GB"/>
              </w:rPr>
              <w:t>26×</w:t>
            </w:r>
          </w:p>
        </w:tc>
        <w:tc>
          <w:tcPr>
            <w:tcW w:w="0" w:type="auto"/>
            <w:hideMark/>
          </w:tcPr>
          <w:p w:rsidR="003D47D8" w:rsidRPr="003D47D8" w:rsidRDefault="003D47D8" w:rsidP="00786278">
            <w:pPr>
              <w:spacing w:line="240" w:lineRule="auto"/>
              <w:rPr>
                <w:lang w:val="en-GB"/>
              </w:rPr>
            </w:pPr>
            <w:r w:rsidRPr="003D47D8">
              <w:rPr>
                <w:lang w:val="en-GB"/>
              </w:rPr>
              <w:t>41×</w:t>
            </w:r>
          </w:p>
        </w:tc>
        <w:tc>
          <w:tcPr>
            <w:tcW w:w="0" w:type="auto"/>
            <w:hideMark/>
          </w:tcPr>
          <w:p w:rsidR="003D47D8" w:rsidRPr="003D47D8" w:rsidRDefault="003D47D8" w:rsidP="00786278">
            <w:pPr>
              <w:spacing w:line="240" w:lineRule="auto"/>
              <w:rPr>
                <w:lang w:val="en-GB"/>
              </w:rPr>
            </w:pPr>
            <w:r w:rsidRPr="003D47D8">
              <w:rPr>
                <w:lang w:val="en-GB"/>
              </w:rPr>
              <w:t>6.6×</w:t>
            </w:r>
          </w:p>
        </w:tc>
        <w:tc>
          <w:tcPr>
            <w:tcW w:w="0" w:type="auto"/>
            <w:hideMark/>
          </w:tcPr>
          <w:p w:rsidR="003D47D8" w:rsidRPr="003D47D8" w:rsidRDefault="003D47D8" w:rsidP="00786278">
            <w:pPr>
              <w:spacing w:line="240" w:lineRule="auto"/>
              <w:rPr>
                <w:lang w:val="en-GB"/>
              </w:rPr>
            </w:pPr>
            <w:r w:rsidRPr="003D47D8">
              <w:rPr>
                <w:lang w:val="en-GB"/>
              </w:rPr>
              <w:t>-5.7×</w:t>
            </w:r>
          </w:p>
        </w:tc>
        <w:tc>
          <w:tcPr>
            <w:tcW w:w="0" w:type="auto"/>
            <w:hideMark/>
          </w:tcPr>
          <w:p w:rsidR="003D47D8" w:rsidRPr="003D47D8" w:rsidRDefault="003D47D8" w:rsidP="00786278">
            <w:pPr>
              <w:spacing w:line="240" w:lineRule="auto"/>
              <w:rPr>
                <w:lang w:val="en-GB"/>
              </w:rPr>
            </w:pPr>
            <w:r w:rsidRPr="003D47D8">
              <w:rPr>
                <w:lang w:val="en-GB"/>
              </w:rPr>
              <w:t>-4.6×</w:t>
            </w:r>
          </w:p>
        </w:tc>
      </w:tr>
    </w:tbl>
    <w:p w:rsidR="005A6908" w:rsidRDefault="005A6908" w:rsidP="00402118">
      <w:pPr>
        <w:jc w:val="center"/>
      </w:pPr>
      <w:r>
        <w:rPr>
          <w:lang w:val="en-GB"/>
        </w:rPr>
        <w:t>Source: General Electronics Financial Statement (2024)</w:t>
      </w:r>
    </w:p>
    <w:p w:rsidR="00402118" w:rsidRDefault="00FE779F" w:rsidP="00E021AE">
      <w:r>
        <w:t>EBIT= Earning</w:t>
      </w:r>
      <w:r w:rsidR="00786278">
        <w:t>s</w:t>
      </w:r>
      <w:r>
        <w:t xml:space="preserve"> </w:t>
      </w:r>
      <w:r w:rsidR="00786278">
        <w:t>before Interest and Tax</w:t>
      </w:r>
    </w:p>
    <w:p w:rsidR="00822B29" w:rsidRPr="00822B29" w:rsidRDefault="00822B29" w:rsidP="00E021AE"/>
    <w:p w:rsidR="00402118" w:rsidRPr="00402118" w:rsidRDefault="00402118" w:rsidP="00402118">
      <w:pPr>
        <w:rPr>
          <w:b/>
        </w:rPr>
      </w:pPr>
      <w:r w:rsidRPr="00402118">
        <w:rPr>
          <w:b/>
        </w:rPr>
        <w:t xml:space="preserve">Figure D1: Solvency Ratio Trend </w:t>
      </w:r>
    </w:p>
    <w:p w:rsidR="00402118" w:rsidRDefault="00402118" w:rsidP="00402118">
      <w:pPr>
        <w:jc w:val="center"/>
      </w:pPr>
      <w:r>
        <w:rPr>
          <w:noProof/>
          <w:lang w:val="en-GB" w:eastAsia="en-GB"/>
        </w:rPr>
        <w:drawing>
          <wp:inline distT="0" distB="0" distL="0" distR="0" wp14:anchorId="3173D9B3">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402118" w:rsidRDefault="00402118" w:rsidP="00402118">
      <w:pPr>
        <w:jc w:val="center"/>
      </w:pPr>
      <w:r w:rsidRPr="00402118">
        <w:t>(Source: Self-generated)</w:t>
      </w:r>
    </w:p>
    <w:p w:rsidR="00402118" w:rsidRDefault="00402118" w:rsidP="00402118"/>
    <w:p w:rsidR="00822B29" w:rsidRDefault="00822B29" w:rsidP="00402118"/>
    <w:p w:rsidR="00822B29" w:rsidRDefault="00822B29" w:rsidP="00402118"/>
    <w:p w:rsidR="00822B29" w:rsidRDefault="00822B29" w:rsidP="00402118"/>
    <w:p w:rsidR="003D47D8" w:rsidRPr="003D47D8" w:rsidRDefault="003D47D8" w:rsidP="00E021AE">
      <w:pPr>
        <w:rPr>
          <w:b/>
          <w:color w:val="4F81BD" w:themeColor="accent1"/>
          <w:sz w:val="28"/>
        </w:rPr>
      </w:pPr>
      <w:r w:rsidRPr="003D47D8">
        <w:rPr>
          <w:b/>
          <w:color w:val="4F81BD" w:themeColor="accent1"/>
          <w:sz w:val="28"/>
        </w:rPr>
        <w:t>Appendix E: Cash Flow Indicators (2020–2024)</w:t>
      </w:r>
    </w:p>
    <w:tbl>
      <w:tblPr>
        <w:tblStyle w:val="TableGrid"/>
        <w:tblW w:w="0" w:type="auto"/>
        <w:tblLook w:val="04A0" w:firstRow="1" w:lastRow="0" w:firstColumn="1" w:lastColumn="0" w:noHBand="0" w:noVBand="1"/>
      </w:tblPr>
      <w:tblGrid>
        <w:gridCol w:w="2191"/>
        <w:gridCol w:w="1057"/>
        <w:gridCol w:w="1057"/>
        <w:gridCol w:w="1164"/>
        <w:gridCol w:w="1164"/>
        <w:gridCol w:w="1164"/>
      </w:tblGrid>
      <w:tr w:rsidR="003D47D8" w:rsidRPr="003D47D8" w:rsidTr="003D47D8">
        <w:tc>
          <w:tcPr>
            <w:tcW w:w="0" w:type="auto"/>
            <w:hideMark/>
          </w:tcPr>
          <w:p w:rsidR="003D47D8" w:rsidRPr="003D47D8" w:rsidRDefault="003D47D8" w:rsidP="003D47D8">
            <w:pPr>
              <w:rPr>
                <w:b/>
                <w:bCs/>
                <w:lang w:val="en-GB"/>
              </w:rPr>
            </w:pPr>
            <w:r w:rsidRPr="003D47D8">
              <w:rPr>
                <w:b/>
                <w:bCs/>
                <w:lang w:val="en-GB"/>
              </w:rPr>
              <w:t>Metric</w:t>
            </w:r>
          </w:p>
        </w:tc>
        <w:tc>
          <w:tcPr>
            <w:tcW w:w="0" w:type="auto"/>
            <w:hideMark/>
          </w:tcPr>
          <w:p w:rsidR="003D47D8" w:rsidRPr="003D47D8" w:rsidRDefault="003D47D8" w:rsidP="003D47D8">
            <w:pPr>
              <w:rPr>
                <w:b/>
                <w:bCs/>
                <w:lang w:val="en-GB"/>
              </w:rPr>
            </w:pPr>
            <w:r w:rsidRPr="003D47D8">
              <w:rPr>
                <w:b/>
                <w:bCs/>
                <w:lang w:val="en-GB"/>
              </w:rPr>
              <w:t>2020</w:t>
            </w:r>
          </w:p>
        </w:tc>
        <w:tc>
          <w:tcPr>
            <w:tcW w:w="0" w:type="auto"/>
            <w:hideMark/>
          </w:tcPr>
          <w:p w:rsidR="003D47D8" w:rsidRPr="003D47D8" w:rsidRDefault="003D47D8" w:rsidP="003D47D8">
            <w:pPr>
              <w:rPr>
                <w:b/>
                <w:bCs/>
                <w:lang w:val="en-GB"/>
              </w:rPr>
            </w:pPr>
            <w:r w:rsidRPr="003D47D8">
              <w:rPr>
                <w:b/>
                <w:bCs/>
                <w:lang w:val="en-GB"/>
              </w:rPr>
              <w:t>2021</w:t>
            </w:r>
          </w:p>
        </w:tc>
        <w:tc>
          <w:tcPr>
            <w:tcW w:w="0" w:type="auto"/>
            <w:hideMark/>
          </w:tcPr>
          <w:p w:rsidR="003D47D8" w:rsidRPr="003D47D8" w:rsidRDefault="003D47D8" w:rsidP="003D47D8">
            <w:pPr>
              <w:rPr>
                <w:b/>
                <w:bCs/>
                <w:lang w:val="en-GB"/>
              </w:rPr>
            </w:pPr>
            <w:r w:rsidRPr="003D47D8">
              <w:rPr>
                <w:b/>
                <w:bCs/>
                <w:lang w:val="en-GB"/>
              </w:rPr>
              <w:t>2022</w:t>
            </w:r>
          </w:p>
        </w:tc>
        <w:tc>
          <w:tcPr>
            <w:tcW w:w="0" w:type="auto"/>
            <w:hideMark/>
          </w:tcPr>
          <w:p w:rsidR="003D47D8" w:rsidRPr="003D47D8" w:rsidRDefault="003D47D8" w:rsidP="003D47D8">
            <w:pPr>
              <w:rPr>
                <w:b/>
                <w:bCs/>
                <w:lang w:val="en-GB"/>
              </w:rPr>
            </w:pPr>
            <w:r w:rsidRPr="003D47D8">
              <w:rPr>
                <w:b/>
                <w:bCs/>
                <w:lang w:val="en-GB"/>
              </w:rPr>
              <w:t>2023</w:t>
            </w:r>
          </w:p>
        </w:tc>
        <w:tc>
          <w:tcPr>
            <w:tcW w:w="0" w:type="auto"/>
            <w:hideMark/>
          </w:tcPr>
          <w:p w:rsidR="003D47D8" w:rsidRPr="003D47D8" w:rsidRDefault="003D47D8" w:rsidP="003D47D8">
            <w:pPr>
              <w:rPr>
                <w:b/>
                <w:bCs/>
                <w:lang w:val="en-GB"/>
              </w:rPr>
            </w:pPr>
            <w:r w:rsidRPr="003D47D8">
              <w:rPr>
                <w:b/>
                <w:bCs/>
                <w:lang w:val="en-GB"/>
              </w:rPr>
              <w:t>2024</w:t>
            </w:r>
          </w:p>
        </w:tc>
      </w:tr>
      <w:tr w:rsidR="003D47D8" w:rsidRPr="003D47D8" w:rsidTr="003D47D8">
        <w:tc>
          <w:tcPr>
            <w:tcW w:w="0" w:type="auto"/>
            <w:hideMark/>
          </w:tcPr>
          <w:p w:rsidR="003D47D8" w:rsidRPr="003D47D8" w:rsidRDefault="003D47D8" w:rsidP="003D47D8">
            <w:pPr>
              <w:rPr>
                <w:lang w:val="en-GB"/>
              </w:rPr>
            </w:pPr>
            <w:r w:rsidRPr="003D47D8">
              <w:rPr>
                <w:lang w:val="en-GB"/>
              </w:rPr>
              <w:t>Cash Flow to Debt</w:t>
            </w:r>
          </w:p>
        </w:tc>
        <w:tc>
          <w:tcPr>
            <w:tcW w:w="0" w:type="auto"/>
            <w:hideMark/>
          </w:tcPr>
          <w:p w:rsidR="003D47D8" w:rsidRPr="003D47D8" w:rsidRDefault="003D47D8" w:rsidP="00FE779F">
            <w:pPr>
              <w:jc w:val="center"/>
              <w:rPr>
                <w:lang w:val="en-GB"/>
              </w:rPr>
            </w:pPr>
            <w:r w:rsidRPr="003D47D8">
              <w:rPr>
                <w:lang w:val="en-GB"/>
              </w:rPr>
              <w:t>0.37</w:t>
            </w:r>
          </w:p>
        </w:tc>
        <w:tc>
          <w:tcPr>
            <w:tcW w:w="0" w:type="auto"/>
            <w:hideMark/>
          </w:tcPr>
          <w:p w:rsidR="003D47D8" w:rsidRPr="003D47D8" w:rsidRDefault="003D47D8" w:rsidP="00FE779F">
            <w:pPr>
              <w:jc w:val="center"/>
              <w:rPr>
                <w:lang w:val="en-GB"/>
              </w:rPr>
            </w:pPr>
            <w:r w:rsidRPr="003D47D8">
              <w:rPr>
                <w:lang w:val="en-GB"/>
              </w:rPr>
              <w:t>0.17</w:t>
            </w:r>
          </w:p>
        </w:tc>
        <w:tc>
          <w:tcPr>
            <w:tcW w:w="0" w:type="auto"/>
            <w:hideMark/>
          </w:tcPr>
          <w:p w:rsidR="003D47D8" w:rsidRPr="003D47D8" w:rsidRDefault="003D47D8" w:rsidP="00FE779F">
            <w:pPr>
              <w:jc w:val="center"/>
              <w:rPr>
                <w:lang w:val="en-GB"/>
              </w:rPr>
            </w:pPr>
            <w:r w:rsidRPr="003D47D8">
              <w:rPr>
                <w:lang w:val="en-GB"/>
              </w:rPr>
              <w:t>0.05</w:t>
            </w:r>
          </w:p>
        </w:tc>
        <w:tc>
          <w:tcPr>
            <w:tcW w:w="0" w:type="auto"/>
            <w:hideMark/>
          </w:tcPr>
          <w:p w:rsidR="003D47D8" w:rsidRPr="003D47D8" w:rsidRDefault="003D47D8" w:rsidP="00FE779F">
            <w:pPr>
              <w:jc w:val="center"/>
              <w:rPr>
                <w:lang w:val="en-GB"/>
              </w:rPr>
            </w:pPr>
            <w:r w:rsidRPr="003D47D8">
              <w:rPr>
                <w:lang w:val="en-GB"/>
              </w:rPr>
              <w:t>0.14</w:t>
            </w:r>
          </w:p>
        </w:tc>
        <w:tc>
          <w:tcPr>
            <w:tcW w:w="0" w:type="auto"/>
            <w:hideMark/>
          </w:tcPr>
          <w:p w:rsidR="003D47D8" w:rsidRPr="003D47D8" w:rsidRDefault="003D47D8" w:rsidP="00FE779F">
            <w:pPr>
              <w:jc w:val="center"/>
              <w:rPr>
                <w:lang w:val="en-GB"/>
              </w:rPr>
            </w:pPr>
            <w:r w:rsidRPr="003D47D8">
              <w:rPr>
                <w:lang w:val="en-GB"/>
              </w:rPr>
              <w:t>0.09</w:t>
            </w:r>
          </w:p>
        </w:tc>
      </w:tr>
      <w:tr w:rsidR="003D47D8" w:rsidRPr="003D47D8" w:rsidTr="003D47D8">
        <w:tc>
          <w:tcPr>
            <w:tcW w:w="0" w:type="auto"/>
            <w:hideMark/>
          </w:tcPr>
          <w:p w:rsidR="003D47D8" w:rsidRPr="003D47D8" w:rsidRDefault="003D47D8" w:rsidP="003D47D8">
            <w:pPr>
              <w:rPr>
                <w:lang w:val="en-GB"/>
              </w:rPr>
            </w:pPr>
            <w:r w:rsidRPr="003D47D8">
              <w:rPr>
                <w:lang w:val="en-GB"/>
              </w:rPr>
              <w:t>Free Cash Flow</w:t>
            </w:r>
          </w:p>
        </w:tc>
        <w:tc>
          <w:tcPr>
            <w:tcW w:w="0" w:type="auto"/>
            <w:hideMark/>
          </w:tcPr>
          <w:p w:rsidR="003D47D8" w:rsidRPr="003D47D8" w:rsidRDefault="00FE779F" w:rsidP="00FE779F">
            <w:pPr>
              <w:jc w:val="center"/>
              <w:rPr>
                <w:lang w:val="en-GB"/>
              </w:rPr>
            </w:pPr>
            <w:r>
              <w:rPr>
                <w:lang w:val="en-GB"/>
              </w:rPr>
              <w:t>Positive</w:t>
            </w:r>
          </w:p>
        </w:tc>
        <w:tc>
          <w:tcPr>
            <w:tcW w:w="0" w:type="auto"/>
            <w:hideMark/>
          </w:tcPr>
          <w:p w:rsidR="003D47D8" w:rsidRPr="003D47D8" w:rsidRDefault="00FE779F" w:rsidP="00FE779F">
            <w:pPr>
              <w:jc w:val="center"/>
              <w:rPr>
                <w:lang w:val="en-GB"/>
              </w:rPr>
            </w:pPr>
            <w:r>
              <w:rPr>
                <w:lang w:val="en-GB"/>
              </w:rPr>
              <w:t>Positive</w:t>
            </w:r>
          </w:p>
        </w:tc>
        <w:tc>
          <w:tcPr>
            <w:tcW w:w="0" w:type="auto"/>
            <w:hideMark/>
          </w:tcPr>
          <w:p w:rsidR="003D47D8" w:rsidRPr="003D47D8" w:rsidRDefault="00FE779F" w:rsidP="00FE779F">
            <w:pPr>
              <w:jc w:val="center"/>
              <w:rPr>
                <w:lang w:val="en-GB"/>
              </w:rPr>
            </w:pPr>
            <w:r>
              <w:rPr>
                <w:lang w:val="en-GB"/>
              </w:rPr>
              <w:t>Negative</w:t>
            </w:r>
          </w:p>
        </w:tc>
        <w:tc>
          <w:tcPr>
            <w:tcW w:w="0" w:type="auto"/>
            <w:hideMark/>
          </w:tcPr>
          <w:p w:rsidR="003D47D8" w:rsidRPr="003D47D8" w:rsidRDefault="00FE779F" w:rsidP="00FE779F">
            <w:pPr>
              <w:jc w:val="center"/>
              <w:rPr>
                <w:lang w:val="en-GB"/>
              </w:rPr>
            </w:pPr>
            <w:r>
              <w:rPr>
                <w:lang w:val="en-GB"/>
              </w:rPr>
              <w:t>Negative</w:t>
            </w:r>
          </w:p>
        </w:tc>
        <w:tc>
          <w:tcPr>
            <w:tcW w:w="0" w:type="auto"/>
            <w:hideMark/>
          </w:tcPr>
          <w:p w:rsidR="003D47D8" w:rsidRPr="003D47D8" w:rsidRDefault="00FE779F" w:rsidP="00FE779F">
            <w:pPr>
              <w:jc w:val="center"/>
              <w:rPr>
                <w:lang w:val="en-GB"/>
              </w:rPr>
            </w:pPr>
            <w:r>
              <w:rPr>
                <w:lang w:val="en-GB"/>
              </w:rPr>
              <w:t>Negative</w:t>
            </w:r>
          </w:p>
        </w:tc>
      </w:tr>
    </w:tbl>
    <w:p w:rsidR="00786278" w:rsidRDefault="00786278" w:rsidP="003D47D8">
      <w:pPr>
        <w:rPr>
          <w:b/>
          <w:color w:val="4F81BD" w:themeColor="accent1"/>
          <w:sz w:val="28"/>
        </w:rPr>
      </w:pPr>
    </w:p>
    <w:p w:rsidR="003D47D8" w:rsidRPr="003D47D8" w:rsidRDefault="003D47D8" w:rsidP="003D47D8">
      <w:pPr>
        <w:rPr>
          <w:b/>
          <w:color w:val="4F81BD" w:themeColor="accent1"/>
          <w:sz w:val="28"/>
        </w:rPr>
      </w:pPr>
      <w:r w:rsidRPr="003D47D8">
        <w:rPr>
          <w:b/>
          <w:color w:val="4F81BD" w:themeColor="accent1"/>
          <w:sz w:val="28"/>
        </w:rPr>
        <w:t>Appendix F: Altman Z-Score Calculation (2024)</w:t>
      </w:r>
    </w:p>
    <w:p w:rsidR="003D47D8" w:rsidRDefault="003D47D8" w:rsidP="003D47D8">
      <w:r>
        <w:t>Formula:</w:t>
      </w:r>
    </w:p>
    <w:p w:rsidR="003D47D8" w:rsidRDefault="003D47D8" w:rsidP="003D47D8">
      <w:r>
        <w:t>Z = 1.2(Working Capital/Assets) + 1.4(Ret. Earnings/Assets) + 3.3(EBIT/Assets) + 0.6(MVE/L</w:t>
      </w:r>
      <w:r w:rsidR="00786278">
        <w:t>iabilities) + 1.0(Sales/Assets)</w:t>
      </w:r>
    </w:p>
    <w:p w:rsidR="00445102" w:rsidRDefault="003D47D8" w:rsidP="003D47D8">
      <w:r w:rsidRPr="00786278">
        <w:rPr>
          <w:b/>
        </w:rPr>
        <w:t>Result</w:t>
      </w:r>
      <w:r>
        <w:t>: ≈ 1.21</w:t>
      </w:r>
      <w:r w:rsidR="00FE779F">
        <w:t>, “</w:t>
      </w:r>
      <w:r>
        <w:t>Distress Zone” (&lt;1.81)</w:t>
      </w:r>
    </w:p>
    <w:p w:rsidR="00822B29" w:rsidRPr="00822B29" w:rsidRDefault="00822B29" w:rsidP="003D47D8"/>
    <w:p w:rsidR="003D47D8" w:rsidRDefault="00FE779F" w:rsidP="003D47D8">
      <w:pPr>
        <w:rPr>
          <w:b/>
          <w:color w:val="4F81BD" w:themeColor="accent1"/>
          <w:sz w:val="28"/>
        </w:rPr>
      </w:pPr>
      <w:r w:rsidRPr="00FE779F">
        <w:rPr>
          <w:b/>
          <w:color w:val="4F81BD" w:themeColor="accent1"/>
          <w:sz w:val="28"/>
        </w:rPr>
        <w:t>Appendix G: Investment Appraisal – Payback Period</w:t>
      </w:r>
    </w:p>
    <w:p w:rsidR="00482686" w:rsidRPr="00482686" w:rsidRDefault="00482686" w:rsidP="00482686">
      <w:pPr>
        <w:rPr>
          <w:b/>
        </w:rPr>
      </w:pPr>
      <w:r w:rsidRPr="00482686">
        <w:rPr>
          <w:b/>
        </w:rPr>
        <w:t xml:space="preserve">Project </w:t>
      </w:r>
      <w:proofErr w:type="gramStart"/>
      <w:r w:rsidRPr="00482686">
        <w:rPr>
          <w:b/>
        </w:rPr>
        <w:t>A</w:t>
      </w:r>
      <w:proofErr w:type="gramEnd"/>
      <w:r w:rsidRPr="00482686">
        <w:rPr>
          <w:b/>
        </w:rPr>
        <w:t xml:space="preserve"> (£40m investment)</w:t>
      </w:r>
    </w:p>
    <w:p w:rsidR="00482686" w:rsidRPr="00482686" w:rsidRDefault="00482686" w:rsidP="00482686">
      <w:r w:rsidRPr="00482686">
        <w:t>Yearly net inflows cumulative:</w:t>
      </w:r>
    </w:p>
    <w:p w:rsidR="00482686" w:rsidRPr="00482686" w:rsidRDefault="00482686" w:rsidP="00482686">
      <w:r w:rsidRPr="00482686">
        <w:t>PBP = 3 + (4/10) = approx. 3.4 years</w:t>
      </w:r>
    </w:p>
    <w:p w:rsidR="00482686" w:rsidRPr="00482686" w:rsidRDefault="00482686" w:rsidP="00482686">
      <w:pPr>
        <w:rPr>
          <w:b/>
        </w:rPr>
      </w:pPr>
      <w:r w:rsidRPr="00482686">
        <w:rPr>
          <w:b/>
        </w:rPr>
        <w:t>Project B (£30m investment)</w:t>
      </w:r>
    </w:p>
    <w:p w:rsidR="00482686" w:rsidRPr="00482686" w:rsidRDefault="00482686" w:rsidP="00482686">
      <w:r w:rsidRPr="00482686">
        <w:t xml:space="preserve">Payback = 5.0 years </w:t>
      </w:r>
    </w:p>
    <w:p w:rsidR="00482686" w:rsidRPr="00482686" w:rsidRDefault="00482686" w:rsidP="00482686">
      <w:pPr>
        <w:rPr>
          <w:b/>
        </w:rPr>
      </w:pPr>
      <w:r w:rsidRPr="00482686">
        <w:rPr>
          <w:b/>
        </w:rPr>
        <w:t>Project C (£50m investment)</w:t>
      </w:r>
    </w:p>
    <w:p w:rsidR="00482686" w:rsidRDefault="00482686" w:rsidP="00482686">
      <w:r w:rsidRPr="00482686">
        <w:t>PBP = 3 + (15/25) ≈ 3.6 years</w:t>
      </w:r>
    </w:p>
    <w:p w:rsidR="00822B29" w:rsidRDefault="00822B29" w:rsidP="00482686"/>
    <w:p w:rsidR="00822B29" w:rsidRDefault="00822B29" w:rsidP="00482686"/>
    <w:p w:rsidR="00822B29" w:rsidRDefault="00822B29" w:rsidP="00482686"/>
    <w:p w:rsidR="00822B29" w:rsidRDefault="00822B29" w:rsidP="00482686"/>
    <w:p w:rsidR="00445102" w:rsidRPr="00445102" w:rsidRDefault="00445102" w:rsidP="00482686">
      <w:pPr>
        <w:rPr>
          <w:b/>
        </w:rPr>
      </w:pPr>
      <w:r w:rsidRPr="00445102">
        <w:rPr>
          <w:b/>
        </w:rPr>
        <w:t>Table G1: Payback Period Calculation</w:t>
      </w:r>
    </w:p>
    <w:tbl>
      <w:tblPr>
        <w:tblStyle w:val="TableGrid"/>
        <w:tblW w:w="0" w:type="auto"/>
        <w:tblLook w:val="04A0" w:firstRow="1" w:lastRow="0" w:firstColumn="1" w:lastColumn="0" w:noHBand="0" w:noVBand="1"/>
      </w:tblPr>
      <w:tblGrid>
        <w:gridCol w:w="1191"/>
        <w:gridCol w:w="1657"/>
        <w:gridCol w:w="750"/>
        <w:gridCol w:w="1657"/>
        <w:gridCol w:w="750"/>
        <w:gridCol w:w="1657"/>
        <w:gridCol w:w="750"/>
      </w:tblGrid>
      <w:tr w:rsidR="00FE779F" w:rsidRPr="00FE779F" w:rsidTr="00FE779F">
        <w:tc>
          <w:tcPr>
            <w:tcW w:w="0" w:type="auto"/>
            <w:hideMark/>
          </w:tcPr>
          <w:p w:rsidR="00FE779F" w:rsidRPr="00FE779F" w:rsidRDefault="00FE779F" w:rsidP="00786278">
            <w:pPr>
              <w:spacing w:line="240" w:lineRule="auto"/>
              <w:rPr>
                <w:b/>
                <w:bCs/>
                <w:lang w:val="en-GB"/>
              </w:rPr>
            </w:pPr>
            <w:r w:rsidRPr="00FE779F">
              <w:rPr>
                <w:b/>
                <w:bCs/>
                <w:lang w:val="en-GB"/>
              </w:rPr>
              <w:t>Year</w:t>
            </w:r>
          </w:p>
        </w:tc>
        <w:tc>
          <w:tcPr>
            <w:tcW w:w="0" w:type="auto"/>
            <w:hideMark/>
          </w:tcPr>
          <w:p w:rsidR="00FE779F" w:rsidRPr="00FE779F" w:rsidRDefault="00FE779F" w:rsidP="00786278">
            <w:pPr>
              <w:spacing w:line="240" w:lineRule="auto"/>
              <w:rPr>
                <w:b/>
                <w:bCs/>
                <w:lang w:val="en-GB"/>
              </w:rPr>
            </w:pPr>
            <w:r w:rsidRPr="00FE779F">
              <w:rPr>
                <w:b/>
                <w:bCs/>
                <w:lang w:val="en-GB"/>
              </w:rPr>
              <w:t>A Cash Flow</w:t>
            </w:r>
          </w:p>
        </w:tc>
        <w:tc>
          <w:tcPr>
            <w:tcW w:w="0" w:type="auto"/>
            <w:hideMark/>
          </w:tcPr>
          <w:p w:rsidR="00FE779F" w:rsidRPr="00FE779F" w:rsidRDefault="00FE779F" w:rsidP="00786278">
            <w:pPr>
              <w:spacing w:line="240" w:lineRule="auto"/>
              <w:rPr>
                <w:b/>
                <w:bCs/>
                <w:lang w:val="en-GB"/>
              </w:rPr>
            </w:pPr>
            <w:r w:rsidRPr="00FE779F">
              <w:rPr>
                <w:b/>
                <w:bCs/>
                <w:lang w:val="en-GB"/>
              </w:rPr>
              <w:t>Cum</w:t>
            </w:r>
          </w:p>
        </w:tc>
        <w:tc>
          <w:tcPr>
            <w:tcW w:w="0" w:type="auto"/>
            <w:hideMark/>
          </w:tcPr>
          <w:p w:rsidR="00FE779F" w:rsidRPr="00FE779F" w:rsidRDefault="00FE779F" w:rsidP="00786278">
            <w:pPr>
              <w:spacing w:line="240" w:lineRule="auto"/>
              <w:rPr>
                <w:b/>
                <w:bCs/>
                <w:lang w:val="en-GB"/>
              </w:rPr>
            </w:pPr>
            <w:r w:rsidRPr="00FE779F">
              <w:rPr>
                <w:b/>
                <w:bCs/>
                <w:lang w:val="en-GB"/>
              </w:rPr>
              <w:t>B Cash Flow</w:t>
            </w:r>
          </w:p>
        </w:tc>
        <w:tc>
          <w:tcPr>
            <w:tcW w:w="0" w:type="auto"/>
            <w:hideMark/>
          </w:tcPr>
          <w:p w:rsidR="00FE779F" w:rsidRPr="00FE779F" w:rsidRDefault="00FE779F" w:rsidP="00786278">
            <w:pPr>
              <w:spacing w:line="240" w:lineRule="auto"/>
              <w:rPr>
                <w:b/>
                <w:bCs/>
                <w:lang w:val="en-GB"/>
              </w:rPr>
            </w:pPr>
            <w:r w:rsidRPr="00FE779F">
              <w:rPr>
                <w:b/>
                <w:bCs/>
                <w:lang w:val="en-GB"/>
              </w:rPr>
              <w:t>Cum</w:t>
            </w:r>
          </w:p>
        </w:tc>
        <w:tc>
          <w:tcPr>
            <w:tcW w:w="0" w:type="auto"/>
            <w:hideMark/>
          </w:tcPr>
          <w:p w:rsidR="00FE779F" w:rsidRPr="00FE779F" w:rsidRDefault="00FE779F" w:rsidP="00786278">
            <w:pPr>
              <w:spacing w:line="240" w:lineRule="auto"/>
              <w:rPr>
                <w:b/>
                <w:bCs/>
                <w:lang w:val="en-GB"/>
              </w:rPr>
            </w:pPr>
            <w:r w:rsidRPr="00FE779F">
              <w:rPr>
                <w:b/>
                <w:bCs/>
                <w:lang w:val="en-GB"/>
              </w:rPr>
              <w:t>C Cash Flow</w:t>
            </w:r>
          </w:p>
        </w:tc>
        <w:tc>
          <w:tcPr>
            <w:tcW w:w="0" w:type="auto"/>
            <w:hideMark/>
          </w:tcPr>
          <w:p w:rsidR="00FE779F" w:rsidRPr="00FE779F" w:rsidRDefault="00FE779F" w:rsidP="00786278">
            <w:pPr>
              <w:spacing w:line="240" w:lineRule="auto"/>
              <w:rPr>
                <w:b/>
                <w:bCs/>
                <w:lang w:val="en-GB"/>
              </w:rPr>
            </w:pPr>
            <w:r w:rsidRPr="00FE779F">
              <w:rPr>
                <w:b/>
                <w:bCs/>
                <w:lang w:val="en-GB"/>
              </w:rPr>
              <w:t>Cum</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1</w:t>
            </w:r>
          </w:p>
        </w:tc>
        <w:tc>
          <w:tcPr>
            <w:tcW w:w="0" w:type="auto"/>
            <w:hideMark/>
          </w:tcPr>
          <w:p w:rsidR="00FE779F" w:rsidRPr="00FE779F" w:rsidRDefault="00FE779F" w:rsidP="00786278">
            <w:pPr>
              <w:spacing w:line="240" w:lineRule="auto"/>
              <w:jc w:val="center"/>
              <w:rPr>
                <w:lang w:val="en-GB"/>
              </w:rPr>
            </w:pPr>
            <w:r w:rsidRPr="00FE779F">
              <w:rPr>
                <w:lang w:val="en-GB"/>
              </w:rPr>
              <w:t>10</w:t>
            </w:r>
          </w:p>
        </w:tc>
        <w:tc>
          <w:tcPr>
            <w:tcW w:w="0" w:type="auto"/>
            <w:hideMark/>
          </w:tcPr>
          <w:p w:rsidR="00FE779F" w:rsidRPr="00FE779F" w:rsidRDefault="00FE779F" w:rsidP="00786278">
            <w:pPr>
              <w:spacing w:line="240" w:lineRule="auto"/>
              <w:jc w:val="center"/>
              <w:rPr>
                <w:lang w:val="en-GB"/>
              </w:rPr>
            </w:pPr>
            <w:r w:rsidRPr="00FE779F">
              <w:rPr>
                <w:lang w:val="en-GB"/>
              </w:rPr>
              <w:t>10</w:t>
            </w:r>
          </w:p>
        </w:tc>
        <w:tc>
          <w:tcPr>
            <w:tcW w:w="0" w:type="auto"/>
            <w:hideMark/>
          </w:tcPr>
          <w:p w:rsidR="00FE779F" w:rsidRPr="00FE779F" w:rsidRDefault="00FE779F" w:rsidP="00786278">
            <w:pPr>
              <w:spacing w:line="240" w:lineRule="auto"/>
              <w:jc w:val="center"/>
              <w:rPr>
                <w:lang w:val="en-GB"/>
              </w:rPr>
            </w:pPr>
            <w:r w:rsidRPr="00FE779F">
              <w:rPr>
                <w:lang w:val="en-GB"/>
              </w:rPr>
              <w:t>6</w:t>
            </w:r>
          </w:p>
        </w:tc>
        <w:tc>
          <w:tcPr>
            <w:tcW w:w="0" w:type="auto"/>
            <w:hideMark/>
          </w:tcPr>
          <w:p w:rsidR="00FE779F" w:rsidRPr="00FE779F" w:rsidRDefault="00FE779F" w:rsidP="00786278">
            <w:pPr>
              <w:spacing w:line="240" w:lineRule="auto"/>
              <w:jc w:val="center"/>
              <w:rPr>
                <w:lang w:val="en-GB"/>
              </w:rPr>
            </w:pPr>
            <w:r w:rsidRPr="00FE779F">
              <w:rPr>
                <w:lang w:val="en-GB"/>
              </w:rPr>
              <w:t>6</w:t>
            </w:r>
          </w:p>
        </w:tc>
        <w:tc>
          <w:tcPr>
            <w:tcW w:w="0" w:type="auto"/>
            <w:hideMark/>
          </w:tcPr>
          <w:p w:rsidR="00FE779F" w:rsidRPr="00FE779F" w:rsidRDefault="00FE779F" w:rsidP="00786278">
            <w:pPr>
              <w:spacing w:line="240" w:lineRule="auto"/>
              <w:jc w:val="center"/>
              <w:rPr>
                <w:lang w:val="en-GB"/>
              </w:rPr>
            </w:pPr>
            <w:r w:rsidRPr="00FE779F">
              <w:rPr>
                <w:lang w:val="en-GB"/>
              </w:rPr>
              <w:t>5</w:t>
            </w:r>
          </w:p>
        </w:tc>
        <w:tc>
          <w:tcPr>
            <w:tcW w:w="0" w:type="auto"/>
            <w:hideMark/>
          </w:tcPr>
          <w:p w:rsidR="00FE779F" w:rsidRPr="00FE779F" w:rsidRDefault="00FE779F" w:rsidP="00786278">
            <w:pPr>
              <w:spacing w:line="240" w:lineRule="auto"/>
              <w:jc w:val="center"/>
              <w:rPr>
                <w:lang w:val="en-GB"/>
              </w:rPr>
            </w:pPr>
            <w:r w:rsidRPr="00FE779F">
              <w:rPr>
                <w:lang w:val="en-GB"/>
              </w:rPr>
              <w:t>5</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2</w:t>
            </w:r>
          </w:p>
        </w:tc>
        <w:tc>
          <w:tcPr>
            <w:tcW w:w="0" w:type="auto"/>
            <w:hideMark/>
          </w:tcPr>
          <w:p w:rsidR="00FE779F" w:rsidRPr="00FE779F" w:rsidRDefault="00FE779F" w:rsidP="00786278">
            <w:pPr>
              <w:spacing w:line="240" w:lineRule="auto"/>
              <w:jc w:val="center"/>
              <w:rPr>
                <w:lang w:val="en-GB"/>
              </w:rPr>
            </w:pPr>
            <w:r w:rsidRPr="00FE779F">
              <w:rPr>
                <w:lang w:val="en-GB"/>
              </w:rPr>
              <w:t>12</w:t>
            </w:r>
          </w:p>
        </w:tc>
        <w:tc>
          <w:tcPr>
            <w:tcW w:w="0" w:type="auto"/>
            <w:hideMark/>
          </w:tcPr>
          <w:p w:rsidR="00FE779F" w:rsidRPr="00FE779F" w:rsidRDefault="00FE779F" w:rsidP="00786278">
            <w:pPr>
              <w:spacing w:line="240" w:lineRule="auto"/>
              <w:jc w:val="center"/>
              <w:rPr>
                <w:lang w:val="en-GB"/>
              </w:rPr>
            </w:pPr>
            <w:r w:rsidRPr="00FE779F">
              <w:rPr>
                <w:lang w:val="en-GB"/>
              </w:rPr>
              <w:t>22</w:t>
            </w:r>
          </w:p>
        </w:tc>
        <w:tc>
          <w:tcPr>
            <w:tcW w:w="0" w:type="auto"/>
            <w:hideMark/>
          </w:tcPr>
          <w:p w:rsidR="00FE779F" w:rsidRPr="00FE779F" w:rsidRDefault="00FE779F" w:rsidP="00786278">
            <w:pPr>
              <w:spacing w:line="240" w:lineRule="auto"/>
              <w:jc w:val="center"/>
              <w:rPr>
                <w:lang w:val="en-GB"/>
              </w:rPr>
            </w:pPr>
            <w:r w:rsidRPr="00FE779F">
              <w:rPr>
                <w:lang w:val="en-GB"/>
              </w:rPr>
              <w:t>6</w:t>
            </w:r>
          </w:p>
        </w:tc>
        <w:tc>
          <w:tcPr>
            <w:tcW w:w="0" w:type="auto"/>
            <w:hideMark/>
          </w:tcPr>
          <w:p w:rsidR="00FE779F" w:rsidRPr="00FE779F" w:rsidRDefault="00FE779F" w:rsidP="00786278">
            <w:pPr>
              <w:spacing w:line="240" w:lineRule="auto"/>
              <w:jc w:val="center"/>
              <w:rPr>
                <w:lang w:val="en-GB"/>
              </w:rPr>
            </w:pPr>
            <w:r w:rsidRPr="00FE779F">
              <w:rPr>
                <w:lang w:val="en-GB"/>
              </w:rPr>
              <w:t>12</w:t>
            </w:r>
          </w:p>
        </w:tc>
        <w:tc>
          <w:tcPr>
            <w:tcW w:w="0" w:type="auto"/>
            <w:hideMark/>
          </w:tcPr>
          <w:p w:rsidR="00FE779F" w:rsidRPr="00FE779F" w:rsidRDefault="00FE779F" w:rsidP="00786278">
            <w:pPr>
              <w:spacing w:line="240" w:lineRule="auto"/>
              <w:jc w:val="center"/>
              <w:rPr>
                <w:lang w:val="en-GB"/>
              </w:rPr>
            </w:pPr>
            <w:r w:rsidRPr="00FE779F">
              <w:rPr>
                <w:lang w:val="en-GB"/>
              </w:rPr>
              <w:t>10</w:t>
            </w:r>
          </w:p>
        </w:tc>
        <w:tc>
          <w:tcPr>
            <w:tcW w:w="0" w:type="auto"/>
            <w:hideMark/>
          </w:tcPr>
          <w:p w:rsidR="00FE779F" w:rsidRPr="00FE779F" w:rsidRDefault="00FE779F" w:rsidP="00786278">
            <w:pPr>
              <w:spacing w:line="240" w:lineRule="auto"/>
              <w:jc w:val="center"/>
              <w:rPr>
                <w:lang w:val="en-GB"/>
              </w:rPr>
            </w:pPr>
            <w:r w:rsidRPr="00FE779F">
              <w:rPr>
                <w:lang w:val="en-GB"/>
              </w:rPr>
              <w:t>15</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3</w:t>
            </w:r>
          </w:p>
        </w:tc>
        <w:tc>
          <w:tcPr>
            <w:tcW w:w="0" w:type="auto"/>
            <w:hideMark/>
          </w:tcPr>
          <w:p w:rsidR="00FE779F" w:rsidRPr="00FE779F" w:rsidRDefault="00FE779F" w:rsidP="00786278">
            <w:pPr>
              <w:spacing w:line="240" w:lineRule="auto"/>
              <w:jc w:val="center"/>
              <w:rPr>
                <w:lang w:val="en-GB"/>
              </w:rPr>
            </w:pPr>
            <w:r w:rsidRPr="00FE779F">
              <w:rPr>
                <w:lang w:val="en-GB"/>
              </w:rPr>
              <w:t>14</w:t>
            </w:r>
          </w:p>
        </w:tc>
        <w:tc>
          <w:tcPr>
            <w:tcW w:w="0" w:type="auto"/>
            <w:hideMark/>
          </w:tcPr>
          <w:p w:rsidR="00FE779F" w:rsidRPr="00FE779F" w:rsidRDefault="00FE779F" w:rsidP="00786278">
            <w:pPr>
              <w:spacing w:line="240" w:lineRule="auto"/>
              <w:jc w:val="center"/>
              <w:rPr>
                <w:lang w:val="en-GB"/>
              </w:rPr>
            </w:pPr>
            <w:r w:rsidRPr="00FE779F">
              <w:rPr>
                <w:lang w:val="en-GB"/>
              </w:rPr>
              <w:t>36</w:t>
            </w:r>
          </w:p>
        </w:tc>
        <w:tc>
          <w:tcPr>
            <w:tcW w:w="0" w:type="auto"/>
            <w:hideMark/>
          </w:tcPr>
          <w:p w:rsidR="00FE779F" w:rsidRPr="00FE779F" w:rsidRDefault="00FE779F" w:rsidP="00786278">
            <w:pPr>
              <w:spacing w:line="240" w:lineRule="auto"/>
              <w:jc w:val="center"/>
              <w:rPr>
                <w:lang w:val="en-GB"/>
              </w:rPr>
            </w:pPr>
            <w:r w:rsidRPr="00FE779F">
              <w:rPr>
                <w:lang w:val="en-GB"/>
              </w:rPr>
              <w:t>6</w:t>
            </w:r>
          </w:p>
        </w:tc>
        <w:tc>
          <w:tcPr>
            <w:tcW w:w="0" w:type="auto"/>
            <w:hideMark/>
          </w:tcPr>
          <w:p w:rsidR="00FE779F" w:rsidRPr="00FE779F" w:rsidRDefault="00FE779F" w:rsidP="00786278">
            <w:pPr>
              <w:spacing w:line="240" w:lineRule="auto"/>
              <w:jc w:val="center"/>
              <w:rPr>
                <w:lang w:val="en-GB"/>
              </w:rPr>
            </w:pPr>
            <w:r w:rsidRPr="00FE779F">
              <w:rPr>
                <w:lang w:val="en-GB"/>
              </w:rPr>
              <w:t>18</w:t>
            </w:r>
          </w:p>
        </w:tc>
        <w:tc>
          <w:tcPr>
            <w:tcW w:w="0" w:type="auto"/>
            <w:hideMark/>
          </w:tcPr>
          <w:p w:rsidR="00FE779F" w:rsidRPr="00FE779F" w:rsidRDefault="00FE779F" w:rsidP="00786278">
            <w:pPr>
              <w:spacing w:line="240" w:lineRule="auto"/>
              <w:jc w:val="center"/>
              <w:rPr>
                <w:lang w:val="en-GB"/>
              </w:rPr>
            </w:pPr>
            <w:r w:rsidRPr="00FE779F">
              <w:rPr>
                <w:lang w:val="en-GB"/>
              </w:rPr>
              <w:t>20</w:t>
            </w:r>
          </w:p>
        </w:tc>
        <w:tc>
          <w:tcPr>
            <w:tcW w:w="0" w:type="auto"/>
            <w:hideMark/>
          </w:tcPr>
          <w:p w:rsidR="00FE779F" w:rsidRPr="00FE779F" w:rsidRDefault="00FE779F" w:rsidP="00786278">
            <w:pPr>
              <w:spacing w:line="240" w:lineRule="auto"/>
              <w:jc w:val="center"/>
              <w:rPr>
                <w:lang w:val="en-GB"/>
              </w:rPr>
            </w:pPr>
            <w:r w:rsidRPr="00FE779F">
              <w:rPr>
                <w:lang w:val="en-GB"/>
              </w:rPr>
              <w:t>35</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4</w:t>
            </w:r>
          </w:p>
        </w:tc>
        <w:tc>
          <w:tcPr>
            <w:tcW w:w="0" w:type="auto"/>
            <w:hideMark/>
          </w:tcPr>
          <w:p w:rsidR="00FE779F" w:rsidRPr="00FE779F" w:rsidRDefault="00FE779F" w:rsidP="00786278">
            <w:pPr>
              <w:spacing w:line="240" w:lineRule="auto"/>
              <w:jc w:val="center"/>
              <w:rPr>
                <w:lang w:val="en-GB"/>
              </w:rPr>
            </w:pPr>
            <w:r w:rsidRPr="00FE779F">
              <w:rPr>
                <w:lang w:val="en-GB"/>
              </w:rPr>
              <w:t>10</w:t>
            </w:r>
          </w:p>
        </w:tc>
        <w:tc>
          <w:tcPr>
            <w:tcW w:w="0" w:type="auto"/>
            <w:hideMark/>
          </w:tcPr>
          <w:p w:rsidR="00FE779F" w:rsidRPr="00FE779F" w:rsidRDefault="00FE779F" w:rsidP="00786278">
            <w:pPr>
              <w:spacing w:line="240" w:lineRule="auto"/>
              <w:jc w:val="center"/>
              <w:rPr>
                <w:lang w:val="en-GB"/>
              </w:rPr>
            </w:pPr>
            <w:r w:rsidRPr="00FE779F">
              <w:rPr>
                <w:lang w:val="en-GB"/>
              </w:rPr>
              <w:t>46</w:t>
            </w:r>
          </w:p>
        </w:tc>
        <w:tc>
          <w:tcPr>
            <w:tcW w:w="0" w:type="auto"/>
            <w:hideMark/>
          </w:tcPr>
          <w:p w:rsidR="00FE779F" w:rsidRPr="00FE779F" w:rsidRDefault="00FE779F" w:rsidP="00786278">
            <w:pPr>
              <w:spacing w:line="240" w:lineRule="auto"/>
              <w:jc w:val="center"/>
              <w:rPr>
                <w:lang w:val="en-GB"/>
              </w:rPr>
            </w:pPr>
            <w:r w:rsidRPr="00FE779F">
              <w:rPr>
                <w:lang w:val="en-GB"/>
              </w:rPr>
              <w:t>6</w:t>
            </w:r>
          </w:p>
        </w:tc>
        <w:tc>
          <w:tcPr>
            <w:tcW w:w="0" w:type="auto"/>
            <w:hideMark/>
          </w:tcPr>
          <w:p w:rsidR="00FE779F" w:rsidRPr="00FE779F" w:rsidRDefault="00FE779F" w:rsidP="00786278">
            <w:pPr>
              <w:spacing w:line="240" w:lineRule="auto"/>
              <w:jc w:val="center"/>
              <w:rPr>
                <w:lang w:val="en-GB"/>
              </w:rPr>
            </w:pPr>
            <w:r w:rsidRPr="00FE779F">
              <w:rPr>
                <w:lang w:val="en-GB"/>
              </w:rPr>
              <w:t>24</w:t>
            </w:r>
          </w:p>
        </w:tc>
        <w:tc>
          <w:tcPr>
            <w:tcW w:w="0" w:type="auto"/>
            <w:hideMark/>
          </w:tcPr>
          <w:p w:rsidR="00FE779F" w:rsidRPr="00FE779F" w:rsidRDefault="00FE779F" w:rsidP="00786278">
            <w:pPr>
              <w:spacing w:line="240" w:lineRule="auto"/>
              <w:jc w:val="center"/>
              <w:rPr>
                <w:lang w:val="en-GB"/>
              </w:rPr>
            </w:pPr>
            <w:r w:rsidRPr="00FE779F">
              <w:rPr>
                <w:lang w:val="en-GB"/>
              </w:rPr>
              <w:t>25</w:t>
            </w:r>
          </w:p>
        </w:tc>
        <w:tc>
          <w:tcPr>
            <w:tcW w:w="0" w:type="auto"/>
            <w:hideMark/>
          </w:tcPr>
          <w:p w:rsidR="00FE779F" w:rsidRPr="00FE779F" w:rsidRDefault="00FE779F" w:rsidP="00786278">
            <w:pPr>
              <w:spacing w:line="240" w:lineRule="auto"/>
              <w:jc w:val="center"/>
              <w:rPr>
                <w:lang w:val="en-GB"/>
              </w:rPr>
            </w:pPr>
            <w:r w:rsidRPr="00FE779F">
              <w:rPr>
                <w:lang w:val="en-GB"/>
              </w:rPr>
              <w:t>60</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5</w:t>
            </w:r>
          </w:p>
        </w:tc>
        <w:tc>
          <w:tcPr>
            <w:tcW w:w="0" w:type="auto"/>
            <w:hideMark/>
          </w:tcPr>
          <w:p w:rsidR="00FE779F" w:rsidRPr="00FE779F" w:rsidRDefault="00FE779F" w:rsidP="00786278">
            <w:pPr>
              <w:spacing w:line="240" w:lineRule="auto"/>
              <w:jc w:val="center"/>
              <w:rPr>
                <w:lang w:val="en-GB"/>
              </w:rPr>
            </w:pPr>
            <w:r w:rsidRPr="00FE779F">
              <w:rPr>
                <w:lang w:val="en-GB"/>
              </w:rPr>
              <w:t>8</w:t>
            </w:r>
          </w:p>
        </w:tc>
        <w:tc>
          <w:tcPr>
            <w:tcW w:w="0" w:type="auto"/>
            <w:hideMark/>
          </w:tcPr>
          <w:p w:rsidR="00FE779F" w:rsidRPr="00FE779F" w:rsidRDefault="00FE779F" w:rsidP="00786278">
            <w:pPr>
              <w:spacing w:line="240" w:lineRule="auto"/>
              <w:jc w:val="center"/>
              <w:rPr>
                <w:lang w:val="en-GB"/>
              </w:rPr>
            </w:pPr>
            <w:r w:rsidRPr="00FE779F">
              <w:rPr>
                <w:lang w:val="en-GB"/>
              </w:rPr>
              <w:t>54</w:t>
            </w:r>
          </w:p>
        </w:tc>
        <w:tc>
          <w:tcPr>
            <w:tcW w:w="0" w:type="auto"/>
            <w:hideMark/>
          </w:tcPr>
          <w:p w:rsidR="00FE779F" w:rsidRPr="00FE779F" w:rsidRDefault="00FE779F" w:rsidP="00786278">
            <w:pPr>
              <w:spacing w:line="240" w:lineRule="auto"/>
              <w:jc w:val="center"/>
              <w:rPr>
                <w:lang w:val="en-GB"/>
              </w:rPr>
            </w:pPr>
            <w:r w:rsidRPr="00FE779F">
              <w:rPr>
                <w:lang w:val="en-GB"/>
              </w:rPr>
              <w:t>6</w:t>
            </w:r>
          </w:p>
        </w:tc>
        <w:tc>
          <w:tcPr>
            <w:tcW w:w="0" w:type="auto"/>
            <w:hideMark/>
          </w:tcPr>
          <w:p w:rsidR="00FE779F" w:rsidRPr="00FE779F" w:rsidRDefault="00FE779F" w:rsidP="00786278">
            <w:pPr>
              <w:spacing w:line="240" w:lineRule="auto"/>
              <w:jc w:val="center"/>
              <w:rPr>
                <w:lang w:val="en-GB"/>
              </w:rPr>
            </w:pPr>
            <w:r w:rsidRPr="00FE779F">
              <w:rPr>
                <w:lang w:val="en-GB"/>
              </w:rPr>
              <w:t>30</w:t>
            </w:r>
          </w:p>
        </w:tc>
        <w:tc>
          <w:tcPr>
            <w:tcW w:w="0" w:type="auto"/>
            <w:hideMark/>
          </w:tcPr>
          <w:p w:rsidR="00FE779F" w:rsidRPr="00FE779F" w:rsidRDefault="00FE779F" w:rsidP="00786278">
            <w:pPr>
              <w:spacing w:line="240" w:lineRule="auto"/>
              <w:jc w:val="center"/>
              <w:rPr>
                <w:lang w:val="en-GB"/>
              </w:rPr>
            </w:pPr>
            <w:r w:rsidRPr="00FE779F">
              <w:rPr>
                <w:lang w:val="en-GB"/>
              </w:rPr>
              <w:t>15</w:t>
            </w:r>
          </w:p>
        </w:tc>
        <w:tc>
          <w:tcPr>
            <w:tcW w:w="0" w:type="auto"/>
            <w:hideMark/>
          </w:tcPr>
          <w:p w:rsidR="00FE779F" w:rsidRPr="00FE779F" w:rsidRDefault="00FE779F" w:rsidP="00786278">
            <w:pPr>
              <w:spacing w:line="240" w:lineRule="auto"/>
              <w:jc w:val="center"/>
              <w:rPr>
                <w:lang w:val="en-GB"/>
              </w:rPr>
            </w:pPr>
            <w:r w:rsidRPr="00FE779F">
              <w:rPr>
                <w:lang w:val="en-GB"/>
              </w:rPr>
              <w:t>75</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b/>
                <w:bCs/>
                <w:lang w:val="en-GB"/>
              </w:rPr>
              <w:t>Payback</w:t>
            </w:r>
          </w:p>
        </w:tc>
        <w:tc>
          <w:tcPr>
            <w:tcW w:w="0" w:type="auto"/>
            <w:hideMark/>
          </w:tcPr>
          <w:p w:rsidR="00FE779F" w:rsidRPr="00FE779F" w:rsidRDefault="00FE779F" w:rsidP="00786278">
            <w:pPr>
              <w:spacing w:line="240" w:lineRule="auto"/>
              <w:jc w:val="center"/>
              <w:rPr>
                <w:lang w:val="en-GB"/>
              </w:rPr>
            </w:pPr>
            <w:r w:rsidRPr="00FE779F">
              <w:rPr>
                <w:b/>
                <w:bCs/>
                <w:lang w:val="en-GB"/>
              </w:rPr>
              <w:t>3.4 yrs.</w:t>
            </w:r>
          </w:p>
        </w:tc>
        <w:tc>
          <w:tcPr>
            <w:tcW w:w="0" w:type="auto"/>
            <w:hideMark/>
          </w:tcPr>
          <w:p w:rsidR="00FE779F" w:rsidRPr="00FE779F" w:rsidRDefault="00FE779F" w:rsidP="00786278">
            <w:pPr>
              <w:spacing w:line="240" w:lineRule="auto"/>
              <w:jc w:val="center"/>
              <w:rPr>
                <w:lang w:val="en-GB"/>
              </w:rPr>
            </w:pPr>
          </w:p>
        </w:tc>
        <w:tc>
          <w:tcPr>
            <w:tcW w:w="0" w:type="auto"/>
            <w:hideMark/>
          </w:tcPr>
          <w:p w:rsidR="00FE779F" w:rsidRPr="00FE779F" w:rsidRDefault="00FE779F" w:rsidP="00786278">
            <w:pPr>
              <w:spacing w:line="240" w:lineRule="auto"/>
              <w:jc w:val="center"/>
              <w:rPr>
                <w:lang w:val="en-GB"/>
              </w:rPr>
            </w:pPr>
            <w:r w:rsidRPr="00FE779F">
              <w:rPr>
                <w:b/>
                <w:bCs/>
                <w:lang w:val="en-GB"/>
              </w:rPr>
              <w:t>5.0 yrs.</w:t>
            </w:r>
          </w:p>
        </w:tc>
        <w:tc>
          <w:tcPr>
            <w:tcW w:w="0" w:type="auto"/>
            <w:hideMark/>
          </w:tcPr>
          <w:p w:rsidR="00FE779F" w:rsidRPr="00FE779F" w:rsidRDefault="00FE779F" w:rsidP="00786278">
            <w:pPr>
              <w:spacing w:line="240" w:lineRule="auto"/>
              <w:jc w:val="center"/>
              <w:rPr>
                <w:lang w:val="en-GB"/>
              </w:rPr>
            </w:pPr>
          </w:p>
        </w:tc>
        <w:tc>
          <w:tcPr>
            <w:tcW w:w="0" w:type="auto"/>
            <w:hideMark/>
          </w:tcPr>
          <w:p w:rsidR="00FE779F" w:rsidRPr="00FE779F" w:rsidRDefault="00FE779F" w:rsidP="00786278">
            <w:pPr>
              <w:spacing w:line="240" w:lineRule="auto"/>
              <w:jc w:val="center"/>
              <w:rPr>
                <w:lang w:val="en-GB"/>
              </w:rPr>
            </w:pPr>
            <w:r w:rsidRPr="00FE779F">
              <w:rPr>
                <w:b/>
                <w:bCs/>
                <w:lang w:val="en-GB"/>
              </w:rPr>
              <w:t>3.6 yrs.</w:t>
            </w:r>
          </w:p>
        </w:tc>
        <w:tc>
          <w:tcPr>
            <w:tcW w:w="0" w:type="auto"/>
            <w:hideMark/>
          </w:tcPr>
          <w:p w:rsidR="00FE779F" w:rsidRPr="00FE779F" w:rsidRDefault="00FE779F" w:rsidP="00786278">
            <w:pPr>
              <w:spacing w:line="240" w:lineRule="auto"/>
              <w:jc w:val="center"/>
              <w:rPr>
                <w:lang w:val="en-GB"/>
              </w:rPr>
            </w:pPr>
          </w:p>
        </w:tc>
      </w:tr>
    </w:tbl>
    <w:p w:rsidR="00445102" w:rsidRDefault="00445102" w:rsidP="003D47D8">
      <w:pPr>
        <w:rPr>
          <w:b/>
          <w:color w:val="4F81BD" w:themeColor="accent1"/>
          <w:sz w:val="28"/>
        </w:rPr>
      </w:pPr>
    </w:p>
    <w:p w:rsidR="00FE779F" w:rsidRDefault="00FE779F" w:rsidP="003D47D8">
      <w:pPr>
        <w:rPr>
          <w:b/>
          <w:color w:val="4F81BD" w:themeColor="accent1"/>
          <w:sz w:val="28"/>
        </w:rPr>
      </w:pPr>
      <w:r w:rsidRPr="00FE779F">
        <w:rPr>
          <w:b/>
          <w:color w:val="4F81BD" w:themeColor="accent1"/>
          <w:sz w:val="28"/>
        </w:rPr>
        <w:t>Appendix H: Investment Appraisal – ARR</w:t>
      </w:r>
    </w:p>
    <w:p w:rsidR="00482686" w:rsidRPr="00482686" w:rsidRDefault="00482686" w:rsidP="00482686">
      <w:r w:rsidRPr="00482686">
        <w:t>A = £8m per year</w:t>
      </w:r>
    </w:p>
    <w:p w:rsidR="00482686" w:rsidRPr="00482686" w:rsidRDefault="00482686" w:rsidP="00482686">
      <w:r w:rsidRPr="00482686">
        <w:t>B = £6m per year</w:t>
      </w:r>
    </w:p>
    <w:p w:rsidR="00482686" w:rsidRPr="00482686" w:rsidRDefault="00482686" w:rsidP="00482686">
      <w:r w:rsidRPr="00482686">
        <w:t>C = £10m per year</w:t>
      </w:r>
    </w:p>
    <w:p w:rsidR="00482686" w:rsidRPr="00482686" w:rsidRDefault="00482686" w:rsidP="00482686">
      <w:r w:rsidRPr="00482686">
        <w:t>Average annual accounting profit:</w:t>
      </w:r>
    </w:p>
    <w:p w:rsidR="00482686" w:rsidRPr="00482686" w:rsidRDefault="00482686" w:rsidP="00482686">
      <w:pPr>
        <w:rPr>
          <w:b/>
        </w:rPr>
      </w:pPr>
      <w:r w:rsidRPr="00482686">
        <w:rPr>
          <w:b/>
        </w:rPr>
        <w:t>Project A:</w:t>
      </w:r>
    </w:p>
    <w:p w:rsidR="00482686" w:rsidRPr="00482686" w:rsidRDefault="00482686" w:rsidP="00482686">
      <w:r w:rsidRPr="00482686">
        <w:t>Average yearly cash flow = (£10+12+14+10+8)/5 = £10.8m</w:t>
      </w:r>
    </w:p>
    <w:p w:rsidR="00482686" w:rsidRPr="00482686" w:rsidRDefault="00482686" w:rsidP="00482686">
      <w:r w:rsidRPr="00482686">
        <w:t>Less depreciation = £8m</w:t>
      </w:r>
    </w:p>
    <w:p w:rsidR="00482686" w:rsidRPr="00482686" w:rsidRDefault="00482686" w:rsidP="00482686">
      <w:r w:rsidRPr="00482686">
        <w:t>Profit = £2.8m</w:t>
      </w:r>
    </w:p>
    <w:p w:rsidR="00482686" w:rsidRPr="00482686" w:rsidRDefault="00482686" w:rsidP="00482686">
      <w:r w:rsidRPr="00482686">
        <w:t>Average investment = £20m</w:t>
      </w:r>
    </w:p>
    <w:p w:rsidR="00482686" w:rsidRPr="00482686" w:rsidRDefault="00482686" w:rsidP="00482686">
      <w:r w:rsidRPr="00482686">
        <w:t>ARR = 2.8/20 = 14%</w:t>
      </w:r>
    </w:p>
    <w:p w:rsidR="00482686" w:rsidRPr="00482686" w:rsidRDefault="00482686" w:rsidP="00482686">
      <w:pPr>
        <w:rPr>
          <w:b/>
        </w:rPr>
      </w:pPr>
      <w:r w:rsidRPr="00482686">
        <w:rPr>
          <w:b/>
        </w:rPr>
        <w:t>Project B:</w:t>
      </w:r>
    </w:p>
    <w:p w:rsidR="00482686" w:rsidRPr="00482686" w:rsidRDefault="00482686" w:rsidP="00482686">
      <w:r w:rsidRPr="00482686">
        <w:t>Average cash flow = £6m</w:t>
      </w:r>
    </w:p>
    <w:p w:rsidR="00482686" w:rsidRPr="00482686" w:rsidRDefault="00482686" w:rsidP="00482686">
      <w:r w:rsidRPr="00482686">
        <w:t>Profit = £6-£6 = £0m</w:t>
      </w:r>
    </w:p>
    <w:p w:rsidR="00482686" w:rsidRPr="00482686" w:rsidRDefault="00482686" w:rsidP="00482686">
      <w:r w:rsidRPr="00482686">
        <w:lastRenderedPageBreak/>
        <w:t>ARR = 0%</w:t>
      </w:r>
    </w:p>
    <w:p w:rsidR="00482686" w:rsidRPr="00482686" w:rsidRDefault="00482686" w:rsidP="00482686">
      <w:pPr>
        <w:rPr>
          <w:b/>
        </w:rPr>
      </w:pPr>
      <w:r w:rsidRPr="00482686">
        <w:rPr>
          <w:b/>
        </w:rPr>
        <w:t>Project C:</w:t>
      </w:r>
    </w:p>
    <w:p w:rsidR="00482686" w:rsidRPr="00482686" w:rsidRDefault="00482686" w:rsidP="00482686">
      <w:r w:rsidRPr="00482686">
        <w:t>Average cash flow = (£5+10+20+25+15)/5 = £15m</w:t>
      </w:r>
    </w:p>
    <w:p w:rsidR="00482686" w:rsidRPr="00482686" w:rsidRDefault="00482686" w:rsidP="00482686">
      <w:r w:rsidRPr="00482686">
        <w:t>Profit = £15-£10 = £5m</w:t>
      </w:r>
    </w:p>
    <w:p w:rsidR="00482686" w:rsidRPr="00482686" w:rsidRDefault="00482686" w:rsidP="00482686">
      <w:r w:rsidRPr="00482686">
        <w:t>Average investment = £25m</w:t>
      </w:r>
    </w:p>
    <w:p w:rsidR="00482686" w:rsidRDefault="00482686" w:rsidP="00482686">
      <w:r w:rsidRPr="00482686">
        <w:t>ARR = 5/25 = 20%</w:t>
      </w:r>
    </w:p>
    <w:p w:rsidR="00445102" w:rsidRPr="00445102" w:rsidRDefault="00445102" w:rsidP="00482686">
      <w:pPr>
        <w:rPr>
          <w:b/>
        </w:rPr>
      </w:pPr>
      <w:r w:rsidRPr="00445102">
        <w:rPr>
          <w:b/>
        </w:rPr>
        <w:t>Table H1: ARR Calculations</w:t>
      </w:r>
    </w:p>
    <w:tbl>
      <w:tblPr>
        <w:tblStyle w:val="TableGrid"/>
        <w:tblW w:w="0" w:type="auto"/>
        <w:tblLook w:val="04A0" w:firstRow="1" w:lastRow="0" w:firstColumn="1" w:lastColumn="0" w:noHBand="0" w:noVBand="1"/>
      </w:tblPr>
      <w:tblGrid>
        <w:gridCol w:w="1030"/>
        <w:gridCol w:w="1643"/>
        <w:gridCol w:w="817"/>
        <w:gridCol w:w="884"/>
        <w:gridCol w:w="1430"/>
        <w:gridCol w:w="736"/>
      </w:tblGrid>
      <w:tr w:rsidR="00FE779F" w:rsidRPr="00FE779F" w:rsidTr="00FE779F">
        <w:tc>
          <w:tcPr>
            <w:tcW w:w="0" w:type="auto"/>
            <w:hideMark/>
          </w:tcPr>
          <w:p w:rsidR="00FE779F" w:rsidRPr="00FE779F" w:rsidRDefault="00FE779F" w:rsidP="00FE779F">
            <w:pPr>
              <w:spacing w:line="240" w:lineRule="auto"/>
              <w:rPr>
                <w:b/>
                <w:bCs/>
                <w:lang w:val="en-GB"/>
              </w:rPr>
            </w:pPr>
            <w:r w:rsidRPr="00FE779F">
              <w:rPr>
                <w:b/>
                <w:bCs/>
                <w:lang w:val="en-GB"/>
              </w:rPr>
              <w:t>Project</w:t>
            </w:r>
          </w:p>
        </w:tc>
        <w:tc>
          <w:tcPr>
            <w:tcW w:w="0" w:type="auto"/>
            <w:hideMark/>
          </w:tcPr>
          <w:p w:rsidR="00FE779F" w:rsidRPr="00FE779F" w:rsidRDefault="00FE779F" w:rsidP="00FE779F">
            <w:pPr>
              <w:spacing w:line="240" w:lineRule="auto"/>
              <w:rPr>
                <w:b/>
                <w:bCs/>
                <w:lang w:val="en-GB"/>
              </w:rPr>
            </w:pPr>
            <w:proofErr w:type="spellStart"/>
            <w:r w:rsidRPr="00FE779F">
              <w:rPr>
                <w:b/>
                <w:bCs/>
                <w:lang w:val="en-GB"/>
              </w:rPr>
              <w:t>Avg</w:t>
            </w:r>
            <w:proofErr w:type="spellEnd"/>
            <w:r w:rsidRPr="00FE779F">
              <w:rPr>
                <w:b/>
                <w:bCs/>
                <w:lang w:val="en-GB"/>
              </w:rPr>
              <w:t xml:space="preserve"> CF (5yr)</w:t>
            </w:r>
          </w:p>
        </w:tc>
        <w:tc>
          <w:tcPr>
            <w:tcW w:w="0" w:type="auto"/>
            <w:hideMark/>
          </w:tcPr>
          <w:p w:rsidR="00FE779F" w:rsidRPr="00FE779F" w:rsidRDefault="00FE779F" w:rsidP="00FE779F">
            <w:pPr>
              <w:spacing w:line="240" w:lineRule="auto"/>
              <w:rPr>
                <w:b/>
                <w:bCs/>
                <w:lang w:val="en-GB"/>
              </w:rPr>
            </w:pPr>
            <w:proofErr w:type="spellStart"/>
            <w:r w:rsidRPr="00FE779F">
              <w:rPr>
                <w:b/>
                <w:bCs/>
                <w:lang w:val="en-GB"/>
              </w:rPr>
              <w:t>Depn</w:t>
            </w:r>
            <w:proofErr w:type="spellEnd"/>
          </w:p>
        </w:tc>
        <w:tc>
          <w:tcPr>
            <w:tcW w:w="0" w:type="auto"/>
            <w:hideMark/>
          </w:tcPr>
          <w:p w:rsidR="00FE779F" w:rsidRPr="00FE779F" w:rsidRDefault="00FE779F" w:rsidP="00FE779F">
            <w:pPr>
              <w:spacing w:line="240" w:lineRule="auto"/>
              <w:rPr>
                <w:b/>
                <w:bCs/>
                <w:lang w:val="en-GB"/>
              </w:rPr>
            </w:pPr>
            <w:r w:rsidRPr="00FE779F">
              <w:rPr>
                <w:b/>
                <w:bCs/>
                <w:lang w:val="en-GB"/>
              </w:rPr>
              <w:t>Profit</w:t>
            </w:r>
          </w:p>
        </w:tc>
        <w:tc>
          <w:tcPr>
            <w:tcW w:w="0" w:type="auto"/>
            <w:hideMark/>
          </w:tcPr>
          <w:p w:rsidR="00FE779F" w:rsidRPr="00FE779F" w:rsidRDefault="00FE779F" w:rsidP="00FE779F">
            <w:pPr>
              <w:spacing w:line="240" w:lineRule="auto"/>
              <w:rPr>
                <w:b/>
                <w:bCs/>
                <w:lang w:val="en-GB"/>
              </w:rPr>
            </w:pPr>
            <w:proofErr w:type="spellStart"/>
            <w:r w:rsidRPr="00FE779F">
              <w:rPr>
                <w:b/>
                <w:bCs/>
                <w:lang w:val="en-GB"/>
              </w:rPr>
              <w:t>Avg</w:t>
            </w:r>
            <w:proofErr w:type="spellEnd"/>
            <w:r w:rsidRPr="00FE779F">
              <w:rPr>
                <w:b/>
                <w:bCs/>
                <w:lang w:val="en-GB"/>
              </w:rPr>
              <w:t xml:space="preserve"> Invest</w:t>
            </w:r>
          </w:p>
        </w:tc>
        <w:tc>
          <w:tcPr>
            <w:tcW w:w="0" w:type="auto"/>
            <w:hideMark/>
          </w:tcPr>
          <w:p w:rsidR="00FE779F" w:rsidRPr="00FE779F" w:rsidRDefault="00FE779F" w:rsidP="00FE779F">
            <w:pPr>
              <w:spacing w:line="240" w:lineRule="auto"/>
              <w:rPr>
                <w:b/>
                <w:bCs/>
                <w:lang w:val="en-GB"/>
              </w:rPr>
            </w:pPr>
            <w:r w:rsidRPr="00FE779F">
              <w:rPr>
                <w:b/>
                <w:bCs/>
                <w:lang w:val="en-GB"/>
              </w:rPr>
              <w:t>ARR</w:t>
            </w:r>
          </w:p>
        </w:tc>
      </w:tr>
      <w:tr w:rsidR="00FE779F" w:rsidRPr="00FE779F" w:rsidTr="00FE779F">
        <w:tc>
          <w:tcPr>
            <w:tcW w:w="0" w:type="auto"/>
            <w:hideMark/>
          </w:tcPr>
          <w:p w:rsidR="00FE779F" w:rsidRPr="00FE779F" w:rsidRDefault="00FE779F" w:rsidP="00FE779F">
            <w:pPr>
              <w:spacing w:line="240" w:lineRule="auto"/>
              <w:jc w:val="center"/>
              <w:rPr>
                <w:lang w:val="en-GB"/>
              </w:rPr>
            </w:pPr>
            <w:r w:rsidRPr="00FE779F">
              <w:rPr>
                <w:lang w:val="en-GB"/>
              </w:rPr>
              <w:t>A</w:t>
            </w:r>
          </w:p>
        </w:tc>
        <w:tc>
          <w:tcPr>
            <w:tcW w:w="0" w:type="auto"/>
            <w:hideMark/>
          </w:tcPr>
          <w:p w:rsidR="00FE779F" w:rsidRPr="00FE779F" w:rsidRDefault="00FE779F" w:rsidP="00FE779F">
            <w:pPr>
              <w:spacing w:line="240" w:lineRule="auto"/>
              <w:jc w:val="center"/>
              <w:rPr>
                <w:lang w:val="en-GB"/>
              </w:rPr>
            </w:pPr>
            <w:r w:rsidRPr="00FE779F">
              <w:rPr>
                <w:lang w:val="en-GB"/>
              </w:rPr>
              <w:t>£10.8m</w:t>
            </w:r>
          </w:p>
        </w:tc>
        <w:tc>
          <w:tcPr>
            <w:tcW w:w="0" w:type="auto"/>
            <w:hideMark/>
          </w:tcPr>
          <w:p w:rsidR="00FE779F" w:rsidRPr="00FE779F" w:rsidRDefault="00FE779F" w:rsidP="00FE779F">
            <w:pPr>
              <w:spacing w:line="240" w:lineRule="auto"/>
              <w:jc w:val="center"/>
              <w:rPr>
                <w:lang w:val="en-GB"/>
              </w:rPr>
            </w:pPr>
            <w:r w:rsidRPr="00FE779F">
              <w:rPr>
                <w:lang w:val="en-GB"/>
              </w:rPr>
              <w:t>£8m</w:t>
            </w:r>
          </w:p>
        </w:tc>
        <w:tc>
          <w:tcPr>
            <w:tcW w:w="0" w:type="auto"/>
            <w:hideMark/>
          </w:tcPr>
          <w:p w:rsidR="00FE779F" w:rsidRPr="00FE779F" w:rsidRDefault="00FE779F" w:rsidP="00FE779F">
            <w:pPr>
              <w:spacing w:line="240" w:lineRule="auto"/>
              <w:jc w:val="center"/>
              <w:rPr>
                <w:lang w:val="en-GB"/>
              </w:rPr>
            </w:pPr>
            <w:r w:rsidRPr="00FE779F">
              <w:rPr>
                <w:lang w:val="en-GB"/>
              </w:rPr>
              <w:t>£2.8m</w:t>
            </w:r>
          </w:p>
        </w:tc>
        <w:tc>
          <w:tcPr>
            <w:tcW w:w="0" w:type="auto"/>
            <w:hideMark/>
          </w:tcPr>
          <w:p w:rsidR="00FE779F" w:rsidRPr="00FE779F" w:rsidRDefault="00FE779F" w:rsidP="00FE779F">
            <w:pPr>
              <w:spacing w:line="240" w:lineRule="auto"/>
              <w:jc w:val="center"/>
              <w:rPr>
                <w:lang w:val="en-GB"/>
              </w:rPr>
            </w:pPr>
            <w:r w:rsidRPr="00FE779F">
              <w:rPr>
                <w:lang w:val="en-GB"/>
              </w:rPr>
              <w:t>£20m</w:t>
            </w:r>
          </w:p>
        </w:tc>
        <w:tc>
          <w:tcPr>
            <w:tcW w:w="0" w:type="auto"/>
            <w:hideMark/>
          </w:tcPr>
          <w:p w:rsidR="00FE779F" w:rsidRPr="00FE779F" w:rsidRDefault="00FE779F" w:rsidP="00FE779F">
            <w:pPr>
              <w:spacing w:line="240" w:lineRule="auto"/>
              <w:jc w:val="center"/>
              <w:rPr>
                <w:lang w:val="en-GB"/>
              </w:rPr>
            </w:pPr>
            <w:r w:rsidRPr="00FE779F">
              <w:rPr>
                <w:b/>
                <w:bCs/>
                <w:lang w:val="en-GB"/>
              </w:rPr>
              <w:t>14%</w:t>
            </w:r>
          </w:p>
        </w:tc>
      </w:tr>
      <w:tr w:rsidR="00FE779F" w:rsidRPr="00FE779F" w:rsidTr="00FE779F">
        <w:tc>
          <w:tcPr>
            <w:tcW w:w="0" w:type="auto"/>
            <w:hideMark/>
          </w:tcPr>
          <w:p w:rsidR="00FE779F" w:rsidRPr="00FE779F" w:rsidRDefault="00FE779F" w:rsidP="00FE779F">
            <w:pPr>
              <w:spacing w:line="240" w:lineRule="auto"/>
              <w:jc w:val="center"/>
              <w:rPr>
                <w:lang w:val="en-GB"/>
              </w:rPr>
            </w:pPr>
            <w:r w:rsidRPr="00FE779F">
              <w:rPr>
                <w:lang w:val="en-GB"/>
              </w:rPr>
              <w:t>B</w:t>
            </w:r>
          </w:p>
        </w:tc>
        <w:tc>
          <w:tcPr>
            <w:tcW w:w="0" w:type="auto"/>
            <w:hideMark/>
          </w:tcPr>
          <w:p w:rsidR="00FE779F" w:rsidRPr="00FE779F" w:rsidRDefault="00FE779F" w:rsidP="00FE779F">
            <w:pPr>
              <w:spacing w:line="240" w:lineRule="auto"/>
              <w:jc w:val="center"/>
              <w:rPr>
                <w:lang w:val="en-GB"/>
              </w:rPr>
            </w:pPr>
            <w:r w:rsidRPr="00FE779F">
              <w:rPr>
                <w:lang w:val="en-GB"/>
              </w:rPr>
              <w:t>£6m</w:t>
            </w:r>
          </w:p>
        </w:tc>
        <w:tc>
          <w:tcPr>
            <w:tcW w:w="0" w:type="auto"/>
            <w:hideMark/>
          </w:tcPr>
          <w:p w:rsidR="00FE779F" w:rsidRPr="00FE779F" w:rsidRDefault="00FE779F" w:rsidP="00FE779F">
            <w:pPr>
              <w:spacing w:line="240" w:lineRule="auto"/>
              <w:jc w:val="center"/>
              <w:rPr>
                <w:lang w:val="en-GB"/>
              </w:rPr>
            </w:pPr>
            <w:r w:rsidRPr="00FE779F">
              <w:rPr>
                <w:lang w:val="en-GB"/>
              </w:rPr>
              <w:t>£6m</w:t>
            </w:r>
          </w:p>
        </w:tc>
        <w:tc>
          <w:tcPr>
            <w:tcW w:w="0" w:type="auto"/>
            <w:hideMark/>
          </w:tcPr>
          <w:p w:rsidR="00FE779F" w:rsidRPr="00FE779F" w:rsidRDefault="00FE779F" w:rsidP="00FE779F">
            <w:pPr>
              <w:spacing w:line="240" w:lineRule="auto"/>
              <w:jc w:val="center"/>
              <w:rPr>
                <w:lang w:val="en-GB"/>
              </w:rPr>
            </w:pPr>
            <w:r w:rsidRPr="00FE779F">
              <w:rPr>
                <w:lang w:val="en-GB"/>
              </w:rPr>
              <w:t>£0m</w:t>
            </w:r>
          </w:p>
        </w:tc>
        <w:tc>
          <w:tcPr>
            <w:tcW w:w="0" w:type="auto"/>
            <w:hideMark/>
          </w:tcPr>
          <w:p w:rsidR="00FE779F" w:rsidRPr="00FE779F" w:rsidRDefault="00FE779F" w:rsidP="00FE779F">
            <w:pPr>
              <w:spacing w:line="240" w:lineRule="auto"/>
              <w:jc w:val="center"/>
              <w:rPr>
                <w:lang w:val="en-GB"/>
              </w:rPr>
            </w:pPr>
            <w:r w:rsidRPr="00FE779F">
              <w:rPr>
                <w:lang w:val="en-GB"/>
              </w:rPr>
              <w:t>£15m</w:t>
            </w:r>
          </w:p>
        </w:tc>
        <w:tc>
          <w:tcPr>
            <w:tcW w:w="0" w:type="auto"/>
            <w:hideMark/>
          </w:tcPr>
          <w:p w:rsidR="00FE779F" w:rsidRPr="00FE779F" w:rsidRDefault="00FE779F" w:rsidP="00FE779F">
            <w:pPr>
              <w:spacing w:line="240" w:lineRule="auto"/>
              <w:jc w:val="center"/>
              <w:rPr>
                <w:lang w:val="en-GB"/>
              </w:rPr>
            </w:pPr>
            <w:r w:rsidRPr="00FE779F">
              <w:rPr>
                <w:b/>
                <w:bCs/>
                <w:lang w:val="en-GB"/>
              </w:rPr>
              <w:t>0%</w:t>
            </w:r>
          </w:p>
        </w:tc>
      </w:tr>
      <w:tr w:rsidR="00FE779F" w:rsidRPr="00FE779F" w:rsidTr="00FE779F">
        <w:tc>
          <w:tcPr>
            <w:tcW w:w="0" w:type="auto"/>
            <w:hideMark/>
          </w:tcPr>
          <w:p w:rsidR="00FE779F" w:rsidRPr="00FE779F" w:rsidRDefault="00FE779F" w:rsidP="00FE779F">
            <w:pPr>
              <w:spacing w:line="240" w:lineRule="auto"/>
              <w:jc w:val="center"/>
              <w:rPr>
                <w:lang w:val="en-GB"/>
              </w:rPr>
            </w:pPr>
            <w:r w:rsidRPr="00FE779F">
              <w:rPr>
                <w:lang w:val="en-GB"/>
              </w:rPr>
              <w:t>C</w:t>
            </w:r>
          </w:p>
        </w:tc>
        <w:tc>
          <w:tcPr>
            <w:tcW w:w="0" w:type="auto"/>
            <w:hideMark/>
          </w:tcPr>
          <w:p w:rsidR="00FE779F" w:rsidRPr="00FE779F" w:rsidRDefault="00FE779F" w:rsidP="00FE779F">
            <w:pPr>
              <w:spacing w:line="240" w:lineRule="auto"/>
              <w:jc w:val="center"/>
              <w:rPr>
                <w:lang w:val="en-GB"/>
              </w:rPr>
            </w:pPr>
            <w:r w:rsidRPr="00FE779F">
              <w:rPr>
                <w:lang w:val="en-GB"/>
              </w:rPr>
              <w:t>£15m</w:t>
            </w:r>
          </w:p>
        </w:tc>
        <w:tc>
          <w:tcPr>
            <w:tcW w:w="0" w:type="auto"/>
            <w:hideMark/>
          </w:tcPr>
          <w:p w:rsidR="00FE779F" w:rsidRPr="00FE779F" w:rsidRDefault="00FE779F" w:rsidP="00FE779F">
            <w:pPr>
              <w:spacing w:line="240" w:lineRule="auto"/>
              <w:jc w:val="center"/>
              <w:rPr>
                <w:lang w:val="en-GB"/>
              </w:rPr>
            </w:pPr>
            <w:r w:rsidRPr="00FE779F">
              <w:rPr>
                <w:lang w:val="en-GB"/>
              </w:rPr>
              <w:t>£10m</w:t>
            </w:r>
          </w:p>
        </w:tc>
        <w:tc>
          <w:tcPr>
            <w:tcW w:w="0" w:type="auto"/>
            <w:hideMark/>
          </w:tcPr>
          <w:p w:rsidR="00FE779F" w:rsidRPr="00FE779F" w:rsidRDefault="00FE779F" w:rsidP="00FE779F">
            <w:pPr>
              <w:spacing w:line="240" w:lineRule="auto"/>
              <w:jc w:val="center"/>
              <w:rPr>
                <w:lang w:val="en-GB"/>
              </w:rPr>
            </w:pPr>
            <w:r w:rsidRPr="00FE779F">
              <w:rPr>
                <w:lang w:val="en-GB"/>
              </w:rPr>
              <w:t>£5m</w:t>
            </w:r>
          </w:p>
        </w:tc>
        <w:tc>
          <w:tcPr>
            <w:tcW w:w="0" w:type="auto"/>
            <w:hideMark/>
          </w:tcPr>
          <w:p w:rsidR="00FE779F" w:rsidRPr="00FE779F" w:rsidRDefault="00FE779F" w:rsidP="00FE779F">
            <w:pPr>
              <w:spacing w:line="240" w:lineRule="auto"/>
              <w:jc w:val="center"/>
              <w:rPr>
                <w:lang w:val="en-GB"/>
              </w:rPr>
            </w:pPr>
            <w:r w:rsidRPr="00FE779F">
              <w:rPr>
                <w:lang w:val="en-GB"/>
              </w:rPr>
              <w:t>£25m</w:t>
            </w:r>
          </w:p>
        </w:tc>
        <w:tc>
          <w:tcPr>
            <w:tcW w:w="0" w:type="auto"/>
            <w:hideMark/>
          </w:tcPr>
          <w:p w:rsidR="00FE779F" w:rsidRPr="00FE779F" w:rsidRDefault="00FE779F" w:rsidP="00FE779F">
            <w:pPr>
              <w:spacing w:line="240" w:lineRule="auto"/>
              <w:jc w:val="center"/>
              <w:rPr>
                <w:lang w:val="en-GB"/>
              </w:rPr>
            </w:pPr>
            <w:r w:rsidRPr="00FE779F">
              <w:rPr>
                <w:b/>
                <w:bCs/>
                <w:lang w:val="en-GB"/>
              </w:rPr>
              <w:t>20%</w:t>
            </w:r>
          </w:p>
        </w:tc>
      </w:tr>
    </w:tbl>
    <w:p w:rsidR="00786278" w:rsidRDefault="00786278" w:rsidP="003D47D8">
      <w:pPr>
        <w:rPr>
          <w:b/>
          <w:color w:val="4F81BD" w:themeColor="accent1"/>
          <w:sz w:val="28"/>
        </w:rPr>
      </w:pPr>
    </w:p>
    <w:p w:rsidR="00FE779F" w:rsidRDefault="00FE779F" w:rsidP="003D47D8">
      <w:pPr>
        <w:rPr>
          <w:b/>
          <w:color w:val="4F81BD" w:themeColor="accent1"/>
          <w:sz w:val="28"/>
        </w:rPr>
      </w:pPr>
      <w:r w:rsidRPr="00FE779F">
        <w:rPr>
          <w:b/>
          <w:color w:val="4F81BD" w:themeColor="accent1"/>
          <w:sz w:val="28"/>
        </w:rPr>
        <w:t>Appendix I: Investment Appraisal – NPV @10% Discount Factor</w:t>
      </w:r>
    </w:p>
    <w:p w:rsidR="00482686" w:rsidRPr="00482686" w:rsidRDefault="00482686" w:rsidP="00482686">
      <w:pPr>
        <w:rPr>
          <w:b/>
        </w:rPr>
      </w:pPr>
      <w:r w:rsidRPr="00482686">
        <w:rPr>
          <w:b/>
        </w:rPr>
        <w:t>NPV Calculations</w:t>
      </w:r>
    </w:p>
    <w:p w:rsidR="00482686" w:rsidRPr="00482686" w:rsidRDefault="00482686" w:rsidP="00482686">
      <w:pPr>
        <w:rPr>
          <w:b/>
        </w:rPr>
      </w:pPr>
      <w:r w:rsidRPr="00482686">
        <w:rPr>
          <w:b/>
        </w:rPr>
        <w:t>Project A:</w:t>
      </w:r>
    </w:p>
    <w:p w:rsidR="00482686" w:rsidRPr="00482686" w:rsidRDefault="00482686" w:rsidP="00482686">
      <w:r w:rsidRPr="00482686">
        <w:t>NPV inflows =</w:t>
      </w:r>
    </w:p>
    <w:p w:rsidR="00482686" w:rsidRPr="00482686" w:rsidRDefault="00482686" w:rsidP="00482686">
      <w:r w:rsidRPr="00482686">
        <w:t>(10×0.909)+ (12×0.826) + (14×0.751) + (10×0.683) + (8×0.621)</w:t>
      </w:r>
    </w:p>
    <w:p w:rsidR="00482686" w:rsidRPr="00482686" w:rsidRDefault="00482686" w:rsidP="00482686">
      <w:r w:rsidRPr="00482686">
        <w:t>= 9.09 + 9.91 + 10.51 + 6.83 + 4.97</w:t>
      </w:r>
    </w:p>
    <w:p w:rsidR="00482686" w:rsidRPr="00482686" w:rsidRDefault="00482686" w:rsidP="00482686">
      <w:r w:rsidRPr="00482686">
        <w:t>= £41.31m</w:t>
      </w:r>
    </w:p>
    <w:p w:rsidR="00482686" w:rsidRPr="00482686" w:rsidRDefault="00482686" w:rsidP="00482686">
      <w:r w:rsidRPr="00482686">
        <w:t xml:space="preserve">NPV = 41.31 − 40 = </w:t>
      </w:r>
      <w:r w:rsidRPr="00482686">
        <w:rPr>
          <w:b/>
        </w:rPr>
        <w:t>£1.31m</w:t>
      </w:r>
      <w:r w:rsidRPr="00482686">
        <w:t xml:space="preserve"> </w:t>
      </w:r>
    </w:p>
    <w:p w:rsidR="00482686" w:rsidRPr="00482686" w:rsidRDefault="00482686" w:rsidP="00482686">
      <w:pPr>
        <w:rPr>
          <w:b/>
        </w:rPr>
      </w:pPr>
      <w:r w:rsidRPr="00482686">
        <w:rPr>
          <w:b/>
        </w:rPr>
        <w:t>Project B:</w:t>
      </w:r>
    </w:p>
    <w:p w:rsidR="00482686" w:rsidRPr="00482686" w:rsidRDefault="00482686" w:rsidP="00482686">
      <w:r w:rsidRPr="00482686">
        <w:t>NPV inflows = (6×0.909×5 years)</w:t>
      </w:r>
    </w:p>
    <w:p w:rsidR="00482686" w:rsidRPr="00482686" w:rsidRDefault="00482686" w:rsidP="00482686">
      <w:r w:rsidRPr="00482686">
        <w:t>= 6× (0.909+0.826+0.751+0.683+0.621)</w:t>
      </w:r>
    </w:p>
    <w:p w:rsidR="00482686" w:rsidRPr="00482686" w:rsidRDefault="00482686" w:rsidP="00482686">
      <w:r w:rsidRPr="00482686">
        <w:t>=6×3.79 = £22.74m</w:t>
      </w:r>
    </w:p>
    <w:p w:rsidR="00482686" w:rsidRPr="00482686" w:rsidRDefault="00482686" w:rsidP="00482686">
      <w:r w:rsidRPr="00482686">
        <w:lastRenderedPageBreak/>
        <w:t xml:space="preserve">NPV = 22.74 − 30 = </w:t>
      </w:r>
      <w:r w:rsidRPr="00482686">
        <w:rPr>
          <w:b/>
        </w:rPr>
        <w:t>−£7.26m</w:t>
      </w:r>
      <w:r w:rsidRPr="00482686">
        <w:t xml:space="preserve"> </w:t>
      </w:r>
    </w:p>
    <w:p w:rsidR="00482686" w:rsidRPr="00482686" w:rsidRDefault="00482686" w:rsidP="00482686">
      <w:pPr>
        <w:rPr>
          <w:b/>
        </w:rPr>
      </w:pPr>
      <w:r w:rsidRPr="00482686">
        <w:rPr>
          <w:b/>
        </w:rPr>
        <w:t>Project C:</w:t>
      </w:r>
    </w:p>
    <w:p w:rsidR="00482686" w:rsidRPr="00482686" w:rsidRDefault="00482686" w:rsidP="00482686">
      <w:r w:rsidRPr="00482686">
        <w:t>NPV inflows =</w:t>
      </w:r>
    </w:p>
    <w:p w:rsidR="00482686" w:rsidRPr="00482686" w:rsidRDefault="00482686" w:rsidP="00482686">
      <w:r w:rsidRPr="00482686">
        <w:t>= (5×0.909) + (10×0.826) + (20×0.751) + (25×0.683) + (15×0.621)</w:t>
      </w:r>
    </w:p>
    <w:p w:rsidR="00482686" w:rsidRPr="00482686" w:rsidRDefault="00482686" w:rsidP="00482686">
      <w:r w:rsidRPr="00482686">
        <w:t>= 4.55 + 8.26 + 15.02 + 17.08 + 9.31</w:t>
      </w:r>
    </w:p>
    <w:p w:rsidR="00482686" w:rsidRPr="00482686" w:rsidRDefault="00482686" w:rsidP="00482686">
      <w:r w:rsidRPr="00482686">
        <w:t>= £54.22m</w:t>
      </w:r>
    </w:p>
    <w:p w:rsidR="00482686" w:rsidRDefault="00482686" w:rsidP="00482686">
      <w:pPr>
        <w:rPr>
          <w:b/>
        </w:rPr>
      </w:pPr>
      <w:r w:rsidRPr="00482686">
        <w:t xml:space="preserve">NPV = 54.22 − 50 = </w:t>
      </w:r>
      <w:r w:rsidRPr="00482686">
        <w:rPr>
          <w:b/>
        </w:rPr>
        <w:t>£4.22m</w:t>
      </w:r>
    </w:p>
    <w:p w:rsidR="00445102" w:rsidRPr="00FE779F" w:rsidRDefault="00445102" w:rsidP="00482686">
      <w:r>
        <w:rPr>
          <w:b/>
        </w:rPr>
        <w:t>Table I1: Net Present Value (NPV) Summary</w:t>
      </w:r>
    </w:p>
    <w:tbl>
      <w:tblPr>
        <w:tblStyle w:val="TableGrid"/>
        <w:tblW w:w="7297" w:type="dxa"/>
        <w:tblLook w:val="04A0" w:firstRow="1" w:lastRow="0" w:firstColumn="1" w:lastColumn="0" w:noHBand="0" w:noVBand="1"/>
      </w:tblPr>
      <w:tblGrid>
        <w:gridCol w:w="1972"/>
        <w:gridCol w:w="894"/>
        <w:gridCol w:w="1477"/>
        <w:gridCol w:w="1477"/>
        <w:gridCol w:w="1477"/>
      </w:tblGrid>
      <w:tr w:rsidR="00786278" w:rsidRPr="00FE779F" w:rsidTr="00FE779F">
        <w:trPr>
          <w:trHeight w:val="505"/>
        </w:trPr>
        <w:tc>
          <w:tcPr>
            <w:tcW w:w="0" w:type="auto"/>
            <w:hideMark/>
          </w:tcPr>
          <w:p w:rsidR="00FE779F" w:rsidRPr="00FE779F" w:rsidRDefault="00FE779F" w:rsidP="00FE779F">
            <w:pPr>
              <w:spacing w:line="240" w:lineRule="auto"/>
              <w:rPr>
                <w:b/>
                <w:bCs/>
                <w:lang w:val="en-GB"/>
              </w:rPr>
            </w:pPr>
            <w:r w:rsidRPr="00FE779F">
              <w:rPr>
                <w:b/>
                <w:bCs/>
                <w:lang w:val="en-GB"/>
              </w:rPr>
              <w:t>Year</w:t>
            </w:r>
          </w:p>
        </w:tc>
        <w:tc>
          <w:tcPr>
            <w:tcW w:w="0" w:type="auto"/>
            <w:hideMark/>
          </w:tcPr>
          <w:p w:rsidR="00FE779F" w:rsidRPr="00FE779F" w:rsidRDefault="00FE779F" w:rsidP="00FE779F">
            <w:pPr>
              <w:spacing w:line="240" w:lineRule="auto"/>
              <w:rPr>
                <w:b/>
                <w:bCs/>
                <w:lang w:val="en-GB"/>
              </w:rPr>
            </w:pPr>
            <w:r w:rsidRPr="00FE779F">
              <w:rPr>
                <w:b/>
                <w:bCs/>
                <w:lang w:val="en-GB"/>
              </w:rPr>
              <w:t>DF</w:t>
            </w:r>
          </w:p>
        </w:tc>
        <w:tc>
          <w:tcPr>
            <w:tcW w:w="0" w:type="auto"/>
            <w:hideMark/>
          </w:tcPr>
          <w:p w:rsidR="00FE779F" w:rsidRPr="00FE779F" w:rsidRDefault="00FE779F" w:rsidP="00FE779F">
            <w:pPr>
              <w:spacing w:line="240" w:lineRule="auto"/>
              <w:rPr>
                <w:b/>
                <w:bCs/>
                <w:lang w:val="en-GB"/>
              </w:rPr>
            </w:pPr>
            <w:r w:rsidRPr="00FE779F">
              <w:rPr>
                <w:b/>
                <w:bCs/>
                <w:lang w:val="en-GB"/>
              </w:rPr>
              <w:t>A PV (£m)</w:t>
            </w:r>
          </w:p>
        </w:tc>
        <w:tc>
          <w:tcPr>
            <w:tcW w:w="0" w:type="auto"/>
            <w:hideMark/>
          </w:tcPr>
          <w:p w:rsidR="00FE779F" w:rsidRPr="00FE779F" w:rsidRDefault="00FE779F" w:rsidP="00FE779F">
            <w:pPr>
              <w:spacing w:line="240" w:lineRule="auto"/>
              <w:rPr>
                <w:b/>
                <w:bCs/>
                <w:lang w:val="en-GB"/>
              </w:rPr>
            </w:pPr>
            <w:r w:rsidRPr="00FE779F">
              <w:rPr>
                <w:b/>
                <w:bCs/>
                <w:lang w:val="en-GB"/>
              </w:rPr>
              <w:t>B PV (£m)</w:t>
            </w:r>
          </w:p>
        </w:tc>
        <w:tc>
          <w:tcPr>
            <w:tcW w:w="0" w:type="auto"/>
            <w:hideMark/>
          </w:tcPr>
          <w:p w:rsidR="00FE779F" w:rsidRPr="00FE779F" w:rsidRDefault="00FE779F" w:rsidP="00FE779F">
            <w:pPr>
              <w:spacing w:line="240" w:lineRule="auto"/>
              <w:rPr>
                <w:b/>
                <w:bCs/>
                <w:lang w:val="en-GB"/>
              </w:rPr>
            </w:pPr>
            <w:r w:rsidRPr="00FE779F">
              <w:rPr>
                <w:b/>
                <w:bCs/>
                <w:lang w:val="en-GB"/>
              </w:rPr>
              <w:t>C PV (£m)</w:t>
            </w:r>
          </w:p>
        </w:tc>
      </w:tr>
      <w:tr w:rsidR="00786278" w:rsidRPr="00FE779F" w:rsidTr="00FE779F">
        <w:trPr>
          <w:trHeight w:val="516"/>
        </w:trPr>
        <w:tc>
          <w:tcPr>
            <w:tcW w:w="0" w:type="auto"/>
            <w:hideMark/>
          </w:tcPr>
          <w:p w:rsidR="00FE779F" w:rsidRPr="00FE779F" w:rsidRDefault="00FE779F" w:rsidP="00FE779F">
            <w:pPr>
              <w:spacing w:line="240" w:lineRule="auto"/>
              <w:jc w:val="center"/>
              <w:rPr>
                <w:lang w:val="en-GB"/>
              </w:rPr>
            </w:pPr>
            <w:r w:rsidRPr="00FE779F">
              <w:rPr>
                <w:lang w:val="en-GB"/>
              </w:rPr>
              <w:t>1</w:t>
            </w:r>
          </w:p>
        </w:tc>
        <w:tc>
          <w:tcPr>
            <w:tcW w:w="0" w:type="auto"/>
            <w:hideMark/>
          </w:tcPr>
          <w:p w:rsidR="00FE779F" w:rsidRPr="00FE779F" w:rsidRDefault="00FE779F" w:rsidP="00FE779F">
            <w:pPr>
              <w:spacing w:line="240" w:lineRule="auto"/>
              <w:jc w:val="center"/>
              <w:rPr>
                <w:lang w:val="en-GB"/>
              </w:rPr>
            </w:pPr>
            <w:r w:rsidRPr="00FE779F">
              <w:rPr>
                <w:lang w:val="en-GB"/>
              </w:rPr>
              <w:t>0.909</w:t>
            </w:r>
          </w:p>
        </w:tc>
        <w:tc>
          <w:tcPr>
            <w:tcW w:w="0" w:type="auto"/>
            <w:hideMark/>
          </w:tcPr>
          <w:p w:rsidR="00FE779F" w:rsidRPr="00FE779F" w:rsidRDefault="00FE779F" w:rsidP="00FE779F">
            <w:pPr>
              <w:spacing w:line="240" w:lineRule="auto"/>
              <w:jc w:val="center"/>
              <w:rPr>
                <w:lang w:val="en-GB"/>
              </w:rPr>
            </w:pPr>
            <w:r w:rsidRPr="00FE779F">
              <w:rPr>
                <w:lang w:val="en-GB"/>
              </w:rPr>
              <w:t>9.09</w:t>
            </w:r>
          </w:p>
        </w:tc>
        <w:tc>
          <w:tcPr>
            <w:tcW w:w="0" w:type="auto"/>
            <w:hideMark/>
          </w:tcPr>
          <w:p w:rsidR="00FE779F" w:rsidRPr="00FE779F" w:rsidRDefault="00FE779F" w:rsidP="00FE779F">
            <w:pPr>
              <w:spacing w:line="240" w:lineRule="auto"/>
              <w:jc w:val="center"/>
              <w:rPr>
                <w:lang w:val="en-GB"/>
              </w:rPr>
            </w:pPr>
            <w:r w:rsidRPr="00FE779F">
              <w:rPr>
                <w:lang w:val="en-GB"/>
              </w:rPr>
              <w:t>5.45</w:t>
            </w:r>
          </w:p>
        </w:tc>
        <w:tc>
          <w:tcPr>
            <w:tcW w:w="0" w:type="auto"/>
            <w:hideMark/>
          </w:tcPr>
          <w:p w:rsidR="00FE779F" w:rsidRPr="00FE779F" w:rsidRDefault="00FE779F" w:rsidP="00FE779F">
            <w:pPr>
              <w:spacing w:line="240" w:lineRule="auto"/>
              <w:jc w:val="center"/>
              <w:rPr>
                <w:lang w:val="en-GB"/>
              </w:rPr>
            </w:pPr>
            <w:r w:rsidRPr="00FE779F">
              <w:rPr>
                <w:lang w:val="en-GB"/>
              </w:rPr>
              <w:t>4.55</w:t>
            </w:r>
          </w:p>
        </w:tc>
      </w:tr>
      <w:tr w:rsidR="00786278" w:rsidRPr="00FE779F" w:rsidTr="00FE779F">
        <w:trPr>
          <w:trHeight w:val="505"/>
        </w:trPr>
        <w:tc>
          <w:tcPr>
            <w:tcW w:w="0" w:type="auto"/>
            <w:hideMark/>
          </w:tcPr>
          <w:p w:rsidR="00FE779F" w:rsidRPr="00FE779F" w:rsidRDefault="00FE779F" w:rsidP="00FE779F">
            <w:pPr>
              <w:spacing w:line="240" w:lineRule="auto"/>
              <w:jc w:val="center"/>
              <w:rPr>
                <w:lang w:val="en-GB"/>
              </w:rPr>
            </w:pPr>
            <w:r w:rsidRPr="00FE779F">
              <w:rPr>
                <w:lang w:val="en-GB"/>
              </w:rPr>
              <w:t>2</w:t>
            </w:r>
          </w:p>
        </w:tc>
        <w:tc>
          <w:tcPr>
            <w:tcW w:w="0" w:type="auto"/>
            <w:hideMark/>
          </w:tcPr>
          <w:p w:rsidR="00FE779F" w:rsidRPr="00FE779F" w:rsidRDefault="00FE779F" w:rsidP="00FE779F">
            <w:pPr>
              <w:spacing w:line="240" w:lineRule="auto"/>
              <w:jc w:val="center"/>
              <w:rPr>
                <w:lang w:val="en-GB"/>
              </w:rPr>
            </w:pPr>
            <w:r w:rsidRPr="00FE779F">
              <w:rPr>
                <w:lang w:val="en-GB"/>
              </w:rPr>
              <w:t>0.826</w:t>
            </w:r>
          </w:p>
        </w:tc>
        <w:tc>
          <w:tcPr>
            <w:tcW w:w="0" w:type="auto"/>
            <w:hideMark/>
          </w:tcPr>
          <w:p w:rsidR="00FE779F" w:rsidRPr="00FE779F" w:rsidRDefault="00FE779F" w:rsidP="00FE779F">
            <w:pPr>
              <w:spacing w:line="240" w:lineRule="auto"/>
              <w:jc w:val="center"/>
              <w:rPr>
                <w:lang w:val="en-GB"/>
              </w:rPr>
            </w:pPr>
            <w:r w:rsidRPr="00FE779F">
              <w:rPr>
                <w:lang w:val="en-GB"/>
              </w:rPr>
              <w:t>9.91</w:t>
            </w:r>
          </w:p>
        </w:tc>
        <w:tc>
          <w:tcPr>
            <w:tcW w:w="0" w:type="auto"/>
            <w:hideMark/>
          </w:tcPr>
          <w:p w:rsidR="00FE779F" w:rsidRPr="00FE779F" w:rsidRDefault="00FE779F" w:rsidP="00FE779F">
            <w:pPr>
              <w:spacing w:line="240" w:lineRule="auto"/>
              <w:jc w:val="center"/>
              <w:rPr>
                <w:lang w:val="en-GB"/>
              </w:rPr>
            </w:pPr>
            <w:r w:rsidRPr="00FE779F">
              <w:rPr>
                <w:lang w:val="en-GB"/>
              </w:rPr>
              <w:t>4.96</w:t>
            </w:r>
          </w:p>
        </w:tc>
        <w:tc>
          <w:tcPr>
            <w:tcW w:w="0" w:type="auto"/>
            <w:hideMark/>
          </w:tcPr>
          <w:p w:rsidR="00FE779F" w:rsidRPr="00FE779F" w:rsidRDefault="00FE779F" w:rsidP="00FE779F">
            <w:pPr>
              <w:spacing w:line="240" w:lineRule="auto"/>
              <w:jc w:val="center"/>
              <w:rPr>
                <w:lang w:val="en-GB"/>
              </w:rPr>
            </w:pPr>
            <w:r w:rsidRPr="00FE779F">
              <w:rPr>
                <w:lang w:val="en-GB"/>
              </w:rPr>
              <w:t>8.26</w:t>
            </w:r>
          </w:p>
        </w:tc>
      </w:tr>
      <w:tr w:rsidR="00786278" w:rsidRPr="00FE779F" w:rsidTr="00FE779F">
        <w:trPr>
          <w:trHeight w:val="516"/>
        </w:trPr>
        <w:tc>
          <w:tcPr>
            <w:tcW w:w="0" w:type="auto"/>
            <w:hideMark/>
          </w:tcPr>
          <w:p w:rsidR="00FE779F" w:rsidRPr="00FE779F" w:rsidRDefault="00FE779F" w:rsidP="00FE779F">
            <w:pPr>
              <w:spacing w:line="240" w:lineRule="auto"/>
              <w:jc w:val="center"/>
              <w:rPr>
                <w:lang w:val="en-GB"/>
              </w:rPr>
            </w:pPr>
            <w:r w:rsidRPr="00FE779F">
              <w:rPr>
                <w:lang w:val="en-GB"/>
              </w:rPr>
              <w:t>3</w:t>
            </w:r>
          </w:p>
        </w:tc>
        <w:tc>
          <w:tcPr>
            <w:tcW w:w="0" w:type="auto"/>
            <w:hideMark/>
          </w:tcPr>
          <w:p w:rsidR="00FE779F" w:rsidRPr="00FE779F" w:rsidRDefault="00FE779F" w:rsidP="00FE779F">
            <w:pPr>
              <w:spacing w:line="240" w:lineRule="auto"/>
              <w:jc w:val="center"/>
              <w:rPr>
                <w:lang w:val="en-GB"/>
              </w:rPr>
            </w:pPr>
            <w:r w:rsidRPr="00FE779F">
              <w:rPr>
                <w:lang w:val="en-GB"/>
              </w:rPr>
              <w:t>0.751</w:t>
            </w:r>
          </w:p>
        </w:tc>
        <w:tc>
          <w:tcPr>
            <w:tcW w:w="0" w:type="auto"/>
            <w:hideMark/>
          </w:tcPr>
          <w:p w:rsidR="00FE779F" w:rsidRPr="00FE779F" w:rsidRDefault="00FE779F" w:rsidP="00FE779F">
            <w:pPr>
              <w:spacing w:line="240" w:lineRule="auto"/>
              <w:jc w:val="center"/>
              <w:rPr>
                <w:lang w:val="en-GB"/>
              </w:rPr>
            </w:pPr>
            <w:r w:rsidRPr="00FE779F">
              <w:rPr>
                <w:lang w:val="en-GB"/>
              </w:rPr>
              <w:t>10.51</w:t>
            </w:r>
          </w:p>
        </w:tc>
        <w:tc>
          <w:tcPr>
            <w:tcW w:w="0" w:type="auto"/>
            <w:hideMark/>
          </w:tcPr>
          <w:p w:rsidR="00FE779F" w:rsidRPr="00FE779F" w:rsidRDefault="00FE779F" w:rsidP="00FE779F">
            <w:pPr>
              <w:spacing w:line="240" w:lineRule="auto"/>
              <w:jc w:val="center"/>
              <w:rPr>
                <w:lang w:val="en-GB"/>
              </w:rPr>
            </w:pPr>
            <w:r w:rsidRPr="00FE779F">
              <w:rPr>
                <w:lang w:val="en-GB"/>
              </w:rPr>
              <w:t>4.51</w:t>
            </w:r>
          </w:p>
        </w:tc>
        <w:tc>
          <w:tcPr>
            <w:tcW w:w="0" w:type="auto"/>
            <w:hideMark/>
          </w:tcPr>
          <w:p w:rsidR="00FE779F" w:rsidRPr="00FE779F" w:rsidRDefault="00FE779F" w:rsidP="00FE779F">
            <w:pPr>
              <w:spacing w:line="240" w:lineRule="auto"/>
              <w:jc w:val="center"/>
              <w:rPr>
                <w:lang w:val="en-GB"/>
              </w:rPr>
            </w:pPr>
            <w:r w:rsidRPr="00FE779F">
              <w:rPr>
                <w:lang w:val="en-GB"/>
              </w:rPr>
              <w:t>15.02</w:t>
            </w:r>
          </w:p>
        </w:tc>
      </w:tr>
      <w:tr w:rsidR="00786278" w:rsidRPr="00FE779F" w:rsidTr="00FE779F">
        <w:trPr>
          <w:trHeight w:val="505"/>
        </w:trPr>
        <w:tc>
          <w:tcPr>
            <w:tcW w:w="0" w:type="auto"/>
            <w:hideMark/>
          </w:tcPr>
          <w:p w:rsidR="00FE779F" w:rsidRPr="00FE779F" w:rsidRDefault="00FE779F" w:rsidP="00FE779F">
            <w:pPr>
              <w:spacing w:line="240" w:lineRule="auto"/>
              <w:jc w:val="center"/>
              <w:rPr>
                <w:lang w:val="en-GB"/>
              </w:rPr>
            </w:pPr>
            <w:r w:rsidRPr="00FE779F">
              <w:rPr>
                <w:lang w:val="en-GB"/>
              </w:rPr>
              <w:t>4</w:t>
            </w:r>
          </w:p>
        </w:tc>
        <w:tc>
          <w:tcPr>
            <w:tcW w:w="0" w:type="auto"/>
            <w:hideMark/>
          </w:tcPr>
          <w:p w:rsidR="00FE779F" w:rsidRPr="00FE779F" w:rsidRDefault="00FE779F" w:rsidP="00FE779F">
            <w:pPr>
              <w:spacing w:line="240" w:lineRule="auto"/>
              <w:jc w:val="center"/>
              <w:rPr>
                <w:lang w:val="en-GB"/>
              </w:rPr>
            </w:pPr>
            <w:r w:rsidRPr="00FE779F">
              <w:rPr>
                <w:lang w:val="en-GB"/>
              </w:rPr>
              <w:t>0.683</w:t>
            </w:r>
          </w:p>
        </w:tc>
        <w:tc>
          <w:tcPr>
            <w:tcW w:w="0" w:type="auto"/>
            <w:hideMark/>
          </w:tcPr>
          <w:p w:rsidR="00FE779F" w:rsidRPr="00FE779F" w:rsidRDefault="00FE779F" w:rsidP="00FE779F">
            <w:pPr>
              <w:spacing w:line="240" w:lineRule="auto"/>
              <w:jc w:val="center"/>
              <w:rPr>
                <w:lang w:val="en-GB"/>
              </w:rPr>
            </w:pPr>
            <w:r w:rsidRPr="00FE779F">
              <w:rPr>
                <w:lang w:val="en-GB"/>
              </w:rPr>
              <w:t>6.83</w:t>
            </w:r>
          </w:p>
        </w:tc>
        <w:tc>
          <w:tcPr>
            <w:tcW w:w="0" w:type="auto"/>
            <w:hideMark/>
          </w:tcPr>
          <w:p w:rsidR="00FE779F" w:rsidRPr="00FE779F" w:rsidRDefault="00FE779F" w:rsidP="00FE779F">
            <w:pPr>
              <w:spacing w:line="240" w:lineRule="auto"/>
              <w:jc w:val="center"/>
              <w:rPr>
                <w:lang w:val="en-GB"/>
              </w:rPr>
            </w:pPr>
            <w:r w:rsidRPr="00FE779F">
              <w:rPr>
                <w:lang w:val="en-GB"/>
              </w:rPr>
              <w:t>4.10</w:t>
            </w:r>
          </w:p>
        </w:tc>
        <w:tc>
          <w:tcPr>
            <w:tcW w:w="0" w:type="auto"/>
            <w:hideMark/>
          </w:tcPr>
          <w:p w:rsidR="00FE779F" w:rsidRPr="00FE779F" w:rsidRDefault="00FE779F" w:rsidP="00FE779F">
            <w:pPr>
              <w:spacing w:line="240" w:lineRule="auto"/>
              <w:jc w:val="center"/>
              <w:rPr>
                <w:lang w:val="en-GB"/>
              </w:rPr>
            </w:pPr>
            <w:r w:rsidRPr="00FE779F">
              <w:rPr>
                <w:lang w:val="en-GB"/>
              </w:rPr>
              <w:t>17.08</w:t>
            </w:r>
          </w:p>
        </w:tc>
      </w:tr>
      <w:tr w:rsidR="00786278" w:rsidRPr="00FE779F" w:rsidTr="00FE779F">
        <w:trPr>
          <w:trHeight w:val="505"/>
        </w:trPr>
        <w:tc>
          <w:tcPr>
            <w:tcW w:w="0" w:type="auto"/>
            <w:hideMark/>
          </w:tcPr>
          <w:p w:rsidR="00FE779F" w:rsidRPr="00FE779F" w:rsidRDefault="00FE779F" w:rsidP="00FE779F">
            <w:pPr>
              <w:spacing w:line="240" w:lineRule="auto"/>
              <w:jc w:val="center"/>
              <w:rPr>
                <w:lang w:val="en-GB"/>
              </w:rPr>
            </w:pPr>
            <w:r w:rsidRPr="00FE779F">
              <w:rPr>
                <w:lang w:val="en-GB"/>
              </w:rPr>
              <w:t>5</w:t>
            </w:r>
          </w:p>
        </w:tc>
        <w:tc>
          <w:tcPr>
            <w:tcW w:w="0" w:type="auto"/>
            <w:hideMark/>
          </w:tcPr>
          <w:p w:rsidR="00FE779F" w:rsidRPr="00FE779F" w:rsidRDefault="00FE779F" w:rsidP="00FE779F">
            <w:pPr>
              <w:spacing w:line="240" w:lineRule="auto"/>
              <w:jc w:val="center"/>
              <w:rPr>
                <w:lang w:val="en-GB"/>
              </w:rPr>
            </w:pPr>
            <w:r w:rsidRPr="00FE779F">
              <w:rPr>
                <w:lang w:val="en-GB"/>
              </w:rPr>
              <w:t>0.621</w:t>
            </w:r>
          </w:p>
        </w:tc>
        <w:tc>
          <w:tcPr>
            <w:tcW w:w="0" w:type="auto"/>
            <w:hideMark/>
          </w:tcPr>
          <w:p w:rsidR="00FE779F" w:rsidRPr="00FE779F" w:rsidRDefault="00FE779F" w:rsidP="00FE779F">
            <w:pPr>
              <w:spacing w:line="240" w:lineRule="auto"/>
              <w:jc w:val="center"/>
              <w:rPr>
                <w:lang w:val="en-GB"/>
              </w:rPr>
            </w:pPr>
            <w:r w:rsidRPr="00FE779F">
              <w:rPr>
                <w:lang w:val="en-GB"/>
              </w:rPr>
              <w:t>4.97</w:t>
            </w:r>
          </w:p>
        </w:tc>
        <w:tc>
          <w:tcPr>
            <w:tcW w:w="0" w:type="auto"/>
            <w:hideMark/>
          </w:tcPr>
          <w:p w:rsidR="00FE779F" w:rsidRPr="00FE779F" w:rsidRDefault="00FE779F" w:rsidP="00FE779F">
            <w:pPr>
              <w:spacing w:line="240" w:lineRule="auto"/>
              <w:jc w:val="center"/>
              <w:rPr>
                <w:lang w:val="en-GB"/>
              </w:rPr>
            </w:pPr>
            <w:r w:rsidRPr="00FE779F">
              <w:rPr>
                <w:lang w:val="en-GB"/>
              </w:rPr>
              <w:t>3.73</w:t>
            </w:r>
          </w:p>
        </w:tc>
        <w:tc>
          <w:tcPr>
            <w:tcW w:w="0" w:type="auto"/>
            <w:hideMark/>
          </w:tcPr>
          <w:p w:rsidR="00FE779F" w:rsidRPr="00FE779F" w:rsidRDefault="00FE779F" w:rsidP="00FE779F">
            <w:pPr>
              <w:spacing w:line="240" w:lineRule="auto"/>
              <w:jc w:val="center"/>
              <w:rPr>
                <w:lang w:val="en-GB"/>
              </w:rPr>
            </w:pPr>
            <w:r w:rsidRPr="00FE779F">
              <w:rPr>
                <w:lang w:val="en-GB"/>
              </w:rPr>
              <w:t>9.31</w:t>
            </w:r>
          </w:p>
        </w:tc>
      </w:tr>
      <w:tr w:rsidR="00786278" w:rsidRPr="00FE779F" w:rsidTr="00FE779F">
        <w:trPr>
          <w:trHeight w:val="505"/>
        </w:trPr>
        <w:tc>
          <w:tcPr>
            <w:tcW w:w="0" w:type="auto"/>
            <w:hideMark/>
          </w:tcPr>
          <w:p w:rsidR="00FE779F" w:rsidRPr="00FE779F" w:rsidRDefault="00FE779F" w:rsidP="00FE779F">
            <w:pPr>
              <w:spacing w:line="240" w:lineRule="auto"/>
              <w:jc w:val="center"/>
              <w:rPr>
                <w:lang w:val="en-GB"/>
              </w:rPr>
            </w:pPr>
            <w:r w:rsidRPr="00FE779F">
              <w:rPr>
                <w:b/>
                <w:bCs/>
                <w:lang w:val="en-GB"/>
              </w:rPr>
              <w:t>PV Total</w:t>
            </w:r>
          </w:p>
        </w:tc>
        <w:tc>
          <w:tcPr>
            <w:tcW w:w="0" w:type="auto"/>
            <w:hideMark/>
          </w:tcPr>
          <w:p w:rsidR="00FE779F" w:rsidRPr="00FE779F" w:rsidRDefault="00FE779F" w:rsidP="00FE779F">
            <w:pPr>
              <w:spacing w:line="240" w:lineRule="auto"/>
              <w:jc w:val="center"/>
              <w:rPr>
                <w:lang w:val="en-GB"/>
              </w:rPr>
            </w:pPr>
          </w:p>
        </w:tc>
        <w:tc>
          <w:tcPr>
            <w:tcW w:w="0" w:type="auto"/>
            <w:hideMark/>
          </w:tcPr>
          <w:p w:rsidR="00FE779F" w:rsidRPr="00FE779F" w:rsidRDefault="00FE779F" w:rsidP="00FE779F">
            <w:pPr>
              <w:spacing w:line="240" w:lineRule="auto"/>
              <w:jc w:val="center"/>
              <w:rPr>
                <w:lang w:val="en-GB"/>
              </w:rPr>
            </w:pPr>
            <w:r w:rsidRPr="00FE779F">
              <w:rPr>
                <w:b/>
                <w:bCs/>
                <w:lang w:val="en-GB"/>
              </w:rPr>
              <w:t>41.31</w:t>
            </w:r>
          </w:p>
        </w:tc>
        <w:tc>
          <w:tcPr>
            <w:tcW w:w="0" w:type="auto"/>
            <w:hideMark/>
          </w:tcPr>
          <w:p w:rsidR="00FE779F" w:rsidRPr="00FE779F" w:rsidRDefault="00FE779F" w:rsidP="00FE779F">
            <w:pPr>
              <w:spacing w:line="240" w:lineRule="auto"/>
              <w:jc w:val="center"/>
              <w:rPr>
                <w:lang w:val="en-GB"/>
              </w:rPr>
            </w:pPr>
            <w:r w:rsidRPr="00FE779F">
              <w:rPr>
                <w:b/>
                <w:bCs/>
                <w:lang w:val="en-GB"/>
              </w:rPr>
              <w:t>22.74</w:t>
            </w:r>
          </w:p>
        </w:tc>
        <w:tc>
          <w:tcPr>
            <w:tcW w:w="0" w:type="auto"/>
            <w:hideMark/>
          </w:tcPr>
          <w:p w:rsidR="00FE779F" w:rsidRPr="00FE779F" w:rsidRDefault="00FE779F" w:rsidP="00FE779F">
            <w:pPr>
              <w:spacing w:line="240" w:lineRule="auto"/>
              <w:jc w:val="center"/>
              <w:rPr>
                <w:lang w:val="en-GB"/>
              </w:rPr>
            </w:pPr>
            <w:r w:rsidRPr="00FE779F">
              <w:rPr>
                <w:b/>
                <w:bCs/>
                <w:lang w:val="en-GB"/>
              </w:rPr>
              <w:t>54.22</w:t>
            </w:r>
          </w:p>
        </w:tc>
      </w:tr>
      <w:tr w:rsidR="00786278" w:rsidRPr="00FE779F" w:rsidTr="00FE779F">
        <w:trPr>
          <w:trHeight w:val="516"/>
        </w:trPr>
        <w:tc>
          <w:tcPr>
            <w:tcW w:w="0" w:type="auto"/>
            <w:hideMark/>
          </w:tcPr>
          <w:p w:rsidR="00786278" w:rsidRPr="00786278" w:rsidRDefault="00786278" w:rsidP="00786278">
            <w:pPr>
              <w:spacing w:line="240" w:lineRule="auto"/>
              <w:jc w:val="center"/>
              <w:rPr>
                <w:b/>
                <w:bCs/>
                <w:lang w:val="en-GB"/>
              </w:rPr>
            </w:pPr>
            <w:r>
              <w:rPr>
                <w:b/>
                <w:bCs/>
                <w:lang w:val="en-GB"/>
              </w:rPr>
              <w:t>Initial Outflow</w:t>
            </w:r>
          </w:p>
        </w:tc>
        <w:tc>
          <w:tcPr>
            <w:tcW w:w="0" w:type="auto"/>
            <w:hideMark/>
          </w:tcPr>
          <w:p w:rsidR="00FE779F" w:rsidRPr="00FE779F" w:rsidRDefault="00FE779F" w:rsidP="00FE779F">
            <w:pPr>
              <w:spacing w:line="240" w:lineRule="auto"/>
              <w:jc w:val="center"/>
              <w:rPr>
                <w:lang w:val="en-GB"/>
              </w:rPr>
            </w:pPr>
          </w:p>
        </w:tc>
        <w:tc>
          <w:tcPr>
            <w:tcW w:w="0" w:type="auto"/>
            <w:hideMark/>
          </w:tcPr>
          <w:p w:rsidR="00FE779F" w:rsidRPr="00FE779F" w:rsidRDefault="00FE779F" w:rsidP="00FE779F">
            <w:pPr>
              <w:spacing w:line="240" w:lineRule="auto"/>
              <w:jc w:val="center"/>
              <w:rPr>
                <w:lang w:val="en-GB"/>
              </w:rPr>
            </w:pPr>
            <w:r w:rsidRPr="00FE779F">
              <w:rPr>
                <w:lang w:val="en-GB"/>
              </w:rPr>
              <w:t>(40)</w:t>
            </w:r>
          </w:p>
        </w:tc>
        <w:tc>
          <w:tcPr>
            <w:tcW w:w="0" w:type="auto"/>
            <w:hideMark/>
          </w:tcPr>
          <w:p w:rsidR="00FE779F" w:rsidRPr="00FE779F" w:rsidRDefault="00FE779F" w:rsidP="00FE779F">
            <w:pPr>
              <w:spacing w:line="240" w:lineRule="auto"/>
              <w:jc w:val="center"/>
              <w:rPr>
                <w:lang w:val="en-GB"/>
              </w:rPr>
            </w:pPr>
            <w:r w:rsidRPr="00FE779F">
              <w:rPr>
                <w:lang w:val="en-GB"/>
              </w:rPr>
              <w:t>(30)</w:t>
            </w:r>
          </w:p>
        </w:tc>
        <w:tc>
          <w:tcPr>
            <w:tcW w:w="0" w:type="auto"/>
            <w:hideMark/>
          </w:tcPr>
          <w:p w:rsidR="00FE779F" w:rsidRPr="00FE779F" w:rsidRDefault="00FE779F" w:rsidP="00FE779F">
            <w:pPr>
              <w:spacing w:line="240" w:lineRule="auto"/>
              <w:jc w:val="center"/>
              <w:rPr>
                <w:lang w:val="en-GB"/>
              </w:rPr>
            </w:pPr>
            <w:r w:rsidRPr="00FE779F">
              <w:rPr>
                <w:lang w:val="en-GB"/>
              </w:rPr>
              <w:t>(50)</w:t>
            </w:r>
          </w:p>
        </w:tc>
      </w:tr>
      <w:tr w:rsidR="00786278" w:rsidRPr="00FE779F" w:rsidTr="00FE779F">
        <w:trPr>
          <w:trHeight w:val="505"/>
        </w:trPr>
        <w:tc>
          <w:tcPr>
            <w:tcW w:w="0" w:type="auto"/>
            <w:hideMark/>
          </w:tcPr>
          <w:p w:rsidR="00FE779F" w:rsidRPr="00FE779F" w:rsidRDefault="00FE779F" w:rsidP="00FE779F">
            <w:pPr>
              <w:spacing w:line="240" w:lineRule="auto"/>
              <w:jc w:val="center"/>
              <w:rPr>
                <w:lang w:val="en-GB"/>
              </w:rPr>
            </w:pPr>
            <w:r w:rsidRPr="00FE779F">
              <w:rPr>
                <w:b/>
                <w:bCs/>
                <w:lang w:val="en-GB"/>
              </w:rPr>
              <w:t>NPV</w:t>
            </w:r>
          </w:p>
        </w:tc>
        <w:tc>
          <w:tcPr>
            <w:tcW w:w="0" w:type="auto"/>
            <w:hideMark/>
          </w:tcPr>
          <w:p w:rsidR="00FE779F" w:rsidRPr="00FE779F" w:rsidRDefault="00FE779F" w:rsidP="00FE779F">
            <w:pPr>
              <w:spacing w:line="240" w:lineRule="auto"/>
              <w:jc w:val="center"/>
              <w:rPr>
                <w:lang w:val="en-GB"/>
              </w:rPr>
            </w:pPr>
          </w:p>
        </w:tc>
        <w:tc>
          <w:tcPr>
            <w:tcW w:w="0" w:type="auto"/>
            <w:hideMark/>
          </w:tcPr>
          <w:p w:rsidR="00FE779F" w:rsidRPr="00FE779F" w:rsidRDefault="00FE779F" w:rsidP="00FE779F">
            <w:pPr>
              <w:spacing w:line="240" w:lineRule="auto"/>
              <w:jc w:val="center"/>
              <w:rPr>
                <w:lang w:val="en-GB"/>
              </w:rPr>
            </w:pPr>
            <w:r w:rsidRPr="00FE779F">
              <w:rPr>
                <w:b/>
                <w:bCs/>
                <w:lang w:val="en-GB"/>
              </w:rPr>
              <w:t>£1.31m</w:t>
            </w:r>
          </w:p>
        </w:tc>
        <w:tc>
          <w:tcPr>
            <w:tcW w:w="0" w:type="auto"/>
            <w:hideMark/>
          </w:tcPr>
          <w:p w:rsidR="00FE779F" w:rsidRPr="00FE779F" w:rsidRDefault="00FE779F" w:rsidP="00FE779F">
            <w:pPr>
              <w:spacing w:line="240" w:lineRule="auto"/>
              <w:jc w:val="center"/>
              <w:rPr>
                <w:lang w:val="en-GB"/>
              </w:rPr>
            </w:pPr>
            <w:r w:rsidRPr="00FE779F">
              <w:rPr>
                <w:b/>
                <w:bCs/>
                <w:lang w:val="en-GB"/>
              </w:rPr>
              <w:t>–£7.26m</w:t>
            </w:r>
          </w:p>
        </w:tc>
        <w:tc>
          <w:tcPr>
            <w:tcW w:w="0" w:type="auto"/>
            <w:hideMark/>
          </w:tcPr>
          <w:p w:rsidR="00FE779F" w:rsidRPr="00FE779F" w:rsidRDefault="00FE779F" w:rsidP="00FE779F">
            <w:pPr>
              <w:spacing w:line="240" w:lineRule="auto"/>
              <w:jc w:val="center"/>
              <w:rPr>
                <w:lang w:val="en-GB"/>
              </w:rPr>
            </w:pPr>
            <w:r w:rsidRPr="00FE779F">
              <w:rPr>
                <w:b/>
                <w:bCs/>
                <w:lang w:val="en-GB"/>
              </w:rPr>
              <w:t>£4.22m</w:t>
            </w:r>
          </w:p>
        </w:tc>
      </w:tr>
    </w:tbl>
    <w:p w:rsidR="00FE779F" w:rsidRDefault="00FE779F" w:rsidP="003D47D8"/>
    <w:p w:rsidR="00FE779F" w:rsidRDefault="00FE779F" w:rsidP="003D47D8">
      <w:pPr>
        <w:rPr>
          <w:b/>
          <w:color w:val="4F81BD" w:themeColor="accent1"/>
          <w:sz w:val="28"/>
        </w:rPr>
      </w:pPr>
      <w:r w:rsidRPr="00FE779F">
        <w:rPr>
          <w:b/>
          <w:color w:val="4F81BD" w:themeColor="accent1"/>
          <w:sz w:val="28"/>
        </w:rPr>
        <w:t>Appendix J: Investment Appraisal – Profitability Index (PI)</w:t>
      </w:r>
    </w:p>
    <w:p w:rsidR="00482686" w:rsidRPr="00482686" w:rsidRDefault="00482686" w:rsidP="00482686">
      <w:r w:rsidRPr="00482686">
        <w:t>PI = PV inflows ÷ initial investment (Ross et al., 2022).</w:t>
      </w:r>
    </w:p>
    <w:p w:rsidR="00482686" w:rsidRPr="00482686" w:rsidRDefault="00482686" w:rsidP="00482686">
      <w:r w:rsidRPr="00482686">
        <w:t>Project A: 41.31/40 = 1.03</w:t>
      </w:r>
    </w:p>
    <w:p w:rsidR="00482686" w:rsidRPr="00482686" w:rsidRDefault="00482686" w:rsidP="00482686">
      <w:r w:rsidRPr="00482686">
        <w:t>Project B: 22.74/30 = 0.76</w:t>
      </w:r>
    </w:p>
    <w:p w:rsidR="00482686" w:rsidRDefault="00482686" w:rsidP="00482686">
      <w:r w:rsidRPr="00482686">
        <w:t>Project C: 54.22/50 = 1.08</w:t>
      </w:r>
    </w:p>
    <w:p w:rsidR="00267FC6" w:rsidRDefault="00267FC6" w:rsidP="00482686"/>
    <w:p w:rsidR="00445102" w:rsidRPr="00445102" w:rsidRDefault="00445102" w:rsidP="00482686">
      <w:pPr>
        <w:rPr>
          <w:b/>
        </w:rPr>
      </w:pPr>
      <w:r w:rsidRPr="00445102">
        <w:rPr>
          <w:b/>
        </w:rPr>
        <w:lastRenderedPageBreak/>
        <w:t>Table J1: Profitability Index (PI) Summary</w:t>
      </w:r>
    </w:p>
    <w:tbl>
      <w:tblPr>
        <w:tblStyle w:val="TableGrid"/>
        <w:tblW w:w="0" w:type="auto"/>
        <w:tblLook w:val="04A0" w:firstRow="1" w:lastRow="0" w:firstColumn="1" w:lastColumn="0" w:noHBand="0" w:noVBand="1"/>
      </w:tblPr>
      <w:tblGrid>
        <w:gridCol w:w="1030"/>
        <w:gridCol w:w="2003"/>
        <w:gridCol w:w="1417"/>
        <w:gridCol w:w="684"/>
      </w:tblGrid>
      <w:tr w:rsidR="00FE779F" w:rsidRPr="00FE779F" w:rsidTr="00FE779F">
        <w:tc>
          <w:tcPr>
            <w:tcW w:w="0" w:type="auto"/>
            <w:hideMark/>
          </w:tcPr>
          <w:p w:rsidR="00FE779F" w:rsidRPr="00FE779F" w:rsidRDefault="00FE779F" w:rsidP="00FE779F">
            <w:pPr>
              <w:spacing w:line="240" w:lineRule="auto"/>
              <w:rPr>
                <w:b/>
                <w:bCs/>
                <w:lang w:val="en-GB"/>
              </w:rPr>
            </w:pPr>
            <w:r w:rsidRPr="00FE779F">
              <w:rPr>
                <w:b/>
                <w:bCs/>
                <w:lang w:val="en-GB"/>
              </w:rPr>
              <w:t>Project</w:t>
            </w:r>
          </w:p>
        </w:tc>
        <w:tc>
          <w:tcPr>
            <w:tcW w:w="0" w:type="auto"/>
            <w:hideMark/>
          </w:tcPr>
          <w:p w:rsidR="00FE779F" w:rsidRPr="00FE779F" w:rsidRDefault="00FE779F" w:rsidP="00FE779F">
            <w:pPr>
              <w:spacing w:line="240" w:lineRule="auto"/>
              <w:rPr>
                <w:b/>
                <w:bCs/>
                <w:lang w:val="en-GB"/>
              </w:rPr>
            </w:pPr>
            <w:r w:rsidRPr="00FE779F">
              <w:rPr>
                <w:b/>
                <w:bCs/>
                <w:lang w:val="en-GB"/>
              </w:rPr>
              <w:t>PV Inflows (£m)</w:t>
            </w:r>
          </w:p>
        </w:tc>
        <w:tc>
          <w:tcPr>
            <w:tcW w:w="0" w:type="auto"/>
            <w:hideMark/>
          </w:tcPr>
          <w:p w:rsidR="00FE779F" w:rsidRPr="00FE779F" w:rsidRDefault="00FE779F" w:rsidP="00FE779F">
            <w:pPr>
              <w:spacing w:line="240" w:lineRule="auto"/>
              <w:rPr>
                <w:b/>
                <w:bCs/>
                <w:lang w:val="en-GB"/>
              </w:rPr>
            </w:pPr>
            <w:r w:rsidRPr="00FE779F">
              <w:rPr>
                <w:b/>
                <w:bCs/>
                <w:lang w:val="en-GB"/>
              </w:rPr>
              <w:t>Initial (£m)</w:t>
            </w:r>
          </w:p>
        </w:tc>
        <w:tc>
          <w:tcPr>
            <w:tcW w:w="0" w:type="auto"/>
            <w:hideMark/>
          </w:tcPr>
          <w:p w:rsidR="00FE779F" w:rsidRPr="00FE779F" w:rsidRDefault="00FE779F" w:rsidP="00FE779F">
            <w:pPr>
              <w:spacing w:line="240" w:lineRule="auto"/>
              <w:rPr>
                <w:b/>
                <w:bCs/>
                <w:lang w:val="en-GB"/>
              </w:rPr>
            </w:pPr>
            <w:r w:rsidRPr="00FE779F">
              <w:rPr>
                <w:b/>
                <w:bCs/>
                <w:lang w:val="en-GB"/>
              </w:rPr>
              <w:t>PI</w:t>
            </w:r>
          </w:p>
        </w:tc>
      </w:tr>
      <w:tr w:rsidR="00FE779F" w:rsidRPr="00FE779F" w:rsidTr="00FE779F">
        <w:tc>
          <w:tcPr>
            <w:tcW w:w="0" w:type="auto"/>
            <w:hideMark/>
          </w:tcPr>
          <w:p w:rsidR="00FE779F" w:rsidRPr="00FE779F" w:rsidRDefault="00FE779F" w:rsidP="00FE779F">
            <w:pPr>
              <w:spacing w:line="240" w:lineRule="auto"/>
              <w:jc w:val="center"/>
              <w:rPr>
                <w:lang w:val="en-GB"/>
              </w:rPr>
            </w:pPr>
            <w:r w:rsidRPr="00FE779F">
              <w:rPr>
                <w:lang w:val="en-GB"/>
              </w:rPr>
              <w:t>A</w:t>
            </w:r>
          </w:p>
        </w:tc>
        <w:tc>
          <w:tcPr>
            <w:tcW w:w="0" w:type="auto"/>
            <w:hideMark/>
          </w:tcPr>
          <w:p w:rsidR="00FE779F" w:rsidRPr="00FE779F" w:rsidRDefault="00FE779F" w:rsidP="00FE779F">
            <w:pPr>
              <w:spacing w:line="240" w:lineRule="auto"/>
              <w:jc w:val="center"/>
              <w:rPr>
                <w:lang w:val="en-GB"/>
              </w:rPr>
            </w:pPr>
            <w:r w:rsidRPr="00FE779F">
              <w:rPr>
                <w:lang w:val="en-GB"/>
              </w:rPr>
              <w:t>41.31</w:t>
            </w:r>
          </w:p>
        </w:tc>
        <w:tc>
          <w:tcPr>
            <w:tcW w:w="0" w:type="auto"/>
            <w:hideMark/>
          </w:tcPr>
          <w:p w:rsidR="00FE779F" w:rsidRPr="00FE779F" w:rsidRDefault="00FE779F" w:rsidP="00FE779F">
            <w:pPr>
              <w:spacing w:line="240" w:lineRule="auto"/>
              <w:jc w:val="center"/>
              <w:rPr>
                <w:lang w:val="en-GB"/>
              </w:rPr>
            </w:pPr>
            <w:r w:rsidRPr="00FE779F">
              <w:rPr>
                <w:lang w:val="en-GB"/>
              </w:rPr>
              <w:t>40</w:t>
            </w:r>
          </w:p>
        </w:tc>
        <w:tc>
          <w:tcPr>
            <w:tcW w:w="0" w:type="auto"/>
            <w:hideMark/>
          </w:tcPr>
          <w:p w:rsidR="00FE779F" w:rsidRPr="00FE779F" w:rsidRDefault="00FE779F" w:rsidP="00FE779F">
            <w:pPr>
              <w:spacing w:line="240" w:lineRule="auto"/>
              <w:jc w:val="center"/>
              <w:rPr>
                <w:lang w:val="en-GB"/>
              </w:rPr>
            </w:pPr>
            <w:r w:rsidRPr="00FE779F">
              <w:rPr>
                <w:b/>
                <w:bCs/>
                <w:lang w:val="en-GB"/>
              </w:rPr>
              <w:t>1.03</w:t>
            </w:r>
          </w:p>
        </w:tc>
      </w:tr>
      <w:tr w:rsidR="00FE779F" w:rsidRPr="00FE779F" w:rsidTr="00FE779F">
        <w:tc>
          <w:tcPr>
            <w:tcW w:w="0" w:type="auto"/>
            <w:hideMark/>
          </w:tcPr>
          <w:p w:rsidR="00FE779F" w:rsidRPr="00FE779F" w:rsidRDefault="00FE779F" w:rsidP="00FE779F">
            <w:pPr>
              <w:spacing w:line="240" w:lineRule="auto"/>
              <w:jc w:val="center"/>
              <w:rPr>
                <w:lang w:val="en-GB"/>
              </w:rPr>
            </w:pPr>
            <w:r w:rsidRPr="00FE779F">
              <w:rPr>
                <w:lang w:val="en-GB"/>
              </w:rPr>
              <w:t>B</w:t>
            </w:r>
          </w:p>
        </w:tc>
        <w:tc>
          <w:tcPr>
            <w:tcW w:w="0" w:type="auto"/>
            <w:hideMark/>
          </w:tcPr>
          <w:p w:rsidR="00FE779F" w:rsidRPr="00FE779F" w:rsidRDefault="00FE779F" w:rsidP="00FE779F">
            <w:pPr>
              <w:spacing w:line="240" w:lineRule="auto"/>
              <w:jc w:val="center"/>
              <w:rPr>
                <w:lang w:val="en-GB"/>
              </w:rPr>
            </w:pPr>
            <w:r w:rsidRPr="00FE779F">
              <w:rPr>
                <w:lang w:val="en-GB"/>
              </w:rPr>
              <w:t>22.74</w:t>
            </w:r>
          </w:p>
        </w:tc>
        <w:tc>
          <w:tcPr>
            <w:tcW w:w="0" w:type="auto"/>
            <w:hideMark/>
          </w:tcPr>
          <w:p w:rsidR="00FE779F" w:rsidRPr="00FE779F" w:rsidRDefault="00FE779F" w:rsidP="00FE779F">
            <w:pPr>
              <w:spacing w:line="240" w:lineRule="auto"/>
              <w:jc w:val="center"/>
              <w:rPr>
                <w:lang w:val="en-GB"/>
              </w:rPr>
            </w:pPr>
            <w:r w:rsidRPr="00FE779F">
              <w:rPr>
                <w:lang w:val="en-GB"/>
              </w:rPr>
              <w:t>30</w:t>
            </w:r>
          </w:p>
        </w:tc>
        <w:tc>
          <w:tcPr>
            <w:tcW w:w="0" w:type="auto"/>
            <w:hideMark/>
          </w:tcPr>
          <w:p w:rsidR="00FE779F" w:rsidRPr="00FE779F" w:rsidRDefault="00FE779F" w:rsidP="00FE779F">
            <w:pPr>
              <w:spacing w:line="240" w:lineRule="auto"/>
              <w:jc w:val="center"/>
              <w:rPr>
                <w:lang w:val="en-GB"/>
              </w:rPr>
            </w:pPr>
            <w:r w:rsidRPr="00FE779F">
              <w:rPr>
                <w:b/>
                <w:bCs/>
                <w:lang w:val="en-GB"/>
              </w:rPr>
              <w:t>0.76</w:t>
            </w:r>
          </w:p>
        </w:tc>
      </w:tr>
      <w:tr w:rsidR="00FE779F" w:rsidRPr="00FE779F" w:rsidTr="00FE779F">
        <w:tc>
          <w:tcPr>
            <w:tcW w:w="0" w:type="auto"/>
            <w:hideMark/>
          </w:tcPr>
          <w:p w:rsidR="00FE779F" w:rsidRPr="00FE779F" w:rsidRDefault="00FE779F" w:rsidP="00FE779F">
            <w:pPr>
              <w:spacing w:line="240" w:lineRule="auto"/>
              <w:jc w:val="center"/>
              <w:rPr>
                <w:lang w:val="en-GB"/>
              </w:rPr>
            </w:pPr>
            <w:r w:rsidRPr="00FE779F">
              <w:rPr>
                <w:lang w:val="en-GB"/>
              </w:rPr>
              <w:t>C</w:t>
            </w:r>
          </w:p>
        </w:tc>
        <w:tc>
          <w:tcPr>
            <w:tcW w:w="0" w:type="auto"/>
            <w:hideMark/>
          </w:tcPr>
          <w:p w:rsidR="00FE779F" w:rsidRPr="00FE779F" w:rsidRDefault="00FE779F" w:rsidP="00FE779F">
            <w:pPr>
              <w:spacing w:line="240" w:lineRule="auto"/>
              <w:jc w:val="center"/>
              <w:rPr>
                <w:lang w:val="en-GB"/>
              </w:rPr>
            </w:pPr>
            <w:r w:rsidRPr="00FE779F">
              <w:rPr>
                <w:lang w:val="en-GB"/>
              </w:rPr>
              <w:t>54.22</w:t>
            </w:r>
          </w:p>
        </w:tc>
        <w:tc>
          <w:tcPr>
            <w:tcW w:w="0" w:type="auto"/>
            <w:hideMark/>
          </w:tcPr>
          <w:p w:rsidR="00FE779F" w:rsidRPr="00FE779F" w:rsidRDefault="00FE779F" w:rsidP="00FE779F">
            <w:pPr>
              <w:spacing w:line="240" w:lineRule="auto"/>
              <w:jc w:val="center"/>
              <w:rPr>
                <w:lang w:val="en-GB"/>
              </w:rPr>
            </w:pPr>
            <w:r w:rsidRPr="00FE779F">
              <w:rPr>
                <w:lang w:val="en-GB"/>
              </w:rPr>
              <w:t>50</w:t>
            </w:r>
          </w:p>
        </w:tc>
        <w:tc>
          <w:tcPr>
            <w:tcW w:w="0" w:type="auto"/>
            <w:hideMark/>
          </w:tcPr>
          <w:p w:rsidR="00FE779F" w:rsidRPr="00FE779F" w:rsidRDefault="00FE779F" w:rsidP="00FE779F">
            <w:pPr>
              <w:spacing w:line="240" w:lineRule="auto"/>
              <w:jc w:val="center"/>
              <w:rPr>
                <w:lang w:val="en-GB"/>
              </w:rPr>
            </w:pPr>
            <w:r w:rsidRPr="00FE779F">
              <w:rPr>
                <w:b/>
                <w:bCs/>
                <w:lang w:val="en-GB"/>
              </w:rPr>
              <w:t>1.08</w:t>
            </w:r>
          </w:p>
        </w:tc>
      </w:tr>
    </w:tbl>
    <w:p w:rsidR="00FE779F" w:rsidRDefault="00FE779F" w:rsidP="00FE779F"/>
    <w:p w:rsidR="00FE779F" w:rsidRDefault="00FE779F" w:rsidP="00FE779F">
      <w:pPr>
        <w:rPr>
          <w:b/>
          <w:bCs/>
          <w:color w:val="4F81BD" w:themeColor="accent1"/>
          <w:sz w:val="28"/>
          <w:lang w:val="en-GB"/>
        </w:rPr>
      </w:pPr>
      <w:r w:rsidRPr="00FE779F">
        <w:rPr>
          <w:b/>
          <w:bCs/>
          <w:color w:val="4F81BD" w:themeColor="accent1"/>
          <w:sz w:val="28"/>
          <w:lang w:val="en-GB"/>
        </w:rPr>
        <w:t>Appendix K: Investment Appraisal – IRR (Estimated)</w:t>
      </w:r>
    </w:p>
    <w:p w:rsidR="00482686" w:rsidRPr="00482686" w:rsidRDefault="00482686" w:rsidP="00482686">
      <w:pPr>
        <w:rPr>
          <w:b/>
        </w:rPr>
      </w:pPr>
      <w:r w:rsidRPr="00482686">
        <w:rPr>
          <w:b/>
        </w:rPr>
        <w:t>Estimated IRR values:</w:t>
      </w:r>
    </w:p>
    <w:p w:rsidR="00482686" w:rsidRPr="00482686" w:rsidRDefault="00482686" w:rsidP="00482686">
      <w:pPr>
        <w:numPr>
          <w:ilvl w:val="0"/>
          <w:numId w:val="22"/>
        </w:numPr>
      </w:pPr>
      <w:r w:rsidRPr="00482686">
        <w:t>Project A: approx. 12–13%</w:t>
      </w:r>
    </w:p>
    <w:p w:rsidR="00482686" w:rsidRPr="00482686" w:rsidRDefault="00482686" w:rsidP="00482686">
      <w:pPr>
        <w:numPr>
          <w:ilvl w:val="0"/>
          <w:numId w:val="22"/>
        </w:numPr>
      </w:pPr>
      <w:r w:rsidRPr="00482686">
        <w:t>Project B: below cost of capital → ≈0%</w:t>
      </w:r>
    </w:p>
    <w:p w:rsidR="00482686" w:rsidRPr="00482686" w:rsidRDefault="00482686" w:rsidP="00482686">
      <w:pPr>
        <w:numPr>
          <w:ilvl w:val="0"/>
          <w:numId w:val="22"/>
        </w:numPr>
      </w:pPr>
      <w:r w:rsidRPr="00482686">
        <w:t>Project C: very strong → ≈16–17%</w:t>
      </w:r>
    </w:p>
    <w:p w:rsidR="00482686" w:rsidRDefault="00482686" w:rsidP="00482686">
      <w:r w:rsidRPr="00482686">
        <w:t>Project C therefore produces highest relative return.</w:t>
      </w:r>
    </w:p>
    <w:p w:rsidR="00445102" w:rsidRPr="00445102" w:rsidRDefault="00445102" w:rsidP="00482686">
      <w:pPr>
        <w:rPr>
          <w:b/>
        </w:rPr>
      </w:pPr>
      <w:r w:rsidRPr="00445102">
        <w:rPr>
          <w:b/>
        </w:rPr>
        <w:t>Table K1: Internal Rate of Return Summary</w:t>
      </w:r>
    </w:p>
    <w:tbl>
      <w:tblPr>
        <w:tblStyle w:val="TableGrid"/>
        <w:tblW w:w="0" w:type="auto"/>
        <w:tblLook w:val="04A0" w:firstRow="1" w:lastRow="0" w:firstColumn="1" w:lastColumn="0" w:noHBand="0" w:noVBand="1"/>
      </w:tblPr>
      <w:tblGrid>
        <w:gridCol w:w="1030"/>
        <w:gridCol w:w="1964"/>
        <w:gridCol w:w="1163"/>
      </w:tblGrid>
      <w:tr w:rsidR="00FE779F" w:rsidRPr="00FE779F" w:rsidTr="00FE779F">
        <w:tc>
          <w:tcPr>
            <w:tcW w:w="0" w:type="auto"/>
            <w:hideMark/>
          </w:tcPr>
          <w:p w:rsidR="00FE779F" w:rsidRPr="00FE779F" w:rsidRDefault="00FE779F" w:rsidP="00786278">
            <w:pPr>
              <w:spacing w:line="240" w:lineRule="auto"/>
              <w:rPr>
                <w:b/>
                <w:bCs/>
                <w:lang w:val="en-GB"/>
              </w:rPr>
            </w:pPr>
            <w:r w:rsidRPr="00FE779F">
              <w:rPr>
                <w:b/>
                <w:bCs/>
                <w:lang w:val="en-GB"/>
              </w:rPr>
              <w:t>Project</w:t>
            </w:r>
          </w:p>
        </w:tc>
        <w:tc>
          <w:tcPr>
            <w:tcW w:w="0" w:type="auto"/>
            <w:hideMark/>
          </w:tcPr>
          <w:p w:rsidR="00FE779F" w:rsidRPr="00FE779F" w:rsidRDefault="00FE779F" w:rsidP="00445102">
            <w:pPr>
              <w:spacing w:line="240" w:lineRule="auto"/>
              <w:jc w:val="center"/>
              <w:rPr>
                <w:b/>
                <w:bCs/>
                <w:lang w:val="en-GB"/>
              </w:rPr>
            </w:pPr>
            <w:r w:rsidRPr="00FE779F">
              <w:rPr>
                <w:b/>
                <w:bCs/>
                <w:lang w:val="en-GB"/>
              </w:rPr>
              <w:t>IRR</w:t>
            </w:r>
          </w:p>
        </w:tc>
        <w:tc>
          <w:tcPr>
            <w:tcW w:w="0" w:type="auto"/>
            <w:hideMark/>
          </w:tcPr>
          <w:p w:rsidR="00FE779F" w:rsidRPr="00FE779F" w:rsidRDefault="00FE779F" w:rsidP="00786278">
            <w:pPr>
              <w:spacing w:line="240" w:lineRule="auto"/>
              <w:rPr>
                <w:b/>
                <w:bCs/>
                <w:lang w:val="en-GB"/>
              </w:rPr>
            </w:pPr>
            <w:r w:rsidRPr="00FE779F">
              <w:rPr>
                <w:b/>
                <w:bCs/>
                <w:lang w:val="en-GB"/>
              </w:rPr>
              <w:t>Ranking</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A</w:t>
            </w:r>
          </w:p>
        </w:tc>
        <w:tc>
          <w:tcPr>
            <w:tcW w:w="0" w:type="auto"/>
            <w:hideMark/>
          </w:tcPr>
          <w:p w:rsidR="00FE779F" w:rsidRPr="00FE779F" w:rsidRDefault="00FE779F" w:rsidP="00786278">
            <w:pPr>
              <w:spacing w:line="240" w:lineRule="auto"/>
              <w:jc w:val="center"/>
              <w:rPr>
                <w:lang w:val="en-GB"/>
              </w:rPr>
            </w:pPr>
            <w:r w:rsidRPr="00FE779F">
              <w:rPr>
                <w:lang w:val="en-GB"/>
              </w:rPr>
              <w:t>approx. 12–13%</w:t>
            </w:r>
          </w:p>
        </w:tc>
        <w:tc>
          <w:tcPr>
            <w:tcW w:w="0" w:type="auto"/>
            <w:hideMark/>
          </w:tcPr>
          <w:p w:rsidR="00FE779F" w:rsidRPr="00FE779F" w:rsidRDefault="00FE779F" w:rsidP="00786278">
            <w:pPr>
              <w:spacing w:line="240" w:lineRule="auto"/>
              <w:jc w:val="center"/>
              <w:rPr>
                <w:lang w:val="en-GB"/>
              </w:rPr>
            </w:pPr>
            <w:r w:rsidRPr="00FE779F">
              <w:rPr>
                <w:lang w:val="en-GB"/>
              </w:rPr>
              <w:t>2</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B</w:t>
            </w:r>
          </w:p>
        </w:tc>
        <w:tc>
          <w:tcPr>
            <w:tcW w:w="0" w:type="auto"/>
            <w:hideMark/>
          </w:tcPr>
          <w:p w:rsidR="00FE779F" w:rsidRPr="00FE779F" w:rsidRDefault="00FE779F" w:rsidP="00786278">
            <w:pPr>
              <w:spacing w:line="240" w:lineRule="auto"/>
              <w:jc w:val="center"/>
              <w:rPr>
                <w:lang w:val="en-GB"/>
              </w:rPr>
            </w:pPr>
            <w:r w:rsidRPr="00FE779F">
              <w:rPr>
                <w:lang w:val="en-GB"/>
              </w:rPr>
              <w:t>approx. 0%</w:t>
            </w:r>
          </w:p>
        </w:tc>
        <w:tc>
          <w:tcPr>
            <w:tcW w:w="0" w:type="auto"/>
            <w:hideMark/>
          </w:tcPr>
          <w:p w:rsidR="00FE779F" w:rsidRPr="00FE779F" w:rsidRDefault="00FE779F" w:rsidP="00786278">
            <w:pPr>
              <w:spacing w:line="240" w:lineRule="auto"/>
              <w:jc w:val="center"/>
              <w:rPr>
                <w:lang w:val="en-GB"/>
              </w:rPr>
            </w:pPr>
            <w:r w:rsidRPr="00FE779F">
              <w:rPr>
                <w:lang w:val="en-GB"/>
              </w:rPr>
              <w:t>3</w:t>
            </w:r>
          </w:p>
        </w:tc>
      </w:tr>
      <w:tr w:rsidR="00FE779F" w:rsidRPr="00FE779F" w:rsidTr="00FE779F">
        <w:tc>
          <w:tcPr>
            <w:tcW w:w="0" w:type="auto"/>
            <w:hideMark/>
          </w:tcPr>
          <w:p w:rsidR="00FE779F" w:rsidRPr="00FE779F" w:rsidRDefault="00FE779F" w:rsidP="00786278">
            <w:pPr>
              <w:spacing w:line="240" w:lineRule="auto"/>
              <w:jc w:val="center"/>
              <w:rPr>
                <w:lang w:val="en-GB"/>
              </w:rPr>
            </w:pPr>
            <w:r w:rsidRPr="00FE779F">
              <w:rPr>
                <w:lang w:val="en-GB"/>
              </w:rPr>
              <w:t>C</w:t>
            </w:r>
          </w:p>
        </w:tc>
        <w:tc>
          <w:tcPr>
            <w:tcW w:w="0" w:type="auto"/>
            <w:hideMark/>
          </w:tcPr>
          <w:p w:rsidR="00FE779F" w:rsidRPr="00FE779F" w:rsidRDefault="00FE779F" w:rsidP="00786278">
            <w:pPr>
              <w:spacing w:line="240" w:lineRule="auto"/>
              <w:jc w:val="center"/>
              <w:rPr>
                <w:lang w:val="en-GB"/>
              </w:rPr>
            </w:pPr>
            <w:r w:rsidRPr="00FE779F">
              <w:rPr>
                <w:lang w:val="en-GB"/>
              </w:rPr>
              <w:t>approx. 16–17%</w:t>
            </w:r>
          </w:p>
        </w:tc>
        <w:tc>
          <w:tcPr>
            <w:tcW w:w="0" w:type="auto"/>
            <w:hideMark/>
          </w:tcPr>
          <w:p w:rsidR="00FE779F" w:rsidRPr="00FE779F" w:rsidRDefault="00FE779F" w:rsidP="00786278">
            <w:pPr>
              <w:spacing w:line="240" w:lineRule="auto"/>
              <w:jc w:val="center"/>
              <w:rPr>
                <w:lang w:val="en-GB"/>
              </w:rPr>
            </w:pPr>
            <w:r w:rsidRPr="00FE779F">
              <w:rPr>
                <w:lang w:val="en-GB"/>
              </w:rPr>
              <w:t>1</w:t>
            </w:r>
          </w:p>
        </w:tc>
      </w:tr>
    </w:tbl>
    <w:p w:rsidR="00FE779F" w:rsidRPr="00FE779F" w:rsidRDefault="00FE779F" w:rsidP="00FE779F"/>
    <w:sectPr w:rsidR="00FE779F" w:rsidRPr="00FE779F" w:rsidSect="00A76FD4">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1023" w:rsidRDefault="00561023" w:rsidP="00A76FD4">
      <w:pPr>
        <w:spacing w:after="0" w:line="240" w:lineRule="auto"/>
      </w:pPr>
      <w:r>
        <w:separator/>
      </w:r>
    </w:p>
  </w:endnote>
  <w:endnote w:type="continuationSeparator" w:id="0">
    <w:p w:rsidR="00561023" w:rsidRDefault="00561023"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083A46" w:rsidRDefault="00083A46">
        <w:pPr>
          <w:pStyle w:val="Footer"/>
          <w:jc w:val="right"/>
        </w:pPr>
        <w:r>
          <w:fldChar w:fldCharType="begin"/>
        </w:r>
        <w:r>
          <w:instrText xml:space="preserve"> PAGE   \* MERGEFORMAT </w:instrText>
        </w:r>
        <w:r>
          <w:fldChar w:fldCharType="separate"/>
        </w:r>
        <w:r w:rsidR="00085432">
          <w:rPr>
            <w:noProof/>
          </w:rPr>
          <w:t>4</w:t>
        </w:r>
        <w:r>
          <w:rPr>
            <w:noProof/>
          </w:rPr>
          <w:fldChar w:fldCharType="end"/>
        </w:r>
      </w:p>
    </w:sdtContent>
  </w:sdt>
  <w:p w:rsidR="00083A46" w:rsidRDefault="00083A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1023" w:rsidRDefault="00561023" w:rsidP="00A76FD4">
      <w:pPr>
        <w:spacing w:after="0" w:line="240" w:lineRule="auto"/>
      </w:pPr>
      <w:r>
        <w:separator/>
      </w:r>
    </w:p>
  </w:footnote>
  <w:footnote w:type="continuationSeparator" w:id="0">
    <w:p w:rsidR="00561023" w:rsidRDefault="00561023"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D0950"/>
    <w:multiLevelType w:val="hybridMultilevel"/>
    <w:tmpl w:val="CD0E3DD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7C5C61"/>
    <w:multiLevelType w:val="hybridMultilevel"/>
    <w:tmpl w:val="95F2CD1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FE7D20"/>
    <w:multiLevelType w:val="hybridMultilevel"/>
    <w:tmpl w:val="FCAAA14A"/>
    <w:lvl w:ilvl="0" w:tplc="04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8D2BC3"/>
    <w:multiLevelType w:val="hybridMultilevel"/>
    <w:tmpl w:val="0C2A11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B74A10"/>
    <w:multiLevelType w:val="hybridMultilevel"/>
    <w:tmpl w:val="3B74204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895438"/>
    <w:multiLevelType w:val="hybridMultilevel"/>
    <w:tmpl w:val="7C5A1EE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8E711D"/>
    <w:multiLevelType w:val="hybridMultilevel"/>
    <w:tmpl w:val="87FAE7A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BB2E7A"/>
    <w:multiLevelType w:val="hybridMultilevel"/>
    <w:tmpl w:val="8EE2E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FBE3A31"/>
    <w:multiLevelType w:val="hybridMultilevel"/>
    <w:tmpl w:val="6008A13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07838F9"/>
    <w:multiLevelType w:val="hybridMultilevel"/>
    <w:tmpl w:val="DA9AD252"/>
    <w:lvl w:ilvl="0" w:tplc="280CCA08">
      <w:start w:val="1"/>
      <w:numFmt w:val="lowerLetter"/>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53627A7"/>
    <w:multiLevelType w:val="hybridMultilevel"/>
    <w:tmpl w:val="EEE8BE9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AC4306E"/>
    <w:multiLevelType w:val="hybridMultilevel"/>
    <w:tmpl w:val="4D46F90A"/>
    <w:lvl w:ilvl="0" w:tplc="280CCA08">
      <w:start w:val="1"/>
      <w:numFmt w:val="lowerLetter"/>
      <w:lvlText w:val="%1)"/>
      <w:lvlJc w:val="left"/>
      <w:pPr>
        <w:ind w:left="360" w:hanging="360"/>
      </w:pPr>
      <w:rPr>
        <w:rFonts w:hint="default"/>
        <w:b/>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3ADC4815"/>
    <w:multiLevelType w:val="hybridMultilevel"/>
    <w:tmpl w:val="23561EC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FE4504A"/>
    <w:multiLevelType w:val="hybridMultilevel"/>
    <w:tmpl w:val="E61429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040209F"/>
    <w:multiLevelType w:val="hybridMultilevel"/>
    <w:tmpl w:val="153E428E"/>
    <w:lvl w:ilvl="0" w:tplc="AE407B6A">
      <w:start w:val="1"/>
      <w:numFmt w:val="low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1726565"/>
    <w:multiLevelType w:val="hybridMultilevel"/>
    <w:tmpl w:val="22CE8A4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84129B5"/>
    <w:multiLevelType w:val="hybridMultilevel"/>
    <w:tmpl w:val="5DA6080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BFB1B6C"/>
    <w:multiLevelType w:val="hybridMultilevel"/>
    <w:tmpl w:val="59E8AD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ED043D9"/>
    <w:multiLevelType w:val="hybridMultilevel"/>
    <w:tmpl w:val="25627A5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3BC1FA1"/>
    <w:multiLevelType w:val="hybridMultilevel"/>
    <w:tmpl w:val="57B4F41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A51055"/>
    <w:multiLevelType w:val="hybridMultilevel"/>
    <w:tmpl w:val="8E7A469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F45AEC"/>
    <w:multiLevelType w:val="hybridMultilevel"/>
    <w:tmpl w:val="ADC6F91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03D5EF7"/>
    <w:multiLevelType w:val="hybridMultilevel"/>
    <w:tmpl w:val="C7129DD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0819C4"/>
    <w:multiLevelType w:val="hybridMultilevel"/>
    <w:tmpl w:val="5F084B8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63F4B24"/>
    <w:multiLevelType w:val="hybridMultilevel"/>
    <w:tmpl w:val="CD28002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99D430B"/>
    <w:multiLevelType w:val="hybridMultilevel"/>
    <w:tmpl w:val="8AA2DE4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A142547"/>
    <w:multiLevelType w:val="hybridMultilevel"/>
    <w:tmpl w:val="789202B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D3A6F0E"/>
    <w:multiLevelType w:val="hybridMultilevel"/>
    <w:tmpl w:val="703E8A96"/>
    <w:lvl w:ilvl="0" w:tplc="04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0"/>
  </w:num>
  <w:num w:numId="3">
    <w:abstractNumId w:val="24"/>
  </w:num>
  <w:num w:numId="4">
    <w:abstractNumId w:val="27"/>
  </w:num>
  <w:num w:numId="5">
    <w:abstractNumId w:val="16"/>
  </w:num>
  <w:num w:numId="6">
    <w:abstractNumId w:val="4"/>
  </w:num>
  <w:num w:numId="7">
    <w:abstractNumId w:val="20"/>
  </w:num>
  <w:num w:numId="8">
    <w:abstractNumId w:val="6"/>
  </w:num>
  <w:num w:numId="9">
    <w:abstractNumId w:val="26"/>
  </w:num>
  <w:num w:numId="10">
    <w:abstractNumId w:val="17"/>
  </w:num>
  <w:num w:numId="11">
    <w:abstractNumId w:val="12"/>
  </w:num>
  <w:num w:numId="12">
    <w:abstractNumId w:val="8"/>
  </w:num>
  <w:num w:numId="13">
    <w:abstractNumId w:val="23"/>
  </w:num>
  <w:num w:numId="14">
    <w:abstractNumId w:val="9"/>
  </w:num>
  <w:num w:numId="15">
    <w:abstractNumId w:val="3"/>
  </w:num>
  <w:num w:numId="16">
    <w:abstractNumId w:val="18"/>
  </w:num>
  <w:num w:numId="17">
    <w:abstractNumId w:val="22"/>
  </w:num>
  <w:num w:numId="18">
    <w:abstractNumId w:val="11"/>
  </w:num>
  <w:num w:numId="19">
    <w:abstractNumId w:val="13"/>
  </w:num>
  <w:num w:numId="20">
    <w:abstractNumId w:val="5"/>
  </w:num>
  <w:num w:numId="21">
    <w:abstractNumId w:val="2"/>
  </w:num>
  <w:num w:numId="22">
    <w:abstractNumId w:val="19"/>
  </w:num>
  <w:num w:numId="23">
    <w:abstractNumId w:val="21"/>
  </w:num>
  <w:num w:numId="24">
    <w:abstractNumId w:val="25"/>
  </w:num>
  <w:num w:numId="25">
    <w:abstractNumId w:val="1"/>
  </w:num>
  <w:num w:numId="26">
    <w:abstractNumId w:val="14"/>
  </w:num>
  <w:num w:numId="27">
    <w:abstractNumId w:val="15"/>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26347"/>
    <w:rsid w:val="0003701C"/>
    <w:rsid w:val="00083A46"/>
    <w:rsid w:val="00085432"/>
    <w:rsid w:val="000F7FD8"/>
    <w:rsid w:val="001067CF"/>
    <w:rsid w:val="0011759F"/>
    <w:rsid w:val="001503BB"/>
    <w:rsid w:val="00181BB8"/>
    <w:rsid w:val="00193ECE"/>
    <w:rsid w:val="001B0031"/>
    <w:rsid w:val="001C32CC"/>
    <w:rsid w:val="001C7CC0"/>
    <w:rsid w:val="00262A03"/>
    <w:rsid w:val="002647F6"/>
    <w:rsid w:val="00267FC6"/>
    <w:rsid w:val="00273D95"/>
    <w:rsid w:val="002D282B"/>
    <w:rsid w:val="002D30A3"/>
    <w:rsid w:val="003703C4"/>
    <w:rsid w:val="003830A0"/>
    <w:rsid w:val="003D47D8"/>
    <w:rsid w:val="00402118"/>
    <w:rsid w:val="00427B5E"/>
    <w:rsid w:val="00445102"/>
    <w:rsid w:val="004453F8"/>
    <w:rsid w:val="00482686"/>
    <w:rsid w:val="004E2A67"/>
    <w:rsid w:val="004E78F7"/>
    <w:rsid w:val="00561023"/>
    <w:rsid w:val="00583829"/>
    <w:rsid w:val="005A6908"/>
    <w:rsid w:val="00655D23"/>
    <w:rsid w:val="00664262"/>
    <w:rsid w:val="00727308"/>
    <w:rsid w:val="00767977"/>
    <w:rsid w:val="00786278"/>
    <w:rsid w:val="00787F2B"/>
    <w:rsid w:val="0081035C"/>
    <w:rsid w:val="00822B29"/>
    <w:rsid w:val="00892A4B"/>
    <w:rsid w:val="008E18B5"/>
    <w:rsid w:val="008E68E2"/>
    <w:rsid w:val="00903073"/>
    <w:rsid w:val="009129AD"/>
    <w:rsid w:val="009C58F7"/>
    <w:rsid w:val="00A70B08"/>
    <w:rsid w:val="00A76FD4"/>
    <w:rsid w:val="00B42557"/>
    <w:rsid w:val="00BE6346"/>
    <w:rsid w:val="00C261BF"/>
    <w:rsid w:val="00C5701E"/>
    <w:rsid w:val="00C91A7C"/>
    <w:rsid w:val="00CB0B7D"/>
    <w:rsid w:val="00CB61F7"/>
    <w:rsid w:val="00D166FA"/>
    <w:rsid w:val="00D2508A"/>
    <w:rsid w:val="00D509C8"/>
    <w:rsid w:val="00D8276B"/>
    <w:rsid w:val="00DB33B8"/>
    <w:rsid w:val="00E021AE"/>
    <w:rsid w:val="00EA0626"/>
    <w:rsid w:val="00EE3EEF"/>
    <w:rsid w:val="00FC4E43"/>
    <w:rsid w:val="00FE7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47F6"/>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BE6346"/>
    <w:pPr>
      <w:keepNext/>
      <w:keepLines/>
      <w:spacing w:before="200" w:after="0"/>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BE6346"/>
    <w:rPr>
      <w:rFonts w:ascii="Times New Roman" w:eastAsiaTheme="majorEastAsia" w:hAnsi="Times New Roman" w:cstheme="majorBidi"/>
      <w:b/>
      <w:bCs/>
      <w:i/>
      <w:color w:val="000000" w:themeColor="tex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table" w:styleId="TableGrid">
    <w:name w:val="Table Grid"/>
    <w:basedOn w:val="TableNormal"/>
    <w:uiPriority w:val="59"/>
    <w:rsid w:val="004E2A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2">
    <w:name w:val="Grid Table 4 Accent 2"/>
    <w:basedOn w:val="TableNormal"/>
    <w:uiPriority w:val="49"/>
    <w:rsid w:val="004E2A67"/>
    <w:pPr>
      <w:spacing w:after="0"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ListParagraph">
    <w:name w:val="List Paragraph"/>
    <w:basedOn w:val="Normal"/>
    <w:uiPriority w:val="34"/>
    <w:qFormat/>
    <w:rsid w:val="00CB0B7D"/>
    <w:pPr>
      <w:ind w:left="720"/>
      <w:contextualSpacing/>
    </w:pPr>
  </w:style>
  <w:style w:type="character" w:styleId="Strong">
    <w:name w:val="Strong"/>
    <w:basedOn w:val="DefaultParagraphFont"/>
    <w:uiPriority w:val="22"/>
    <w:qFormat/>
    <w:rsid w:val="004453F8"/>
    <w:rPr>
      <w:b/>
      <w:bCs/>
    </w:rPr>
  </w:style>
  <w:style w:type="table" w:styleId="GridTable1Light-Accent3">
    <w:name w:val="Grid Table 1 Light Accent 3"/>
    <w:basedOn w:val="TableNormal"/>
    <w:uiPriority w:val="46"/>
    <w:rsid w:val="004453F8"/>
    <w:pPr>
      <w:spacing w:after="0" w:line="240" w:lineRule="auto"/>
    </w:pPr>
    <w:tblPr>
      <w:tblStyleRowBandSize w:val="1"/>
      <w:tblStyleColBandSize w:val="1"/>
      <w:tblInd w:w="0" w:type="dxa"/>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CellMar>
        <w:top w:w="0" w:type="dxa"/>
        <w:left w:w="108" w:type="dxa"/>
        <w:bottom w:w="0" w:type="dxa"/>
        <w:right w:w="108" w:type="dxa"/>
      </w:tblCellMar>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1C7CC0"/>
    <w:rPr>
      <w:rFonts w:ascii="Times New Roman" w:hAnsi="Times New Roman" w:cs="Times New Roman"/>
      <w:szCs w:val="24"/>
    </w:rPr>
  </w:style>
  <w:style w:type="paragraph" w:styleId="TOCHeading">
    <w:name w:val="TOC Heading"/>
    <w:basedOn w:val="Heading1"/>
    <w:next w:val="Normal"/>
    <w:uiPriority w:val="39"/>
    <w:unhideWhenUsed/>
    <w:qFormat/>
    <w:rsid w:val="003D47D8"/>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3D47D8"/>
    <w:pPr>
      <w:spacing w:after="100"/>
    </w:pPr>
  </w:style>
  <w:style w:type="paragraph" w:styleId="TOC2">
    <w:name w:val="toc 2"/>
    <w:basedOn w:val="Normal"/>
    <w:next w:val="Normal"/>
    <w:autoRedefine/>
    <w:uiPriority w:val="39"/>
    <w:unhideWhenUsed/>
    <w:rsid w:val="003D47D8"/>
    <w:pPr>
      <w:spacing w:after="100"/>
      <w:ind w:left="240"/>
    </w:pPr>
  </w:style>
  <w:style w:type="character" w:styleId="Hyperlink">
    <w:name w:val="Hyperlink"/>
    <w:basedOn w:val="DefaultParagraphFont"/>
    <w:uiPriority w:val="99"/>
    <w:unhideWhenUsed/>
    <w:rsid w:val="003D47D8"/>
    <w:rPr>
      <w:color w:val="0000FF" w:themeColor="hyperlink"/>
      <w:u w:val="single"/>
    </w:rPr>
  </w:style>
  <w:style w:type="table" w:styleId="GridTable1Light-Accent1">
    <w:name w:val="Grid Table 1 Light Accent 1"/>
    <w:basedOn w:val="TableNormal"/>
    <w:uiPriority w:val="46"/>
    <w:rsid w:val="003D47D8"/>
    <w:pPr>
      <w:spacing w:after="0" w:line="240" w:lineRule="auto"/>
    </w:pPr>
    <w:tblPr>
      <w:tblStyleRowBandSize w:val="1"/>
      <w:tblStyleColBandSize w:val="1"/>
      <w:tblInd w:w="0" w:type="dxa"/>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GridTable4-Accent21">
    <w:name w:val="Grid Table 4 - Accent 21"/>
    <w:basedOn w:val="TableNormal"/>
    <w:next w:val="GridTable4-Accent2"/>
    <w:uiPriority w:val="49"/>
    <w:rsid w:val="00482686"/>
    <w:pPr>
      <w:spacing w:after="0"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29629">
      <w:bodyDiv w:val="1"/>
      <w:marLeft w:val="0"/>
      <w:marRight w:val="0"/>
      <w:marTop w:val="0"/>
      <w:marBottom w:val="0"/>
      <w:divBdr>
        <w:top w:val="none" w:sz="0" w:space="0" w:color="auto"/>
        <w:left w:val="none" w:sz="0" w:space="0" w:color="auto"/>
        <w:bottom w:val="none" w:sz="0" w:space="0" w:color="auto"/>
        <w:right w:val="none" w:sz="0" w:space="0" w:color="auto"/>
      </w:divBdr>
    </w:div>
    <w:div w:id="299042935">
      <w:bodyDiv w:val="1"/>
      <w:marLeft w:val="0"/>
      <w:marRight w:val="0"/>
      <w:marTop w:val="0"/>
      <w:marBottom w:val="0"/>
      <w:divBdr>
        <w:top w:val="none" w:sz="0" w:space="0" w:color="auto"/>
        <w:left w:val="none" w:sz="0" w:space="0" w:color="auto"/>
        <w:bottom w:val="none" w:sz="0" w:space="0" w:color="auto"/>
        <w:right w:val="none" w:sz="0" w:space="0" w:color="auto"/>
      </w:divBdr>
    </w:div>
    <w:div w:id="402415912">
      <w:bodyDiv w:val="1"/>
      <w:marLeft w:val="0"/>
      <w:marRight w:val="0"/>
      <w:marTop w:val="0"/>
      <w:marBottom w:val="0"/>
      <w:divBdr>
        <w:top w:val="none" w:sz="0" w:space="0" w:color="auto"/>
        <w:left w:val="none" w:sz="0" w:space="0" w:color="auto"/>
        <w:bottom w:val="none" w:sz="0" w:space="0" w:color="auto"/>
        <w:right w:val="none" w:sz="0" w:space="0" w:color="auto"/>
      </w:divBdr>
    </w:div>
    <w:div w:id="450170625">
      <w:bodyDiv w:val="1"/>
      <w:marLeft w:val="0"/>
      <w:marRight w:val="0"/>
      <w:marTop w:val="0"/>
      <w:marBottom w:val="0"/>
      <w:divBdr>
        <w:top w:val="none" w:sz="0" w:space="0" w:color="auto"/>
        <w:left w:val="none" w:sz="0" w:space="0" w:color="auto"/>
        <w:bottom w:val="none" w:sz="0" w:space="0" w:color="auto"/>
        <w:right w:val="none" w:sz="0" w:space="0" w:color="auto"/>
      </w:divBdr>
    </w:div>
    <w:div w:id="617299118">
      <w:bodyDiv w:val="1"/>
      <w:marLeft w:val="0"/>
      <w:marRight w:val="0"/>
      <w:marTop w:val="0"/>
      <w:marBottom w:val="0"/>
      <w:divBdr>
        <w:top w:val="none" w:sz="0" w:space="0" w:color="auto"/>
        <w:left w:val="none" w:sz="0" w:space="0" w:color="auto"/>
        <w:bottom w:val="none" w:sz="0" w:space="0" w:color="auto"/>
        <w:right w:val="none" w:sz="0" w:space="0" w:color="auto"/>
      </w:divBdr>
    </w:div>
    <w:div w:id="906453754">
      <w:bodyDiv w:val="1"/>
      <w:marLeft w:val="0"/>
      <w:marRight w:val="0"/>
      <w:marTop w:val="0"/>
      <w:marBottom w:val="0"/>
      <w:divBdr>
        <w:top w:val="none" w:sz="0" w:space="0" w:color="auto"/>
        <w:left w:val="none" w:sz="0" w:space="0" w:color="auto"/>
        <w:bottom w:val="none" w:sz="0" w:space="0" w:color="auto"/>
        <w:right w:val="none" w:sz="0" w:space="0" w:color="auto"/>
      </w:divBdr>
    </w:div>
    <w:div w:id="913858838">
      <w:bodyDiv w:val="1"/>
      <w:marLeft w:val="0"/>
      <w:marRight w:val="0"/>
      <w:marTop w:val="0"/>
      <w:marBottom w:val="0"/>
      <w:divBdr>
        <w:top w:val="none" w:sz="0" w:space="0" w:color="auto"/>
        <w:left w:val="none" w:sz="0" w:space="0" w:color="auto"/>
        <w:bottom w:val="none" w:sz="0" w:space="0" w:color="auto"/>
        <w:right w:val="none" w:sz="0" w:space="0" w:color="auto"/>
      </w:divBdr>
    </w:div>
    <w:div w:id="968047168">
      <w:bodyDiv w:val="1"/>
      <w:marLeft w:val="0"/>
      <w:marRight w:val="0"/>
      <w:marTop w:val="0"/>
      <w:marBottom w:val="0"/>
      <w:divBdr>
        <w:top w:val="none" w:sz="0" w:space="0" w:color="auto"/>
        <w:left w:val="none" w:sz="0" w:space="0" w:color="auto"/>
        <w:bottom w:val="none" w:sz="0" w:space="0" w:color="auto"/>
        <w:right w:val="none" w:sz="0" w:space="0" w:color="auto"/>
      </w:divBdr>
      <w:divsChild>
        <w:div w:id="2134052903">
          <w:marLeft w:val="0"/>
          <w:marRight w:val="0"/>
          <w:marTop w:val="0"/>
          <w:marBottom w:val="0"/>
          <w:divBdr>
            <w:top w:val="none" w:sz="0" w:space="0" w:color="auto"/>
            <w:left w:val="none" w:sz="0" w:space="0" w:color="auto"/>
            <w:bottom w:val="none" w:sz="0" w:space="0" w:color="auto"/>
            <w:right w:val="none" w:sz="0" w:space="0" w:color="auto"/>
          </w:divBdr>
        </w:div>
      </w:divsChild>
    </w:div>
    <w:div w:id="1040935221">
      <w:bodyDiv w:val="1"/>
      <w:marLeft w:val="0"/>
      <w:marRight w:val="0"/>
      <w:marTop w:val="0"/>
      <w:marBottom w:val="0"/>
      <w:divBdr>
        <w:top w:val="none" w:sz="0" w:space="0" w:color="auto"/>
        <w:left w:val="none" w:sz="0" w:space="0" w:color="auto"/>
        <w:bottom w:val="none" w:sz="0" w:space="0" w:color="auto"/>
        <w:right w:val="none" w:sz="0" w:space="0" w:color="auto"/>
      </w:divBdr>
    </w:div>
    <w:div w:id="1085615705">
      <w:bodyDiv w:val="1"/>
      <w:marLeft w:val="0"/>
      <w:marRight w:val="0"/>
      <w:marTop w:val="0"/>
      <w:marBottom w:val="0"/>
      <w:divBdr>
        <w:top w:val="none" w:sz="0" w:space="0" w:color="auto"/>
        <w:left w:val="none" w:sz="0" w:space="0" w:color="auto"/>
        <w:bottom w:val="none" w:sz="0" w:space="0" w:color="auto"/>
        <w:right w:val="none" w:sz="0" w:space="0" w:color="auto"/>
      </w:divBdr>
    </w:div>
    <w:div w:id="1092972551">
      <w:bodyDiv w:val="1"/>
      <w:marLeft w:val="0"/>
      <w:marRight w:val="0"/>
      <w:marTop w:val="0"/>
      <w:marBottom w:val="0"/>
      <w:divBdr>
        <w:top w:val="none" w:sz="0" w:space="0" w:color="auto"/>
        <w:left w:val="none" w:sz="0" w:space="0" w:color="auto"/>
        <w:bottom w:val="none" w:sz="0" w:space="0" w:color="auto"/>
        <w:right w:val="none" w:sz="0" w:space="0" w:color="auto"/>
      </w:divBdr>
    </w:div>
    <w:div w:id="1109666728">
      <w:bodyDiv w:val="1"/>
      <w:marLeft w:val="0"/>
      <w:marRight w:val="0"/>
      <w:marTop w:val="0"/>
      <w:marBottom w:val="0"/>
      <w:divBdr>
        <w:top w:val="none" w:sz="0" w:space="0" w:color="auto"/>
        <w:left w:val="none" w:sz="0" w:space="0" w:color="auto"/>
        <w:bottom w:val="none" w:sz="0" w:space="0" w:color="auto"/>
        <w:right w:val="none" w:sz="0" w:space="0" w:color="auto"/>
      </w:divBdr>
    </w:div>
    <w:div w:id="1271545216">
      <w:bodyDiv w:val="1"/>
      <w:marLeft w:val="0"/>
      <w:marRight w:val="0"/>
      <w:marTop w:val="0"/>
      <w:marBottom w:val="0"/>
      <w:divBdr>
        <w:top w:val="none" w:sz="0" w:space="0" w:color="auto"/>
        <w:left w:val="none" w:sz="0" w:space="0" w:color="auto"/>
        <w:bottom w:val="none" w:sz="0" w:space="0" w:color="auto"/>
        <w:right w:val="none" w:sz="0" w:space="0" w:color="auto"/>
      </w:divBdr>
    </w:div>
    <w:div w:id="1277981384">
      <w:bodyDiv w:val="1"/>
      <w:marLeft w:val="0"/>
      <w:marRight w:val="0"/>
      <w:marTop w:val="0"/>
      <w:marBottom w:val="0"/>
      <w:divBdr>
        <w:top w:val="none" w:sz="0" w:space="0" w:color="auto"/>
        <w:left w:val="none" w:sz="0" w:space="0" w:color="auto"/>
        <w:bottom w:val="none" w:sz="0" w:space="0" w:color="auto"/>
        <w:right w:val="none" w:sz="0" w:space="0" w:color="auto"/>
      </w:divBdr>
    </w:div>
    <w:div w:id="1331105455">
      <w:bodyDiv w:val="1"/>
      <w:marLeft w:val="0"/>
      <w:marRight w:val="0"/>
      <w:marTop w:val="0"/>
      <w:marBottom w:val="0"/>
      <w:divBdr>
        <w:top w:val="none" w:sz="0" w:space="0" w:color="auto"/>
        <w:left w:val="none" w:sz="0" w:space="0" w:color="auto"/>
        <w:bottom w:val="none" w:sz="0" w:space="0" w:color="auto"/>
        <w:right w:val="none" w:sz="0" w:space="0" w:color="auto"/>
      </w:divBdr>
    </w:div>
    <w:div w:id="1389643532">
      <w:bodyDiv w:val="1"/>
      <w:marLeft w:val="0"/>
      <w:marRight w:val="0"/>
      <w:marTop w:val="0"/>
      <w:marBottom w:val="0"/>
      <w:divBdr>
        <w:top w:val="none" w:sz="0" w:space="0" w:color="auto"/>
        <w:left w:val="none" w:sz="0" w:space="0" w:color="auto"/>
        <w:bottom w:val="none" w:sz="0" w:space="0" w:color="auto"/>
        <w:right w:val="none" w:sz="0" w:space="0" w:color="auto"/>
      </w:divBdr>
    </w:div>
    <w:div w:id="1475685564">
      <w:bodyDiv w:val="1"/>
      <w:marLeft w:val="0"/>
      <w:marRight w:val="0"/>
      <w:marTop w:val="0"/>
      <w:marBottom w:val="0"/>
      <w:divBdr>
        <w:top w:val="none" w:sz="0" w:space="0" w:color="auto"/>
        <w:left w:val="none" w:sz="0" w:space="0" w:color="auto"/>
        <w:bottom w:val="none" w:sz="0" w:space="0" w:color="auto"/>
        <w:right w:val="none" w:sz="0" w:space="0" w:color="auto"/>
      </w:divBdr>
    </w:div>
    <w:div w:id="1477726796">
      <w:bodyDiv w:val="1"/>
      <w:marLeft w:val="0"/>
      <w:marRight w:val="0"/>
      <w:marTop w:val="0"/>
      <w:marBottom w:val="0"/>
      <w:divBdr>
        <w:top w:val="none" w:sz="0" w:space="0" w:color="auto"/>
        <w:left w:val="none" w:sz="0" w:space="0" w:color="auto"/>
        <w:bottom w:val="none" w:sz="0" w:space="0" w:color="auto"/>
        <w:right w:val="none" w:sz="0" w:space="0" w:color="auto"/>
      </w:divBdr>
    </w:div>
    <w:div w:id="1549948079">
      <w:bodyDiv w:val="1"/>
      <w:marLeft w:val="0"/>
      <w:marRight w:val="0"/>
      <w:marTop w:val="0"/>
      <w:marBottom w:val="0"/>
      <w:divBdr>
        <w:top w:val="none" w:sz="0" w:space="0" w:color="auto"/>
        <w:left w:val="none" w:sz="0" w:space="0" w:color="auto"/>
        <w:bottom w:val="none" w:sz="0" w:space="0" w:color="auto"/>
        <w:right w:val="none" w:sz="0" w:space="0" w:color="auto"/>
      </w:divBdr>
    </w:div>
    <w:div w:id="1688949048">
      <w:bodyDiv w:val="1"/>
      <w:marLeft w:val="0"/>
      <w:marRight w:val="0"/>
      <w:marTop w:val="0"/>
      <w:marBottom w:val="0"/>
      <w:divBdr>
        <w:top w:val="none" w:sz="0" w:space="0" w:color="auto"/>
        <w:left w:val="none" w:sz="0" w:space="0" w:color="auto"/>
        <w:bottom w:val="none" w:sz="0" w:space="0" w:color="auto"/>
        <w:right w:val="none" w:sz="0" w:space="0" w:color="auto"/>
      </w:divBdr>
    </w:div>
    <w:div w:id="1750931284">
      <w:bodyDiv w:val="1"/>
      <w:marLeft w:val="0"/>
      <w:marRight w:val="0"/>
      <w:marTop w:val="0"/>
      <w:marBottom w:val="0"/>
      <w:divBdr>
        <w:top w:val="none" w:sz="0" w:space="0" w:color="auto"/>
        <w:left w:val="none" w:sz="0" w:space="0" w:color="auto"/>
        <w:bottom w:val="none" w:sz="0" w:space="0" w:color="auto"/>
        <w:right w:val="none" w:sz="0" w:space="0" w:color="auto"/>
      </w:divBdr>
    </w:div>
    <w:div w:id="2008053211">
      <w:bodyDiv w:val="1"/>
      <w:marLeft w:val="0"/>
      <w:marRight w:val="0"/>
      <w:marTop w:val="0"/>
      <w:marBottom w:val="0"/>
      <w:divBdr>
        <w:top w:val="none" w:sz="0" w:space="0" w:color="auto"/>
        <w:left w:val="none" w:sz="0" w:space="0" w:color="auto"/>
        <w:bottom w:val="none" w:sz="0" w:space="0" w:color="auto"/>
        <w:right w:val="none" w:sz="0" w:space="0" w:color="auto"/>
      </w:divBdr>
    </w:div>
    <w:div w:id="2088840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6F741-82CD-4246-A700-F89FA4C1A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34</Pages>
  <Words>7289</Words>
  <Characters>41552</Characters>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2025-12-18T15:50:00Z</dcterms:created>
  <dcterms:modified xsi:type="dcterms:W3CDTF">2025-12-21T22:35:00Z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460b3b82-103a-46c7-bfe4-8496318a7d77</vt:lpwstr>
  </property>
</Properties>
</file>