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99B0B" w14:textId="77777777" w:rsidR="006B0558" w:rsidRDefault="006B0558">
      <w:pPr>
        <w:spacing w:line="480" w:lineRule="auto"/>
        <w:rPr>
          <w:rFonts w:ascii="Times New Roman" w:eastAsia="Times New Roman" w:hAnsi="Times New Roman" w:cs="Times New Roman"/>
          <w:sz w:val="24"/>
          <w:szCs w:val="24"/>
        </w:rPr>
      </w:pPr>
    </w:p>
    <w:p w14:paraId="24F99B0C" w14:textId="77777777" w:rsidR="006B0558" w:rsidRDefault="006B0558">
      <w:pPr>
        <w:spacing w:line="480" w:lineRule="auto"/>
        <w:rPr>
          <w:rFonts w:ascii="Times New Roman" w:eastAsia="Times New Roman" w:hAnsi="Times New Roman" w:cs="Times New Roman"/>
          <w:sz w:val="28"/>
          <w:szCs w:val="28"/>
        </w:rPr>
      </w:pPr>
    </w:p>
    <w:p w14:paraId="24F99B0D" w14:textId="77777777" w:rsidR="006B0558" w:rsidRDefault="00D534B0">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Managing People</w:t>
      </w:r>
    </w:p>
    <w:p w14:paraId="24F99B0E" w14:textId="77777777" w:rsidR="006B0558" w:rsidRDefault="00D534B0">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Flexible Working</w:t>
      </w:r>
    </w:p>
    <w:p w14:paraId="0AA7D9D3" w14:textId="77777777" w:rsidR="00DA1FD5" w:rsidRPr="00DF5AEC" w:rsidRDefault="00DA1FD5" w:rsidP="00DA1FD5">
      <w:pPr>
        <w:spacing w:line="480" w:lineRule="auto"/>
        <w:jc w:val="center"/>
        <w:rPr>
          <w:rFonts w:ascii="Times New Roman" w:eastAsia="Arial" w:hAnsi="Times New Roman" w:cs="Times New Roman"/>
          <w:sz w:val="24"/>
          <w:szCs w:val="24"/>
        </w:rPr>
      </w:pPr>
      <w:r w:rsidRPr="00DF5AEC">
        <w:rPr>
          <w:rFonts w:ascii="Times New Roman" w:eastAsia="Arial" w:hAnsi="Times New Roman" w:cs="Times New Roman"/>
          <w:sz w:val="24"/>
          <w:szCs w:val="24"/>
        </w:rPr>
        <w:t>by Anton Mersinkov ID: 2014039</w:t>
      </w:r>
    </w:p>
    <w:p w14:paraId="645C34EA" w14:textId="77777777" w:rsidR="00DA1FD5" w:rsidRPr="00DF5AEC" w:rsidRDefault="00DA1FD5" w:rsidP="00DA1FD5">
      <w:pPr>
        <w:spacing w:line="480" w:lineRule="auto"/>
        <w:rPr>
          <w:rFonts w:ascii="Times New Roman" w:eastAsia="Arial" w:hAnsi="Times New Roman" w:cs="Times New Roman"/>
          <w:sz w:val="24"/>
          <w:szCs w:val="24"/>
        </w:rPr>
      </w:pPr>
      <w:r w:rsidRPr="00DF5AEC">
        <w:rPr>
          <w:rFonts w:ascii="Times New Roman" w:eastAsia="Arial" w:hAnsi="Times New Roman" w:cs="Times New Roman"/>
          <w:sz w:val="24"/>
          <w:szCs w:val="24"/>
        </w:rPr>
        <w:t xml:space="preserve">                                             Managing People LCBB5004</w:t>
      </w:r>
    </w:p>
    <w:p w14:paraId="4066D6DD" w14:textId="77777777" w:rsidR="00DA1FD5" w:rsidRPr="00DF5AEC" w:rsidRDefault="00DA1FD5" w:rsidP="00DA1FD5">
      <w:pPr>
        <w:spacing w:line="480" w:lineRule="auto"/>
        <w:jc w:val="center"/>
        <w:rPr>
          <w:rFonts w:ascii="Times New Roman" w:eastAsia="Arial" w:hAnsi="Times New Roman" w:cs="Times New Roman"/>
          <w:sz w:val="24"/>
          <w:szCs w:val="24"/>
        </w:rPr>
      </w:pPr>
      <w:r w:rsidRPr="00DF5AEC">
        <w:rPr>
          <w:rFonts w:ascii="Times New Roman" w:eastAsia="Arial" w:hAnsi="Times New Roman" w:cs="Times New Roman"/>
          <w:sz w:val="24"/>
          <w:szCs w:val="24"/>
        </w:rPr>
        <w:t xml:space="preserve">Lecture Name: Nishi </w:t>
      </w:r>
      <w:proofErr w:type="spellStart"/>
      <w:r w:rsidRPr="00DF5AEC">
        <w:rPr>
          <w:rFonts w:ascii="Times New Roman" w:eastAsia="Arial" w:hAnsi="Times New Roman" w:cs="Times New Roman"/>
          <w:sz w:val="24"/>
          <w:szCs w:val="24"/>
        </w:rPr>
        <w:t>Ramsurrun</w:t>
      </w:r>
      <w:proofErr w:type="spellEnd"/>
    </w:p>
    <w:p w14:paraId="444DBEAB" w14:textId="77777777" w:rsidR="00DA1FD5" w:rsidRPr="00DF5AEC" w:rsidRDefault="00DA1FD5" w:rsidP="00DA1FD5">
      <w:pPr>
        <w:spacing w:line="480" w:lineRule="auto"/>
        <w:jc w:val="center"/>
        <w:rPr>
          <w:rFonts w:ascii="Times New Roman" w:eastAsia="Arial" w:hAnsi="Times New Roman" w:cs="Times New Roman"/>
          <w:sz w:val="24"/>
          <w:szCs w:val="24"/>
        </w:rPr>
      </w:pPr>
      <w:r w:rsidRPr="00DF5AEC">
        <w:rPr>
          <w:rFonts w:ascii="Times New Roman" w:eastAsia="Arial" w:hAnsi="Times New Roman" w:cs="Times New Roman"/>
          <w:sz w:val="24"/>
          <w:szCs w:val="24"/>
        </w:rPr>
        <w:t>University Of Wales Trinity Saint David</w:t>
      </w:r>
    </w:p>
    <w:p w14:paraId="24F99B0F" w14:textId="6604322C" w:rsidR="006B0558" w:rsidRPr="00DF5AEC" w:rsidRDefault="00DA1FD5" w:rsidP="00DA1FD5">
      <w:pPr>
        <w:spacing w:line="480" w:lineRule="auto"/>
        <w:jc w:val="center"/>
        <w:rPr>
          <w:rFonts w:ascii="Times New Roman" w:eastAsia="Arial" w:hAnsi="Times New Roman" w:cs="Times New Roman"/>
          <w:sz w:val="24"/>
          <w:szCs w:val="24"/>
        </w:rPr>
      </w:pPr>
      <w:r w:rsidRPr="00DF5AEC">
        <w:rPr>
          <w:rFonts w:ascii="Times New Roman" w:eastAsia="Arial" w:hAnsi="Times New Roman" w:cs="Times New Roman"/>
          <w:sz w:val="24"/>
          <w:szCs w:val="24"/>
        </w:rPr>
        <w:t>London Campus</w:t>
      </w:r>
    </w:p>
    <w:p w14:paraId="24F99B16" w14:textId="77777777" w:rsidR="006B0558" w:rsidRDefault="00D534B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Date</w:t>
      </w:r>
    </w:p>
    <w:p w14:paraId="24F99B17" w14:textId="77777777" w:rsidR="006B0558" w:rsidRDefault="00D534B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Words: 2500</w:t>
      </w:r>
    </w:p>
    <w:p w14:paraId="24F99B18" w14:textId="77777777" w:rsidR="006B0558" w:rsidRDefault="006B0558">
      <w:pPr>
        <w:spacing w:line="240" w:lineRule="auto"/>
        <w:rPr>
          <w:rFonts w:ascii="Arial" w:eastAsia="Arial" w:hAnsi="Arial" w:cs="Arial"/>
          <w:sz w:val="24"/>
          <w:szCs w:val="24"/>
        </w:rPr>
      </w:pPr>
    </w:p>
    <w:p w14:paraId="24F99B19" w14:textId="77777777" w:rsidR="006B0558" w:rsidRDefault="006B0558">
      <w:pPr>
        <w:spacing w:line="480" w:lineRule="auto"/>
        <w:rPr>
          <w:rFonts w:ascii="Times New Roman" w:eastAsia="Times New Roman" w:hAnsi="Times New Roman" w:cs="Times New Roman"/>
          <w:sz w:val="24"/>
          <w:szCs w:val="24"/>
        </w:rPr>
      </w:pPr>
    </w:p>
    <w:p w14:paraId="24F99B1A" w14:textId="77777777" w:rsidR="006B0558" w:rsidRDefault="006B0558">
      <w:pPr>
        <w:spacing w:line="480" w:lineRule="auto"/>
        <w:rPr>
          <w:rFonts w:ascii="Times New Roman" w:eastAsia="Times New Roman" w:hAnsi="Times New Roman" w:cs="Times New Roman"/>
          <w:sz w:val="24"/>
          <w:szCs w:val="24"/>
        </w:rPr>
      </w:pPr>
    </w:p>
    <w:p w14:paraId="55994F6B" w14:textId="77777777" w:rsidR="00DA1FD5" w:rsidRDefault="00DA1FD5">
      <w:pPr>
        <w:spacing w:line="480" w:lineRule="auto"/>
        <w:rPr>
          <w:rFonts w:ascii="Times New Roman" w:eastAsia="Times New Roman" w:hAnsi="Times New Roman" w:cs="Times New Roman"/>
          <w:sz w:val="24"/>
          <w:szCs w:val="24"/>
        </w:rPr>
      </w:pPr>
    </w:p>
    <w:p w14:paraId="1299A7AA" w14:textId="77777777" w:rsidR="00DA1FD5" w:rsidRDefault="00DA1FD5">
      <w:pPr>
        <w:spacing w:line="480" w:lineRule="auto"/>
        <w:rPr>
          <w:rFonts w:ascii="Times New Roman" w:eastAsia="Times New Roman" w:hAnsi="Times New Roman" w:cs="Times New Roman"/>
          <w:sz w:val="24"/>
          <w:szCs w:val="24"/>
        </w:rPr>
      </w:pPr>
    </w:p>
    <w:p w14:paraId="34C4CF5C" w14:textId="77777777" w:rsidR="00674AFD" w:rsidRDefault="00674AFD">
      <w:pPr>
        <w:spacing w:line="480" w:lineRule="auto"/>
        <w:rPr>
          <w:rFonts w:ascii="Times New Roman" w:eastAsia="Times New Roman" w:hAnsi="Times New Roman" w:cs="Times New Roman"/>
          <w:sz w:val="24"/>
          <w:szCs w:val="24"/>
        </w:rPr>
      </w:pPr>
    </w:p>
    <w:p w14:paraId="108405BA" w14:textId="77777777" w:rsidR="00674AFD" w:rsidRDefault="00674AFD">
      <w:pPr>
        <w:spacing w:line="480" w:lineRule="auto"/>
        <w:rPr>
          <w:rFonts w:ascii="Times New Roman" w:eastAsia="Times New Roman" w:hAnsi="Times New Roman" w:cs="Times New Roman"/>
          <w:sz w:val="24"/>
          <w:szCs w:val="24"/>
        </w:rPr>
      </w:pPr>
    </w:p>
    <w:p w14:paraId="2AABDE60" w14:textId="77777777" w:rsidR="00674AFD" w:rsidRDefault="00674AFD">
      <w:pPr>
        <w:spacing w:line="480" w:lineRule="auto"/>
        <w:rPr>
          <w:rFonts w:ascii="Times New Roman" w:eastAsia="Times New Roman" w:hAnsi="Times New Roman" w:cs="Times New Roman"/>
          <w:sz w:val="24"/>
          <w:szCs w:val="24"/>
        </w:rPr>
      </w:pPr>
    </w:p>
    <w:p w14:paraId="24F99B1B" w14:textId="77777777" w:rsidR="006B0558" w:rsidRDefault="00D534B0">
      <w:pPr>
        <w:keepNext/>
        <w:keepLines/>
        <w:pBdr>
          <w:top w:val="nil"/>
          <w:left w:val="nil"/>
          <w:bottom w:val="nil"/>
          <w:right w:val="nil"/>
          <w:between w:val="nil"/>
        </w:pBdr>
        <w:spacing w:before="240" w:after="0" w:line="48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129967262"/>
        <w:docPartObj>
          <w:docPartGallery w:val="Table of Contents"/>
          <w:docPartUnique/>
        </w:docPartObj>
      </w:sdtPr>
      <w:sdtEndPr/>
      <w:sdtContent>
        <w:p w14:paraId="24F99B1C" w14:textId="77777777" w:rsidR="006B0558" w:rsidRDefault="00D534B0">
          <w:pPr>
            <w:tabs>
              <w:tab w:val="right" w:pos="9025"/>
            </w:tabs>
            <w:spacing w:before="80" w:line="24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_gjdgxs \h </w:instrText>
          </w:r>
          <w:r>
            <w:fldChar w:fldCharType="separate"/>
          </w:r>
          <w:r>
            <w:rPr>
              <w:rFonts w:ascii="Times New Roman" w:eastAsia="Times New Roman" w:hAnsi="Times New Roman" w:cs="Times New Roman"/>
              <w:b/>
              <w:color w:val="000000"/>
              <w:sz w:val="24"/>
              <w:szCs w:val="24"/>
            </w:rPr>
            <w:t>3</w:t>
          </w:r>
          <w:r>
            <w:fldChar w:fldCharType="end"/>
          </w:r>
        </w:p>
        <w:p w14:paraId="24F99B1D" w14:textId="77777777" w:rsidR="006B0558" w:rsidRDefault="0016106C">
          <w:pPr>
            <w:tabs>
              <w:tab w:val="right" w:pos="9025"/>
            </w:tabs>
            <w:spacing w:before="200" w:line="240" w:lineRule="auto"/>
            <w:rPr>
              <w:rFonts w:ascii="Times New Roman" w:eastAsia="Times New Roman" w:hAnsi="Times New Roman" w:cs="Times New Roman"/>
              <w:color w:val="000000"/>
              <w:sz w:val="24"/>
              <w:szCs w:val="24"/>
            </w:rPr>
          </w:pPr>
          <w:hyperlink w:anchor="_30j0zll">
            <w:r w:rsidR="00D534B0">
              <w:rPr>
                <w:rFonts w:ascii="Times New Roman" w:eastAsia="Times New Roman" w:hAnsi="Times New Roman" w:cs="Times New Roman"/>
                <w:color w:val="000000"/>
                <w:sz w:val="24"/>
                <w:szCs w:val="24"/>
              </w:rPr>
              <w:t>The role of Human Resources in promoting diversity and inclusion through flexible working</w:t>
            </w:r>
          </w:hyperlink>
          <w:r w:rsidR="00D534B0">
            <w:rPr>
              <w:rFonts w:ascii="Times New Roman" w:eastAsia="Times New Roman" w:hAnsi="Times New Roman" w:cs="Times New Roman"/>
              <w:color w:val="000000"/>
              <w:sz w:val="24"/>
              <w:szCs w:val="24"/>
            </w:rPr>
            <w:tab/>
          </w:r>
          <w:r w:rsidR="00D534B0">
            <w:fldChar w:fldCharType="begin"/>
          </w:r>
          <w:r w:rsidR="00D534B0">
            <w:instrText xml:space="preserve"> PAGEREF _30j0zll \h </w:instrText>
          </w:r>
          <w:r w:rsidR="00D534B0">
            <w:fldChar w:fldCharType="separate"/>
          </w:r>
          <w:r w:rsidR="00D534B0">
            <w:rPr>
              <w:rFonts w:ascii="Times New Roman" w:eastAsia="Times New Roman" w:hAnsi="Times New Roman" w:cs="Times New Roman"/>
              <w:b/>
              <w:color w:val="000000"/>
              <w:sz w:val="24"/>
              <w:szCs w:val="24"/>
            </w:rPr>
            <w:t>5</w:t>
          </w:r>
          <w:r w:rsidR="00D534B0">
            <w:fldChar w:fldCharType="end"/>
          </w:r>
        </w:p>
        <w:p w14:paraId="24F99B1E" w14:textId="77777777" w:rsidR="006B0558" w:rsidRDefault="0016106C">
          <w:pPr>
            <w:tabs>
              <w:tab w:val="right" w:pos="9025"/>
            </w:tabs>
            <w:spacing w:before="200" w:line="240" w:lineRule="auto"/>
            <w:rPr>
              <w:rFonts w:ascii="Times New Roman" w:eastAsia="Times New Roman" w:hAnsi="Times New Roman" w:cs="Times New Roman"/>
              <w:color w:val="000000"/>
              <w:sz w:val="24"/>
              <w:szCs w:val="24"/>
            </w:rPr>
          </w:pPr>
          <w:hyperlink w:anchor="_1fob9te">
            <w:r w:rsidR="00D534B0">
              <w:rPr>
                <w:rFonts w:ascii="Times New Roman" w:eastAsia="Times New Roman" w:hAnsi="Times New Roman" w:cs="Times New Roman"/>
                <w:color w:val="000000"/>
                <w:sz w:val="24"/>
                <w:szCs w:val="24"/>
              </w:rPr>
              <w:t>Flexible working pros and cons</w:t>
            </w:r>
          </w:hyperlink>
          <w:r w:rsidR="00D534B0">
            <w:rPr>
              <w:rFonts w:ascii="Times New Roman" w:eastAsia="Times New Roman" w:hAnsi="Times New Roman" w:cs="Times New Roman"/>
              <w:color w:val="000000"/>
              <w:sz w:val="24"/>
              <w:szCs w:val="24"/>
            </w:rPr>
            <w:tab/>
          </w:r>
          <w:r w:rsidR="00D534B0">
            <w:fldChar w:fldCharType="begin"/>
          </w:r>
          <w:r w:rsidR="00D534B0">
            <w:instrText xml:space="preserve"> PAGEREF _1fob9te \h </w:instrText>
          </w:r>
          <w:r w:rsidR="00D534B0">
            <w:fldChar w:fldCharType="separate"/>
          </w:r>
          <w:r w:rsidR="00D534B0">
            <w:rPr>
              <w:rFonts w:ascii="Times New Roman" w:eastAsia="Times New Roman" w:hAnsi="Times New Roman" w:cs="Times New Roman"/>
              <w:b/>
              <w:color w:val="000000"/>
              <w:sz w:val="24"/>
              <w:szCs w:val="24"/>
            </w:rPr>
            <w:t>7</w:t>
          </w:r>
          <w:r w:rsidR="00D534B0">
            <w:fldChar w:fldCharType="end"/>
          </w:r>
        </w:p>
        <w:p w14:paraId="24F99B1F" w14:textId="77777777" w:rsidR="006B0558" w:rsidRDefault="0016106C">
          <w:pPr>
            <w:tabs>
              <w:tab w:val="right" w:pos="9025"/>
            </w:tabs>
            <w:spacing w:before="200" w:line="240" w:lineRule="auto"/>
            <w:rPr>
              <w:rFonts w:ascii="Times New Roman" w:eastAsia="Times New Roman" w:hAnsi="Times New Roman" w:cs="Times New Roman"/>
              <w:color w:val="000000"/>
              <w:sz w:val="24"/>
              <w:szCs w:val="24"/>
            </w:rPr>
          </w:pPr>
          <w:hyperlink w:anchor="_3znysh7">
            <w:r w:rsidR="00D534B0">
              <w:rPr>
                <w:rFonts w:ascii="Times New Roman" w:eastAsia="Times New Roman" w:hAnsi="Times New Roman" w:cs="Times New Roman"/>
                <w:color w:val="000000"/>
                <w:sz w:val="24"/>
                <w:szCs w:val="24"/>
              </w:rPr>
              <w:t>The role of Human Resources in addressing the concerns of inequality that may arise from flexible working</w:t>
            </w:r>
          </w:hyperlink>
          <w:r w:rsidR="00D534B0">
            <w:rPr>
              <w:rFonts w:ascii="Times New Roman" w:eastAsia="Times New Roman" w:hAnsi="Times New Roman" w:cs="Times New Roman"/>
              <w:color w:val="000000"/>
              <w:sz w:val="24"/>
              <w:szCs w:val="24"/>
            </w:rPr>
            <w:tab/>
          </w:r>
          <w:r w:rsidR="00D534B0">
            <w:fldChar w:fldCharType="begin"/>
          </w:r>
          <w:r w:rsidR="00D534B0">
            <w:instrText xml:space="preserve"> PAGEREF _3znysh7 \h </w:instrText>
          </w:r>
          <w:r w:rsidR="00D534B0">
            <w:fldChar w:fldCharType="separate"/>
          </w:r>
          <w:r w:rsidR="00D534B0">
            <w:rPr>
              <w:rFonts w:ascii="Times New Roman" w:eastAsia="Times New Roman" w:hAnsi="Times New Roman" w:cs="Times New Roman"/>
              <w:b/>
              <w:color w:val="000000"/>
              <w:sz w:val="24"/>
              <w:szCs w:val="24"/>
            </w:rPr>
            <w:t>8</w:t>
          </w:r>
          <w:r w:rsidR="00D534B0">
            <w:fldChar w:fldCharType="end"/>
          </w:r>
        </w:p>
        <w:p w14:paraId="24F99B20" w14:textId="02F62E99" w:rsidR="006B0558" w:rsidRDefault="0016106C">
          <w:pPr>
            <w:tabs>
              <w:tab w:val="right" w:pos="9025"/>
            </w:tabs>
            <w:spacing w:before="200" w:line="240" w:lineRule="auto"/>
            <w:rPr>
              <w:rFonts w:ascii="Times New Roman" w:eastAsia="Times New Roman" w:hAnsi="Times New Roman" w:cs="Times New Roman"/>
              <w:color w:val="000000"/>
              <w:sz w:val="24"/>
              <w:szCs w:val="24"/>
            </w:rPr>
          </w:pPr>
          <w:hyperlink w:anchor="_2et92p0">
            <w:r w:rsidR="00D534B0">
              <w:rPr>
                <w:rFonts w:ascii="Times New Roman" w:eastAsia="Times New Roman" w:hAnsi="Times New Roman" w:cs="Times New Roman"/>
                <w:color w:val="000000"/>
                <w:sz w:val="24"/>
                <w:szCs w:val="24"/>
              </w:rPr>
              <w:t>Conclusion</w:t>
            </w:r>
          </w:hyperlink>
          <w:r w:rsidR="00D534B0">
            <w:rPr>
              <w:rFonts w:ascii="Times New Roman" w:eastAsia="Times New Roman" w:hAnsi="Times New Roman" w:cs="Times New Roman"/>
              <w:color w:val="000000"/>
              <w:sz w:val="24"/>
              <w:szCs w:val="24"/>
            </w:rPr>
            <w:tab/>
          </w:r>
          <w:r w:rsidR="002261B7" w:rsidRPr="002261B7">
            <w:rPr>
              <w:b/>
              <w:bCs/>
            </w:rPr>
            <w:t>10</w:t>
          </w:r>
        </w:p>
        <w:p w14:paraId="24F99B21" w14:textId="77777777" w:rsidR="006B0558" w:rsidRDefault="0016106C">
          <w:pPr>
            <w:tabs>
              <w:tab w:val="right" w:pos="9025"/>
            </w:tabs>
            <w:spacing w:before="200" w:after="80" w:line="240" w:lineRule="auto"/>
            <w:rPr>
              <w:rFonts w:ascii="Times New Roman" w:eastAsia="Times New Roman" w:hAnsi="Times New Roman" w:cs="Times New Roman"/>
              <w:b/>
              <w:color w:val="000000"/>
              <w:sz w:val="24"/>
              <w:szCs w:val="24"/>
            </w:rPr>
          </w:pPr>
          <w:hyperlink w:anchor="_j7jirsve8exv">
            <w:r w:rsidR="00D534B0">
              <w:rPr>
                <w:rFonts w:ascii="Times New Roman" w:eastAsia="Times New Roman" w:hAnsi="Times New Roman" w:cs="Times New Roman"/>
                <w:b/>
                <w:color w:val="000000"/>
                <w:sz w:val="24"/>
                <w:szCs w:val="24"/>
              </w:rPr>
              <w:t>References</w:t>
            </w:r>
          </w:hyperlink>
          <w:r w:rsidR="00D534B0">
            <w:rPr>
              <w:rFonts w:ascii="Times New Roman" w:eastAsia="Times New Roman" w:hAnsi="Times New Roman" w:cs="Times New Roman"/>
              <w:b/>
              <w:color w:val="000000"/>
              <w:sz w:val="24"/>
              <w:szCs w:val="24"/>
            </w:rPr>
            <w:tab/>
          </w:r>
          <w:r w:rsidR="00D534B0">
            <w:fldChar w:fldCharType="begin"/>
          </w:r>
          <w:r w:rsidR="00D534B0">
            <w:instrText xml:space="preserve"> PAGEREF _j7jirsve8exv \h </w:instrText>
          </w:r>
          <w:r w:rsidR="00D534B0">
            <w:fldChar w:fldCharType="separate"/>
          </w:r>
          <w:r w:rsidR="00D534B0">
            <w:rPr>
              <w:rFonts w:ascii="Times New Roman" w:eastAsia="Times New Roman" w:hAnsi="Times New Roman" w:cs="Times New Roman"/>
              <w:b/>
              <w:color w:val="000000"/>
              <w:sz w:val="24"/>
              <w:szCs w:val="24"/>
            </w:rPr>
            <w:t>12</w:t>
          </w:r>
          <w:r w:rsidR="00D534B0">
            <w:fldChar w:fldCharType="end"/>
          </w:r>
          <w:r w:rsidR="00D534B0">
            <w:fldChar w:fldCharType="end"/>
          </w:r>
        </w:p>
      </w:sdtContent>
    </w:sdt>
    <w:p w14:paraId="24F99B22" w14:textId="77777777" w:rsidR="006B0558" w:rsidRDefault="006B0558">
      <w:pPr>
        <w:spacing w:line="480" w:lineRule="auto"/>
        <w:rPr>
          <w:rFonts w:ascii="Times New Roman" w:eastAsia="Times New Roman" w:hAnsi="Times New Roman" w:cs="Times New Roman"/>
          <w:sz w:val="24"/>
          <w:szCs w:val="24"/>
        </w:rPr>
      </w:pPr>
    </w:p>
    <w:p w14:paraId="24F99B23" w14:textId="77777777" w:rsidR="006B0558" w:rsidRDefault="006B0558">
      <w:pPr>
        <w:spacing w:line="480" w:lineRule="auto"/>
        <w:rPr>
          <w:rFonts w:ascii="Times New Roman" w:eastAsia="Times New Roman" w:hAnsi="Times New Roman" w:cs="Times New Roman"/>
          <w:sz w:val="24"/>
          <w:szCs w:val="24"/>
        </w:rPr>
      </w:pPr>
    </w:p>
    <w:p w14:paraId="24F99B24" w14:textId="77777777" w:rsidR="006B0558" w:rsidRDefault="006B0558">
      <w:pPr>
        <w:spacing w:line="480" w:lineRule="auto"/>
        <w:rPr>
          <w:rFonts w:ascii="Times New Roman" w:eastAsia="Times New Roman" w:hAnsi="Times New Roman" w:cs="Times New Roman"/>
          <w:sz w:val="24"/>
          <w:szCs w:val="24"/>
        </w:rPr>
      </w:pPr>
    </w:p>
    <w:p w14:paraId="24F99B25" w14:textId="77777777" w:rsidR="006B0558" w:rsidRDefault="006B0558">
      <w:pPr>
        <w:spacing w:line="480" w:lineRule="auto"/>
        <w:rPr>
          <w:rFonts w:ascii="Times New Roman" w:eastAsia="Times New Roman" w:hAnsi="Times New Roman" w:cs="Times New Roman"/>
          <w:sz w:val="24"/>
          <w:szCs w:val="24"/>
        </w:rPr>
      </w:pPr>
    </w:p>
    <w:p w14:paraId="24F99B26" w14:textId="77777777" w:rsidR="006B0558" w:rsidRDefault="006B0558">
      <w:pPr>
        <w:spacing w:line="480" w:lineRule="auto"/>
        <w:rPr>
          <w:rFonts w:ascii="Times New Roman" w:eastAsia="Times New Roman" w:hAnsi="Times New Roman" w:cs="Times New Roman"/>
          <w:sz w:val="24"/>
          <w:szCs w:val="24"/>
        </w:rPr>
      </w:pPr>
    </w:p>
    <w:p w14:paraId="24F99B27" w14:textId="77777777" w:rsidR="006B0558" w:rsidRDefault="006B0558">
      <w:pPr>
        <w:spacing w:line="480" w:lineRule="auto"/>
        <w:rPr>
          <w:rFonts w:ascii="Times New Roman" w:eastAsia="Times New Roman" w:hAnsi="Times New Roman" w:cs="Times New Roman"/>
          <w:sz w:val="24"/>
          <w:szCs w:val="24"/>
        </w:rPr>
      </w:pPr>
    </w:p>
    <w:p w14:paraId="24F99B28" w14:textId="77777777" w:rsidR="006B0558" w:rsidRDefault="006B0558">
      <w:pPr>
        <w:spacing w:line="480" w:lineRule="auto"/>
        <w:rPr>
          <w:rFonts w:ascii="Times New Roman" w:eastAsia="Times New Roman" w:hAnsi="Times New Roman" w:cs="Times New Roman"/>
          <w:sz w:val="24"/>
          <w:szCs w:val="24"/>
        </w:rPr>
      </w:pPr>
    </w:p>
    <w:p w14:paraId="24F99B29" w14:textId="77777777" w:rsidR="006B0558" w:rsidRDefault="006B0558">
      <w:pPr>
        <w:spacing w:line="480" w:lineRule="auto"/>
        <w:rPr>
          <w:rFonts w:ascii="Times New Roman" w:eastAsia="Times New Roman" w:hAnsi="Times New Roman" w:cs="Times New Roman"/>
          <w:sz w:val="24"/>
          <w:szCs w:val="24"/>
        </w:rPr>
      </w:pPr>
    </w:p>
    <w:p w14:paraId="24F99B2A" w14:textId="77777777" w:rsidR="006B0558" w:rsidRDefault="006B0558">
      <w:pPr>
        <w:spacing w:line="480" w:lineRule="auto"/>
        <w:rPr>
          <w:rFonts w:ascii="Times New Roman" w:eastAsia="Times New Roman" w:hAnsi="Times New Roman" w:cs="Times New Roman"/>
          <w:sz w:val="24"/>
          <w:szCs w:val="24"/>
        </w:rPr>
      </w:pPr>
    </w:p>
    <w:p w14:paraId="24F99B2B" w14:textId="77777777" w:rsidR="006B0558" w:rsidRDefault="006B0558">
      <w:pPr>
        <w:spacing w:line="480" w:lineRule="auto"/>
        <w:rPr>
          <w:rFonts w:ascii="Times New Roman" w:eastAsia="Times New Roman" w:hAnsi="Times New Roman" w:cs="Times New Roman"/>
          <w:sz w:val="24"/>
          <w:szCs w:val="24"/>
        </w:rPr>
      </w:pPr>
    </w:p>
    <w:p w14:paraId="24F99B2C" w14:textId="77777777" w:rsidR="006B0558" w:rsidRDefault="006B0558">
      <w:pPr>
        <w:spacing w:line="480" w:lineRule="auto"/>
        <w:rPr>
          <w:rFonts w:ascii="Times New Roman" w:eastAsia="Times New Roman" w:hAnsi="Times New Roman" w:cs="Times New Roman"/>
          <w:sz w:val="24"/>
          <w:szCs w:val="24"/>
        </w:rPr>
      </w:pPr>
    </w:p>
    <w:p w14:paraId="702670D0" w14:textId="77777777" w:rsidR="00642B08" w:rsidRDefault="00642B08">
      <w:pPr>
        <w:spacing w:line="480" w:lineRule="auto"/>
        <w:rPr>
          <w:rFonts w:ascii="Times New Roman" w:eastAsia="Times New Roman" w:hAnsi="Times New Roman" w:cs="Times New Roman"/>
          <w:sz w:val="24"/>
          <w:szCs w:val="24"/>
        </w:rPr>
      </w:pPr>
    </w:p>
    <w:p w14:paraId="24F99B2D" w14:textId="77777777" w:rsidR="006B0558" w:rsidRDefault="006B0558">
      <w:pPr>
        <w:spacing w:line="480" w:lineRule="auto"/>
        <w:jc w:val="center"/>
        <w:rPr>
          <w:rFonts w:ascii="Times New Roman" w:eastAsia="Times New Roman" w:hAnsi="Times New Roman" w:cs="Times New Roman"/>
          <w:sz w:val="24"/>
          <w:szCs w:val="24"/>
        </w:rPr>
      </w:pPr>
    </w:p>
    <w:p w14:paraId="24F99B2E" w14:textId="77777777" w:rsidR="006B0558" w:rsidRDefault="00D534B0">
      <w:pPr>
        <w:pStyle w:val="1"/>
        <w:spacing w:line="480" w:lineRule="auto"/>
        <w:rPr>
          <w:rFonts w:ascii="Times New Roman" w:eastAsia="Times New Roman" w:hAnsi="Times New Roman" w:cs="Times New Roman"/>
          <w:b/>
          <w:color w:val="000000"/>
          <w:sz w:val="28"/>
          <w:szCs w:val="28"/>
        </w:rPr>
      </w:pPr>
      <w:bookmarkStart w:id="0" w:name="_gjdgxs" w:colFirst="0" w:colLast="0"/>
      <w:bookmarkEnd w:id="0"/>
      <w:r>
        <w:rPr>
          <w:rFonts w:ascii="Times New Roman" w:eastAsia="Times New Roman" w:hAnsi="Times New Roman" w:cs="Times New Roman"/>
          <w:b/>
          <w:color w:val="000000"/>
          <w:sz w:val="28"/>
          <w:szCs w:val="28"/>
        </w:rPr>
        <w:lastRenderedPageBreak/>
        <w:t>Introduction</w:t>
      </w:r>
    </w:p>
    <w:p w14:paraId="24F99B2F"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Yu, Burke and </w:t>
      </w:r>
      <w:proofErr w:type="spellStart"/>
      <w:r>
        <w:rPr>
          <w:rFonts w:ascii="Times New Roman" w:eastAsia="Times New Roman" w:hAnsi="Times New Roman" w:cs="Times New Roman"/>
          <w:sz w:val="24"/>
          <w:szCs w:val="24"/>
        </w:rPr>
        <w:t>Raad</w:t>
      </w:r>
      <w:proofErr w:type="spellEnd"/>
      <w:r>
        <w:rPr>
          <w:rFonts w:ascii="Times New Roman" w:eastAsia="Times New Roman" w:hAnsi="Times New Roman" w:cs="Times New Roman"/>
          <w:sz w:val="24"/>
          <w:szCs w:val="24"/>
        </w:rPr>
        <w:t xml:space="preserve"> (2019) flexible working is: "a way of working that allows for greater flexibility in how and where employees carry out their work." In other words, a flexible working model is a way the organisation can conduct itself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the work process more flexible. It is "a set of policies and practices designed to enable work to be conducted wherever convenient, rather than only at a specific location or during particular hours" (Soga et al., 2022). Flexible working models are not new, but have been around for decades, in what has been described as a ‘patchwork’ of arrangements. The driving force behind the emergence of flexible working has been a combination of factors-including workforce changes, increased globalisation, diverse workforce needs and pressures to compete in the fast-paced environment. </w:t>
      </w:r>
    </w:p>
    <w:p w14:paraId="24F99B30"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considerable evidence that flexible working is associated with positive outcomes for employees while they are engaged in it, such as improved health, greater </w:t>
      </w:r>
      <w:proofErr w:type="gramStart"/>
      <w:r>
        <w:rPr>
          <w:rFonts w:ascii="Times New Roman" w:eastAsia="Times New Roman" w:hAnsi="Times New Roman" w:cs="Times New Roman"/>
          <w:sz w:val="24"/>
          <w:szCs w:val="24"/>
        </w:rPr>
        <w:t>productivity</w:t>
      </w:r>
      <w:proofErr w:type="gramEnd"/>
      <w:r>
        <w:rPr>
          <w:rFonts w:ascii="Times New Roman" w:eastAsia="Times New Roman" w:hAnsi="Times New Roman" w:cs="Times New Roman"/>
          <w:sz w:val="24"/>
          <w:szCs w:val="24"/>
        </w:rPr>
        <w:t xml:space="preserve"> and higher morale (Soga et al., 2022). Flexible Working should be Open to All. Since any organisation's ability to succeed depends on </w:t>
      </w:r>
      <w:proofErr w:type="gramStart"/>
      <w:r>
        <w:rPr>
          <w:rFonts w:ascii="Times New Roman" w:eastAsia="Times New Roman" w:hAnsi="Times New Roman" w:cs="Times New Roman"/>
          <w:sz w:val="24"/>
          <w:szCs w:val="24"/>
        </w:rPr>
        <w:t>attracting and retaining high quality recruits and staff at all times</w:t>
      </w:r>
      <w:proofErr w:type="gramEnd"/>
      <w:r>
        <w:rPr>
          <w:rFonts w:ascii="Times New Roman" w:eastAsia="Times New Roman" w:hAnsi="Times New Roman" w:cs="Times New Roman"/>
          <w:sz w:val="24"/>
          <w:szCs w:val="24"/>
        </w:rPr>
        <w:t>, it's no surprise that with more flexible working arrangements come other advantages that employers value.</w:t>
      </w:r>
    </w:p>
    <w:p w14:paraId="24F99B31"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Diversity is a fundamental human need and an important characteristic of organisations. Therefore, a diverse workforce is vital to ensuring organisations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represent each employee's needs in the workplace in terms of roles and practices, and in terms of language, culture, heritage and so on (Roberson, 2019). The recent developments with globalisation have led to increasingly complex and multicultural environments where educational needs are changing alongside needs for skilled professionals (Mousa, </w:t>
      </w:r>
      <w:proofErr w:type="spellStart"/>
      <w:r>
        <w:rPr>
          <w:rFonts w:ascii="Times New Roman" w:eastAsia="Times New Roman" w:hAnsi="Times New Roman" w:cs="Times New Roman"/>
          <w:sz w:val="24"/>
          <w:szCs w:val="24"/>
        </w:rPr>
        <w:t>Massoud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Ayoubi</w:t>
      </w:r>
      <w:proofErr w:type="spellEnd"/>
      <w:r>
        <w:rPr>
          <w:rFonts w:ascii="Times New Roman" w:eastAsia="Times New Roman" w:hAnsi="Times New Roman" w:cs="Times New Roman"/>
          <w:sz w:val="24"/>
          <w:szCs w:val="24"/>
        </w:rPr>
        <w:t xml:space="preserve">, 2019). In addition, the changing </w:t>
      </w:r>
      <w:proofErr w:type="gramStart"/>
      <w:r>
        <w:rPr>
          <w:rFonts w:ascii="Times New Roman" w:eastAsia="Times New Roman" w:hAnsi="Times New Roman" w:cs="Times New Roman"/>
          <w:sz w:val="24"/>
          <w:szCs w:val="24"/>
        </w:rPr>
        <w:t>attitudes</w:t>
      </w:r>
      <w:proofErr w:type="gramEnd"/>
      <w:r>
        <w:rPr>
          <w:rFonts w:ascii="Times New Roman" w:eastAsia="Times New Roman" w:hAnsi="Times New Roman" w:cs="Times New Roman"/>
          <w:sz w:val="24"/>
          <w:szCs w:val="24"/>
        </w:rPr>
        <w:t xml:space="preserve"> and opportunities for women in the workforce have influenced greatly, as well as the fact that ‘there are a number of reasons for a </w:t>
      </w:r>
      <w:r>
        <w:rPr>
          <w:rFonts w:ascii="Times New Roman" w:eastAsia="Times New Roman" w:hAnsi="Times New Roman" w:cs="Times New Roman"/>
          <w:sz w:val="24"/>
          <w:szCs w:val="24"/>
        </w:rPr>
        <w:lastRenderedPageBreak/>
        <w:t>greater proportion of adult learners to seek part-time education than in the past’. Combined with increased competition, technological change and economic globalisation, these factors have made flexible working a serious necessity in modern business.</w:t>
      </w:r>
    </w:p>
    <w:p w14:paraId="24F99B32"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Alongside flexible working comes the issue of inclusion at work, which will be reviewed in this report. The organisations are considering adopting flexible working practices wherever possible across all levels. In the case of flexible working, this will be at all levels of their business, from the highest manager to the lowest employee (Chung and van der Lippe, 2018). This is because understanding and adapting to its impacts with regards to inclusion within the organisation is a more complex skill that may require its employees to develop when implementing flexible working practices. Due to these complex considerations, it has been suggested that organisations adopt more flexible working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promote diversity and inclusion (Timms, Brough and Chan, 2020). The company can provide the employees with the flexibility they need to work from home, or in more remote locations and still be able to maintain a flexible relationship with their </w:t>
      </w:r>
      <w:proofErr w:type="gramStart"/>
      <w:r>
        <w:rPr>
          <w:rFonts w:ascii="Times New Roman" w:eastAsia="Times New Roman" w:hAnsi="Times New Roman" w:cs="Times New Roman"/>
          <w:sz w:val="24"/>
          <w:szCs w:val="24"/>
        </w:rPr>
        <w:t>employer, and</w:t>
      </w:r>
      <w:proofErr w:type="gramEnd"/>
      <w:r>
        <w:rPr>
          <w:rFonts w:ascii="Times New Roman" w:eastAsia="Times New Roman" w:hAnsi="Times New Roman" w:cs="Times New Roman"/>
          <w:sz w:val="24"/>
          <w:szCs w:val="24"/>
        </w:rPr>
        <w:t xml:space="preserve"> be able to have a career and work life balance. This will enable businesses to meet the demands of a 24/7 consumer culture as well as an accommodating pace of innovation.</w:t>
      </w:r>
    </w:p>
    <w:p w14:paraId="24F99B33" w14:textId="77777777" w:rsidR="006B0558" w:rsidRDefault="00D534B0">
      <w:pPr>
        <w:spacing w:line="480" w:lineRule="auto"/>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Bustelo</w:t>
      </w:r>
      <w:proofErr w:type="spellEnd"/>
      <w:r>
        <w:rPr>
          <w:rFonts w:ascii="Times New Roman" w:eastAsia="Times New Roman" w:hAnsi="Times New Roman" w:cs="Times New Roman"/>
          <w:sz w:val="24"/>
          <w:szCs w:val="24"/>
        </w:rPr>
        <w:t xml:space="preserve">, Vargas and Carrion (2020) are in support of flexible working models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their impacts on corporate social responsibility - CSR. The characteristics of flexible working include: "being open-minded and accepting; open communication; informed, transparent communication; positive attitude; greater employee participation; mutual trust and respect; high levels of commitment, loyalty, enthusiasm and energy” (Fox, </w:t>
      </w:r>
      <w:proofErr w:type="gramStart"/>
      <w:r>
        <w:rPr>
          <w:rFonts w:ascii="Times New Roman" w:eastAsia="Times New Roman" w:hAnsi="Times New Roman" w:cs="Times New Roman"/>
          <w:sz w:val="24"/>
          <w:szCs w:val="24"/>
        </w:rPr>
        <w:t>Davis</w:t>
      </w:r>
      <w:proofErr w:type="gramEnd"/>
      <w:r>
        <w:rPr>
          <w:rFonts w:ascii="Times New Roman" w:eastAsia="Times New Roman" w:hAnsi="Times New Roman" w:cs="Times New Roman"/>
          <w:sz w:val="24"/>
          <w:szCs w:val="24"/>
        </w:rPr>
        <w:t xml:space="preserve"> and Baucus, 2020). In the modern workplace, there is a need for flexibility for many reasons. When SMEs start to respond to this need,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consider many different factors such as whether the employees are prepared, what changes they can make and how it might affect their employees.</w:t>
      </w:r>
    </w:p>
    <w:p w14:paraId="24F99B34"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organisation needs to ensure that they are prepared and equipped with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necessary resources in order to make these changes (</w:t>
      </w:r>
      <w:proofErr w:type="spellStart"/>
      <w:r>
        <w:rPr>
          <w:rFonts w:ascii="Times New Roman" w:eastAsia="Times New Roman" w:hAnsi="Times New Roman" w:cs="Times New Roman"/>
          <w:sz w:val="24"/>
          <w:szCs w:val="24"/>
        </w:rPr>
        <w:t>Ribas</w:t>
      </w:r>
      <w:proofErr w:type="spellEnd"/>
      <w:r>
        <w:rPr>
          <w:rFonts w:ascii="Times New Roman" w:eastAsia="Times New Roman" w:hAnsi="Times New Roman" w:cs="Times New Roman"/>
          <w:sz w:val="24"/>
          <w:szCs w:val="24"/>
        </w:rPr>
        <w:t>, 2020). If the company implements flexible working practices, they should ensure that all employees are prepared beforehand and receive training, so they will be aware of any new expectations that may be placed upon them (Juvonen, 2019). Therefore, it is important for SMEs to ensure that they are doing enough to support the needs of their employees with regards to flexible working practices. This can allow the organisation to remain competitive in the modern business environment.</w:t>
      </w:r>
    </w:p>
    <w:p w14:paraId="24F99B35"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reviewing the successes of flexible working, it needs to be considered why it has been successful. For example, if people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work in a more flexible manner that fits their personal commitments it would mean that they would be able to spend more time with family or looking after their children/parents (Juvonen, 2019). This can improve an employee’s outlook on life, giving them a better outlook when they </w:t>
      </w:r>
      <w:proofErr w:type="gramStart"/>
      <w:r>
        <w:rPr>
          <w:rFonts w:ascii="Times New Roman" w:eastAsia="Times New Roman" w:hAnsi="Times New Roman" w:cs="Times New Roman"/>
          <w:sz w:val="24"/>
          <w:szCs w:val="24"/>
        </w:rPr>
        <w:t>return back</w:t>
      </w:r>
      <w:proofErr w:type="gramEnd"/>
      <w:r>
        <w:rPr>
          <w:rFonts w:ascii="Times New Roman" w:eastAsia="Times New Roman" w:hAnsi="Times New Roman" w:cs="Times New Roman"/>
          <w:sz w:val="24"/>
          <w:szCs w:val="24"/>
        </w:rPr>
        <w:t xml:space="preserve"> home and therefore increasing productivity.</w:t>
      </w:r>
    </w:p>
    <w:p w14:paraId="24F99B36" w14:textId="77777777" w:rsidR="006B0558" w:rsidRDefault="006B0558">
      <w:pPr>
        <w:spacing w:line="480" w:lineRule="auto"/>
        <w:ind w:firstLine="720"/>
        <w:rPr>
          <w:rFonts w:ascii="Times New Roman" w:eastAsia="Times New Roman" w:hAnsi="Times New Roman" w:cs="Times New Roman"/>
          <w:sz w:val="24"/>
          <w:szCs w:val="24"/>
        </w:rPr>
      </w:pPr>
    </w:p>
    <w:p w14:paraId="24F99B37" w14:textId="77777777" w:rsidR="006B0558" w:rsidRDefault="00D534B0">
      <w:pPr>
        <w:pStyle w:val="1"/>
        <w:spacing w:line="480" w:lineRule="auto"/>
        <w:rPr>
          <w:rFonts w:ascii="Times New Roman" w:eastAsia="Times New Roman" w:hAnsi="Times New Roman" w:cs="Times New Roman"/>
          <w:b/>
          <w:color w:val="000000"/>
          <w:sz w:val="28"/>
          <w:szCs w:val="28"/>
        </w:rPr>
      </w:pPr>
      <w:bookmarkStart w:id="1" w:name="_30j0zll" w:colFirst="0" w:colLast="0"/>
      <w:bookmarkEnd w:id="1"/>
      <w:r>
        <w:rPr>
          <w:rFonts w:ascii="Times New Roman" w:eastAsia="Times New Roman" w:hAnsi="Times New Roman" w:cs="Times New Roman"/>
          <w:b/>
          <w:color w:val="000000"/>
          <w:sz w:val="28"/>
          <w:szCs w:val="28"/>
        </w:rPr>
        <w:t>The role of Human Resources in promoting diversity and inclusion through flexible working</w:t>
      </w:r>
    </w:p>
    <w:p w14:paraId="24F99B38"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Resource’s role in promoting diversity and inclusion is vital to the success of an organisation, as without them an organisation can suffer greatly. Therefore, a Human Resource’s role in promoting Diversity and Inclusion through flexible working should primarily be with regards to the consideration of when it should be implemented and who benefits from it (Beatty et al., 2018). The organisation needs to consider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implementing flexible working practices may affect their employees with regards to diversity and inclusion. Is there a possibility that flexible working practices can increase opportunities? </w:t>
      </w:r>
      <w:r>
        <w:rPr>
          <w:rFonts w:ascii="Times New Roman" w:eastAsia="Times New Roman" w:hAnsi="Times New Roman" w:cs="Times New Roman"/>
          <w:sz w:val="24"/>
          <w:szCs w:val="24"/>
        </w:rPr>
        <w:lastRenderedPageBreak/>
        <w:t xml:space="preserve">Can flexible working help to decrease the discrimination that women, ethnic minority groups and disabled people face in the workplace? If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then there is a chance that their employees would benefit from this.</w:t>
      </w:r>
    </w:p>
    <w:p w14:paraId="24F99B39"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human resource plays roles such as providing adequate and clear information to employees, ensuring that the implementation of flexible working practices will not be discriminatory and providing training when necessary (Brimhall and Barak, 2018). Therefore, they need to ensure that they are providing the correct information to their employees relating to flexible working practices, so they can make an informed decision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whether or not it is right for them (Collings et al., 2021). In addition, as a Human Resource’s means of communication is vital for their ability to provide adequate support for the organisation’s employees. Therefore, clear communication is key to ensure that employees are aware of what is expected from them with regards to flexible working practices so there can be no confusion.</w:t>
      </w:r>
    </w:p>
    <w:p w14:paraId="24F99B3A"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Collings et al. (2021) states that a Human Resource’s role must be noted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flexible working practices differ from company to company. Therefore, it can be difficult to understand how flexible working can be implemented in a variety of organisations, therefore it is important for the HR team to make sure that they are prepared and trained appropriately (Yong et al., 2019). Furthermore, the Human Resources must consider their employee's needs with regards to flexibility in their working arrangements, as well as the needs of their employers. With regards to flexible working practices, the HR team should ensure that they are providing adequate training and communication for any staff members who may benefit from these changes.</w:t>
      </w:r>
    </w:p>
    <w:p w14:paraId="24F99B3B" w14:textId="77777777" w:rsidR="006B0558" w:rsidRDefault="006B0558">
      <w:pPr>
        <w:spacing w:line="480" w:lineRule="auto"/>
        <w:ind w:firstLine="720"/>
        <w:rPr>
          <w:rFonts w:ascii="Times New Roman" w:eastAsia="Times New Roman" w:hAnsi="Times New Roman" w:cs="Times New Roman"/>
          <w:sz w:val="24"/>
          <w:szCs w:val="24"/>
        </w:rPr>
      </w:pPr>
    </w:p>
    <w:p w14:paraId="24F99B3C" w14:textId="77777777" w:rsidR="006B0558" w:rsidRDefault="00D534B0">
      <w:pPr>
        <w:pStyle w:val="1"/>
        <w:spacing w:line="480" w:lineRule="auto"/>
        <w:rPr>
          <w:rFonts w:ascii="Times New Roman" w:eastAsia="Times New Roman" w:hAnsi="Times New Roman" w:cs="Times New Roman"/>
          <w:b/>
          <w:color w:val="000000"/>
          <w:sz w:val="28"/>
          <w:szCs w:val="28"/>
        </w:rPr>
      </w:pPr>
      <w:bookmarkStart w:id="2" w:name="_1fob9te" w:colFirst="0" w:colLast="0"/>
      <w:bookmarkEnd w:id="2"/>
      <w:r>
        <w:rPr>
          <w:rFonts w:ascii="Times New Roman" w:eastAsia="Times New Roman" w:hAnsi="Times New Roman" w:cs="Times New Roman"/>
          <w:b/>
          <w:color w:val="000000"/>
          <w:sz w:val="28"/>
          <w:szCs w:val="28"/>
        </w:rPr>
        <w:lastRenderedPageBreak/>
        <w:t>Flexible working pros and cons</w:t>
      </w:r>
    </w:p>
    <w:p w14:paraId="24F99B3D"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Flexibility at the workplace has been linked to inequality at work. Human Resources are </w:t>
      </w:r>
      <w:proofErr w:type="gramStart"/>
      <w:r>
        <w:rPr>
          <w:rFonts w:ascii="Times New Roman" w:eastAsia="Times New Roman" w:hAnsi="Times New Roman" w:cs="Times New Roman"/>
          <w:sz w:val="24"/>
          <w:szCs w:val="24"/>
        </w:rPr>
        <w:t>in a position</w:t>
      </w:r>
      <w:proofErr w:type="gramEnd"/>
      <w:r>
        <w:rPr>
          <w:rFonts w:ascii="Times New Roman" w:eastAsia="Times New Roman" w:hAnsi="Times New Roman" w:cs="Times New Roman"/>
          <w:sz w:val="24"/>
          <w:szCs w:val="24"/>
        </w:rPr>
        <w:t xml:space="preserve"> to address the concerns that arise from this. For example, by designing and managing flexible arrangements in accordance with the needs of everyone including those who may be adversely affected by such arrangements (O’Connor and Cech, 2018). Or by providing training and development opportunities to empower employees to make informed decisions about their careers, the organisations they work for and how they organise their time.</w:t>
      </w:r>
    </w:p>
    <w:p w14:paraId="24F99B3E"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make a case against flexible working, it is worth considering some of the reasons why people find flexible working appealing - people typically view flexibility as an opportunity for more autonomy at work which can enhance job satisfaction as employees are able to balance different aspects of their lives outside of work (</w:t>
      </w:r>
      <w:proofErr w:type="spellStart"/>
      <w:r>
        <w:rPr>
          <w:rFonts w:ascii="Times New Roman" w:eastAsia="Times New Roman" w:hAnsi="Times New Roman" w:cs="Times New Roman"/>
          <w:sz w:val="24"/>
          <w:szCs w:val="24"/>
        </w:rPr>
        <w:t>Lyttelton</w:t>
      </w:r>
      <w:proofErr w:type="spellEnd"/>
      <w:r>
        <w:rPr>
          <w:rFonts w:ascii="Times New Roman" w:eastAsia="Times New Roman" w:hAnsi="Times New Roman" w:cs="Times New Roman"/>
          <w:sz w:val="24"/>
          <w:szCs w:val="24"/>
        </w:rPr>
        <w:t xml:space="preserve">, Zang and </w:t>
      </w:r>
      <w:proofErr w:type="spellStart"/>
      <w:r>
        <w:rPr>
          <w:rFonts w:ascii="Times New Roman" w:eastAsia="Times New Roman" w:hAnsi="Times New Roman" w:cs="Times New Roman"/>
          <w:sz w:val="24"/>
          <w:szCs w:val="24"/>
        </w:rPr>
        <w:t>Musick</w:t>
      </w:r>
      <w:proofErr w:type="spellEnd"/>
      <w:r>
        <w:rPr>
          <w:rFonts w:ascii="Times New Roman" w:eastAsia="Times New Roman" w:hAnsi="Times New Roman" w:cs="Times New Roman"/>
          <w:sz w:val="24"/>
          <w:szCs w:val="24"/>
        </w:rPr>
        <w:t xml:space="preserve">, 2020). However, it is linked to inequality in that flexibility is more prevalent in those occupations and roles with lower wages, lower female participation and lower pay progression for women. Flexible working contracts can also lead to reduced loyalty, increased job insecurity, reduced </w:t>
      </w:r>
      <w:proofErr w:type="gramStart"/>
      <w:r>
        <w:rPr>
          <w:rFonts w:ascii="Times New Roman" w:eastAsia="Times New Roman" w:hAnsi="Times New Roman" w:cs="Times New Roman"/>
          <w:sz w:val="24"/>
          <w:szCs w:val="24"/>
        </w:rPr>
        <w:t>commitment</w:t>
      </w:r>
      <w:proofErr w:type="gramEnd"/>
      <w:r>
        <w:rPr>
          <w:rFonts w:ascii="Times New Roman" w:eastAsia="Times New Roman" w:hAnsi="Times New Roman" w:cs="Times New Roman"/>
          <w:sz w:val="24"/>
          <w:szCs w:val="24"/>
        </w:rPr>
        <w:t xml:space="preserve"> and less job satisfaction (</w:t>
      </w:r>
      <w:proofErr w:type="spellStart"/>
      <w:r>
        <w:rPr>
          <w:rFonts w:ascii="Times New Roman" w:eastAsia="Times New Roman" w:hAnsi="Times New Roman" w:cs="Times New Roman"/>
          <w:sz w:val="24"/>
          <w:szCs w:val="24"/>
        </w:rPr>
        <w:t>Yeves</w:t>
      </w:r>
      <w:proofErr w:type="spellEnd"/>
      <w:r>
        <w:rPr>
          <w:rFonts w:ascii="Times New Roman" w:eastAsia="Times New Roman" w:hAnsi="Times New Roman" w:cs="Times New Roman"/>
          <w:sz w:val="24"/>
          <w:szCs w:val="24"/>
        </w:rPr>
        <w:t xml:space="preserve"> et al., 2019). This can affect the way that people work in different ways - for example workplace flexibility is linked to low productivity whereby employees may spend more time on tasks not related to their main role of being productive at work but instead incomplete or unproductive tasks.</w:t>
      </w:r>
    </w:p>
    <w:p w14:paraId="24F99B3F"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negative concerns of a flexible workplace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that it may lead to organisations changing their strategy in relation to flexible working such as replacing full time workers with part-time and/or agency workers (</w:t>
      </w:r>
      <w:proofErr w:type="spellStart"/>
      <w:r>
        <w:rPr>
          <w:rFonts w:ascii="Times New Roman" w:eastAsia="Times New Roman" w:hAnsi="Times New Roman" w:cs="Times New Roman"/>
          <w:sz w:val="24"/>
          <w:szCs w:val="24"/>
        </w:rPr>
        <w:t>Davidescu</w:t>
      </w:r>
      <w:proofErr w:type="spellEnd"/>
      <w:r>
        <w:rPr>
          <w:rFonts w:ascii="Times New Roman" w:eastAsia="Times New Roman" w:hAnsi="Times New Roman" w:cs="Times New Roman"/>
          <w:sz w:val="24"/>
          <w:szCs w:val="24"/>
        </w:rPr>
        <w:t xml:space="preserve"> et al., 2020). This can lead to the exploitation of these workers and impacts negatively on their work-life balance, job satisfaction, </w:t>
      </w:r>
      <w:proofErr w:type="gramStart"/>
      <w:r>
        <w:rPr>
          <w:rFonts w:ascii="Times New Roman" w:eastAsia="Times New Roman" w:hAnsi="Times New Roman" w:cs="Times New Roman"/>
          <w:sz w:val="24"/>
          <w:szCs w:val="24"/>
        </w:rPr>
        <w:t>health</w:t>
      </w:r>
      <w:proofErr w:type="gramEnd"/>
      <w:r>
        <w:rPr>
          <w:rFonts w:ascii="Times New Roman" w:eastAsia="Times New Roman" w:hAnsi="Times New Roman" w:cs="Times New Roman"/>
          <w:sz w:val="24"/>
          <w:szCs w:val="24"/>
        </w:rPr>
        <w:t xml:space="preserve"> and family life (</w:t>
      </w:r>
      <w:proofErr w:type="spellStart"/>
      <w:r>
        <w:rPr>
          <w:rFonts w:ascii="Times New Roman" w:eastAsia="Times New Roman" w:hAnsi="Times New Roman" w:cs="Times New Roman"/>
          <w:sz w:val="24"/>
          <w:szCs w:val="24"/>
        </w:rPr>
        <w:t>Bellmann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Hubler</w:t>
      </w:r>
      <w:proofErr w:type="spellEnd"/>
      <w:r>
        <w:rPr>
          <w:rFonts w:ascii="Times New Roman" w:eastAsia="Times New Roman" w:hAnsi="Times New Roman" w:cs="Times New Roman"/>
          <w:sz w:val="24"/>
          <w:szCs w:val="24"/>
        </w:rPr>
        <w:t xml:space="preserve">, 2013). It can also increase wage inequalities, affect the morale of employees who are put at a disadvantage by others having </w:t>
      </w:r>
      <w:r>
        <w:rPr>
          <w:rFonts w:ascii="Times New Roman" w:eastAsia="Times New Roman" w:hAnsi="Times New Roman" w:cs="Times New Roman"/>
          <w:sz w:val="24"/>
          <w:szCs w:val="24"/>
        </w:rPr>
        <w:lastRenderedPageBreak/>
        <w:t>autonomy over work scheduling which they do not have. It is hard to end flexible working because people have negotiated a flexibility standard with their employer but sometimes employers don’t keep up their side of the bargain - for example an employer does not let you take holiday leave that you have earned or turn down a request for flexible working even though it was agreed previously.</w:t>
      </w:r>
    </w:p>
    <w:p w14:paraId="24F99B40" w14:textId="77777777" w:rsidR="006B0558" w:rsidRDefault="006B0558">
      <w:pPr>
        <w:spacing w:line="480" w:lineRule="auto"/>
        <w:ind w:firstLine="720"/>
        <w:rPr>
          <w:rFonts w:ascii="Times New Roman" w:eastAsia="Times New Roman" w:hAnsi="Times New Roman" w:cs="Times New Roman"/>
          <w:sz w:val="24"/>
          <w:szCs w:val="24"/>
        </w:rPr>
      </w:pPr>
    </w:p>
    <w:p w14:paraId="24F99B41" w14:textId="77777777" w:rsidR="006B0558" w:rsidRDefault="00D534B0">
      <w:pPr>
        <w:pStyle w:val="1"/>
        <w:spacing w:line="480" w:lineRule="auto"/>
        <w:rPr>
          <w:rFonts w:ascii="Times New Roman" w:eastAsia="Times New Roman" w:hAnsi="Times New Roman" w:cs="Times New Roman"/>
          <w:b/>
          <w:color w:val="000000"/>
          <w:sz w:val="28"/>
          <w:szCs w:val="28"/>
        </w:rPr>
      </w:pPr>
      <w:bookmarkStart w:id="3" w:name="_3znysh7" w:colFirst="0" w:colLast="0"/>
      <w:bookmarkEnd w:id="3"/>
      <w:r>
        <w:rPr>
          <w:rFonts w:ascii="Times New Roman" w:eastAsia="Times New Roman" w:hAnsi="Times New Roman" w:cs="Times New Roman"/>
          <w:b/>
          <w:color w:val="000000"/>
          <w:sz w:val="28"/>
          <w:szCs w:val="28"/>
        </w:rPr>
        <w:t>The role of Human Resources in addressing the concerns of inequality that may arise from flexible working</w:t>
      </w:r>
    </w:p>
    <w:p w14:paraId="24F99B42"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working is potentially highly beneficial for most employee groups. However, evidence suggests that there may be some groups with a greater risk of inequality if flexible hours and working patterns were to be more common practice (</w:t>
      </w:r>
      <w:proofErr w:type="spellStart"/>
      <w:r>
        <w:rPr>
          <w:rFonts w:ascii="Times New Roman" w:eastAsia="Times New Roman" w:hAnsi="Times New Roman" w:cs="Times New Roman"/>
          <w:sz w:val="24"/>
          <w:szCs w:val="24"/>
        </w:rPr>
        <w:t>Kossek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Lautsch</w:t>
      </w:r>
      <w:proofErr w:type="spellEnd"/>
      <w:r>
        <w:rPr>
          <w:rFonts w:ascii="Times New Roman" w:eastAsia="Times New Roman" w:hAnsi="Times New Roman" w:cs="Times New Roman"/>
          <w:sz w:val="24"/>
          <w:szCs w:val="24"/>
        </w:rPr>
        <w:t xml:space="preserve">, 2013). Companies may also benefit from increased motivation, improved employee retention and higher productivity if workers have autonomy over their lives at work. It is thus crucial that flexibility arrangements </w:t>
      </w:r>
      <w:proofErr w:type="gramStart"/>
      <w:r>
        <w:rPr>
          <w:rFonts w:ascii="Times New Roman" w:eastAsia="Times New Roman" w:hAnsi="Times New Roman" w:cs="Times New Roman"/>
          <w:sz w:val="24"/>
          <w:szCs w:val="24"/>
        </w:rPr>
        <w:t>take into account</w:t>
      </w:r>
      <w:proofErr w:type="gramEnd"/>
      <w:r>
        <w:rPr>
          <w:rFonts w:ascii="Times New Roman" w:eastAsia="Times New Roman" w:hAnsi="Times New Roman" w:cs="Times New Roman"/>
          <w:sz w:val="24"/>
          <w:szCs w:val="24"/>
        </w:rPr>
        <w:t xml:space="preserve"> these potential risks and benefits as well as being well managed.</w:t>
      </w:r>
    </w:p>
    <w:p w14:paraId="24F99B43"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human resource is tasked with dealing with inequality that may arise due to flexible working in various ways (Gonsalves, 2020). The issue here is not necessarily addressing flexibility itself, but the way that it has been embedded in organisations. Human Resources can play a role in the design of flexible working from the perspective of the impact it may have on people’s lives at work (Kristal, Cohen and </w:t>
      </w:r>
      <w:proofErr w:type="spellStart"/>
      <w:r>
        <w:rPr>
          <w:rFonts w:ascii="Times New Roman" w:eastAsia="Times New Roman" w:hAnsi="Times New Roman" w:cs="Times New Roman"/>
          <w:sz w:val="24"/>
          <w:szCs w:val="24"/>
        </w:rPr>
        <w:t>Navot</w:t>
      </w:r>
      <w:proofErr w:type="spellEnd"/>
      <w:r>
        <w:rPr>
          <w:rFonts w:ascii="Times New Roman" w:eastAsia="Times New Roman" w:hAnsi="Times New Roman" w:cs="Times New Roman"/>
          <w:sz w:val="24"/>
          <w:szCs w:val="24"/>
        </w:rPr>
        <w:t xml:space="preserve">, 2020). There are many ways that flexible working can be designed to be beneficial for everyone - one example is by providing dedicated parental leave policy, which will decrease unproductive time at work and allow employees to maintain their productivity. It is important to create a positive working environment for every employee. </w:t>
      </w:r>
    </w:p>
    <w:p w14:paraId="24F99B44"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impact of flexibility can also be mitigated by ensuring that policies and procedures are implemented alongside any workplace changes ensuring that all employees have appropriate training, </w:t>
      </w:r>
      <w:proofErr w:type="gramStart"/>
      <w:r>
        <w:rPr>
          <w:rFonts w:ascii="Times New Roman" w:eastAsia="Times New Roman" w:hAnsi="Times New Roman" w:cs="Times New Roman"/>
          <w:sz w:val="24"/>
          <w:szCs w:val="24"/>
        </w:rPr>
        <w:t>support</w:t>
      </w:r>
      <w:proofErr w:type="gramEnd"/>
      <w:r>
        <w:rPr>
          <w:rFonts w:ascii="Times New Roman" w:eastAsia="Times New Roman" w:hAnsi="Times New Roman" w:cs="Times New Roman"/>
          <w:sz w:val="24"/>
          <w:szCs w:val="24"/>
        </w:rPr>
        <w:t xml:space="preserve"> and guidance so that they know what they need to do in order to remain productive while working flexibly (Kristal, Cohen and </w:t>
      </w:r>
      <w:proofErr w:type="spellStart"/>
      <w:r>
        <w:rPr>
          <w:rFonts w:ascii="Times New Roman" w:eastAsia="Times New Roman" w:hAnsi="Times New Roman" w:cs="Times New Roman"/>
          <w:sz w:val="24"/>
          <w:szCs w:val="24"/>
        </w:rPr>
        <w:t>Navot</w:t>
      </w:r>
      <w:proofErr w:type="spellEnd"/>
      <w:r>
        <w:rPr>
          <w:rFonts w:ascii="Times New Roman" w:eastAsia="Times New Roman" w:hAnsi="Times New Roman" w:cs="Times New Roman"/>
          <w:sz w:val="24"/>
          <w:szCs w:val="24"/>
        </w:rPr>
        <w:t>, 2020). The human resource can also establish and maintain social networks for employees who face challenges with their flexible working arrangements and ensure that these networks are a positive influence on wellbeing.</w:t>
      </w:r>
    </w:p>
    <w:p w14:paraId="24F99B45"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Resources can also help address inequalities in flexible working by providing career development opportunities to enhance employees’ knowledge of flexible working so that they are better informed, more </w:t>
      </w:r>
      <w:proofErr w:type="gramStart"/>
      <w:r>
        <w:rPr>
          <w:rFonts w:ascii="Times New Roman" w:eastAsia="Times New Roman" w:hAnsi="Times New Roman" w:cs="Times New Roman"/>
          <w:sz w:val="24"/>
          <w:szCs w:val="24"/>
        </w:rPr>
        <w:t>empowered</w:t>
      </w:r>
      <w:proofErr w:type="gramEnd"/>
      <w:r>
        <w:rPr>
          <w:rFonts w:ascii="Times New Roman" w:eastAsia="Times New Roman" w:hAnsi="Times New Roman" w:cs="Times New Roman"/>
          <w:sz w:val="24"/>
          <w:szCs w:val="24"/>
        </w:rPr>
        <w:t xml:space="preserve"> and better able to make informed decisions regarding their careers, the organisation they work for and how they organise their time (Andersen et al., 2019). Also, Human Resources can offer support for employees who have issues related to flexible working. The human resource could provide support in relation to bullying, grievances, </w:t>
      </w:r>
      <w:proofErr w:type="gramStart"/>
      <w:r>
        <w:rPr>
          <w:rFonts w:ascii="Times New Roman" w:eastAsia="Times New Roman" w:hAnsi="Times New Roman" w:cs="Times New Roman"/>
          <w:sz w:val="24"/>
          <w:szCs w:val="24"/>
        </w:rPr>
        <w:t>harassment</w:t>
      </w:r>
      <w:proofErr w:type="gramEnd"/>
      <w:r>
        <w:rPr>
          <w:rFonts w:ascii="Times New Roman" w:eastAsia="Times New Roman" w:hAnsi="Times New Roman" w:cs="Times New Roman"/>
          <w:sz w:val="24"/>
          <w:szCs w:val="24"/>
        </w:rPr>
        <w:t xml:space="preserve"> and discrimination when people are not getting their needs met.</w:t>
      </w:r>
    </w:p>
    <w:p w14:paraId="24F99B46"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role of the human resource is crucial in addressing the concerns regarding inequality that may arise due to flexible working as they are in a position of power to influence how it is designed, </w:t>
      </w:r>
      <w:proofErr w:type="gramStart"/>
      <w:r>
        <w:rPr>
          <w:rFonts w:ascii="Times New Roman" w:eastAsia="Times New Roman" w:hAnsi="Times New Roman" w:cs="Times New Roman"/>
          <w:sz w:val="24"/>
          <w:szCs w:val="24"/>
        </w:rPr>
        <w:t>implemented</w:t>
      </w:r>
      <w:proofErr w:type="gramEnd"/>
      <w:r>
        <w:rPr>
          <w:rFonts w:ascii="Times New Roman" w:eastAsia="Times New Roman" w:hAnsi="Times New Roman" w:cs="Times New Roman"/>
          <w:sz w:val="24"/>
          <w:szCs w:val="24"/>
        </w:rPr>
        <w:t xml:space="preserve"> and managed within an organisation (Chung et al., 2021). Thus, if an organisation’s approach toward flexible working is appropriate then the human resource can benefit staff by ensuring that more employees work flexibly and get a more balanced work-life balance as well as having lower absenteeism and higher productivity while working flexibly (</w:t>
      </w:r>
      <w:proofErr w:type="spellStart"/>
      <w:r>
        <w:rPr>
          <w:rFonts w:ascii="Times New Roman" w:eastAsia="Times New Roman" w:hAnsi="Times New Roman" w:cs="Times New Roman"/>
          <w:sz w:val="24"/>
          <w:szCs w:val="24"/>
        </w:rPr>
        <w:t>Butterick</w:t>
      </w:r>
      <w:proofErr w:type="spellEnd"/>
      <w:r>
        <w:rPr>
          <w:rFonts w:ascii="Times New Roman" w:eastAsia="Times New Roman" w:hAnsi="Times New Roman" w:cs="Times New Roman"/>
          <w:sz w:val="24"/>
          <w:szCs w:val="24"/>
        </w:rPr>
        <w:t xml:space="preserve"> and Charlwood, 2021). On the other hand, if flexible working is not well managed then the human resource could cause negative consequences such as increasing inequities in work-life balance and in productivity. In this case, the human </w:t>
      </w:r>
      <w:r>
        <w:rPr>
          <w:rFonts w:ascii="Times New Roman" w:eastAsia="Times New Roman" w:hAnsi="Times New Roman" w:cs="Times New Roman"/>
          <w:sz w:val="24"/>
          <w:szCs w:val="24"/>
        </w:rPr>
        <w:lastRenderedPageBreak/>
        <w:t>resource’s role should not be to make people work flexible hours but instead to ensure that flexible working does not increase inequalities.</w:t>
      </w:r>
    </w:p>
    <w:p w14:paraId="24F99B47"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Flexible working can influence the way that people balance their home and work </w:t>
      </w:r>
      <w:proofErr w:type="gramStart"/>
      <w:r>
        <w:rPr>
          <w:rFonts w:ascii="Times New Roman" w:eastAsia="Times New Roman" w:hAnsi="Times New Roman" w:cs="Times New Roman"/>
          <w:sz w:val="24"/>
          <w:szCs w:val="24"/>
        </w:rPr>
        <w:t>life</w:t>
      </w:r>
      <w:proofErr w:type="gramEnd"/>
      <w:r>
        <w:rPr>
          <w:rFonts w:ascii="Times New Roman" w:eastAsia="Times New Roman" w:hAnsi="Times New Roman" w:cs="Times New Roman"/>
          <w:sz w:val="24"/>
          <w:szCs w:val="24"/>
        </w:rPr>
        <w:t xml:space="preserve"> and this impact is of a negative nature. Part-timers were less happy with their jobs and had less confidence in their ability to cope at work if they had to take their young child along with them. Flexible working is a complex issue that requires effective support of Human Resources to ensure it is conducted in a positive way (</w:t>
      </w:r>
      <w:proofErr w:type="spellStart"/>
      <w:r>
        <w:rPr>
          <w:rFonts w:ascii="Times New Roman" w:eastAsia="Times New Roman" w:hAnsi="Times New Roman" w:cs="Times New Roman"/>
          <w:sz w:val="24"/>
          <w:szCs w:val="24"/>
        </w:rPr>
        <w:t>Butterick</w:t>
      </w:r>
      <w:proofErr w:type="spellEnd"/>
      <w:r>
        <w:rPr>
          <w:rFonts w:ascii="Times New Roman" w:eastAsia="Times New Roman" w:hAnsi="Times New Roman" w:cs="Times New Roman"/>
          <w:sz w:val="24"/>
          <w:szCs w:val="24"/>
        </w:rPr>
        <w:t xml:space="preserve"> and Charlwood, 2021). Flexible working plays an important part in achieving a healthy work-life balance and getting the most out of employees - it can also be beneficial for employers because of improved productivity and increased motivation which results from increased autonomy at work (Palumbo, 2020). However, in some cases these benefits can be put at risk if changed too much or not implemented correctly or if flexibility is exploited. Therefore, a proper approach to flexible working as well as its proper management is imperative to ensure its positive components outweigh the negative ones.</w:t>
      </w:r>
    </w:p>
    <w:p w14:paraId="24F99B48"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working may be thought of as challenging and often misunderstood. The same can be said for other workplace flexibility arrangements such as part-time work and job sharing - both are very important but also not often understood by people outside the fields concerned (Palumbo, 2020). However, this article examines flexible working as it has been implemented in a wide range of organisations using research and surveys conducted among employees, HR professionals and employers on this topic.</w:t>
      </w:r>
    </w:p>
    <w:p w14:paraId="24F99B49" w14:textId="77777777" w:rsidR="006B0558" w:rsidRDefault="00D534B0">
      <w:pPr>
        <w:pStyle w:val="1"/>
        <w:spacing w:line="480" w:lineRule="auto"/>
        <w:rPr>
          <w:rFonts w:ascii="Times New Roman" w:eastAsia="Times New Roman" w:hAnsi="Times New Roman" w:cs="Times New Roman"/>
          <w:b/>
          <w:color w:val="000000"/>
          <w:sz w:val="28"/>
          <w:szCs w:val="28"/>
        </w:rPr>
      </w:pPr>
      <w:bookmarkStart w:id="4" w:name="_2et92p0" w:colFirst="0" w:colLast="0"/>
      <w:bookmarkEnd w:id="4"/>
      <w:r>
        <w:rPr>
          <w:rFonts w:ascii="Times New Roman" w:eastAsia="Times New Roman" w:hAnsi="Times New Roman" w:cs="Times New Roman"/>
          <w:b/>
          <w:color w:val="000000"/>
          <w:sz w:val="28"/>
          <w:szCs w:val="28"/>
        </w:rPr>
        <w:t>Conclusion</w:t>
      </w:r>
    </w:p>
    <w:p w14:paraId="24F99B4A" w14:textId="77777777" w:rsidR="006B0558" w:rsidRDefault="00D534B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Flexible working arrangements have been implemented in “single-purpose organisations whose main purpose is providing a service, or whose primary activity is supplying goods”. This goes along with their vision of being customer-centric and value </w:t>
      </w:r>
      <w:r>
        <w:rPr>
          <w:rFonts w:ascii="Times New Roman" w:eastAsia="Times New Roman" w:hAnsi="Times New Roman" w:cs="Times New Roman"/>
          <w:sz w:val="24"/>
          <w:szCs w:val="24"/>
        </w:rPr>
        <w:lastRenderedPageBreak/>
        <w:t xml:space="preserve">based. Flexible working can be considered appropriate for organisations that are customer driven because employees can benefit from it. But flexibility also benefits other stakeholders such as the employer and the employees, who benefit from having control over their lives at work. It has been shown that flexible working can be beneficial to both employers and employees if it is properly designed and managed. Flexible working arrangements will increase employee loyalty, </w:t>
      </w:r>
      <w:proofErr w:type="gramStart"/>
      <w:r>
        <w:rPr>
          <w:rFonts w:ascii="Times New Roman" w:eastAsia="Times New Roman" w:hAnsi="Times New Roman" w:cs="Times New Roman"/>
          <w:sz w:val="24"/>
          <w:szCs w:val="24"/>
        </w:rPr>
        <w:t>motivation</w:t>
      </w:r>
      <w:proofErr w:type="gramEnd"/>
      <w:r>
        <w:rPr>
          <w:rFonts w:ascii="Times New Roman" w:eastAsia="Times New Roman" w:hAnsi="Times New Roman" w:cs="Times New Roman"/>
          <w:sz w:val="24"/>
          <w:szCs w:val="24"/>
        </w:rPr>
        <w:t xml:space="preserve"> and productivity.</w:t>
      </w:r>
    </w:p>
    <w:p w14:paraId="24F99B4B" w14:textId="77777777" w:rsidR="006B0558" w:rsidRDefault="006B0558">
      <w:pPr>
        <w:spacing w:line="480" w:lineRule="auto"/>
        <w:rPr>
          <w:rFonts w:ascii="Times New Roman" w:eastAsia="Times New Roman" w:hAnsi="Times New Roman" w:cs="Times New Roman"/>
          <w:sz w:val="24"/>
          <w:szCs w:val="24"/>
        </w:rPr>
      </w:pPr>
    </w:p>
    <w:p w14:paraId="24F99B4C" w14:textId="77777777" w:rsidR="006B0558" w:rsidRDefault="006B0558">
      <w:pPr>
        <w:spacing w:line="480" w:lineRule="auto"/>
        <w:rPr>
          <w:rFonts w:ascii="Times New Roman" w:eastAsia="Times New Roman" w:hAnsi="Times New Roman" w:cs="Times New Roman"/>
          <w:sz w:val="24"/>
          <w:szCs w:val="24"/>
        </w:rPr>
      </w:pPr>
    </w:p>
    <w:p w14:paraId="24F99B4D" w14:textId="77777777" w:rsidR="006B0558" w:rsidRDefault="006B0558">
      <w:pPr>
        <w:spacing w:line="480" w:lineRule="auto"/>
        <w:rPr>
          <w:rFonts w:ascii="Times New Roman" w:eastAsia="Times New Roman" w:hAnsi="Times New Roman" w:cs="Times New Roman"/>
          <w:sz w:val="24"/>
          <w:szCs w:val="24"/>
        </w:rPr>
      </w:pPr>
    </w:p>
    <w:p w14:paraId="24F99B4E" w14:textId="77777777" w:rsidR="006B0558" w:rsidRDefault="006B0558">
      <w:pPr>
        <w:spacing w:line="480" w:lineRule="auto"/>
        <w:rPr>
          <w:rFonts w:ascii="Times New Roman" w:eastAsia="Times New Roman" w:hAnsi="Times New Roman" w:cs="Times New Roman"/>
          <w:sz w:val="24"/>
          <w:szCs w:val="24"/>
        </w:rPr>
      </w:pPr>
    </w:p>
    <w:p w14:paraId="24F99B4F" w14:textId="77777777" w:rsidR="006B0558" w:rsidRDefault="006B0558">
      <w:pPr>
        <w:spacing w:line="480" w:lineRule="auto"/>
        <w:rPr>
          <w:rFonts w:ascii="Times New Roman" w:eastAsia="Times New Roman" w:hAnsi="Times New Roman" w:cs="Times New Roman"/>
          <w:sz w:val="24"/>
          <w:szCs w:val="24"/>
        </w:rPr>
      </w:pPr>
    </w:p>
    <w:p w14:paraId="56C2BBF7" w14:textId="77777777" w:rsidR="002261B7" w:rsidRDefault="002261B7">
      <w:pPr>
        <w:spacing w:line="480" w:lineRule="auto"/>
        <w:rPr>
          <w:rFonts w:ascii="Times New Roman" w:eastAsia="Times New Roman" w:hAnsi="Times New Roman" w:cs="Times New Roman"/>
          <w:sz w:val="24"/>
          <w:szCs w:val="24"/>
        </w:rPr>
      </w:pPr>
    </w:p>
    <w:p w14:paraId="4AB9F1F2" w14:textId="77777777" w:rsidR="002261B7" w:rsidRDefault="002261B7">
      <w:pPr>
        <w:spacing w:line="480" w:lineRule="auto"/>
        <w:rPr>
          <w:rFonts w:ascii="Times New Roman" w:eastAsia="Times New Roman" w:hAnsi="Times New Roman" w:cs="Times New Roman"/>
          <w:sz w:val="24"/>
          <w:szCs w:val="24"/>
        </w:rPr>
      </w:pPr>
    </w:p>
    <w:p w14:paraId="065A7563" w14:textId="77777777" w:rsidR="002261B7" w:rsidRDefault="002261B7">
      <w:pPr>
        <w:spacing w:line="480" w:lineRule="auto"/>
        <w:rPr>
          <w:rFonts w:ascii="Times New Roman" w:eastAsia="Times New Roman" w:hAnsi="Times New Roman" w:cs="Times New Roman"/>
          <w:sz w:val="24"/>
          <w:szCs w:val="24"/>
        </w:rPr>
      </w:pPr>
    </w:p>
    <w:p w14:paraId="1A710783" w14:textId="77777777" w:rsidR="002261B7" w:rsidRDefault="002261B7">
      <w:pPr>
        <w:spacing w:line="480" w:lineRule="auto"/>
        <w:rPr>
          <w:rFonts w:ascii="Times New Roman" w:eastAsia="Times New Roman" w:hAnsi="Times New Roman" w:cs="Times New Roman"/>
          <w:sz w:val="24"/>
          <w:szCs w:val="24"/>
        </w:rPr>
      </w:pPr>
    </w:p>
    <w:p w14:paraId="301F204E" w14:textId="77777777" w:rsidR="002261B7" w:rsidRDefault="002261B7">
      <w:pPr>
        <w:spacing w:line="480" w:lineRule="auto"/>
        <w:rPr>
          <w:rFonts w:ascii="Times New Roman" w:eastAsia="Times New Roman" w:hAnsi="Times New Roman" w:cs="Times New Roman"/>
          <w:sz w:val="24"/>
          <w:szCs w:val="24"/>
        </w:rPr>
      </w:pPr>
    </w:p>
    <w:p w14:paraId="3AB7CFF3" w14:textId="77777777" w:rsidR="002261B7" w:rsidRDefault="002261B7">
      <w:pPr>
        <w:spacing w:line="480" w:lineRule="auto"/>
        <w:rPr>
          <w:rFonts w:ascii="Times New Roman" w:eastAsia="Times New Roman" w:hAnsi="Times New Roman" w:cs="Times New Roman"/>
          <w:sz w:val="24"/>
          <w:szCs w:val="24"/>
        </w:rPr>
      </w:pPr>
    </w:p>
    <w:p w14:paraId="0CC039BA" w14:textId="77777777" w:rsidR="002261B7" w:rsidRDefault="002261B7">
      <w:pPr>
        <w:spacing w:line="480" w:lineRule="auto"/>
        <w:rPr>
          <w:rFonts w:ascii="Times New Roman" w:eastAsia="Times New Roman" w:hAnsi="Times New Roman" w:cs="Times New Roman"/>
          <w:sz w:val="24"/>
          <w:szCs w:val="24"/>
        </w:rPr>
      </w:pPr>
    </w:p>
    <w:p w14:paraId="73913B2A" w14:textId="77777777" w:rsidR="002261B7" w:rsidRDefault="002261B7">
      <w:pPr>
        <w:spacing w:line="480" w:lineRule="auto"/>
        <w:rPr>
          <w:rFonts w:ascii="Times New Roman" w:eastAsia="Times New Roman" w:hAnsi="Times New Roman" w:cs="Times New Roman"/>
          <w:sz w:val="24"/>
          <w:szCs w:val="24"/>
        </w:rPr>
      </w:pPr>
    </w:p>
    <w:p w14:paraId="48A554F1" w14:textId="77777777" w:rsidR="002261B7" w:rsidRDefault="002261B7">
      <w:pPr>
        <w:spacing w:line="480" w:lineRule="auto"/>
        <w:rPr>
          <w:rFonts w:ascii="Times New Roman" w:eastAsia="Times New Roman" w:hAnsi="Times New Roman" w:cs="Times New Roman"/>
          <w:sz w:val="24"/>
          <w:szCs w:val="24"/>
        </w:rPr>
      </w:pPr>
    </w:p>
    <w:p w14:paraId="24F99B50" w14:textId="77777777" w:rsidR="006B0558" w:rsidRDefault="00D534B0">
      <w:pPr>
        <w:pStyle w:val="1"/>
        <w:rPr>
          <w:rFonts w:ascii="Times New Roman" w:eastAsia="Times New Roman" w:hAnsi="Times New Roman" w:cs="Times New Roman"/>
          <w:b/>
          <w:color w:val="000000"/>
          <w:sz w:val="28"/>
          <w:szCs w:val="28"/>
        </w:rPr>
      </w:pPr>
      <w:bookmarkStart w:id="5" w:name="_j7jirsve8exv" w:colFirst="0" w:colLast="0"/>
      <w:bookmarkEnd w:id="5"/>
      <w:r>
        <w:rPr>
          <w:rFonts w:ascii="Times New Roman" w:eastAsia="Times New Roman" w:hAnsi="Times New Roman" w:cs="Times New Roman"/>
          <w:b/>
          <w:color w:val="000000"/>
          <w:sz w:val="28"/>
          <w:szCs w:val="28"/>
        </w:rPr>
        <w:lastRenderedPageBreak/>
        <w:t>References</w:t>
      </w:r>
    </w:p>
    <w:p w14:paraId="24F99B51" w14:textId="77777777" w:rsidR="006B0558" w:rsidRDefault="006B0558"/>
    <w:p w14:paraId="24F99B52" w14:textId="77777777" w:rsidR="006B0558" w:rsidRDefault="00D534B0">
      <w:pP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Andersen, L.L., Jensen, P.H., Meng, A. and </w:t>
      </w:r>
      <w:proofErr w:type="spellStart"/>
      <w:r>
        <w:rPr>
          <w:rFonts w:ascii="Times New Roman" w:eastAsia="Times New Roman" w:hAnsi="Times New Roman" w:cs="Times New Roman"/>
          <w:sz w:val="24"/>
          <w:szCs w:val="24"/>
        </w:rPr>
        <w:t>Sundstrup</w:t>
      </w:r>
      <w:proofErr w:type="spellEnd"/>
      <w:r>
        <w:rPr>
          <w:rFonts w:ascii="Times New Roman" w:eastAsia="Times New Roman" w:hAnsi="Times New Roman" w:cs="Times New Roman"/>
          <w:sz w:val="24"/>
          <w:szCs w:val="24"/>
        </w:rPr>
        <w:t>, E. (2019). Strong Labour Market</w:t>
      </w:r>
    </w:p>
    <w:p w14:paraId="24F99B53" w14:textId="77777777" w:rsidR="006B0558" w:rsidRDefault="00D534B0">
      <w:pPr>
        <w:spacing w:after="24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Inequality of Opportunities at the Workplace for Supporting a Long and Healthy Work-Life: The </w:t>
      </w:r>
      <w:proofErr w:type="spellStart"/>
      <w:r>
        <w:rPr>
          <w:rFonts w:ascii="Times New Roman" w:eastAsia="Times New Roman" w:hAnsi="Times New Roman" w:cs="Times New Roman"/>
          <w:sz w:val="24"/>
          <w:szCs w:val="24"/>
        </w:rPr>
        <w:t>SeniorWorkingLife</w:t>
      </w:r>
      <w:proofErr w:type="spellEnd"/>
      <w:r>
        <w:rPr>
          <w:rFonts w:ascii="Times New Roman" w:eastAsia="Times New Roman" w:hAnsi="Times New Roman" w:cs="Times New Roman"/>
          <w:sz w:val="24"/>
          <w:szCs w:val="24"/>
        </w:rPr>
        <w:t xml:space="preserve"> Study. </w:t>
      </w:r>
      <w:r>
        <w:rPr>
          <w:rFonts w:ascii="Times New Roman" w:eastAsia="Times New Roman" w:hAnsi="Times New Roman" w:cs="Times New Roman"/>
          <w:i/>
          <w:sz w:val="24"/>
          <w:szCs w:val="24"/>
        </w:rPr>
        <w:t>International Journal of Environmental Research and Public Health</w:t>
      </w:r>
      <w:r>
        <w:rPr>
          <w:rFonts w:ascii="Times New Roman" w:eastAsia="Times New Roman" w:hAnsi="Times New Roman" w:cs="Times New Roman"/>
          <w:sz w:val="24"/>
          <w:szCs w:val="24"/>
        </w:rPr>
        <w:t>, [online] 16(18), p.3264. Available at: https://www.mdpi.com/1660-4601/16/18/3264 [Accessed 28 Mar. 2022].</w:t>
      </w:r>
    </w:p>
    <w:p w14:paraId="24F99B54" w14:textId="77777777" w:rsidR="006B0558" w:rsidRDefault="00D534B0">
      <w:pPr>
        <w:pBdr>
          <w:top w:val="nil"/>
          <w:left w:val="nil"/>
          <w:bottom w:val="nil"/>
          <w:right w:val="nil"/>
          <w:between w:val="nil"/>
        </w:pBdr>
        <w:spacing w:after="24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Butterick</w:t>
      </w:r>
      <w:proofErr w:type="spellEnd"/>
      <w:r>
        <w:rPr>
          <w:rFonts w:ascii="Times New Roman" w:eastAsia="Times New Roman" w:hAnsi="Times New Roman" w:cs="Times New Roman"/>
          <w:color w:val="000000"/>
          <w:sz w:val="24"/>
          <w:szCs w:val="24"/>
        </w:rPr>
        <w:t>, M. and Charlwood, A. (2021). HRM and the COVID‐19 pandemic: How can we</w:t>
      </w:r>
    </w:p>
    <w:p w14:paraId="24F99B55" w14:textId="77777777" w:rsidR="006B0558" w:rsidRDefault="00D534B0">
      <w:pPr>
        <w:pBdr>
          <w:top w:val="nil"/>
          <w:left w:val="nil"/>
          <w:bottom w:val="nil"/>
          <w:right w:val="nil"/>
          <w:between w:val="nil"/>
        </w:pBdr>
        <w:spacing w:after="240"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stop making a bad situation worse? </w:t>
      </w:r>
      <w:r>
        <w:rPr>
          <w:rFonts w:ascii="Times New Roman" w:eastAsia="Times New Roman" w:hAnsi="Times New Roman" w:cs="Times New Roman"/>
          <w:i/>
          <w:color w:val="000000"/>
          <w:sz w:val="24"/>
          <w:szCs w:val="24"/>
        </w:rPr>
        <w:t>Human Resource Management Journal</w:t>
      </w:r>
      <w:r>
        <w:rPr>
          <w:rFonts w:ascii="Times New Roman" w:eastAsia="Times New Roman" w:hAnsi="Times New Roman" w:cs="Times New Roman"/>
          <w:color w:val="000000"/>
          <w:sz w:val="24"/>
          <w:szCs w:val="24"/>
        </w:rPr>
        <w:t>, [online] 31(4), pp.847–856. Available at: https://onlinelibrary.wiley.com/doi/full/10.1111/1748-8583.12344 [Accessed 28 Mar. 2022].</w:t>
      </w:r>
    </w:p>
    <w:p w14:paraId="24F99B56"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‌Chung, H., Birkett, H., Forbes, S. and </w:t>
      </w:r>
      <w:proofErr w:type="spellStart"/>
      <w:r>
        <w:rPr>
          <w:rFonts w:ascii="Times New Roman" w:eastAsia="Times New Roman" w:hAnsi="Times New Roman" w:cs="Times New Roman"/>
          <w:sz w:val="24"/>
          <w:szCs w:val="24"/>
        </w:rPr>
        <w:t>Seo</w:t>
      </w:r>
      <w:proofErr w:type="spellEnd"/>
      <w:r>
        <w:rPr>
          <w:rFonts w:ascii="Times New Roman" w:eastAsia="Times New Roman" w:hAnsi="Times New Roman" w:cs="Times New Roman"/>
          <w:sz w:val="24"/>
          <w:szCs w:val="24"/>
        </w:rPr>
        <w:t>, H. (2021). Covid-19, Flexible Working, and</w:t>
      </w:r>
    </w:p>
    <w:p w14:paraId="24F99B57"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Implications for Gender Equality in the United Kingdom. </w:t>
      </w:r>
      <w:r>
        <w:rPr>
          <w:rFonts w:ascii="Times New Roman" w:eastAsia="Times New Roman" w:hAnsi="Times New Roman" w:cs="Times New Roman"/>
          <w:i/>
          <w:sz w:val="24"/>
          <w:szCs w:val="24"/>
        </w:rPr>
        <w:t>Gender &amp; Society</w:t>
      </w:r>
      <w:r>
        <w:rPr>
          <w:rFonts w:ascii="Times New Roman" w:eastAsia="Times New Roman" w:hAnsi="Times New Roman" w:cs="Times New Roman"/>
          <w:sz w:val="24"/>
          <w:szCs w:val="24"/>
        </w:rPr>
        <w:t>, [online] 35(2), pp.218–232. Available at: https://journals.sagepub.com/doi/full/10.1177/08912432211001304 [Accessed 29 Mar. 2022].</w:t>
      </w:r>
    </w:p>
    <w:p w14:paraId="24F99B58"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Davidescu</w:t>
      </w:r>
      <w:proofErr w:type="spellEnd"/>
      <w:r>
        <w:rPr>
          <w:rFonts w:ascii="Times New Roman" w:eastAsia="Times New Roman" w:hAnsi="Times New Roman" w:cs="Times New Roman"/>
          <w:sz w:val="24"/>
          <w:szCs w:val="24"/>
        </w:rPr>
        <w:t xml:space="preserve">, A.A., </w:t>
      </w:r>
      <w:proofErr w:type="spellStart"/>
      <w:r>
        <w:rPr>
          <w:rFonts w:ascii="Times New Roman" w:eastAsia="Times New Roman" w:hAnsi="Times New Roman" w:cs="Times New Roman"/>
          <w:sz w:val="24"/>
          <w:szCs w:val="24"/>
        </w:rPr>
        <w:t>Apostu</w:t>
      </w:r>
      <w:proofErr w:type="spellEnd"/>
      <w:r>
        <w:rPr>
          <w:rFonts w:ascii="Times New Roman" w:eastAsia="Times New Roman" w:hAnsi="Times New Roman" w:cs="Times New Roman"/>
          <w:sz w:val="24"/>
          <w:szCs w:val="24"/>
        </w:rPr>
        <w:t xml:space="preserve">, S.-A., Paul, A. and </w:t>
      </w:r>
      <w:proofErr w:type="spellStart"/>
      <w:r>
        <w:rPr>
          <w:rFonts w:ascii="Times New Roman" w:eastAsia="Times New Roman" w:hAnsi="Times New Roman" w:cs="Times New Roman"/>
          <w:sz w:val="24"/>
          <w:szCs w:val="24"/>
        </w:rPr>
        <w:t>Casuneanu</w:t>
      </w:r>
      <w:proofErr w:type="spellEnd"/>
      <w:r>
        <w:rPr>
          <w:rFonts w:ascii="Times New Roman" w:eastAsia="Times New Roman" w:hAnsi="Times New Roman" w:cs="Times New Roman"/>
          <w:sz w:val="24"/>
          <w:szCs w:val="24"/>
        </w:rPr>
        <w:t>, I. (2020). Work Flexibility, Job</w:t>
      </w:r>
    </w:p>
    <w:p w14:paraId="24F99B59"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Satisfaction, and Job Performance among Romanian Employees—Implications for Sustainable Human Resource Management.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[online] 12(15), p.6086. Available at: https://www.mdpi.com/2071-1050/12/15/6086 [Accessed 27 Mar. 2022].</w:t>
      </w:r>
    </w:p>
    <w:p w14:paraId="24F99B5A" w14:textId="77777777" w:rsidR="006B0558" w:rsidRDefault="00D534B0">
      <w:pPr>
        <w:pBdr>
          <w:top w:val="nil"/>
          <w:left w:val="nil"/>
          <w:bottom w:val="nil"/>
          <w:right w:val="nil"/>
          <w:between w:val="nil"/>
        </w:pBdr>
        <w:spacing w:after="24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proofErr w:type="spellStart"/>
      <w:r>
        <w:rPr>
          <w:rFonts w:ascii="Times New Roman" w:eastAsia="Times New Roman" w:hAnsi="Times New Roman" w:cs="Times New Roman"/>
          <w:color w:val="000000"/>
          <w:sz w:val="24"/>
          <w:szCs w:val="24"/>
        </w:rPr>
        <w:t>Bellmann</w:t>
      </w:r>
      <w:proofErr w:type="spellEnd"/>
      <w:r>
        <w:rPr>
          <w:rFonts w:ascii="Times New Roman" w:eastAsia="Times New Roman" w:hAnsi="Times New Roman" w:cs="Times New Roman"/>
          <w:color w:val="000000"/>
          <w:sz w:val="24"/>
          <w:szCs w:val="24"/>
        </w:rPr>
        <w:t xml:space="preserve">, L. and </w:t>
      </w:r>
      <w:proofErr w:type="spellStart"/>
      <w:r>
        <w:rPr>
          <w:rFonts w:ascii="Times New Roman" w:eastAsia="Times New Roman" w:hAnsi="Times New Roman" w:cs="Times New Roman"/>
          <w:color w:val="000000"/>
          <w:sz w:val="24"/>
          <w:szCs w:val="24"/>
        </w:rPr>
        <w:t>Hubler</w:t>
      </w:r>
      <w:proofErr w:type="spellEnd"/>
      <w:r>
        <w:rPr>
          <w:rFonts w:ascii="Times New Roman" w:eastAsia="Times New Roman" w:hAnsi="Times New Roman" w:cs="Times New Roman"/>
          <w:color w:val="000000"/>
          <w:sz w:val="24"/>
          <w:szCs w:val="24"/>
        </w:rPr>
        <w:t>, O. (2013). Working from home, job satisfaction and work–life</w:t>
      </w:r>
    </w:p>
    <w:p w14:paraId="24F99B5B" w14:textId="77777777" w:rsidR="006B0558" w:rsidRDefault="00D534B0">
      <w:pPr>
        <w:pBdr>
          <w:top w:val="nil"/>
          <w:left w:val="nil"/>
          <w:bottom w:val="nil"/>
          <w:right w:val="nil"/>
          <w:between w:val="nil"/>
        </w:pBdr>
        <w:spacing w:after="240"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balance – robust or heterogeneous links? | Emerald Insight. </w:t>
      </w:r>
      <w:r>
        <w:rPr>
          <w:rFonts w:ascii="Times New Roman" w:eastAsia="Times New Roman" w:hAnsi="Times New Roman" w:cs="Times New Roman"/>
          <w:i/>
          <w:color w:val="000000"/>
          <w:sz w:val="24"/>
          <w:szCs w:val="24"/>
        </w:rPr>
        <w:t>International Journal of Manpower</w:t>
      </w:r>
      <w:r>
        <w:rPr>
          <w:rFonts w:ascii="Times New Roman" w:eastAsia="Times New Roman" w:hAnsi="Times New Roman" w:cs="Times New Roman"/>
          <w:color w:val="000000"/>
          <w:sz w:val="24"/>
          <w:szCs w:val="24"/>
        </w:rPr>
        <w:t>. [online] Available at: https://www.emerald.com/insight/content/doi/10.1108/IJM-10-2019-0458/full/html [Accessed 27 Mar. 2022].</w:t>
      </w:r>
    </w:p>
    <w:p w14:paraId="24F99B5C"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‌Beatty, J.E., Baldridge, D.C., Boehm, S.A., Kulkarni, M. and Colella, A.J. (2018). On the</w:t>
      </w:r>
    </w:p>
    <w:p w14:paraId="24F99B5D"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treatment of persons with disabilities in organizations: A review and research agenda. </w:t>
      </w:r>
      <w:r>
        <w:rPr>
          <w:rFonts w:ascii="Times New Roman" w:eastAsia="Times New Roman" w:hAnsi="Times New Roman" w:cs="Times New Roman"/>
          <w:i/>
          <w:sz w:val="24"/>
          <w:szCs w:val="24"/>
        </w:rPr>
        <w:t>Human Resource Management</w:t>
      </w:r>
      <w:r>
        <w:rPr>
          <w:rFonts w:ascii="Times New Roman" w:eastAsia="Times New Roman" w:hAnsi="Times New Roman" w:cs="Times New Roman"/>
          <w:sz w:val="24"/>
          <w:szCs w:val="24"/>
        </w:rPr>
        <w:t>, [online] 58(2), pp.119–137. Available at: https://onlinelibrary.wiley.com/doi/abs/10.1002/hrm.21940 [Accessed 29 Mar. 2022].</w:t>
      </w:r>
    </w:p>
    <w:p w14:paraId="24F99B5E" w14:textId="77777777" w:rsidR="006B0558" w:rsidRDefault="00D534B0">
      <w:pPr>
        <w:pBdr>
          <w:top w:val="nil"/>
          <w:left w:val="nil"/>
          <w:bottom w:val="nil"/>
          <w:right w:val="nil"/>
          <w:between w:val="nil"/>
        </w:pBdr>
        <w:spacing w:after="240" w:line="480" w:lineRule="auto"/>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Brimhall, K.C. and Barak, M.E.M. (2018). </w:t>
      </w:r>
      <w:r>
        <w:rPr>
          <w:rFonts w:ascii="Times New Roman" w:eastAsia="Times New Roman" w:hAnsi="Times New Roman" w:cs="Times New Roman"/>
          <w:i/>
          <w:color w:val="000000"/>
          <w:sz w:val="24"/>
          <w:szCs w:val="24"/>
        </w:rPr>
        <w:t>The Critical Role of Workplace Inclusion in</w:t>
      </w:r>
    </w:p>
    <w:p w14:paraId="24F99B5F" w14:textId="77777777" w:rsidR="006B0558" w:rsidRDefault="00D534B0">
      <w:pPr>
        <w:pBdr>
          <w:top w:val="nil"/>
          <w:left w:val="nil"/>
          <w:bottom w:val="nil"/>
          <w:right w:val="nil"/>
          <w:between w:val="nil"/>
        </w:pBdr>
        <w:spacing w:after="240"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Fostering Innovation, Job Satisfaction, and Quality of Care in a Diverse Human Service Organization</w:t>
      </w:r>
      <w:r>
        <w:rPr>
          <w:rFonts w:ascii="Times New Roman" w:eastAsia="Times New Roman" w:hAnsi="Times New Roman" w:cs="Times New Roman"/>
          <w:color w:val="000000"/>
          <w:sz w:val="24"/>
          <w:szCs w:val="24"/>
        </w:rPr>
        <w:t>. [online] Human Service Organizations: Management, Leadership &amp; Governance. Available at: https://www.tandfonline.com/doi/abs/10.1080/23303131.2018.1526151 [Accessed 27 Mar. 2022].</w:t>
      </w:r>
    </w:p>
    <w:p w14:paraId="24F99B60"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Bustelo</w:t>
      </w:r>
      <w:proofErr w:type="spellEnd"/>
      <w:r>
        <w:rPr>
          <w:rFonts w:ascii="Times New Roman" w:eastAsia="Times New Roman" w:hAnsi="Times New Roman" w:cs="Times New Roman"/>
          <w:sz w:val="24"/>
          <w:szCs w:val="24"/>
        </w:rPr>
        <w:t>, F.E., Vargas, J.G. and Carrion, R.D. (2020). Employee happiness and corporate</w:t>
      </w:r>
    </w:p>
    <w:p w14:paraId="24F99B61"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social responsibility: the role of organizational culture | Emerald Insight. </w:t>
      </w:r>
      <w:r>
        <w:rPr>
          <w:rFonts w:ascii="Times New Roman" w:eastAsia="Times New Roman" w:hAnsi="Times New Roman" w:cs="Times New Roman"/>
          <w:i/>
          <w:sz w:val="24"/>
          <w:szCs w:val="24"/>
        </w:rPr>
        <w:t>Employee Relations: The International Journal</w:t>
      </w:r>
      <w:r>
        <w:rPr>
          <w:rFonts w:ascii="Times New Roman" w:eastAsia="Times New Roman" w:hAnsi="Times New Roman" w:cs="Times New Roman"/>
          <w:sz w:val="24"/>
          <w:szCs w:val="24"/>
        </w:rPr>
        <w:t>. [online] Available at: https://www.emerald.com/insight/content/doi/10.1108/ER-07-2020-0343/full/html [Accessed 30 Mar. 2022].</w:t>
      </w:r>
    </w:p>
    <w:p w14:paraId="24F99B62"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‌Chung, H. and van der Lippe, T. (2018). Flexible Working, Work–Life Balance, and Gender</w:t>
      </w:r>
    </w:p>
    <w:p w14:paraId="24F99B63"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Equality: Introduction. </w:t>
      </w:r>
      <w:r>
        <w:rPr>
          <w:rFonts w:ascii="Times New Roman" w:eastAsia="Times New Roman" w:hAnsi="Times New Roman" w:cs="Times New Roman"/>
          <w:i/>
          <w:sz w:val="24"/>
          <w:szCs w:val="24"/>
        </w:rPr>
        <w:t>Social Indicators Research</w:t>
      </w:r>
      <w:r>
        <w:rPr>
          <w:rFonts w:ascii="Times New Roman" w:eastAsia="Times New Roman" w:hAnsi="Times New Roman" w:cs="Times New Roman"/>
          <w:sz w:val="24"/>
          <w:szCs w:val="24"/>
        </w:rPr>
        <w:t>, [online] 151(2), pp.365–381. Available at: https://link.springer.com/article/10.1007/s11205-018-2025-x [Accessed 31 Mar. 2022].</w:t>
      </w:r>
    </w:p>
    <w:p w14:paraId="24F99B64" w14:textId="77777777" w:rsidR="006B0558" w:rsidRDefault="00D534B0">
      <w:pP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Collings, D.G., Nyberg, A.J., Wright, P.M. and McMackin, J. (2021). Leading through</w:t>
      </w:r>
    </w:p>
    <w:p w14:paraId="24F99B65" w14:textId="77777777" w:rsidR="006B0558" w:rsidRDefault="00D534B0">
      <w:pPr>
        <w:spacing w:after="24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paradox in a COVID‐19 world: Human resources comes of age. </w:t>
      </w:r>
      <w:r>
        <w:rPr>
          <w:rFonts w:ascii="Times New Roman" w:eastAsia="Times New Roman" w:hAnsi="Times New Roman" w:cs="Times New Roman"/>
          <w:i/>
          <w:sz w:val="24"/>
          <w:szCs w:val="24"/>
        </w:rPr>
        <w:t>Human Resource Management Journal</w:t>
      </w:r>
      <w:r>
        <w:rPr>
          <w:rFonts w:ascii="Times New Roman" w:eastAsia="Times New Roman" w:hAnsi="Times New Roman" w:cs="Times New Roman"/>
          <w:sz w:val="24"/>
          <w:szCs w:val="24"/>
        </w:rPr>
        <w:t>, [online] 31(4), pp.819–833. Available at: https://onlinelibrary.wiley.com/doi/full/10.1111/1748-8583.12343 [Accessed 31 Mar. 2022].</w:t>
      </w:r>
    </w:p>
    <w:p w14:paraId="24F99B66"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‌Fox, C., Davis, P. and Baucus, M. (2020). Corporate social responsibility during</w:t>
      </w:r>
    </w:p>
    <w:p w14:paraId="24F99B67"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unprecedented crises: the role of authentic leadership and business model flexibility | Emerald Insight. </w:t>
      </w:r>
      <w:r>
        <w:rPr>
          <w:rFonts w:ascii="Times New Roman" w:eastAsia="Times New Roman" w:hAnsi="Times New Roman" w:cs="Times New Roman"/>
          <w:i/>
          <w:sz w:val="24"/>
          <w:szCs w:val="24"/>
        </w:rPr>
        <w:t>Management Decision</w:t>
      </w:r>
      <w:r>
        <w:rPr>
          <w:rFonts w:ascii="Times New Roman" w:eastAsia="Times New Roman" w:hAnsi="Times New Roman" w:cs="Times New Roman"/>
          <w:sz w:val="24"/>
          <w:szCs w:val="24"/>
        </w:rPr>
        <w:t>. [online] Available at: https://www.emerald.com/insight/content/doi/10.1108/MD-08-2020-1073/full/html [Accessed 27 Mar. 2022].</w:t>
      </w:r>
    </w:p>
    <w:p w14:paraId="24F99B68" w14:textId="77777777" w:rsidR="006B0558" w:rsidRDefault="00D534B0">
      <w:pPr>
        <w:pBdr>
          <w:top w:val="nil"/>
          <w:left w:val="nil"/>
          <w:bottom w:val="nil"/>
          <w:right w:val="nil"/>
          <w:between w:val="nil"/>
        </w:pBdr>
        <w:spacing w:after="24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‌Gonsalves, L. (2020). From Face Time to Flex Time: The Role of Physical Space in Worker</w:t>
      </w:r>
    </w:p>
    <w:p w14:paraId="24F99B69" w14:textId="77777777" w:rsidR="006B0558" w:rsidRDefault="00D534B0">
      <w:pPr>
        <w:pBdr>
          <w:top w:val="nil"/>
          <w:left w:val="nil"/>
          <w:bottom w:val="nil"/>
          <w:right w:val="nil"/>
          <w:between w:val="nil"/>
        </w:pBdr>
        <w:spacing w:after="240"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Temporal Flexibility. </w:t>
      </w:r>
      <w:r>
        <w:rPr>
          <w:rFonts w:ascii="Times New Roman" w:eastAsia="Times New Roman" w:hAnsi="Times New Roman" w:cs="Times New Roman"/>
          <w:i/>
          <w:color w:val="000000"/>
          <w:sz w:val="24"/>
          <w:szCs w:val="24"/>
        </w:rPr>
        <w:t>Administrative Science Quarterly</w:t>
      </w:r>
      <w:r>
        <w:rPr>
          <w:rFonts w:ascii="Times New Roman" w:eastAsia="Times New Roman" w:hAnsi="Times New Roman" w:cs="Times New Roman"/>
          <w:color w:val="000000"/>
          <w:sz w:val="24"/>
          <w:szCs w:val="24"/>
        </w:rPr>
        <w:t>, [online] 65(4), pp.1058–1091. Available at: https://journals.sagepub.com/doi/abs/10.1177/0001839220907891 [Accessed 29 Mar. 2022].</w:t>
      </w:r>
    </w:p>
    <w:p w14:paraId="24F99B6A" w14:textId="77777777" w:rsidR="006B0558" w:rsidRDefault="00D534B0">
      <w:pPr>
        <w:spacing w:before="280" w:after="280"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Kossek</w:t>
      </w:r>
      <w:proofErr w:type="spellEnd"/>
      <w:r>
        <w:rPr>
          <w:rFonts w:ascii="Times New Roman" w:eastAsia="Times New Roman" w:hAnsi="Times New Roman" w:cs="Times New Roman"/>
          <w:sz w:val="24"/>
          <w:szCs w:val="24"/>
        </w:rPr>
        <w:t xml:space="preserve">, E.E. and </w:t>
      </w:r>
      <w:proofErr w:type="spellStart"/>
      <w:r>
        <w:rPr>
          <w:rFonts w:ascii="Times New Roman" w:eastAsia="Times New Roman" w:hAnsi="Times New Roman" w:cs="Times New Roman"/>
          <w:sz w:val="24"/>
          <w:szCs w:val="24"/>
        </w:rPr>
        <w:t>Lautsch</w:t>
      </w:r>
      <w:proofErr w:type="spellEnd"/>
      <w:r>
        <w:rPr>
          <w:rFonts w:ascii="Times New Roman" w:eastAsia="Times New Roman" w:hAnsi="Times New Roman" w:cs="Times New Roman"/>
          <w:sz w:val="24"/>
          <w:szCs w:val="24"/>
        </w:rPr>
        <w:t>, B.A. (2013). </w:t>
      </w:r>
      <w:r>
        <w:rPr>
          <w:rFonts w:ascii="Times New Roman" w:eastAsia="Times New Roman" w:hAnsi="Times New Roman" w:cs="Times New Roman"/>
          <w:i/>
          <w:sz w:val="24"/>
          <w:szCs w:val="24"/>
        </w:rPr>
        <w:t>Work–Life Flexibility for Whom? Occupational</w:t>
      </w:r>
    </w:p>
    <w:p w14:paraId="24F99B6B"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Status and Work–Life Inequality in Upper, Middle, and </w:t>
      </w:r>
      <w:proofErr w:type="gramStart"/>
      <w:r>
        <w:rPr>
          <w:rFonts w:ascii="Times New Roman" w:eastAsia="Times New Roman" w:hAnsi="Times New Roman" w:cs="Times New Roman"/>
          <w:i/>
          <w:sz w:val="24"/>
          <w:szCs w:val="24"/>
        </w:rPr>
        <w:t>Lower Level</w:t>
      </w:r>
      <w:proofErr w:type="gramEnd"/>
      <w:r>
        <w:rPr>
          <w:rFonts w:ascii="Times New Roman" w:eastAsia="Times New Roman" w:hAnsi="Times New Roman" w:cs="Times New Roman"/>
          <w:i/>
          <w:sz w:val="24"/>
          <w:szCs w:val="24"/>
        </w:rPr>
        <w:t xml:space="preserve"> Jobs | Academy of Management Annals</w:t>
      </w:r>
      <w:r>
        <w:rPr>
          <w:rFonts w:ascii="Times New Roman" w:eastAsia="Times New Roman" w:hAnsi="Times New Roman" w:cs="Times New Roman"/>
          <w:sz w:val="24"/>
          <w:szCs w:val="24"/>
        </w:rPr>
        <w:t>. [online] Academy of Management Annals. Available at: https://journals.aom.org/doi/abs/10.5465/annals.2016.0059 [Accessed 28 Mar. 2022].</w:t>
      </w:r>
    </w:p>
    <w:p w14:paraId="24F99B6C" w14:textId="77777777" w:rsidR="006B0558" w:rsidRDefault="00D534B0">
      <w:pPr>
        <w:pBdr>
          <w:top w:val="nil"/>
          <w:left w:val="nil"/>
          <w:bottom w:val="nil"/>
          <w:right w:val="nil"/>
          <w:between w:val="nil"/>
        </w:pBdr>
        <w:spacing w:after="24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Kristal, T., Cohen, Y. and </w:t>
      </w:r>
      <w:proofErr w:type="spellStart"/>
      <w:r>
        <w:rPr>
          <w:rFonts w:ascii="Times New Roman" w:eastAsia="Times New Roman" w:hAnsi="Times New Roman" w:cs="Times New Roman"/>
          <w:color w:val="000000"/>
          <w:sz w:val="24"/>
          <w:szCs w:val="24"/>
        </w:rPr>
        <w:t>Navot</w:t>
      </w:r>
      <w:proofErr w:type="spellEnd"/>
      <w:r>
        <w:rPr>
          <w:rFonts w:ascii="Times New Roman" w:eastAsia="Times New Roman" w:hAnsi="Times New Roman" w:cs="Times New Roman"/>
          <w:color w:val="000000"/>
          <w:sz w:val="24"/>
          <w:szCs w:val="24"/>
        </w:rPr>
        <w:t>, E. (2020). Workplace Compensation Practices and the Rise</w:t>
      </w:r>
    </w:p>
    <w:p w14:paraId="24F99B6D" w14:textId="77777777" w:rsidR="006B0558" w:rsidRDefault="00D534B0">
      <w:pPr>
        <w:pBdr>
          <w:top w:val="nil"/>
          <w:left w:val="nil"/>
          <w:bottom w:val="nil"/>
          <w:right w:val="nil"/>
          <w:between w:val="nil"/>
        </w:pBdr>
        <w:spacing w:after="240"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Benefit Inequality. </w:t>
      </w:r>
      <w:r>
        <w:rPr>
          <w:rFonts w:ascii="Times New Roman" w:eastAsia="Times New Roman" w:hAnsi="Times New Roman" w:cs="Times New Roman"/>
          <w:i/>
          <w:color w:val="000000"/>
          <w:sz w:val="24"/>
          <w:szCs w:val="24"/>
        </w:rPr>
        <w:t>American Sociological Review</w:t>
      </w:r>
      <w:r>
        <w:rPr>
          <w:rFonts w:ascii="Times New Roman" w:eastAsia="Times New Roman" w:hAnsi="Times New Roman" w:cs="Times New Roman"/>
          <w:color w:val="000000"/>
          <w:sz w:val="24"/>
          <w:szCs w:val="24"/>
        </w:rPr>
        <w:t>, [online] 85(2), pp.271–297. Available at: https://journals.sagepub.com/doi/abs/10.1177/0003122420912505 [Accessed 31 Mar. 2022].</w:t>
      </w:r>
    </w:p>
    <w:p w14:paraId="24F99B6E"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Lyttelton</w:t>
      </w:r>
      <w:proofErr w:type="spellEnd"/>
      <w:r>
        <w:rPr>
          <w:rFonts w:ascii="Times New Roman" w:eastAsia="Times New Roman" w:hAnsi="Times New Roman" w:cs="Times New Roman"/>
          <w:sz w:val="24"/>
          <w:szCs w:val="24"/>
        </w:rPr>
        <w:t xml:space="preserve">, T., Zang, E. and </w:t>
      </w:r>
      <w:proofErr w:type="spellStart"/>
      <w:r>
        <w:rPr>
          <w:rFonts w:ascii="Times New Roman" w:eastAsia="Times New Roman" w:hAnsi="Times New Roman" w:cs="Times New Roman"/>
          <w:sz w:val="24"/>
          <w:szCs w:val="24"/>
        </w:rPr>
        <w:t>Musick</w:t>
      </w:r>
      <w:proofErr w:type="spellEnd"/>
      <w:r>
        <w:rPr>
          <w:rFonts w:ascii="Times New Roman" w:eastAsia="Times New Roman" w:hAnsi="Times New Roman" w:cs="Times New Roman"/>
          <w:sz w:val="24"/>
          <w:szCs w:val="24"/>
        </w:rPr>
        <w:t>, K. (2020). Gender Differences in Telecommuting and</w:t>
      </w:r>
    </w:p>
    <w:p w14:paraId="24F99B6F"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Implications for Inequality at Home and Work. </w:t>
      </w:r>
      <w:r>
        <w:rPr>
          <w:rFonts w:ascii="Times New Roman" w:eastAsia="Times New Roman" w:hAnsi="Times New Roman" w:cs="Times New Roman"/>
          <w:i/>
          <w:sz w:val="24"/>
          <w:szCs w:val="24"/>
        </w:rPr>
        <w:t>SSRN Electronic Journal</w:t>
      </w:r>
      <w:r>
        <w:rPr>
          <w:rFonts w:ascii="Times New Roman" w:eastAsia="Times New Roman" w:hAnsi="Times New Roman" w:cs="Times New Roman"/>
          <w:sz w:val="24"/>
          <w:szCs w:val="24"/>
        </w:rPr>
        <w:t>. [online] Available at: https://papers.ssrn.com/sol3/papers.cfm?abstract_id=3645561 [Accessed 29 Mar. 2022].</w:t>
      </w:r>
    </w:p>
    <w:p w14:paraId="24F99B70"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‌Mousa, M., </w:t>
      </w:r>
      <w:proofErr w:type="spellStart"/>
      <w:r>
        <w:rPr>
          <w:rFonts w:ascii="Times New Roman" w:eastAsia="Times New Roman" w:hAnsi="Times New Roman" w:cs="Times New Roman"/>
          <w:sz w:val="24"/>
          <w:szCs w:val="24"/>
        </w:rPr>
        <w:t>Massoud</w:t>
      </w:r>
      <w:proofErr w:type="spellEnd"/>
      <w:r>
        <w:rPr>
          <w:rFonts w:ascii="Times New Roman" w:eastAsia="Times New Roman" w:hAnsi="Times New Roman" w:cs="Times New Roman"/>
          <w:sz w:val="24"/>
          <w:szCs w:val="24"/>
        </w:rPr>
        <w:t xml:space="preserve">, H.K. and </w:t>
      </w:r>
      <w:proofErr w:type="spellStart"/>
      <w:r>
        <w:rPr>
          <w:rFonts w:ascii="Times New Roman" w:eastAsia="Times New Roman" w:hAnsi="Times New Roman" w:cs="Times New Roman"/>
          <w:sz w:val="24"/>
          <w:szCs w:val="24"/>
        </w:rPr>
        <w:t>Ayoubi</w:t>
      </w:r>
      <w:proofErr w:type="spellEnd"/>
      <w:r>
        <w:rPr>
          <w:rFonts w:ascii="Times New Roman" w:eastAsia="Times New Roman" w:hAnsi="Times New Roman" w:cs="Times New Roman"/>
          <w:sz w:val="24"/>
          <w:szCs w:val="24"/>
        </w:rPr>
        <w:t>, R.M. (2019). Gender, diversity management</w:t>
      </w:r>
    </w:p>
    <w:p w14:paraId="24F99B71"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perceptions, workplace happiness and organisational citizenship behaviour | Emerald Insight. </w:t>
      </w:r>
      <w:r>
        <w:rPr>
          <w:rFonts w:ascii="Times New Roman" w:eastAsia="Times New Roman" w:hAnsi="Times New Roman" w:cs="Times New Roman"/>
          <w:i/>
          <w:sz w:val="24"/>
          <w:szCs w:val="24"/>
        </w:rPr>
        <w:t>Employee Relations: The International Journal</w:t>
      </w:r>
      <w:r>
        <w:rPr>
          <w:rFonts w:ascii="Times New Roman" w:eastAsia="Times New Roman" w:hAnsi="Times New Roman" w:cs="Times New Roman"/>
          <w:sz w:val="24"/>
          <w:szCs w:val="24"/>
        </w:rPr>
        <w:t>. [online] Available at: https://www.emerald.com/insight/content/doi/10.1108/ER-10-2019-0385/full/html [Accessed 29 Mar. 2022].</w:t>
      </w:r>
    </w:p>
    <w:p w14:paraId="24F99B72" w14:textId="77777777" w:rsidR="006B0558" w:rsidRDefault="00D534B0">
      <w:pPr>
        <w:pBdr>
          <w:top w:val="nil"/>
          <w:left w:val="nil"/>
          <w:bottom w:val="nil"/>
          <w:right w:val="nil"/>
          <w:between w:val="nil"/>
        </w:pBdr>
        <w:spacing w:after="24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O’Connor, L.T. and Cech, E.A. (2018). Not Just a Mothers’ Problem: The Consequences of</w:t>
      </w:r>
    </w:p>
    <w:p w14:paraId="24F99B73" w14:textId="77777777" w:rsidR="006B0558" w:rsidRDefault="00D534B0">
      <w:pPr>
        <w:pBdr>
          <w:top w:val="nil"/>
          <w:left w:val="nil"/>
          <w:bottom w:val="nil"/>
          <w:right w:val="nil"/>
          <w:between w:val="nil"/>
        </w:pBdr>
        <w:spacing w:after="240"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Perceived Workplace Flexibility Bias for All Workers. </w:t>
      </w:r>
      <w:r>
        <w:rPr>
          <w:rFonts w:ascii="Times New Roman" w:eastAsia="Times New Roman" w:hAnsi="Times New Roman" w:cs="Times New Roman"/>
          <w:i/>
          <w:color w:val="000000"/>
          <w:sz w:val="24"/>
          <w:szCs w:val="24"/>
        </w:rPr>
        <w:t>Sociological Perspectives</w:t>
      </w:r>
      <w:r>
        <w:rPr>
          <w:rFonts w:ascii="Times New Roman" w:eastAsia="Times New Roman" w:hAnsi="Times New Roman" w:cs="Times New Roman"/>
          <w:color w:val="000000"/>
          <w:sz w:val="24"/>
          <w:szCs w:val="24"/>
        </w:rPr>
        <w:t>, [online] 61(5), pp.808–829. Available at: https://journals.sagepub.com/doi/abs/10.1177/0731121418768235 [Accessed 27 Mar. 2022].</w:t>
      </w:r>
    </w:p>
    <w:p w14:paraId="24F99B74" w14:textId="77777777" w:rsidR="006B0558" w:rsidRDefault="00D534B0">
      <w:pPr>
        <w:pBdr>
          <w:top w:val="nil"/>
          <w:left w:val="nil"/>
          <w:bottom w:val="nil"/>
          <w:right w:val="nil"/>
          <w:between w:val="nil"/>
        </w:pBdr>
        <w:spacing w:after="24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Palumbo, R. (2020). Let me go to the office! An investigation into the side effects of</w:t>
      </w:r>
    </w:p>
    <w:p w14:paraId="24F99B75" w14:textId="77777777" w:rsidR="006B0558" w:rsidRDefault="00D534B0">
      <w:pPr>
        <w:pBdr>
          <w:top w:val="nil"/>
          <w:left w:val="nil"/>
          <w:bottom w:val="nil"/>
          <w:right w:val="nil"/>
          <w:between w:val="nil"/>
        </w:pBdr>
        <w:spacing w:after="240"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working from home on work-life balance | Emerald Insight. </w:t>
      </w:r>
      <w:r>
        <w:rPr>
          <w:rFonts w:ascii="Times New Roman" w:eastAsia="Times New Roman" w:hAnsi="Times New Roman" w:cs="Times New Roman"/>
          <w:i/>
          <w:color w:val="000000"/>
          <w:sz w:val="24"/>
          <w:szCs w:val="24"/>
        </w:rPr>
        <w:t>International Journal of Public Sector Management</w:t>
      </w:r>
      <w:r>
        <w:rPr>
          <w:rFonts w:ascii="Times New Roman" w:eastAsia="Times New Roman" w:hAnsi="Times New Roman" w:cs="Times New Roman"/>
          <w:color w:val="000000"/>
          <w:sz w:val="24"/>
          <w:szCs w:val="24"/>
        </w:rPr>
        <w:t xml:space="preserve">. [online] Available at: </w:t>
      </w:r>
      <w:r>
        <w:rPr>
          <w:rFonts w:ascii="Times New Roman" w:eastAsia="Times New Roman" w:hAnsi="Times New Roman" w:cs="Times New Roman"/>
          <w:color w:val="000000"/>
          <w:sz w:val="24"/>
          <w:szCs w:val="24"/>
        </w:rPr>
        <w:lastRenderedPageBreak/>
        <w:t>https://www.emerald.com/insight/content/doi/10.1108/IJPSM-06-2020-0150/full/html [Accessed 30 Mar. 2022].</w:t>
      </w:r>
    </w:p>
    <w:p w14:paraId="24F99B76"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Ribas</w:t>
      </w:r>
      <w:proofErr w:type="spellEnd"/>
      <w:r>
        <w:rPr>
          <w:rFonts w:ascii="Times New Roman" w:eastAsia="Times New Roman" w:hAnsi="Times New Roman" w:cs="Times New Roman"/>
          <w:sz w:val="24"/>
          <w:szCs w:val="24"/>
        </w:rPr>
        <w:t>, P. (2020). Flexible Working Time Models in the Service Industry. </w:t>
      </w:r>
      <w:r>
        <w:rPr>
          <w:rFonts w:ascii="Times New Roman" w:eastAsia="Times New Roman" w:hAnsi="Times New Roman" w:cs="Times New Roman"/>
          <w:i/>
          <w:sz w:val="24"/>
          <w:szCs w:val="24"/>
        </w:rPr>
        <w:t>Upc.edu</w:t>
      </w:r>
      <w:r>
        <w:rPr>
          <w:rFonts w:ascii="Times New Roman" w:eastAsia="Times New Roman" w:hAnsi="Times New Roman" w:cs="Times New Roman"/>
          <w:sz w:val="24"/>
          <w:szCs w:val="24"/>
        </w:rPr>
        <w:t>. [online]</w:t>
      </w:r>
    </w:p>
    <w:p w14:paraId="24F99B77"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Available at: https://upcommons.upc.edu/handle/2117/334914 [Accessed 31 Mar. 2022].</w:t>
      </w:r>
    </w:p>
    <w:p w14:paraId="24F99B78" w14:textId="77777777" w:rsidR="006B0558" w:rsidRDefault="00D534B0">
      <w:pPr>
        <w:spacing w:before="280" w:after="280"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‌Roberson, Q.M. (2019). </w:t>
      </w:r>
      <w:r>
        <w:rPr>
          <w:rFonts w:ascii="Times New Roman" w:eastAsia="Times New Roman" w:hAnsi="Times New Roman" w:cs="Times New Roman"/>
          <w:i/>
          <w:sz w:val="24"/>
          <w:szCs w:val="24"/>
        </w:rPr>
        <w:t>Diversity in the Workplace: A Review, Synthesis, and Future</w:t>
      </w:r>
    </w:p>
    <w:p w14:paraId="24F99B79"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Research Agenda</w:t>
      </w:r>
      <w:r>
        <w:rPr>
          <w:rFonts w:ascii="Times New Roman" w:eastAsia="Times New Roman" w:hAnsi="Times New Roman" w:cs="Times New Roman"/>
          <w:sz w:val="24"/>
          <w:szCs w:val="24"/>
        </w:rPr>
        <w:t xml:space="preserve">. [online] Annual Review of Organizational Psychology and Organizational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Available at: https://www.annualreviews.org/doi/abs/10.1146/annurev-orgpsych-012218-015243 [Accessed 27 Mar. 2022].</w:t>
      </w:r>
    </w:p>
    <w:p w14:paraId="24F99B7A"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‌Soga, L.R., </w:t>
      </w:r>
      <w:proofErr w:type="spellStart"/>
      <w:r>
        <w:rPr>
          <w:rFonts w:ascii="Times New Roman" w:eastAsia="Times New Roman" w:hAnsi="Times New Roman" w:cs="Times New Roman"/>
          <w:sz w:val="24"/>
          <w:szCs w:val="24"/>
        </w:rPr>
        <w:t>Bolade-Ogunfodun</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Mariani</w:t>
      </w:r>
      <w:proofErr w:type="spellEnd"/>
      <w:r>
        <w:rPr>
          <w:rFonts w:ascii="Times New Roman" w:eastAsia="Times New Roman" w:hAnsi="Times New Roman" w:cs="Times New Roman"/>
          <w:sz w:val="24"/>
          <w:szCs w:val="24"/>
        </w:rPr>
        <w:t>, M., Nasr, R. and Laker, B. (2022). Unmasking</w:t>
      </w:r>
    </w:p>
    <w:p w14:paraId="24F99B7B"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face of flexible working practices: A systematic literature review.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[online] 142, pp.648–662. Available at: https://www.sciencedirect.com/science/article/abs/pii/S0148296322000364 [Accessed 28 Mar. 2022].</w:t>
      </w:r>
    </w:p>
    <w:p w14:paraId="24F99B7C" w14:textId="77777777" w:rsidR="006B0558" w:rsidRDefault="00D534B0">
      <w:pP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Timms, C., Brough, P. and Chan, X.W. (</w:t>
      </w:r>
      <w:proofErr w:type="spellStart"/>
      <w:r>
        <w:rPr>
          <w:rFonts w:ascii="Times New Roman" w:eastAsia="Times New Roman" w:hAnsi="Times New Roman" w:cs="Times New Roman"/>
          <w:sz w:val="24"/>
          <w:szCs w:val="24"/>
        </w:rPr>
        <w:t>Carys</w:t>
      </w:r>
      <w:proofErr w:type="spellEnd"/>
      <w:r>
        <w:rPr>
          <w:rFonts w:ascii="Times New Roman" w:eastAsia="Times New Roman" w:hAnsi="Times New Roman" w:cs="Times New Roman"/>
          <w:sz w:val="24"/>
          <w:szCs w:val="24"/>
        </w:rPr>
        <w:t>) (2020). Employees’ psychological health and</w:t>
      </w:r>
    </w:p>
    <w:p w14:paraId="24F99B7D" w14:textId="77777777" w:rsidR="006B0558" w:rsidRDefault="00D534B0">
      <w:pPr>
        <w:spacing w:after="24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flexible working arrangements. </w:t>
      </w:r>
      <w:r>
        <w:rPr>
          <w:rFonts w:ascii="Times New Roman" w:eastAsia="Times New Roman" w:hAnsi="Times New Roman" w:cs="Times New Roman"/>
          <w:i/>
          <w:sz w:val="24"/>
          <w:szCs w:val="24"/>
        </w:rPr>
        <w:t>Flexible Work</w:t>
      </w:r>
      <w:r>
        <w:rPr>
          <w:rFonts w:ascii="Times New Roman" w:eastAsia="Times New Roman" w:hAnsi="Times New Roman" w:cs="Times New Roman"/>
          <w:sz w:val="24"/>
          <w:szCs w:val="24"/>
        </w:rPr>
        <w:t>, [online] pp.35–47. Available at: https://www.taylorfrancis.com/chapters/edit/10.4324/9780429326585-5/employees-psychological-health-impact-flexible-working-arrangements-carolyn-timms-paula-brough-xi-wen-carys-chan [Accessed 29 Mar. 2022].</w:t>
      </w:r>
    </w:p>
    <w:p w14:paraId="24F99B7E" w14:textId="77777777" w:rsidR="006B0558" w:rsidRDefault="00D534B0">
      <w:pPr>
        <w:spacing w:before="280" w:after="28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 R., Burke, M. and </w:t>
      </w:r>
      <w:proofErr w:type="spellStart"/>
      <w:r>
        <w:rPr>
          <w:rFonts w:ascii="Times New Roman" w:eastAsia="Times New Roman" w:hAnsi="Times New Roman" w:cs="Times New Roman"/>
          <w:sz w:val="24"/>
          <w:szCs w:val="24"/>
        </w:rPr>
        <w:t>Raad</w:t>
      </w:r>
      <w:proofErr w:type="spellEnd"/>
      <w:r>
        <w:rPr>
          <w:rFonts w:ascii="Times New Roman" w:eastAsia="Times New Roman" w:hAnsi="Times New Roman" w:cs="Times New Roman"/>
          <w:sz w:val="24"/>
          <w:szCs w:val="24"/>
        </w:rPr>
        <w:t>, N. (2019). Exploring impact of future flexible working model</w:t>
      </w:r>
    </w:p>
    <w:p w14:paraId="24F99B7F" w14:textId="77777777" w:rsidR="006B0558" w:rsidRDefault="00D534B0">
      <w:pPr>
        <w:spacing w:before="280" w:after="28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evolution on urban environment, </w:t>
      </w:r>
      <w:proofErr w:type="gramStart"/>
      <w:r>
        <w:rPr>
          <w:rFonts w:ascii="Times New Roman" w:eastAsia="Times New Roman" w:hAnsi="Times New Roman" w:cs="Times New Roman"/>
          <w:sz w:val="24"/>
          <w:szCs w:val="24"/>
        </w:rPr>
        <w:t>economy</w:t>
      </w:r>
      <w:proofErr w:type="gramEnd"/>
      <w:r>
        <w:rPr>
          <w:rFonts w:ascii="Times New Roman" w:eastAsia="Times New Roman" w:hAnsi="Times New Roman" w:cs="Times New Roman"/>
          <w:sz w:val="24"/>
          <w:szCs w:val="24"/>
        </w:rPr>
        <w:t xml:space="preserve"> and planning. </w:t>
      </w:r>
      <w:r>
        <w:rPr>
          <w:rFonts w:ascii="Times New Roman" w:eastAsia="Times New Roman" w:hAnsi="Times New Roman" w:cs="Times New Roman"/>
          <w:i/>
          <w:sz w:val="24"/>
          <w:szCs w:val="24"/>
        </w:rPr>
        <w:t>Journal of Urban Management</w:t>
      </w:r>
      <w:r>
        <w:rPr>
          <w:rFonts w:ascii="Times New Roman" w:eastAsia="Times New Roman" w:hAnsi="Times New Roman" w:cs="Times New Roman"/>
          <w:sz w:val="24"/>
          <w:szCs w:val="24"/>
        </w:rPr>
        <w:t>, [online] 8(3), pp.447–457. Available at: https://www.sciencedirect.com/science/article/pii/S2226585618302140 [Accessed 27 Mar. 2022].</w:t>
      </w:r>
    </w:p>
    <w:p w14:paraId="24F99B80" w14:textId="77777777" w:rsidR="006B0558" w:rsidRDefault="00D534B0">
      <w:pPr>
        <w:spacing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Yong, J.Y., </w:t>
      </w:r>
      <w:proofErr w:type="spellStart"/>
      <w:r>
        <w:rPr>
          <w:rFonts w:ascii="Times New Roman" w:eastAsia="Times New Roman" w:hAnsi="Times New Roman" w:cs="Times New Roman"/>
          <w:sz w:val="24"/>
          <w:szCs w:val="24"/>
        </w:rPr>
        <w:t>Yusliza</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Ramayah</w:t>
      </w:r>
      <w:proofErr w:type="spellEnd"/>
      <w:r>
        <w:rPr>
          <w:rFonts w:ascii="Times New Roman" w:eastAsia="Times New Roman" w:hAnsi="Times New Roman" w:cs="Times New Roman"/>
          <w:sz w:val="24"/>
          <w:szCs w:val="24"/>
        </w:rPr>
        <w:t xml:space="preserve">, T., Chiappetta </w:t>
      </w:r>
      <w:proofErr w:type="spellStart"/>
      <w:r>
        <w:rPr>
          <w:rFonts w:ascii="Times New Roman" w:eastAsia="Times New Roman" w:hAnsi="Times New Roman" w:cs="Times New Roman"/>
          <w:sz w:val="24"/>
          <w:szCs w:val="24"/>
        </w:rPr>
        <w:t>Jabbour</w:t>
      </w:r>
      <w:proofErr w:type="spellEnd"/>
      <w:r>
        <w:rPr>
          <w:rFonts w:ascii="Times New Roman" w:eastAsia="Times New Roman" w:hAnsi="Times New Roman" w:cs="Times New Roman"/>
          <w:sz w:val="24"/>
          <w:szCs w:val="24"/>
        </w:rPr>
        <w:t xml:space="preserve">, C.J., </w:t>
      </w:r>
      <w:proofErr w:type="spellStart"/>
      <w:r>
        <w:rPr>
          <w:rFonts w:ascii="Times New Roman" w:eastAsia="Times New Roman" w:hAnsi="Times New Roman" w:cs="Times New Roman"/>
          <w:sz w:val="24"/>
          <w:szCs w:val="24"/>
        </w:rPr>
        <w:t>Sehnem</w:t>
      </w:r>
      <w:proofErr w:type="spellEnd"/>
      <w:r>
        <w:rPr>
          <w:rFonts w:ascii="Times New Roman" w:eastAsia="Times New Roman" w:hAnsi="Times New Roman" w:cs="Times New Roman"/>
          <w:sz w:val="24"/>
          <w:szCs w:val="24"/>
        </w:rPr>
        <w:t>, S. and Mani, V.</w:t>
      </w:r>
    </w:p>
    <w:p w14:paraId="24F99B81" w14:textId="77777777" w:rsidR="006B0558" w:rsidRDefault="00D534B0">
      <w:pPr>
        <w:spacing w:after="24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(2019). Pathways towards sustainability in manufacturing organizations: Empirical evidence on the role of green human resource management. </w:t>
      </w:r>
      <w:r>
        <w:rPr>
          <w:rFonts w:ascii="Times New Roman" w:eastAsia="Times New Roman" w:hAnsi="Times New Roman" w:cs="Times New Roman"/>
          <w:i/>
          <w:sz w:val="24"/>
          <w:szCs w:val="24"/>
        </w:rPr>
        <w:t>Business Strategy and the Environment</w:t>
      </w:r>
      <w:r>
        <w:rPr>
          <w:rFonts w:ascii="Times New Roman" w:eastAsia="Times New Roman" w:hAnsi="Times New Roman" w:cs="Times New Roman"/>
          <w:sz w:val="24"/>
          <w:szCs w:val="24"/>
        </w:rPr>
        <w:t>, [online] 29(1), pp.212–228. Available at: https://onlinelibrary.wiley.com/doi/abs/10.1002/bse.2359 [Accessed 31 Mar. 2022].</w:t>
      </w:r>
    </w:p>
    <w:p w14:paraId="24F99B82" w14:textId="77777777" w:rsidR="006B0558" w:rsidRDefault="00D534B0">
      <w:pPr>
        <w:spacing w:after="240"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Yeves</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Bargsted</w:t>
      </w:r>
      <w:proofErr w:type="spellEnd"/>
      <w:r>
        <w:rPr>
          <w:rFonts w:ascii="Times New Roman" w:eastAsia="Times New Roman" w:hAnsi="Times New Roman" w:cs="Times New Roman"/>
          <w:sz w:val="24"/>
          <w:szCs w:val="24"/>
        </w:rPr>
        <w:t xml:space="preserve">, M., Cortes, L., Merino, C. and </w:t>
      </w:r>
      <w:proofErr w:type="spellStart"/>
      <w:r>
        <w:rPr>
          <w:rFonts w:ascii="Times New Roman" w:eastAsia="Times New Roman" w:hAnsi="Times New Roman" w:cs="Times New Roman"/>
          <w:sz w:val="24"/>
          <w:szCs w:val="24"/>
        </w:rPr>
        <w:t>Cavada</w:t>
      </w:r>
      <w:proofErr w:type="spellEnd"/>
      <w:r>
        <w:rPr>
          <w:rFonts w:ascii="Times New Roman" w:eastAsia="Times New Roman" w:hAnsi="Times New Roman" w:cs="Times New Roman"/>
          <w:sz w:val="24"/>
          <w:szCs w:val="24"/>
        </w:rPr>
        <w:t>, G. (2019). Age and Perceived</w:t>
      </w:r>
    </w:p>
    <w:p w14:paraId="24F99B83" w14:textId="77777777" w:rsidR="006B0558" w:rsidRDefault="00D534B0">
      <w:pPr>
        <w:spacing w:after="24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Employability as Moderators of Job Insecurity and Job Satisfaction: A Moderated Moderation Model. </w:t>
      </w:r>
      <w:r>
        <w:rPr>
          <w:rFonts w:ascii="Times New Roman" w:eastAsia="Times New Roman" w:hAnsi="Times New Roman" w:cs="Times New Roman"/>
          <w:i/>
          <w:sz w:val="24"/>
          <w:szCs w:val="24"/>
        </w:rPr>
        <w:t>Frontiers in Psychology</w:t>
      </w:r>
      <w:r>
        <w:rPr>
          <w:rFonts w:ascii="Times New Roman" w:eastAsia="Times New Roman" w:hAnsi="Times New Roman" w:cs="Times New Roman"/>
          <w:sz w:val="24"/>
          <w:szCs w:val="24"/>
        </w:rPr>
        <w:t>, [online] 10. Available at: https://www.frontiersin.org/articles/10.3389/fpsyg.2019.00799/full [Accessed 29 Mar. 2022].</w:t>
      </w:r>
    </w:p>
    <w:p w14:paraId="24F99B84" w14:textId="77777777" w:rsidR="006B0558" w:rsidRDefault="006B0558">
      <w:pPr>
        <w:spacing w:before="280" w:after="280" w:line="480" w:lineRule="auto"/>
        <w:rPr>
          <w:rFonts w:ascii="Times New Roman" w:eastAsia="Times New Roman" w:hAnsi="Times New Roman" w:cs="Times New Roman"/>
          <w:sz w:val="24"/>
          <w:szCs w:val="24"/>
        </w:rPr>
      </w:pPr>
    </w:p>
    <w:sectPr w:rsidR="006B0558">
      <w:head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7D8EF" w14:textId="77777777" w:rsidR="0016106C" w:rsidRDefault="0016106C">
      <w:pPr>
        <w:spacing w:after="0" w:line="240" w:lineRule="auto"/>
      </w:pPr>
      <w:r>
        <w:separator/>
      </w:r>
    </w:p>
  </w:endnote>
  <w:endnote w:type="continuationSeparator" w:id="0">
    <w:p w14:paraId="586BEF00" w14:textId="77777777" w:rsidR="0016106C" w:rsidRDefault="00161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6A996" w14:textId="77777777" w:rsidR="0016106C" w:rsidRDefault="0016106C">
      <w:pPr>
        <w:spacing w:after="0" w:line="240" w:lineRule="auto"/>
      </w:pPr>
      <w:r>
        <w:separator/>
      </w:r>
    </w:p>
  </w:footnote>
  <w:footnote w:type="continuationSeparator" w:id="0">
    <w:p w14:paraId="3CF28980" w14:textId="77777777" w:rsidR="0016106C" w:rsidRDefault="00161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99B85" w14:textId="787A622A" w:rsidR="006B0558" w:rsidRDefault="00D534B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Managing People </w:t>
    </w:r>
    <w:r>
      <w:rPr>
        <w:color w:val="000000"/>
      </w:rPr>
      <w:fldChar w:fldCharType="begin"/>
    </w:r>
    <w:r>
      <w:rPr>
        <w:color w:val="000000"/>
      </w:rPr>
      <w:instrText>PAGE</w:instrText>
    </w:r>
    <w:r>
      <w:rPr>
        <w:color w:val="000000"/>
      </w:rPr>
      <w:fldChar w:fldCharType="separate"/>
    </w:r>
    <w:r w:rsidR="00DA1FD5">
      <w:rPr>
        <w:noProof/>
        <w:color w:val="000000"/>
      </w:rPr>
      <w:t>1</w:t>
    </w:r>
    <w:r>
      <w:rPr>
        <w:color w:val="000000"/>
      </w:rPr>
      <w:fldChar w:fldCharType="end"/>
    </w:r>
  </w:p>
  <w:p w14:paraId="24F99B86" w14:textId="77777777" w:rsidR="006B0558" w:rsidRDefault="006B0558">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D7957"/>
    <w:multiLevelType w:val="hybridMultilevel"/>
    <w:tmpl w:val="B9FA51FC"/>
    <w:lvl w:ilvl="0" w:tplc="BBDEDE46">
      <w:numFmt w:val="bullet"/>
      <w:lvlText w:val=""/>
      <w:lvlJc w:val="left"/>
      <w:pPr>
        <w:ind w:left="720" w:hanging="360"/>
      </w:pPr>
      <w:rPr>
        <w:rFonts w:ascii="Symbol" w:hAnsi="Symbol"/>
      </w:rPr>
    </w:lvl>
    <w:lvl w:ilvl="1" w:tplc="A3266A98">
      <w:numFmt w:val="bullet"/>
      <w:lvlText w:val="o"/>
      <w:lvlJc w:val="left"/>
      <w:pPr>
        <w:ind w:left="1440" w:hanging="1080"/>
      </w:pPr>
      <w:rPr>
        <w:rFonts w:ascii="Courier New" w:hAnsi="Courier New"/>
      </w:rPr>
    </w:lvl>
    <w:lvl w:ilvl="2" w:tplc="B76C2602">
      <w:numFmt w:val="bullet"/>
      <w:lvlText w:val=""/>
      <w:lvlJc w:val="left"/>
      <w:pPr>
        <w:ind w:left="2160" w:hanging="1800"/>
      </w:pPr>
    </w:lvl>
    <w:lvl w:ilvl="3" w:tplc="67B4BADC">
      <w:numFmt w:val="bullet"/>
      <w:lvlText w:val=""/>
      <w:lvlJc w:val="left"/>
      <w:pPr>
        <w:ind w:left="2880" w:hanging="2520"/>
      </w:pPr>
      <w:rPr>
        <w:rFonts w:ascii="Symbol" w:hAnsi="Symbol"/>
      </w:rPr>
    </w:lvl>
    <w:lvl w:ilvl="4" w:tplc="36943386">
      <w:numFmt w:val="bullet"/>
      <w:lvlText w:val="o"/>
      <w:lvlJc w:val="left"/>
      <w:pPr>
        <w:ind w:left="3600" w:hanging="3240"/>
      </w:pPr>
      <w:rPr>
        <w:rFonts w:ascii="Courier New" w:hAnsi="Courier New"/>
      </w:rPr>
    </w:lvl>
    <w:lvl w:ilvl="5" w:tplc="03064C82">
      <w:numFmt w:val="bullet"/>
      <w:lvlText w:val=""/>
      <w:lvlJc w:val="left"/>
      <w:pPr>
        <w:ind w:left="4320" w:hanging="3960"/>
      </w:pPr>
    </w:lvl>
    <w:lvl w:ilvl="6" w:tplc="97E224A8">
      <w:numFmt w:val="bullet"/>
      <w:lvlText w:val=""/>
      <w:lvlJc w:val="left"/>
      <w:pPr>
        <w:ind w:left="5040" w:hanging="4680"/>
      </w:pPr>
      <w:rPr>
        <w:rFonts w:ascii="Symbol" w:hAnsi="Symbol"/>
      </w:rPr>
    </w:lvl>
    <w:lvl w:ilvl="7" w:tplc="BCB60974">
      <w:numFmt w:val="bullet"/>
      <w:lvlText w:val="o"/>
      <w:lvlJc w:val="left"/>
      <w:pPr>
        <w:ind w:left="5760" w:hanging="5400"/>
      </w:pPr>
      <w:rPr>
        <w:rFonts w:ascii="Courier New" w:hAnsi="Courier New"/>
      </w:rPr>
    </w:lvl>
    <w:lvl w:ilvl="8" w:tplc="F4B8BB7C">
      <w:numFmt w:val="bullet"/>
      <w:lvlText w:val=""/>
      <w:lvlJc w:val="left"/>
      <w:pPr>
        <w:ind w:left="6480" w:hanging="6120"/>
      </w:pPr>
    </w:lvl>
  </w:abstractNum>
  <w:abstractNum w:abstractNumId="1" w15:restartNumberingAfterBreak="0">
    <w:nsid w:val="7DDF26EF"/>
    <w:multiLevelType w:val="hybridMultilevel"/>
    <w:tmpl w:val="B8367540"/>
    <w:lvl w:ilvl="0" w:tplc="9572B9B4">
      <w:start w:val="1"/>
      <w:numFmt w:val="decimal"/>
      <w:lvlText w:val="%1."/>
      <w:lvlJc w:val="left"/>
      <w:pPr>
        <w:ind w:left="720" w:hanging="360"/>
      </w:pPr>
    </w:lvl>
    <w:lvl w:ilvl="1" w:tplc="B680E70A">
      <w:start w:val="1"/>
      <w:numFmt w:val="decimal"/>
      <w:lvlText w:val="%2."/>
      <w:lvlJc w:val="left"/>
      <w:pPr>
        <w:ind w:left="1440" w:hanging="1080"/>
      </w:pPr>
    </w:lvl>
    <w:lvl w:ilvl="2" w:tplc="F3A0E88E">
      <w:start w:val="1"/>
      <w:numFmt w:val="decimal"/>
      <w:lvlText w:val="%3."/>
      <w:lvlJc w:val="left"/>
      <w:pPr>
        <w:ind w:left="2160" w:hanging="1980"/>
      </w:pPr>
    </w:lvl>
    <w:lvl w:ilvl="3" w:tplc="3906F624">
      <w:start w:val="1"/>
      <w:numFmt w:val="decimal"/>
      <w:lvlText w:val="%4."/>
      <w:lvlJc w:val="left"/>
      <w:pPr>
        <w:ind w:left="2880" w:hanging="2520"/>
      </w:pPr>
    </w:lvl>
    <w:lvl w:ilvl="4" w:tplc="528E9C90">
      <w:start w:val="1"/>
      <w:numFmt w:val="decimal"/>
      <w:lvlText w:val="%5."/>
      <w:lvlJc w:val="left"/>
      <w:pPr>
        <w:ind w:left="3600" w:hanging="3240"/>
      </w:pPr>
    </w:lvl>
    <w:lvl w:ilvl="5" w:tplc="AB820670">
      <w:start w:val="1"/>
      <w:numFmt w:val="decimal"/>
      <w:lvlText w:val="%6."/>
      <w:lvlJc w:val="left"/>
      <w:pPr>
        <w:ind w:left="4320" w:hanging="4140"/>
      </w:pPr>
    </w:lvl>
    <w:lvl w:ilvl="6" w:tplc="5F269038">
      <w:start w:val="1"/>
      <w:numFmt w:val="decimal"/>
      <w:lvlText w:val="%7."/>
      <w:lvlJc w:val="left"/>
      <w:pPr>
        <w:ind w:left="5040" w:hanging="4680"/>
      </w:pPr>
    </w:lvl>
    <w:lvl w:ilvl="7" w:tplc="2E2829FE">
      <w:start w:val="1"/>
      <w:numFmt w:val="decimal"/>
      <w:lvlText w:val="%8."/>
      <w:lvlJc w:val="left"/>
      <w:pPr>
        <w:ind w:left="5760" w:hanging="5400"/>
      </w:pPr>
    </w:lvl>
    <w:lvl w:ilvl="8" w:tplc="3D7E54B0">
      <w:start w:val="1"/>
      <w:numFmt w:val="decimal"/>
      <w:lvlText w:val="%9."/>
      <w:lvlJc w:val="left"/>
      <w:pPr>
        <w:ind w:left="6480" w:hanging="6300"/>
      </w:pPr>
    </w:lvl>
  </w:abstractNum>
  <w:num w:numId="1" w16cid:durableId="612706828">
    <w:abstractNumId w:val="0"/>
  </w:num>
  <w:num w:numId="2" w16cid:durableId="1678992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558"/>
    <w:rsid w:val="0016106C"/>
    <w:rsid w:val="002261B7"/>
    <w:rsid w:val="00642B08"/>
    <w:rsid w:val="00674AFD"/>
    <w:rsid w:val="006B0558"/>
    <w:rsid w:val="00D534B0"/>
    <w:rsid w:val="00DA1FD5"/>
    <w:rsid w:val="00DF5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9B08"/>
  <w15:docId w15:val="{2CAD00FD-4096-4993-8B48-BCA89AFDD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0"/>
      <w:outlineLvl w:val="0"/>
    </w:pPr>
    <w:rPr>
      <w:color w:val="2F5496"/>
      <w:sz w:val="32"/>
      <w:szCs w:val="32"/>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06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3712</Words>
  <Characters>21160</Characters>
  <Application>Microsoft Office Word</Application>
  <DocSecurity>0</DocSecurity>
  <Lines>176</Lines>
  <Paragraphs>49</Paragraphs>
  <ScaleCrop>false</ScaleCrop>
  <Company/>
  <LinksUpToDate>false</LinksUpToDate>
  <CharactersWithSpaces>24823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 Mersinkov</cp:lastModifiedBy>
  <cp:revision>6</cp:revision>
  <dcterms:created xsi:type="dcterms:W3CDTF">2022-04-14T20:03:00Z</dcterms:created>
  <dcterms:modified xsi:type="dcterms:W3CDTF">2022-04-18T12:11:00Z</dcterms:modified>
</cp:coreProperties>
</file>