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937A53" w14:textId="35715D70" w:rsidR="00F75BF9" w:rsidRPr="00A96D48" w:rsidRDefault="00F75BF9" w:rsidP="00615EDF">
      <w:pPr>
        <w:rPr>
          <w:b/>
          <w:bCs/>
          <w:sz w:val="24"/>
        </w:rPr>
      </w:pPr>
    </w:p>
    <w:p w14:paraId="418433FC" w14:textId="77777777" w:rsidR="00F75BF9" w:rsidRPr="00A96D48" w:rsidRDefault="00F75BF9" w:rsidP="00615EDF">
      <w:pPr>
        <w:rPr>
          <w:b/>
          <w:bCs/>
          <w:sz w:val="24"/>
        </w:rPr>
      </w:pPr>
    </w:p>
    <w:p w14:paraId="491B2043" w14:textId="77777777" w:rsidR="00F75BF9" w:rsidRPr="00A96D48" w:rsidRDefault="00F75BF9" w:rsidP="00615EDF">
      <w:pPr>
        <w:rPr>
          <w:b/>
          <w:bCs/>
          <w:sz w:val="24"/>
        </w:rPr>
      </w:pPr>
    </w:p>
    <w:p w14:paraId="6F1B023D" w14:textId="499736B8" w:rsidR="00F75BF9" w:rsidRPr="00A96D48" w:rsidRDefault="00F75BF9" w:rsidP="00266AFE">
      <w:pPr>
        <w:jc w:val="center"/>
        <w:rPr>
          <w:rFonts w:cs="Arial"/>
          <w:sz w:val="24"/>
        </w:rPr>
      </w:pPr>
      <w:r w:rsidRPr="00A96D48">
        <w:rPr>
          <w:rFonts w:cs="Arial"/>
          <w:b/>
          <w:bCs/>
          <w:sz w:val="24"/>
        </w:rPr>
        <w:t>University of Wales Trinity Saint David</w:t>
      </w:r>
    </w:p>
    <w:p w14:paraId="7AAD6E1A" w14:textId="77777777" w:rsidR="00F75BF9" w:rsidRPr="00A96D48" w:rsidRDefault="00F75BF9" w:rsidP="00266AFE">
      <w:pPr>
        <w:jc w:val="center"/>
        <w:rPr>
          <w:rFonts w:cs="Arial"/>
          <w:sz w:val="24"/>
        </w:rPr>
      </w:pPr>
      <w:r w:rsidRPr="00A96D48">
        <w:rPr>
          <w:rFonts w:cs="Arial"/>
          <w:b/>
          <w:bCs/>
          <w:sz w:val="24"/>
        </w:rPr>
        <w:t>BSc Health and Social Care (Level 5)</w:t>
      </w:r>
    </w:p>
    <w:p w14:paraId="51961168" w14:textId="77777777" w:rsidR="00F75BF9" w:rsidRPr="00A96D48" w:rsidRDefault="00F75BF9" w:rsidP="00266AFE">
      <w:pPr>
        <w:jc w:val="center"/>
        <w:rPr>
          <w:rFonts w:cs="Arial"/>
          <w:sz w:val="24"/>
        </w:rPr>
      </w:pPr>
      <w:r w:rsidRPr="00A96D48">
        <w:rPr>
          <w:rFonts w:cs="Arial"/>
          <w:b/>
          <w:bCs/>
          <w:sz w:val="24"/>
        </w:rPr>
        <w:t>Module:</w:t>
      </w:r>
      <w:r w:rsidRPr="00A96D48">
        <w:rPr>
          <w:rFonts w:cs="Arial"/>
          <w:sz w:val="24"/>
        </w:rPr>
        <w:t xml:space="preserve"> Changemakers: Creativity and Value Creation</w:t>
      </w:r>
    </w:p>
    <w:p w14:paraId="4C43E1B0" w14:textId="77777777" w:rsidR="00F75BF9" w:rsidRPr="00A96D48" w:rsidRDefault="00F75BF9" w:rsidP="00266AFE">
      <w:pPr>
        <w:jc w:val="center"/>
        <w:rPr>
          <w:rFonts w:cs="Arial"/>
          <w:sz w:val="24"/>
        </w:rPr>
      </w:pPr>
      <w:r w:rsidRPr="00A96D48">
        <w:rPr>
          <w:rFonts w:cs="Arial"/>
          <w:b/>
          <w:bCs/>
          <w:sz w:val="24"/>
        </w:rPr>
        <w:t>Module Code:</w:t>
      </w:r>
      <w:r w:rsidRPr="00A96D48">
        <w:rPr>
          <w:rFonts w:cs="Arial"/>
          <w:sz w:val="24"/>
        </w:rPr>
        <w:t xml:space="preserve"> BMHP5014</w:t>
      </w:r>
    </w:p>
    <w:p w14:paraId="05B331EE" w14:textId="78D274FD" w:rsidR="00F75BF9" w:rsidRPr="00A96D48" w:rsidRDefault="00F75BF9" w:rsidP="00266AFE">
      <w:pPr>
        <w:jc w:val="center"/>
        <w:rPr>
          <w:rFonts w:cs="Arial"/>
          <w:sz w:val="24"/>
        </w:rPr>
      </w:pPr>
      <w:r w:rsidRPr="00A96D48">
        <w:rPr>
          <w:rFonts w:cs="Arial"/>
          <w:b/>
          <w:bCs/>
          <w:sz w:val="24"/>
        </w:rPr>
        <w:t>Assessment:</w:t>
      </w:r>
      <w:r w:rsidRPr="00A96D48">
        <w:rPr>
          <w:rFonts w:cs="Arial"/>
          <w:sz w:val="24"/>
        </w:rPr>
        <w:t xml:space="preserve"> Component </w:t>
      </w:r>
      <w:r w:rsidR="00874C86" w:rsidRPr="00A96D48">
        <w:rPr>
          <w:rFonts w:cs="Arial"/>
          <w:sz w:val="24"/>
        </w:rPr>
        <w:t>2</w:t>
      </w:r>
    </w:p>
    <w:p w14:paraId="02E49D3F" w14:textId="0538CCCA" w:rsidR="00F75BF9" w:rsidRPr="00A96D48" w:rsidRDefault="00F75BF9" w:rsidP="00266AFE">
      <w:pPr>
        <w:jc w:val="center"/>
        <w:rPr>
          <w:rFonts w:cs="Arial"/>
          <w:sz w:val="24"/>
        </w:rPr>
      </w:pPr>
      <w:r w:rsidRPr="00A96D48">
        <w:rPr>
          <w:rFonts w:cs="Arial"/>
          <w:b/>
          <w:bCs/>
          <w:sz w:val="24"/>
        </w:rPr>
        <w:t>Assignment Title:</w:t>
      </w:r>
      <w:r w:rsidRPr="00A96D48">
        <w:rPr>
          <w:rFonts w:cs="Arial"/>
          <w:sz w:val="24"/>
        </w:rPr>
        <w:t xml:space="preserve"> </w:t>
      </w:r>
      <w:r w:rsidR="00874C86" w:rsidRPr="00A96D48">
        <w:rPr>
          <w:rFonts w:cs="Arial"/>
          <w:sz w:val="24"/>
        </w:rPr>
        <w:t>Poster and Pitch</w:t>
      </w:r>
    </w:p>
    <w:p w14:paraId="7F52996D" w14:textId="04E3171B" w:rsidR="00F75BF9" w:rsidRPr="00A96D48" w:rsidRDefault="00F75BF9" w:rsidP="00266AFE">
      <w:pPr>
        <w:jc w:val="center"/>
        <w:rPr>
          <w:rFonts w:cs="Arial"/>
          <w:sz w:val="24"/>
        </w:rPr>
      </w:pPr>
      <w:r w:rsidRPr="00A96D48">
        <w:rPr>
          <w:rFonts w:cs="Arial"/>
          <w:b/>
          <w:bCs/>
          <w:sz w:val="24"/>
        </w:rPr>
        <w:t>Lecturer:</w:t>
      </w:r>
      <w:r w:rsidRPr="00A96D48">
        <w:rPr>
          <w:rFonts w:cs="Arial"/>
          <w:sz w:val="24"/>
        </w:rPr>
        <w:t xml:space="preserve"> </w:t>
      </w:r>
      <w:r w:rsidR="008B3B40" w:rsidRPr="00A96D48">
        <w:rPr>
          <w:rFonts w:cs="Arial"/>
          <w:sz w:val="24"/>
        </w:rPr>
        <w:t>Danni Dunne</w:t>
      </w:r>
    </w:p>
    <w:p w14:paraId="26487268" w14:textId="7EBB8251" w:rsidR="00F75BF9" w:rsidRPr="00A96D48" w:rsidRDefault="00F75BF9" w:rsidP="00266AFE">
      <w:pPr>
        <w:jc w:val="center"/>
        <w:rPr>
          <w:rFonts w:cs="Arial"/>
          <w:sz w:val="24"/>
        </w:rPr>
      </w:pPr>
      <w:r w:rsidRPr="00A96D48">
        <w:rPr>
          <w:rFonts w:cs="Arial"/>
          <w:b/>
          <w:bCs/>
          <w:sz w:val="24"/>
        </w:rPr>
        <w:t>Student Name:</w:t>
      </w:r>
      <w:r w:rsidRPr="00A96D48">
        <w:rPr>
          <w:rFonts w:cs="Arial"/>
          <w:sz w:val="24"/>
        </w:rPr>
        <w:t xml:space="preserve"> </w:t>
      </w:r>
      <w:r w:rsidR="008B3B40" w:rsidRPr="00A96D48">
        <w:rPr>
          <w:rFonts w:cs="Arial"/>
          <w:sz w:val="24"/>
        </w:rPr>
        <w:t>Musab Shah</w:t>
      </w:r>
    </w:p>
    <w:p w14:paraId="49032959" w14:textId="77777777" w:rsidR="00A95D3B" w:rsidRPr="00A96D48" w:rsidRDefault="00F75BF9" w:rsidP="00266AFE">
      <w:pPr>
        <w:jc w:val="center"/>
        <w:rPr>
          <w:rFonts w:cs="Arial"/>
          <w:sz w:val="24"/>
        </w:rPr>
      </w:pPr>
      <w:r w:rsidRPr="00A96D48">
        <w:rPr>
          <w:rFonts w:cs="Arial"/>
          <w:b/>
          <w:bCs/>
          <w:sz w:val="24"/>
        </w:rPr>
        <w:t>Student Number:</w:t>
      </w:r>
      <w:r w:rsidRPr="00A96D48">
        <w:rPr>
          <w:rFonts w:cs="Arial"/>
          <w:sz w:val="24"/>
        </w:rPr>
        <w:t xml:space="preserve"> </w:t>
      </w:r>
      <w:r w:rsidR="008B3B40" w:rsidRPr="00A96D48">
        <w:rPr>
          <w:rFonts w:cs="Arial"/>
          <w:sz w:val="24"/>
        </w:rPr>
        <w:t>2411894</w:t>
      </w:r>
    </w:p>
    <w:p w14:paraId="3D9870DA" w14:textId="77777777" w:rsidR="003631CF" w:rsidRDefault="003631CF">
      <w:pPr>
        <w:spacing w:line="278" w:lineRule="auto"/>
        <w:jc w:val="left"/>
        <w:rPr>
          <w:rFonts w:cs="Arial"/>
          <w:sz w:val="24"/>
        </w:rPr>
      </w:pPr>
      <w:r>
        <w:rPr>
          <w:rFonts w:cs="Arial"/>
          <w:sz w:val="24"/>
        </w:rPr>
        <w:br w:type="page"/>
      </w:r>
    </w:p>
    <w:sdt>
      <w:sdtPr>
        <w:rPr>
          <w:rFonts w:ascii="Arial" w:eastAsiaTheme="minorHAnsi" w:hAnsi="Arial" w:cstheme="minorBidi"/>
          <w:color w:val="auto"/>
          <w:kern w:val="2"/>
          <w:sz w:val="22"/>
          <w:szCs w:val="24"/>
          <w:lang w:val="en-GB" w:bidi="ur-PK"/>
          <w14:ligatures w14:val="standardContextual"/>
        </w:rPr>
        <w:id w:val="-1833819859"/>
        <w:docPartObj>
          <w:docPartGallery w:val="Table of Contents"/>
          <w:docPartUnique/>
        </w:docPartObj>
      </w:sdtPr>
      <w:sdtEndPr>
        <w:rPr>
          <w:b/>
          <w:bCs/>
          <w:noProof/>
        </w:rPr>
      </w:sdtEndPr>
      <w:sdtContent>
        <w:p w14:paraId="1665E7A7" w14:textId="2E248045" w:rsidR="003631CF" w:rsidRDefault="003631CF">
          <w:pPr>
            <w:pStyle w:val="TOCHeading"/>
          </w:pPr>
          <w:r>
            <w:t>Table of Contents</w:t>
          </w:r>
        </w:p>
        <w:p w14:paraId="774D04DD" w14:textId="066F85C3" w:rsidR="00B817EF" w:rsidRDefault="003631CF">
          <w:pPr>
            <w:pStyle w:val="TOC1"/>
            <w:tabs>
              <w:tab w:val="right" w:leader="dot" w:pos="9016"/>
            </w:tabs>
            <w:rPr>
              <w:rFonts w:asciiTheme="minorHAnsi" w:eastAsiaTheme="minorEastAsia" w:hAnsiTheme="minorHAnsi"/>
              <w:noProof/>
              <w:sz w:val="24"/>
              <w:lang w:eastAsia="en-GB" w:bidi="ar-SA"/>
            </w:rPr>
          </w:pPr>
          <w:r>
            <w:fldChar w:fldCharType="begin"/>
          </w:r>
          <w:r>
            <w:instrText xml:space="preserve"> TOC \o "1-3" \h \z \u </w:instrText>
          </w:r>
          <w:r>
            <w:fldChar w:fldCharType="separate"/>
          </w:r>
          <w:hyperlink w:anchor="_Toc222678032" w:history="1">
            <w:r w:rsidR="00B817EF" w:rsidRPr="005F6167">
              <w:rPr>
                <w:rStyle w:val="Hyperlink"/>
                <w:noProof/>
              </w:rPr>
              <w:t>Poster</w:t>
            </w:r>
            <w:r w:rsidR="00B817EF">
              <w:rPr>
                <w:noProof/>
                <w:webHidden/>
              </w:rPr>
              <w:tab/>
            </w:r>
            <w:r w:rsidR="00B817EF">
              <w:rPr>
                <w:noProof/>
                <w:webHidden/>
              </w:rPr>
              <w:fldChar w:fldCharType="begin"/>
            </w:r>
            <w:r w:rsidR="00B817EF">
              <w:rPr>
                <w:noProof/>
                <w:webHidden/>
              </w:rPr>
              <w:instrText xml:space="preserve"> PAGEREF _Toc222678032 \h </w:instrText>
            </w:r>
            <w:r w:rsidR="00B817EF">
              <w:rPr>
                <w:noProof/>
                <w:webHidden/>
              </w:rPr>
            </w:r>
            <w:r w:rsidR="00B817EF">
              <w:rPr>
                <w:noProof/>
                <w:webHidden/>
              </w:rPr>
              <w:fldChar w:fldCharType="separate"/>
            </w:r>
            <w:r w:rsidR="00B817EF">
              <w:rPr>
                <w:noProof/>
                <w:webHidden/>
              </w:rPr>
              <w:t>3</w:t>
            </w:r>
            <w:r w:rsidR="00B817EF">
              <w:rPr>
                <w:noProof/>
                <w:webHidden/>
              </w:rPr>
              <w:fldChar w:fldCharType="end"/>
            </w:r>
          </w:hyperlink>
        </w:p>
        <w:p w14:paraId="60C09BB4" w14:textId="4EC9045A" w:rsidR="00B817EF" w:rsidRDefault="00B817EF">
          <w:pPr>
            <w:pStyle w:val="TOC1"/>
            <w:tabs>
              <w:tab w:val="right" w:leader="dot" w:pos="9016"/>
            </w:tabs>
            <w:rPr>
              <w:rFonts w:asciiTheme="minorHAnsi" w:eastAsiaTheme="minorEastAsia" w:hAnsiTheme="minorHAnsi"/>
              <w:noProof/>
              <w:sz w:val="24"/>
              <w:lang w:eastAsia="en-GB" w:bidi="ar-SA"/>
            </w:rPr>
          </w:pPr>
          <w:hyperlink w:anchor="_Toc222678033" w:history="1">
            <w:r w:rsidRPr="005F6167">
              <w:rPr>
                <w:rStyle w:val="Hyperlink"/>
                <w:rFonts w:cs="Arial"/>
                <w:noProof/>
              </w:rPr>
              <w:t>Written Pitch: CareConnect – A Community-Linked Digital Support System for Older Adults After Hospital Discharge</w:t>
            </w:r>
            <w:r>
              <w:rPr>
                <w:noProof/>
                <w:webHidden/>
              </w:rPr>
              <w:tab/>
            </w:r>
            <w:r>
              <w:rPr>
                <w:noProof/>
                <w:webHidden/>
              </w:rPr>
              <w:fldChar w:fldCharType="begin"/>
            </w:r>
            <w:r>
              <w:rPr>
                <w:noProof/>
                <w:webHidden/>
              </w:rPr>
              <w:instrText xml:space="preserve"> PAGEREF _Toc222678033 \h </w:instrText>
            </w:r>
            <w:r>
              <w:rPr>
                <w:noProof/>
                <w:webHidden/>
              </w:rPr>
            </w:r>
            <w:r>
              <w:rPr>
                <w:noProof/>
                <w:webHidden/>
              </w:rPr>
              <w:fldChar w:fldCharType="separate"/>
            </w:r>
            <w:r>
              <w:rPr>
                <w:noProof/>
                <w:webHidden/>
              </w:rPr>
              <w:t>4</w:t>
            </w:r>
            <w:r>
              <w:rPr>
                <w:noProof/>
                <w:webHidden/>
              </w:rPr>
              <w:fldChar w:fldCharType="end"/>
            </w:r>
          </w:hyperlink>
        </w:p>
        <w:p w14:paraId="58222753" w14:textId="1C6CB960"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34" w:history="1">
            <w:r w:rsidRPr="005F6167">
              <w:rPr>
                <w:rStyle w:val="Hyperlink"/>
                <w:rFonts w:cs="Arial"/>
                <w:noProof/>
              </w:rPr>
              <w:t>Introduction</w:t>
            </w:r>
            <w:r>
              <w:rPr>
                <w:noProof/>
                <w:webHidden/>
              </w:rPr>
              <w:tab/>
            </w:r>
            <w:r>
              <w:rPr>
                <w:noProof/>
                <w:webHidden/>
              </w:rPr>
              <w:fldChar w:fldCharType="begin"/>
            </w:r>
            <w:r>
              <w:rPr>
                <w:noProof/>
                <w:webHidden/>
              </w:rPr>
              <w:instrText xml:space="preserve"> PAGEREF _Toc222678034 \h </w:instrText>
            </w:r>
            <w:r>
              <w:rPr>
                <w:noProof/>
                <w:webHidden/>
              </w:rPr>
            </w:r>
            <w:r>
              <w:rPr>
                <w:noProof/>
                <w:webHidden/>
              </w:rPr>
              <w:fldChar w:fldCharType="separate"/>
            </w:r>
            <w:r>
              <w:rPr>
                <w:noProof/>
                <w:webHidden/>
              </w:rPr>
              <w:t>4</w:t>
            </w:r>
            <w:r>
              <w:rPr>
                <w:noProof/>
                <w:webHidden/>
              </w:rPr>
              <w:fldChar w:fldCharType="end"/>
            </w:r>
          </w:hyperlink>
        </w:p>
        <w:p w14:paraId="314B7A50" w14:textId="17B43B86"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35" w:history="1">
            <w:r w:rsidRPr="005F6167">
              <w:rPr>
                <w:rStyle w:val="Hyperlink"/>
                <w:rFonts w:cs="Arial"/>
                <w:noProof/>
              </w:rPr>
              <w:t>Rationale and Evidence for the Initiative</w:t>
            </w:r>
            <w:r>
              <w:rPr>
                <w:noProof/>
                <w:webHidden/>
              </w:rPr>
              <w:tab/>
            </w:r>
            <w:r>
              <w:rPr>
                <w:noProof/>
                <w:webHidden/>
              </w:rPr>
              <w:fldChar w:fldCharType="begin"/>
            </w:r>
            <w:r>
              <w:rPr>
                <w:noProof/>
                <w:webHidden/>
              </w:rPr>
              <w:instrText xml:space="preserve"> PAGEREF _Toc222678035 \h </w:instrText>
            </w:r>
            <w:r>
              <w:rPr>
                <w:noProof/>
                <w:webHidden/>
              </w:rPr>
            </w:r>
            <w:r>
              <w:rPr>
                <w:noProof/>
                <w:webHidden/>
              </w:rPr>
              <w:fldChar w:fldCharType="separate"/>
            </w:r>
            <w:r>
              <w:rPr>
                <w:noProof/>
                <w:webHidden/>
              </w:rPr>
              <w:t>4</w:t>
            </w:r>
            <w:r>
              <w:rPr>
                <w:noProof/>
                <w:webHidden/>
              </w:rPr>
              <w:fldChar w:fldCharType="end"/>
            </w:r>
          </w:hyperlink>
        </w:p>
        <w:p w14:paraId="37A01CC4" w14:textId="05AE4058"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36" w:history="1">
            <w:r w:rsidRPr="005F6167">
              <w:rPr>
                <w:rStyle w:val="Hyperlink"/>
                <w:rFonts w:cs="Arial"/>
                <w:noProof/>
              </w:rPr>
              <w:t>Description of the Innovation</w:t>
            </w:r>
            <w:r>
              <w:rPr>
                <w:noProof/>
                <w:webHidden/>
              </w:rPr>
              <w:tab/>
            </w:r>
            <w:r>
              <w:rPr>
                <w:noProof/>
                <w:webHidden/>
              </w:rPr>
              <w:fldChar w:fldCharType="begin"/>
            </w:r>
            <w:r>
              <w:rPr>
                <w:noProof/>
                <w:webHidden/>
              </w:rPr>
              <w:instrText xml:space="preserve"> PAGEREF _Toc222678036 \h </w:instrText>
            </w:r>
            <w:r>
              <w:rPr>
                <w:noProof/>
                <w:webHidden/>
              </w:rPr>
            </w:r>
            <w:r>
              <w:rPr>
                <w:noProof/>
                <w:webHidden/>
              </w:rPr>
              <w:fldChar w:fldCharType="separate"/>
            </w:r>
            <w:r>
              <w:rPr>
                <w:noProof/>
                <w:webHidden/>
              </w:rPr>
              <w:t>5</w:t>
            </w:r>
            <w:r>
              <w:rPr>
                <w:noProof/>
                <w:webHidden/>
              </w:rPr>
              <w:fldChar w:fldCharType="end"/>
            </w:r>
          </w:hyperlink>
        </w:p>
        <w:p w14:paraId="147C4C8B" w14:textId="2619A028"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37" w:history="1">
            <w:r w:rsidRPr="005F6167">
              <w:rPr>
                <w:rStyle w:val="Hyperlink"/>
                <w:rFonts w:cs="Arial"/>
                <w:noProof/>
              </w:rPr>
              <w:t>Implementation</w:t>
            </w:r>
            <w:r>
              <w:rPr>
                <w:noProof/>
                <w:webHidden/>
              </w:rPr>
              <w:tab/>
            </w:r>
            <w:r>
              <w:rPr>
                <w:noProof/>
                <w:webHidden/>
              </w:rPr>
              <w:fldChar w:fldCharType="begin"/>
            </w:r>
            <w:r>
              <w:rPr>
                <w:noProof/>
                <w:webHidden/>
              </w:rPr>
              <w:instrText xml:space="preserve"> PAGEREF _Toc222678037 \h </w:instrText>
            </w:r>
            <w:r>
              <w:rPr>
                <w:noProof/>
                <w:webHidden/>
              </w:rPr>
            </w:r>
            <w:r>
              <w:rPr>
                <w:noProof/>
                <w:webHidden/>
              </w:rPr>
              <w:fldChar w:fldCharType="separate"/>
            </w:r>
            <w:r>
              <w:rPr>
                <w:noProof/>
                <w:webHidden/>
              </w:rPr>
              <w:t>5</w:t>
            </w:r>
            <w:r>
              <w:rPr>
                <w:noProof/>
                <w:webHidden/>
              </w:rPr>
              <w:fldChar w:fldCharType="end"/>
            </w:r>
          </w:hyperlink>
        </w:p>
        <w:p w14:paraId="7F9132F4" w14:textId="7092F994"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38" w:history="1">
            <w:r w:rsidRPr="005F6167">
              <w:rPr>
                <w:rStyle w:val="Hyperlink"/>
                <w:rFonts w:cs="Arial"/>
                <w:noProof/>
              </w:rPr>
              <w:t>Policy, Regulation and Ethical Considerations</w:t>
            </w:r>
            <w:r>
              <w:rPr>
                <w:noProof/>
                <w:webHidden/>
              </w:rPr>
              <w:tab/>
            </w:r>
            <w:r>
              <w:rPr>
                <w:noProof/>
                <w:webHidden/>
              </w:rPr>
              <w:fldChar w:fldCharType="begin"/>
            </w:r>
            <w:r>
              <w:rPr>
                <w:noProof/>
                <w:webHidden/>
              </w:rPr>
              <w:instrText xml:space="preserve"> PAGEREF _Toc222678038 \h </w:instrText>
            </w:r>
            <w:r>
              <w:rPr>
                <w:noProof/>
                <w:webHidden/>
              </w:rPr>
            </w:r>
            <w:r>
              <w:rPr>
                <w:noProof/>
                <w:webHidden/>
              </w:rPr>
              <w:fldChar w:fldCharType="separate"/>
            </w:r>
            <w:r>
              <w:rPr>
                <w:noProof/>
                <w:webHidden/>
              </w:rPr>
              <w:t>6</w:t>
            </w:r>
            <w:r>
              <w:rPr>
                <w:noProof/>
                <w:webHidden/>
              </w:rPr>
              <w:fldChar w:fldCharType="end"/>
            </w:r>
          </w:hyperlink>
        </w:p>
        <w:p w14:paraId="005CBF45" w14:textId="5C774F1D"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39" w:history="1">
            <w:r w:rsidRPr="005F6167">
              <w:rPr>
                <w:rStyle w:val="Hyperlink"/>
                <w:rFonts w:cs="Arial"/>
                <w:noProof/>
              </w:rPr>
              <w:t>Public Engagement and Dissemination</w:t>
            </w:r>
            <w:r>
              <w:rPr>
                <w:noProof/>
                <w:webHidden/>
              </w:rPr>
              <w:tab/>
            </w:r>
            <w:r>
              <w:rPr>
                <w:noProof/>
                <w:webHidden/>
              </w:rPr>
              <w:fldChar w:fldCharType="begin"/>
            </w:r>
            <w:r>
              <w:rPr>
                <w:noProof/>
                <w:webHidden/>
              </w:rPr>
              <w:instrText xml:space="preserve"> PAGEREF _Toc222678039 \h </w:instrText>
            </w:r>
            <w:r>
              <w:rPr>
                <w:noProof/>
                <w:webHidden/>
              </w:rPr>
            </w:r>
            <w:r>
              <w:rPr>
                <w:noProof/>
                <w:webHidden/>
              </w:rPr>
              <w:fldChar w:fldCharType="separate"/>
            </w:r>
            <w:r>
              <w:rPr>
                <w:noProof/>
                <w:webHidden/>
              </w:rPr>
              <w:t>6</w:t>
            </w:r>
            <w:r>
              <w:rPr>
                <w:noProof/>
                <w:webHidden/>
              </w:rPr>
              <w:fldChar w:fldCharType="end"/>
            </w:r>
          </w:hyperlink>
        </w:p>
        <w:p w14:paraId="01225AAA" w14:textId="2121DEE1"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40" w:history="1">
            <w:r w:rsidRPr="005F6167">
              <w:rPr>
                <w:rStyle w:val="Hyperlink"/>
                <w:rFonts w:cs="Arial"/>
                <w:noProof/>
              </w:rPr>
              <w:t>Expected Outcomes and Value Creation</w:t>
            </w:r>
            <w:r>
              <w:rPr>
                <w:noProof/>
                <w:webHidden/>
              </w:rPr>
              <w:tab/>
            </w:r>
            <w:r>
              <w:rPr>
                <w:noProof/>
                <w:webHidden/>
              </w:rPr>
              <w:fldChar w:fldCharType="begin"/>
            </w:r>
            <w:r>
              <w:rPr>
                <w:noProof/>
                <w:webHidden/>
              </w:rPr>
              <w:instrText xml:space="preserve"> PAGEREF _Toc222678040 \h </w:instrText>
            </w:r>
            <w:r>
              <w:rPr>
                <w:noProof/>
                <w:webHidden/>
              </w:rPr>
            </w:r>
            <w:r>
              <w:rPr>
                <w:noProof/>
                <w:webHidden/>
              </w:rPr>
              <w:fldChar w:fldCharType="separate"/>
            </w:r>
            <w:r>
              <w:rPr>
                <w:noProof/>
                <w:webHidden/>
              </w:rPr>
              <w:t>6</w:t>
            </w:r>
            <w:r>
              <w:rPr>
                <w:noProof/>
                <w:webHidden/>
              </w:rPr>
              <w:fldChar w:fldCharType="end"/>
            </w:r>
          </w:hyperlink>
        </w:p>
        <w:p w14:paraId="1DFCDFC3" w14:textId="0A50631B" w:rsidR="00B817EF" w:rsidRDefault="00B817EF">
          <w:pPr>
            <w:pStyle w:val="TOC2"/>
            <w:tabs>
              <w:tab w:val="right" w:leader="dot" w:pos="9016"/>
            </w:tabs>
            <w:rPr>
              <w:rFonts w:asciiTheme="minorHAnsi" w:eastAsiaTheme="minorEastAsia" w:hAnsiTheme="minorHAnsi"/>
              <w:noProof/>
              <w:sz w:val="24"/>
              <w:lang w:eastAsia="en-GB" w:bidi="ar-SA"/>
            </w:rPr>
          </w:pPr>
          <w:hyperlink w:anchor="_Toc222678041" w:history="1">
            <w:r w:rsidRPr="005F6167">
              <w:rPr>
                <w:rStyle w:val="Hyperlink"/>
                <w:rFonts w:cs="Arial"/>
                <w:noProof/>
              </w:rPr>
              <w:t>Conclusion</w:t>
            </w:r>
            <w:r>
              <w:rPr>
                <w:noProof/>
                <w:webHidden/>
              </w:rPr>
              <w:tab/>
            </w:r>
            <w:r>
              <w:rPr>
                <w:noProof/>
                <w:webHidden/>
              </w:rPr>
              <w:fldChar w:fldCharType="begin"/>
            </w:r>
            <w:r>
              <w:rPr>
                <w:noProof/>
                <w:webHidden/>
              </w:rPr>
              <w:instrText xml:space="preserve"> PAGEREF _Toc222678041 \h </w:instrText>
            </w:r>
            <w:r>
              <w:rPr>
                <w:noProof/>
                <w:webHidden/>
              </w:rPr>
            </w:r>
            <w:r>
              <w:rPr>
                <w:noProof/>
                <w:webHidden/>
              </w:rPr>
              <w:fldChar w:fldCharType="separate"/>
            </w:r>
            <w:r>
              <w:rPr>
                <w:noProof/>
                <w:webHidden/>
              </w:rPr>
              <w:t>7</w:t>
            </w:r>
            <w:r>
              <w:rPr>
                <w:noProof/>
                <w:webHidden/>
              </w:rPr>
              <w:fldChar w:fldCharType="end"/>
            </w:r>
          </w:hyperlink>
        </w:p>
        <w:p w14:paraId="0920FFF1" w14:textId="3CCCF3E8" w:rsidR="00B817EF" w:rsidRDefault="00B817EF">
          <w:pPr>
            <w:pStyle w:val="TOC1"/>
            <w:tabs>
              <w:tab w:val="right" w:leader="dot" w:pos="9016"/>
            </w:tabs>
            <w:rPr>
              <w:rFonts w:asciiTheme="minorHAnsi" w:eastAsiaTheme="minorEastAsia" w:hAnsiTheme="minorHAnsi"/>
              <w:noProof/>
              <w:sz w:val="24"/>
              <w:lang w:eastAsia="en-GB" w:bidi="ar-SA"/>
            </w:rPr>
          </w:pPr>
          <w:hyperlink w:anchor="_Toc222678042" w:history="1">
            <w:r w:rsidRPr="005F6167">
              <w:rPr>
                <w:rStyle w:val="Hyperlink"/>
                <w:rFonts w:cs="Arial"/>
                <w:noProof/>
              </w:rPr>
              <w:t>References</w:t>
            </w:r>
            <w:r>
              <w:rPr>
                <w:noProof/>
                <w:webHidden/>
              </w:rPr>
              <w:tab/>
            </w:r>
            <w:r>
              <w:rPr>
                <w:noProof/>
                <w:webHidden/>
              </w:rPr>
              <w:fldChar w:fldCharType="begin"/>
            </w:r>
            <w:r>
              <w:rPr>
                <w:noProof/>
                <w:webHidden/>
              </w:rPr>
              <w:instrText xml:space="preserve"> PAGEREF _Toc222678042 \h </w:instrText>
            </w:r>
            <w:r>
              <w:rPr>
                <w:noProof/>
                <w:webHidden/>
              </w:rPr>
            </w:r>
            <w:r>
              <w:rPr>
                <w:noProof/>
                <w:webHidden/>
              </w:rPr>
              <w:fldChar w:fldCharType="separate"/>
            </w:r>
            <w:r>
              <w:rPr>
                <w:noProof/>
                <w:webHidden/>
              </w:rPr>
              <w:t>8</w:t>
            </w:r>
            <w:r>
              <w:rPr>
                <w:noProof/>
                <w:webHidden/>
              </w:rPr>
              <w:fldChar w:fldCharType="end"/>
            </w:r>
          </w:hyperlink>
        </w:p>
        <w:p w14:paraId="5E74BCD2" w14:textId="52076CE8" w:rsidR="003631CF" w:rsidRDefault="003631CF">
          <w:r>
            <w:rPr>
              <w:b/>
              <w:bCs/>
              <w:noProof/>
            </w:rPr>
            <w:fldChar w:fldCharType="end"/>
          </w:r>
        </w:p>
      </w:sdtContent>
    </w:sdt>
    <w:p w14:paraId="3736F89C" w14:textId="09EBFEBE" w:rsidR="00FF6B6E" w:rsidRPr="00A96D48" w:rsidRDefault="00FF6B6E">
      <w:pPr>
        <w:spacing w:line="278" w:lineRule="auto"/>
        <w:jc w:val="left"/>
        <w:rPr>
          <w:rFonts w:cs="Arial"/>
          <w:sz w:val="24"/>
        </w:rPr>
      </w:pPr>
      <w:r w:rsidRPr="00A96D48">
        <w:rPr>
          <w:rFonts w:cs="Arial"/>
          <w:sz w:val="24"/>
        </w:rPr>
        <w:br w:type="page"/>
      </w:r>
    </w:p>
    <w:p w14:paraId="390B8E53" w14:textId="7A65611D" w:rsidR="006143CA" w:rsidRDefault="00FF6B6E" w:rsidP="006143CA">
      <w:pPr>
        <w:pStyle w:val="Heading1"/>
        <w:rPr>
          <w:sz w:val="32"/>
          <w:szCs w:val="32"/>
        </w:rPr>
      </w:pPr>
      <w:bookmarkStart w:id="0" w:name="_Toc222678032"/>
      <w:r w:rsidRPr="00BA5ADE">
        <w:rPr>
          <w:sz w:val="32"/>
          <w:szCs w:val="32"/>
        </w:rPr>
        <w:lastRenderedPageBreak/>
        <w:t>Poster</w:t>
      </w:r>
      <w:bookmarkEnd w:id="0"/>
    </w:p>
    <w:p w14:paraId="52F05A19" w14:textId="735F09B2" w:rsidR="006143CA" w:rsidRPr="006143CA" w:rsidRDefault="00676F4D" w:rsidP="006143CA">
      <w:r>
        <w:rPr>
          <w:noProof/>
        </w:rPr>
        <w:drawing>
          <wp:inline distT="0" distB="0" distL="0" distR="0" wp14:anchorId="2003DC70" wp14:editId="1DBF0D6F">
            <wp:extent cx="5731217" cy="8087710"/>
            <wp:effectExtent l="0" t="0" r="3175" b="8890"/>
            <wp:docPr id="2875930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59309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852" cy="8088606"/>
                    </a:xfrm>
                    <a:prstGeom prst="rect">
                      <a:avLst/>
                    </a:prstGeom>
                  </pic:spPr>
                </pic:pic>
              </a:graphicData>
            </a:graphic>
          </wp:inline>
        </w:drawing>
      </w:r>
    </w:p>
    <w:p w14:paraId="1B136EC8" w14:textId="3ECE8ED6" w:rsidR="00FF6B6E" w:rsidRPr="00A96D48" w:rsidRDefault="00FF6B6E" w:rsidP="00FF6B6E">
      <w:pPr>
        <w:rPr>
          <w:sz w:val="24"/>
        </w:rPr>
      </w:pPr>
    </w:p>
    <w:p w14:paraId="302E62E7" w14:textId="77777777" w:rsidR="00C11502" w:rsidRPr="00BA5ADE" w:rsidRDefault="00FF6B6E" w:rsidP="00BA5ADE">
      <w:pPr>
        <w:pStyle w:val="Heading1"/>
        <w:rPr>
          <w:rFonts w:eastAsiaTheme="minorHAnsi" w:cs="Arial"/>
          <w:sz w:val="22"/>
          <w:szCs w:val="22"/>
        </w:rPr>
      </w:pPr>
      <w:r w:rsidRPr="00A96D48">
        <w:rPr>
          <w:sz w:val="24"/>
          <w:szCs w:val="24"/>
        </w:rPr>
        <w:br w:type="page"/>
      </w:r>
      <w:bookmarkStart w:id="1" w:name="_Toc222678033"/>
      <w:r w:rsidR="00C11502" w:rsidRPr="00BA5ADE">
        <w:rPr>
          <w:rFonts w:eastAsiaTheme="minorHAnsi" w:cs="Arial"/>
          <w:sz w:val="22"/>
          <w:szCs w:val="22"/>
        </w:rPr>
        <w:lastRenderedPageBreak/>
        <w:t xml:space="preserve">Written Pitch: </w:t>
      </w:r>
      <w:proofErr w:type="spellStart"/>
      <w:r w:rsidR="00C11502" w:rsidRPr="00BA5ADE">
        <w:rPr>
          <w:rFonts w:eastAsiaTheme="minorHAnsi" w:cs="Arial"/>
          <w:sz w:val="22"/>
          <w:szCs w:val="22"/>
        </w:rPr>
        <w:t>CareConnect</w:t>
      </w:r>
      <w:proofErr w:type="spellEnd"/>
      <w:r w:rsidR="00C11502" w:rsidRPr="00BA5ADE">
        <w:rPr>
          <w:rFonts w:eastAsiaTheme="minorHAnsi" w:cs="Arial"/>
          <w:sz w:val="22"/>
          <w:szCs w:val="22"/>
        </w:rPr>
        <w:t xml:space="preserve"> – A Community-Linked Digital Support System for Older Adults After Hospital Discharge</w:t>
      </w:r>
      <w:bookmarkEnd w:id="1"/>
    </w:p>
    <w:p w14:paraId="7E94FD00" w14:textId="77777777" w:rsidR="00C11502" w:rsidRPr="00BA5ADE" w:rsidRDefault="00C11502" w:rsidP="00BA5ADE">
      <w:pPr>
        <w:pStyle w:val="Heading2"/>
        <w:rPr>
          <w:rFonts w:cs="Arial"/>
          <w:u w:val="none"/>
        </w:rPr>
      </w:pPr>
      <w:bookmarkStart w:id="2" w:name="_Toc222678034"/>
      <w:r w:rsidRPr="00BA5ADE">
        <w:rPr>
          <w:rFonts w:cs="Arial"/>
          <w:u w:val="none"/>
        </w:rPr>
        <w:t>Introduction</w:t>
      </w:r>
      <w:bookmarkEnd w:id="2"/>
    </w:p>
    <w:p w14:paraId="0CE65760" w14:textId="77777777" w:rsidR="00C11502" w:rsidRPr="00BA5ADE" w:rsidRDefault="00C11502" w:rsidP="00BA5ADE">
      <w:pPr>
        <w:jc w:val="left"/>
        <w:rPr>
          <w:rFonts w:cs="Arial"/>
          <w:szCs w:val="22"/>
        </w:rPr>
      </w:pPr>
      <w:r w:rsidRPr="00BA5ADE">
        <w:rPr>
          <w:rFonts w:cs="Arial"/>
          <w:szCs w:val="22"/>
        </w:rPr>
        <w:t>The United Kingdom is also facing an ageing population, an increase in chronic illness and a strain on hospital capacity which has become a challenge to the health and social care systems. The elderly often have complicated home to hospital discharge after treatment. Despite the established clinical discharge procedures, some people find it hard to cope with social isolation, medication compliance, and the ability to be independent when it comes to self-management of their health. Taking medical recovery is not enough, but social and emotional support, continuity of care, and community involvement are necessary in transitional care (Kinsey et al., 2023; Wong et al., 2025).</w:t>
      </w:r>
    </w:p>
    <w:p w14:paraId="7E89248D" w14:textId="1358A3B4" w:rsidR="00C11502" w:rsidRPr="00BA5ADE" w:rsidRDefault="00C11502" w:rsidP="00BA5ADE">
      <w:pPr>
        <w:jc w:val="left"/>
        <w:rPr>
          <w:rFonts w:cs="Arial"/>
          <w:szCs w:val="22"/>
        </w:rPr>
      </w:pPr>
      <w:proofErr w:type="spellStart"/>
      <w:r w:rsidRPr="00BA5ADE">
        <w:rPr>
          <w:rFonts w:cs="Arial"/>
          <w:szCs w:val="22"/>
        </w:rPr>
        <w:t>CareConnect</w:t>
      </w:r>
      <w:proofErr w:type="spellEnd"/>
      <w:r w:rsidRPr="00BA5ADE">
        <w:rPr>
          <w:rFonts w:cs="Arial"/>
          <w:szCs w:val="22"/>
        </w:rPr>
        <w:t xml:space="preserve"> is a prevention community-based intervention aimed to enhance recovery and wellbeing of adults aged 65 years and above following discharge. The programme is a blend of computer surveillance and the harmonized human assistance of trained volunteers and community care providers. This aims to minimize loneliness, improve independence and avoid unnecessary hospital readmissions and provide a sustainable model of NHS service.</w:t>
      </w:r>
    </w:p>
    <w:p w14:paraId="6E4C3C17" w14:textId="77777777" w:rsidR="00C11502" w:rsidRPr="00BA5ADE" w:rsidRDefault="00C11502" w:rsidP="00BA5ADE">
      <w:pPr>
        <w:pStyle w:val="Heading2"/>
        <w:rPr>
          <w:rFonts w:cs="Arial"/>
          <w:u w:val="none"/>
        </w:rPr>
      </w:pPr>
      <w:bookmarkStart w:id="3" w:name="_Toc222678035"/>
      <w:r w:rsidRPr="00BA5ADE">
        <w:rPr>
          <w:rFonts w:cs="Arial"/>
          <w:u w:val="none"/>
        </w:rPr>
        <w:t>Rationale and Evidence for the Initiative</w:t>
      </w:r>
      <w:bookmarkEnd w:id="3"/>
    </w:p>
    <w:p w14:paraId="656257A4" w14:textId="77777777" w:rsidR="00C11502" w:rsidRPr="00BA5ADE" w:rsidRDefault="00C11502" w:rsidP="00BA5ADE">
      <w:pPr>
        <w:jc w:val="left"/>
        <w:rPr>
          <w:rFonts w:cs="Arial"/>
          <w:szCs w:val="22"/>
        </w:rPr>
      </w:pPr>
      <w:r w:rsidRPr="00BA5ADE">
        <w:rPr>
          <w:rFonts w:cs="Arial"/>
          <w:szCs w:val="22"/>
        </w:rPr>
        <w:t>Poor mental health, decreased quality of life, and increased use of healthcare among aged adults are highly linked to loneliness and social isolation. Digital interventions can be used to reduce social isolation and enhance engagement in the case of older people when properly tailored (Welch et al., 2023; Bodenstein et al., 2024). Home discharge of patients without proper support also means that they do not attend follow-up visits and fail to take medication properly, which raises the risk of readmission (Tierney et al., 2021).</w:t>
      </w:r>
    </w:p>
    <w:p w14:paraId="08C90EF1" w14:textId="77777777" w:rsidR="00C11502" w:rsidRPr="00BA5ADE" w:rsidRDefault="00C11502" w:rsidP="00BA5ADE">
      <w:pPr>
        <w:jc w:val="left"/>
        <w:rPr>
          <w:rFonts w:cs="Arial"/>
          <w:szCs w:val="22"/>
        </w:rPr>
      </w:pPr>
      <w:r w:rsidRPr="00BA5ADE">
        <w:rPr>
          <w:rFonts w:cs="Arial"/>
          <w:szCs w:val="22"/>
        </w:rPr>
        <w:t>Recent studies have shown that hospital-at-home and transitional care models have proven to be more effective because recovery is better when permanent monitoring and support are given in the home setting (Leff, 2015; Morano et al., 2019). It is also reported by healthcare personnel that the continuity of care and patient safety via coordinated community services is enhanced (</w:t>
      </w:r>
      <w:proofErr w:type="spellStart"/>
      <w:r w:rsidRPr="00BA5ADE">
        <w:rPr>
          <w:rFonts w:cs="Arial"/>
          <w:szCs w:val="22"/>
        </w:rPr>
        <w:t>Karacaoglu</w:t>
      </w:r>
      <w:proofErr w:type="spellEnd"/>
      <w:r w:rsidRPr="00BA5ADE">
        <w:rPr>
          <w:rFonts w:cs="Arial"/>
          <w:szCs w:val="22"/>
        </w:rPr>
        <w:t xml:space="preserve"> and Leask, 2021; Anwar et al., 2024). Nevertheless, even nowadays, the services are still discontinuous and uneven in terms of the coverage.</w:t>
      </w:r>
    </w:p>
    <w:p w14:paraId="51C930B8" w14:textId="244ED74B" w:rsidR="00C11502" w:rsidRPr="00BA5ADE" w:rsidRDefault="00C11502" w:rsidP="00BA5ADE">
      <w:pPr>
        <w:jc w:val="left"/>
        <w:rPr>
          <w:rFonts w:cs="Arial"/>
          <w:szCs w:val="22"/>
        </w:rPr>
      </w:pPr>
      <w:r w:rsidRPr="00BA5ADE">
        <w:rPr>
          <w:rFonts w:cs="Arial"/>
          <w:szCs w:val="22"/>
        </w:rPr>
        <w:t xml:space="preserve">Sustainable health systems have placed primary and community healthcare transformation among immediate concerns in the future (Chan et al., 2024). Local authority approaches also prioritize the prevention, autonomy, and housing-related initiatives of older adults </w:t>
      </w:r>
      <w:r w:rsidRPr="00BA5ADE">
        <w:rPr>
          <w:rFonts w:cs="Arial"/>
          <w:szCs w:val="22"/>
        </w:rPr>
        <w:lastRenderedPageBreak/>
        <w:t xml:space="preserve">(Badger, 2024). </w:t>
      </w:r>
      <w:proofErr w:type="spellStart"/>
      <w:r w:rsidRPr="00BA5ADE">
        <w:rPr>
          <w:rFonts w:cs="Arial"/>
          <w:szCs w:val="22"/>
        </w:rPr>
        <w:t>CareConnect</w:t>
      </w:r>
      <w:proofErr w:type="spellEnd"/>
      <w:r w:rsidRPr="00BA5ADE">
        <w:rPr>
          <w:rFonts w:cs="Arial"/>
          <w:szCs w:val="22"/>
        </w:rPr>
        <w:t xml:space="preserve"> is specifically designed to address these needs by interconnecting digital monitoring, volunteer help, and coordination of primary care.</w:t>
      </w:r>
    </w:p>
    <w:p w14:paraId="2E5EF14A" w14:textId="77777777" w:rsidR="00C11502" w:rsidRPr="00BA5ADE" w:rsidRDefault="00C11502" w:rsidP="00BA5ADE">
      <w:pPr>
        <w:pStyle w:val="Heading2"/>
        <w:rPr>
          <w:rFonts w:cs="Arial"/>
          <w:u w:val="none"/>
        </w:rPr>
      </w:pPr>
      <w:bookmarkStart w:id="4" w:name="_Toc222678036"/>
      <w:r w:rsidRPr="00BA5ADE">
        <w:rPr>
          <w:rFonts w:cs="Arial"/>
          <w:u w:val="none"/>
        </w:rPr>
        <w:t>Description of the Innovation</w:t>
      </w:r>
      <w:bookmarkEnd w:id="4"/>
    </w:p>
    <w:p w14:paraId="4C906AB3" w14:textId="015DADDF" w:rsidR="008B5C67" w:rsidRPr="00BA5ADE" w:rsidRDefault="008B5C67" w:rsidP="00BA5ADE">
      <w:pPr>
        <w:jc w:val="left"/>
        <w:rPr>
          <w:rFonts w:cs="Arial"/>
          <w:szCs w:val="22"/>
        </w:rPr>
      </w:pPr>
      <w:proofErr w:type="spellStart"/>
      <w:r w:rsidRPr="00BA5ADE">
        <w:rPr>
          <w:rFonts w:cs="Arial"/>
          <w:szCs w:val="22"/>
        </w:rPr>
        <w:t>CareConnect</w:t>
      </w:r>
      <w:proofErr w:type="spellEnd"/>
      <w:r w:rsidRPr="00BA5ADE">
        <w:rPr>
          <w:rFonts w:cs="Arial"/>
          <w:szCs w:val="22"/>
        </w:rPr>
        <w:t xml:space="preserve"> is a merger of technology and human communication. Hospital discharge teams identify all eligible patients and </w:t>
      </w:r>
      <w:r w:rsidR="00B817EF" w:rsidRPr="00BA5ADE">
        <w:rPr>
          <w:rFonts w:cs="Arial"/>
          <w:szCs w:val="22"/>
        </w:rPr>
        <w:t>enrol</w:t>
      </w:r>
      <w:r w:rsidRPr="00BA5ADE">
        <w:rPr>
          <w:rFonts w:cs="Arial"/>
          <w:szCs w:val="22"/>
        </w:rPr>
        <w:t xml:space="preserve"> them with informed consent. Every respondent will have a Community Care Coordinator and a trained volunteer supporter. The patients are given an opportunity to have a simplified smartphone or tablet application which is easy to use.</w:t>
      </w:r>
    </w:p>
    <w:p w14:paraId="5B5A26EC" w14:textId="77777777" w:rsidR="008B5C67" w:rsidRPr="00BA5ADE" w:rsidRDefault="008B5C67" w:rsidP="00BA5ADE">
      <w:pPr>
        <w:jc w:val="left"/>
        <w:rPr>
          <w:rFonts w:cs="Arial"/>
          <w:szCs w:val="22"/>
        </w:rPr>
      </w:pPr>
      <w:r w:rsidRPr="00BA5ADE">
        <w:rPr>
          <w:rFonts w:cs="Arial"/>
          <w:szCs w:val="22"/>
        </w:rPr>
        <w:t>The computerized system offers medication notifications, appointment notifications, wellbeing check-ins and video conferencing. AI can be used to customise reminders and determine behavioural changes that can be used to identify a risk to facilitate safe hospital-to-home transition (Anghel et al., 2025). The volunteer also offers remote or face-to-face social interaction on a weekly basis whilst the coordinator oversees the engagement and provides links with GP practices and social services.</w:t>
      </w:r>
    </w:p>
    <w:p w14:paraId="7DA76AC7" w14:textId="2C941A08" w:rsidR="00C11502" w:rsidRPr="00BA5ADE" w:rsidRDefault="008B5C67" w:rsidP="00BA5ADE">
      <w:pPr>
        <w:jc w:val="left"/>
        <w:rPr>
          <w:rFonts w:cs="Arial"/>
          <w:szCs w:val="22"/>
        </w:rPr>
      </w:pPr>
      <w:r w:rsidRPr="00BA5ADE">
        <w:rPr>
          <w:rFonts w:cs="Arial"/>
          <w:szCs w:val="22"/>
        </w:rPr>
        <w:t xml:space="preserve">It has been demonstrated that personalised engagement enhances mental wellbeing and participation by patients (Bodenstein et al., 2024; Welch et al., 2023). </w:t>
      </w:r>
      <w:proofErr w:type="spellStart"/>
      <w:r w:rsidRPr="00BA5ADE">
        <w:rPr>
          <w:rFonts w:cs="Arial"/>
          <w:szCs w:val="22"/>
        </w:rPr>
        <w:t>CareConnect</w:t>
      </w:r>
      <w:proofErr w:type="spellEnd"/>
      <w:r w:rsidRPr="00BA5ADE">
        <w:rPr>
          <w:rFonts w:cs="Arial"/>
          <w:szCs w:val="22"/>
        </w:rPr>
        <w:t xml:space="preserve"> is a combination of preventative monitoring and companionship to treat medical and psychosocial recovery.</w:t>
      </w:r>
    </w:p>
    <w:p w14:paraId="1AB83D0C" w14:textId="77777777" w:rsidR="00C11502" w:rsidRPr="00BA5ADE" w:rsidRDefault="00C11502" w:rsidP="00BA5ADE">
      <w:pPr>
        <w:pStyle w:val="Heading2"/>
        <w:rPr>
          <w:rFonts w:cs="Arial"/>
          <w:u w:val="none"/>
        </w:rPr>
      </w:pPr>
      <w:bookmarkStart w:id="5" w:name="_Toc222678037"/>
      <w:r w:rsidRPr="00BA5ADE">
        <w:rPr>
          <w:rFonts w:cs="Arial"/>
          <w:u w:val="none"/>
        </w:rPr>
        <w:t>Implementation</w:t>
      </w:r>
      <w:bookmarkEnd w:id="5"/>
    </w:p>
    <w:p w14:paraId="65BD68DB" w14:textId="77777777" w:rsidR="002E0A3F" w:rsidRPr="00BA5ADE" w:rsidRDefault="002E0A3F" w:rsidP="00BA5ADE">
      <w:pPr>
        <w:jc w:val="left"/>
        <w:rPr>
          <w:rFonts w:cs="Arial"/>
          <w:szCs w:val="22"/>
        </w:rPr>
      </w:pPr>
      <w:r w:rsidRPr="00BA5ADE">
        <w:rPr>
          <w:rFonts w:cs="Arial"/>
          <w:szCs w:val="22"/>
        </w:rPr>
        <w:t>It will be an initiative that, in the beginning, will be implemented as pilot in one NHS community service. The patients will be identified by the hospital discharge teams, and primary care, community nurses, and voluntary organisations will work together in the delivery. Volunteers will also be given protection, communication, and digital literacy training.</w:t>
      </w:r>
    </w:p>
    <w:p w14:paraId="2E6C7B1E" w14:textId="77777777" w:rsidR="002E0A3F" w:rsidRPr="00BA5ADE" w:rsidRDefault="002E0A3F" w:rsidP="00BA5ADE">
      <w:pPr>
        <w:jc w:val="left"/>
        <w:rPr>
          <w:rFonts w:cs="Arial"/>
          <w:szCs w:val="22"/>
        </w:rPr>
      </w:pPr>
      <w:r w:rsidRPr="00BA5ADE">
        <w:rPr>
          <w:rFonts w:cs="Arial"/>
          <w:szCs w:val="22"/>
        </w:rPr>
        <w:t xml:space="preserve">Social intervention and community activity programmes have proved to add value to older adults by enhancing bonding and wellbeing (Bradwell, 2024). The continuity and confidence in patient care are also enhanced </w:t>
      </w:r>
      <w:proofErr w:type="gramStart"/>
      <w:r w:rsidRPr="00BA5ADE">
        <w:rPr>
          <w:rFonts w:cs="Arial"/>
          <w:szCs w:val="22"/>
        </w:rPr>
        <w:t>by the use of</w:t>
      </w:r>
      <w:proofErr w:type="gramEnd"/>
      <w:r w:rsidRPr="00BA5ADE">
        <w:rPr>
          <w:rFonts w:cs="Arial"/>
          <w:szCs w:val="22"/>
        </w:rPr>
        <w:t xml:space="preserve"> multidisciplinary teamwork in the home-based care models (Anwar et al., 2024; </w:t>
      </w:r>
      <w:proofErr w:type="spellStart"/>
      <w:r w:rsidRPr="00BA5ADE">
        <w:rPr>
          <w:rFonts w:cs="Arial"/>
          <w:szCs w:val="22"/>
        </w:rPr>
        <w:t>Bransgrove</w:t>
      </w:r>
      <w:proofErr w:type="spellEnd"/>
      <w:r w:rsidRPr="00BA5ADE">
        <w:rPr>
          <w:rFonts w:cs="Arial"/>
          <w:szCs w:val="22"/>
        </w:rPr>
        <w:t xml:space="preserve"> et al., 2025). </w:t>
      </w:r>
      <w:proofErr w:type="spellStart"/>
      <w:r w:rsidRPr="00BA5ADE">
        <w:rPr>
          <w:rFonts w:cs="Arial"/>
          <w:szCs w:val="22"/>
        </w:rPr>
        <w:t>CareConnect</w:t>
      </w:r>
      <w:proofErr w:type="spellEnd"/>
      <w:r w:rsidRPr="00BA5ADE">
        <w:rPr>
          <w:rFonts w:cs="Arial"/>
          <w:szCs w:val="22"/>
        </w:rPr>
        <w:t xml:space="preserve"> is a further extension of the hospital-at-home philosophy that offers monitored and caring company at home (Leff, 2015).</w:t>
      </w:r>
    </w:p>
    <w:p w14:paraId="4AB5DE65" w14:textId="12BBF469" w:rsidR="00C11502" w:rsidRPr="00BA5ADE" w:rsidRDefault="002E0A3F" w:rsidP="00BA5ADE">
      <w:pPr>
        <w:jc w:val="left"/>
        <w:rPr>
          <w:rFonts w:cs="Arial"/>
          <w:szCs w:val="22"/>
        </w:rPr>
      </w:pPr>
      <w:r w:rsidRPr="00BA5ADE">
        <w:rPr>
          <w:rFonts w:cs="Arial"/>
          <w:szCs w:val="22"/>
        </w:rPr>
        <w:t>Early detection of deterioration would help to avoid complications and decrease the demand in the hospital.</w:t>
      </w:r>
    </w:p>
    <w:p w14:paraId="3E21B14B" w14:textId="77777777" w:rsidR="00C11502" w:rsidRPr="00BA5ADE" w:rsidRDefault="00C11502" w:rsidP="00BA5ADE">
      <w:pPr>
        <w:pStyle w:val="Heading2"/>
        <w:rPr>
          <w:rFonts w:cs="Arial"/>
          <w:u w:val="none"/>
        </w:rPr>
      </w:pPr>
      <w:bookmarkStart w:id="6" w:name="_Toc222678038"/>
      <w:r w:rsidRPr="00BA5ADE">
        <w:rPr>
          <w:rFonts w:cs="Arial"/>
          <w:u w:val="none"/>
        </w:rPr>
        <w:lastRenderedPageBreak/>
        <w:t>Policy, Regulation and Ethical Considerations</w:t>
      </w:r>
      <w:bookmarkEnd w:id="6"/>
    </w:p>
    <w:p w14:paraId="60F59FC1" w14:textId="77777777" w:rsidR="002E0A3F" w:rsidRPr="00BA5ADE" w:rsidRDefault="002E0A3F" w:rsidP="00BA5ADE">
      <w:pPr>
        <w:jc w:val="left"/>
        <w:rPr>
          <w:rFonts w:cs="Arial"/>
          <w:szCs w:val="22"/>
        </w:rPr>
      </w:pPr>
      <w:proofErr w:type="spellStart"/>
      <w:r w:rsidRPr="00BA5ADE">
        <w:rPr>
          <w:rFonts w:cs="Arial"/>
          <w:szCs w:val="22"/>
        </w:rPr>
        <w:t>CareConnect</w:t>
      </w:r>
      <w:proofErr w:type="spellEnd"/>
      <w:r w:rsidRPr="00BA5ADE">
        <w:rPr>
          <w:rFonts w:cs="Arial"/>
          <w:szCs w:val="22"/>
        </w:rPr>
        <w:t xml:space="preserve"> will adhere to the UK General Data Protection Regulations so that there </w:t>
      </w:r>
      <w:proofErr w:type="gramStart"/>
      <w:r w:rsidRPr="00BA5ADE">
        <w:rPr>
          <w:rFonts w:cs="Arial"/>
          <w:szCs w:val="22"/>
        </w:rPr>
        <w:t>is</w:t>
      </w:r>
      <w:proofErr w:type="gramEnd"/>
      <w:r w:rsidRPr="00BA5ADE">
        <w:rPr>
          <w:rFonts w:cs="Arial"/>
          <w:szCs w:val="22"/>
        </w:rPr>
        <w:t xml:space="preserve"> confidentiality and informed consent. Safety of the digital implementation requires safe data standards and interoperability of healthcare systems (Canham et al., 2021). Protective processes will be integrated, which involves risk evaluation and explicit reporting channels.</w:t>
      </w:r>
    </w:p>
    <w:p w14:paraId="3AE30E1E" w14:textId="49FE874E" w:rsidR="00C11502" w:rsidRPr="00BA5ADE" w:rsidRDefault="002E0A3F" w:rsidP="00BA5ADE">
      <w:pPr>
        <w:jc w:val="left"/>
        <w:rPr>
          <w:rFonts w:cs="Arial"/>
          <w:szCs w:val="22"/>
        </w:rPr>
      </w:pPr>
      <w:r w:rsidRPr="00BA5ADE">
        <w:rPr>
          <w:rFonts w:cs="Arial"/>
          <w:szCs w:val="22"/>
        </w:rPr>
        <w:t>On the ethical side, digital health services should not be applied in a way that shuns older people who do not have technological skills. Thus, training and other support alternatives will be made. The system does not supplant human contact and ensures dignity and autonomy.</w:t>
      </w:r>
    </w:p>
    <w:p w14:paraId="33A16034" w14:textId="77777777" w:rsidR="00C11502" w:rsidRPr="00BA5ADE" w:rsidRDefault="00C11502" w:rsidP="00BA5ADE">
      <w:pPr>
        <w:pStyle w:val="Heading2"/>
        <w:rPr>
          <w:rFonts w:cs="Arial"/>
          <w:u w:val="none"/>
        </w:rPr>
      </w:pPr>
      <w:bookmarkStart w:id="7" w:name="_Toc222678039"/>
      <w:r w:rsidRPr="00BA5ADE">
        <w:rPr>
          <w:rFonts w:cs="Arial"/>
          <w:u w:val="none"/>
        </w:rPr>
        <w:t>Public Engagement and Dissemination</w:t>
      </w:r>
      <w:bookmarkEnd w:id="7"/>
    </w:p>
    <w:p w14:paraId="7864931F" w14:textId="77777777" w:rsidR="002E0A3F" w:rsidRPr="00BA5ADE" w:rsidRDefault="002E0A3F" w:rsidP="00BA5ADE">
      <w:pPr>
        <w:jc w:val="left"/>
        <w:rPr>
          <w:rFonts w:cs="Arial"/>
          <w:szCs w:val="22"/>
        </w:rPr>
      </w:pPr>
      <w:r w:rsidRPr="00BA5ADE">
        <w:rPr>
          <w:rFonts w:cs="Arial"/>
          <w:szCs w:val="22"/>
        </w:rPr>
        <w:t>Advertisement will be done via GPs, discharge agencies in the hospital and in the community centre. Partnership with voluntary organisations and public awareness campaigns will be used to get participation. The community-based programmes work more successfully in case patients and families realize the purpose and advantages (Wong et al., 2025).</w:t>
      </w:r>
    </w:p>
    <w:p w14:paraId="4CFCC97B" w14:textId="456D11C9" w:rsidR="00C11502" w:rsidRPr="00BA5ADE" w:rsidRDefault="002E0A3F" w:rsidP="00BA5ADE">
      <w:pPr>
        <w:jc w:val="left"/>
        <w:rPr>
          <w:rFonts w:cs="Arial"/>
          <w:szCs w:val="22"/>
        </w:rPr>
      </w:pPr>
      <w:r w:rsidRPr="00BA5ADE">
        <w:rPr>
          <w:rFonts w:cs="Arial"/>
          <w:szCs w:val="22"/>
        </w:rPr>
        <w:t>It is necessary to involve the people since both social and environmental factors can affect the recovery process. Establishing resilience and alleviating loneliness by encouraging families and volunteers to get involved.</w:t>
      </w:r>
    </w:p>
    <w:p w14:paraId="18CA45F5" w14:textId="77777777" w:rsidR="00C11502" w:rsidRPr="00BA5ADE" w:rsidRDefault="00C11502" w:rsidP="00BA5ADE">
      <w:pPr>
        <w:pStyle w:val="Heading2"/>
        <w:rPr>
          <w:rFonts w:cs="Arial"/>
          <w:u w:val="none"/>
        </w:rPr>
      </w:pPr>
      <w:bookmarkStart w:id="8" w:name="_Toc222678040"/>
      <w:r w:rsidRPr="00BA5ADE">
        <w:rPr>
          <w:rFonts w:cs="Arial"/>
          <w:u w:val="none"/>
        </w:rPr>
        <w:t>Expected Outcomes and Value Creation</w:t>
      </w:r>
      <w:bookmarkEnd w:id="8"/>
    </w:p>
    <w:p w14:paraId="08A74E01" w14:textId="77777777" w:rsidR="002E0A3F" w:rsidRPr="00BA5ADE" w:rsidRDefault="002E0A3F" w:rsidP="00BA5ADE">
      <w:pPr>
        <w:jc w:val="left"/>
        <w:rPr>
          <w:rFonts w:cs="Arial"/>
          <w:szCs w:val="22"/>
        </w:rPr>
      </w:pPr>
      <w:proofErr w:type="spellStart"/>
      <w:r w:rsidRPr="00BA5ADE">
        <w:rPr>
          <w:rFonts w:cs="Arial"/>
          <w:szCs w:val="22"/>
        </w:rPr>
        <w:t>CareConnect</w:t>
      </w:r>
      <w:proofErr w:type="spellEnd"/>
      <w:r w:rsidRPr="00BA5ADE">
        <w:rPr>
          <w:rFonts w:cs="Arial"/>
          <w:szCs w:val="22"/>
        </w:rPr>
        <w:t xml:space="preserve"> will result in three levels of benefits.</w:t>
      </w:r>
    </w:p>
    <w:p w14:paraId="15682A72" w14:textId="77777777" w:rsidR="002E0A3F" w:rsidRPr="00BA5ADE" w:rsidRDefault="002E0A3F" w:rsidP="00BA5ADE">
      <w:pPr>
        <w:jc w:val="left"/>
        <w:rPr>
          <w:rFonts w:cs="Arial"/>
          <w:szCs w:val="22"/>
        </w:rPr>
      </w:pPr>
      <w:r w:rsidRPr="00BA5ADE">
        <w:rPr>
          <w:rFonts w:cs="Arial"/>
          <w:szCs w:val="22"/>
        </w:rPr>
        <w:t>To patients, the project enhances wellbeing, independence and confidence. Providing quality-of-life support enhances discharge recovery (Kinsey et al., 2023).</w:t>
      </w:r>
    </w:p>
    <w:p w14:paraId="58312616" w14:textId="77777777" w:rsidR="002E0A3F" w:rsidRPr="00BA5ADE" w:rsidRDefault="002E0A3F" w:rsidP="00BA5ADE">
      <w:pPr>
        <w:jc w:val="left"/>
        <w:rPr>
          <w:rFonts w:cs="Arial"/>
          <w:szCs w:val="22"/>
        </w:rPr>
      </w:pPr>
      <w:r w:rsidRPr="00BA5ADE">
        <w:rPr>
          <w:rFonts w:cs="Arial"/>
          <w:szCs w:val="22"/>
        </w:rPr>
        <w:t>In the case of healthcare, it helps the professional to intervene earlier and provide safer care coordination through the monitoring systems. Employees that operate in integrated care pathways note the enhancement of communication and effectiveness (</w:t>
      </w:r>
      <w:proofErr w:type="spellStart"/>
      <w:r w:rsidRPr="00BA5ADE">
        <w:rPr>
          <w:rFonts w:cs="Arial"/>
          <w:szCs w:val="22"/>
        </w:rPr>
        <w:t>Karacaoglu</w:t>
      </w:r>
      <w:proofErr w:type="spellEnd"/>
      <w:r w:rsidRPr="00BA5ADE">
        <w:rPr>
          <w:rFonts w:cs="Arial"/>
          <w:szCs w:val="22"/>
        </w:rPr>
        <w:t xml:space="preserve"> &amp; Leask, 2021).</w:t>
      </w:r>
    </w:p>
    <w:p w14:paraId="28F98AD4" w14:textId="708F0F8D" w:rsidR="00C11502" w:rsidRDefault="002E0A3F" w:rsidP="00BA5ADE">
      <w:pPr>
        <w:jc w:val="left"/>
        <w:rPr>
          <w:rFonts w:cs="Arial"/>
          <w:szCs w:val="22"/>
        </w:rPr>
      </w:pPr>
      <w:r w:rsidRPr="00BA5ADE">
        <w:rPr>
          <w:rFonts w:cs="Arial"/>
          <w:szCs w:val="22"/>
        </w:rPr>
        <w:t>In the case of the NHS, fewer readmissions and fewer hospital days are efficient and more sustainable. Community care avoidance leads to a decrease in the demand of acute services (Chan et al., 2024; Tierney et al., 2021).</w:t>
      </w:r>
    </w:p>
    <w:p w14:paraId="1EF8AC6D" w14:textId="77777777" w:rsidR="00B817EF" w:rsidRPr="00BA5ADE" w:rsidRDefault="00B817EF" w:rsidP="00BA5ADE">
      <w:pPr>
        <w:jc w:val="left"/>
        <w:rPr>
          <w:rFonts w:cs="Arial"/>
          <w:szCs w:val="22"/>
        </w:rPr>
      </w:pPr>
    </w:p>
    <w:p w14:paraId="084FBC83" w14:textId="77777777" w:rsidR="00C11502" w:rsidRPr="00BA5ADE" w:rsidRDefault="00C11502" w:rsidP="00BA5ADE">
      <w:pPr>
        <w:pStyle w:val="Heading2"/>
        <w:rPr>
          <w:rFonts w:cs="Arial"/>
          <w:u w:val="none"/>
        </w:rPr>
      </w:pPr>
      <w:bookmarkStart w:id="9" w:name="_Toc222678041"/>
      <w:r w:rsidRPr="00BA5ADE">
        <w:rPr>
          <w:rFonts w:cs="Arial"/>
          <w:u w:val="none"/>
        </w:rPr>
        <w:lastRenderedPageBreak/>
        <w:t>Conclusion</w:t>
      </w:r>
      <w:bookmarkEnd w:id="9"/>
    </w:p>
    <w:p w14:paraId="5E2471AD" w14:textId="77777777" w:rsidR="005A5183" w:rsidRPr="00BA5ADE" w:rsidRDefault="005A5183" w:rsidP="00BA5ADE">
      <w:pPr>
        <w:jc w:val="left"/>
        <w:rPr>
          <w:rFonts w:cs="Arial"/>
          <w:szCs w:val="22"/>
        </w:rPr>
      </w:pPr>
      <w:proofErr w:type="spellStart"/>
      <w:r w:rsidRPr="00BA5ADE">
        <w:rPr>
          <w:rFonts w:cs="Arial"/>
          <w:szCs w:val="22"/>
        </w:rPr>
        <w:t>CareConnect</w:t>
      </w:r>
      <w:proofErr w:type="spellEnd"/>
      <w:r w:rsidRPr="00BA5ADE">
        <w:rPr>
          <w:rFonts w:cs="Arial"/>
          <w:szCs w:val="22"/>
        </w:rPr>
        <w:t xml:space="preserve"> suggests a radical, individualistic model of post-discharge care. The initiative </w:t>
      </w:r>
      <w:proofErr w:type="gramStart"/>
      <w:r w:rsidRPr="00BA5ADE">
        <w:rPr>
          <w:rFonts w:cs="Arial"/>
          <w:szCs w:val="22"/>
        </w:rPr>
        <w:t>is able to</w:t>
      </w:r>
      <w:proofErr w:type="gramEnd"/>
      <w:r w:rsidRPr="00BA5ADE">
        <w:rPr>
          <w:rFonts w:cs="Arial"/>
          <w:szCs w:val="22"/>
        </w:rPr>
        <w:t xml:space="preserve"> overcome loneliness, enhance recovery, and decrease preventable readmissions by using digital technology along with volunteer support and organized professional engagement. The research on transitional care, hospital-at-home, and digital health provides the supporting evidence of the feasibility of this approach (Leff, 2015; Anghel et al., 2025; Wong et al., 2025).</w:t>
      </w:r>
    </w:p>
    <w:p w14:paraId="6C45AA2A" w14:textId="3729DAE1" w:rsidR="00C11502" w:rsidRPr="00BA5ADE" w:rsidRDefault="005A5183" w:rsidP="00BA5ADE">
      <w:pPr>
        <w:jc w:val="left"/>
        <w:rPr>
          <w:rFonts w:cs="Arial"/>
          <w:szCs w:val="22"/>
        </w:rPr>
      </w:pPr>
      <w:r w:rsidRPr="00BA5ADE">
        <w:rPr>
          <w:rFonts w:cs="Arial"/>
          <w:szCs w:val="22"/>
        </w:rPr>
        <w:t xml:space="preserve">The program is in line with the UK policy priorities that focus on prevention, community care, and independence. </w:t>
      </w:r>
      <w:proofErr w:type="spellStart"/>
      <w:r w:rsidRPr="00BA5ADE">
        <w:rPr>
          <w:rFonts w:cs="Arial"/>
          <w:szCs w:val="22"/>
        </w:rPr>
        <w:t>CareConnect</w:t>
      </w:r>
      <w:proofErr w:type="spellEnd"/>
      <w:r w:rsidRPr="00BA5ADE">
        <w:rPr>
          <w:rFonts w:cs="Arial"/>
          <w:szCs w:val="22"/>
        </w:rPr>
        <w:t xml:space="preserve"> is thus a feasible and moral decision that achieves the common good through enhancing patient health and sustaining a healthcare system.</w:t>
      </w:r>
    </w:p>
    <w:p w14:paraId="7396A014" w14:textId="479DEC31" w:rsidR="00615EDF" w:rsidRPr="00BA5ADE" w:rsidRDefault="00615EDF" w:rsidP="00BA5ADE">
      <w:pPr>
        <w:jc w:val="left"/>
        <w:rPr>
          <w:rFonts w:cs="Arial"/>
          <w:szCs w:val="22"/>
        </w:rPr>
      </w:pPr>
      <w:r w:rsidRPr="00BA5ADE">
        <w:rPr>
          <w:rFonts w:cs="Arial"/>
          <w:szCs w:val="22"/>
        </w:rPr>
        <w:br w:type="page"/>
      </w:r>
    </w:p>
    <w:p w14:paraId="613593E5" w14:textId="196A623F" w:rsidR="004B2806" w:rsidRPr="00BA5ADE" w:rsidRDefault="00B5299D" w:rsidP="00BA5ADE">
      <w:pPr>
        <w:pStyle w:val="Heading1"/>
        <w:rPr>
          <w:rFonts w:cs="Arial"/>
          <w:sz w:val="32"/>
          <w:szCs w:val="32"/>
        </w:rPr>
      </w:pPr>
      <w:bookmarkStart w:id="10" w:name="_Toc222678042"/>
      <w:r w:rsidRPr="00BA5ADE">
        <w:rPr>
          <w:rFonts w:cs="Arial"/>
          <w:sz w:val="32"/>
          <w:szCs w:val="32"/>
        </w:rPr>
        <w:lastRenderedPageBreak/>
        <w:t>References</w:t>
      </w:r>
      <w:bookmarkEnd w:id="10"/>
    </w:p>
    <w:p w14:paraId="2C9611E5" w14:textId="220117CD" w:rsidR="00B5299D" w:rsidRPr="009601B7" w:rsidRDefault="00B5299D" w:rsidP="00BA5ADE">
      <w:pPr>
        <w:rPr>
          <w:rFonts w:cs="Arial"/>
          <w:i/>
          <w:iCs/>
          <w:szCs w:val="22"/>
        </w:rPr>
      </w:pPr>
      <w:r w:rsidRPr="009601B7">
        <w:rPr>
          <w:rFonts w:cs="Arial"/>
          <w:i/>
          <w:iCs/>
          <w:szCs w:val="22"/>
        </w:rPr>
        <w:t>Wong, A., Cooper, C., Evans, C. J., Rawle, M. J., Walters, K., Conroy, S. P., &amp; Davies, N. (2025). Supporting older people through Hospital at Home care: a systematic review of patient, carer and healthcare professionals’ perspectives. Age and Ageing, 54(2), afaf033.</w:t>
      </w:r>
    </w:p>
    <w:p w14:paraId="2C2B1F6D" w14:textId="29BD177D" w:rsidR="00B5299D" w:rsidRPr="009601B7" w:rsidRDefault="00B5299D" w:rsidP="00BA5ADE">
      <w:pPr>
        <w:rPr>
          <w:rFonts w:cs="Arial"/>
          <w:i/>
          <w:iCs/>
          <w:szCs w:val="22"/>
        </w:rPr>
      </w:pPr>
      <w:r w:rsidRPr="009601B7">
        <w:rPr>
          <w:rFonts w:cs="Arial"/>
          <w:i/>
          <w:iCs/>
          <w:szCs w:val="22"/>
        </w:rPr>
        <w:t>Anghel, I., Cioara, T., Bevilacqua, R., Barbarossa, F., Grimstad, T., Hellman, R., ... &amp; Gabrielsen, C. (2025). New care pathways for supporting transitional care from hospitals to home using AI and personalized digital assistance. Scientific Reports, 15(1), 18247.</w:t>
      </w:r>
    </w:p>
    <w:p w14:paraId="245BF3B0" w14:textId="7CB96DE4" w:rsidR="00B5299D" w:rsidRPr="009601B7" w:rsidRDefault="00B5299D" w:rsidP="00BA5ADE">
      <w:pPr>
        <w:rPr>
          <w:rFonts w:cs="Arial"/>
          <w:i/>
          <w:iCs/>
          <w:szCs w:val="22"/>
        </w:rPr>
      </w:pPr>
      <w:r w:rsidRPr="0031259A">
        <w:rPr>
          <w:rFonts w:cs="Arial"/>
          <w:i/>
          <w:iCs/>
          <w:szCs w:val="22"/>
          <w:lang w:val="de-DE"/>
        </w:rPr>
        <w:t xml:space="preserve">Bodenstein, K., Diep, D., Gruber, J., Varga, P., Mehta, G., Memarpour, M., ... </w:t>
      </w:r>
      <w:r w:rsidRPr="009601B7">
        <w:rPr>
          <w:rFonts w:cs="Arial"/>
          <w:i/>
          <w:iCs/>
          <w:szCs w:val="22"/>
        </w:rPr>
        <w:t xml:space="preserve">&amp; Sekhon, H. (2024). </w:t>
      </w:r>
      <w:proofErr w:type="spellStart"/>
      <w:r w:rsidRPr="009601B7">
        <w:rPr>
          <w:rFonts w:cs="Arial"/>
          <w:i/>
          <w:iCs/>
          <w:szCs w:val="22"/>
        </w:rPr>
        <w:t>myHealthHub</w:t>
      </w:r>
      <w:proofErr w:type="spellEnd"/>
      <w:r w:rsidRPr="009601B7">
        <w:rPr>
          <w:rFonts w:cs="Arial"/>
          <w:i/>
          <w:iCs/>
          <w:szCs w:val="22"/>
        </w:rPr>
        <w:t xml:space="preserve"> for older adult inpatients to reduce </w:t>
      </w:r>
      <w:proofErr w:type="gramStart"/>
      <w:r w:rsidRPr="009601B7">
        <w:rPr>
          <w:rFonts w:cs="Arial"/>
          <w:i/>
          <w:iCs/>
          <w:szCs w:val="22"/>
        </w:rPr>
        <w:t>loneliness, and</w:t>
      </w:r>
      <w:proofErr w:type="gramEnd"/>
      <w:r w:rsidRPr="009601B7">
        <w:rPr>
          <w:rFonts w:cs="Arial"/>
          <w:i/>
          <w:iCs/>
          <w:szCs w:val="22"/>
        </w:rPr>
        <w:t xml:space="preserve"> improve patient engagement and mental health: protocol of a pilot randomized controlled trial. Aging &amp; Mental Health, 28(4), 646-651.</w:t>
      </w:r>
    </w:p>
    <w:p w14:paraId="2D9E45E5" w14:textId="3FFBB987" w:rsidR="00B5299D" w:rsidRPr="009601B7" w:rsidRDefault="00B5299D" w:rsidP="00BA5ADE">
      <w:pPr>
        <w:rPr>
          <w:rFonts w:cs="Arial"/>
          <w:i/>
          <w:iCs/>
          <w:szCs w:val="22"/>
        </w:rPr>
      </w:pPr>
      <w:r w:rsidRPr="009601B7">
        <w:rPr>
          <w:rFonts w:cs="Arial"/>
          <w:i/>
          <w:iCs/>
          <w:szCs w:val="22"/>
        </w:rPr>
        <w:t xml:space="preserve">Welch, V., Ghogomu, E. T., Barbeau, V. I., Dowling, S., Doyle, R., Beveridge, E., ... &amp; </w:t>
      </w:r>
      <w:proofErr w:type="spellStart"/>
      <w:r w:rsidRPr="009601B7">
        <w:rPr>
          <w:rFonts w:cs="Arial"/>
          <w:i/>
          <w:iCs/>
          <w:szCs w:val="22"/>
        </w:rPr>
        <w:t>Mikton</w:t>
      </w:r>
      <w:proofErr w:type="spellEnd"/>
      <w:r w:rsidRPr="009601B7">
        <w:rPr>
          <w:rFonts w:cs="Arial"/>
          <w:i/>
          <w:iCs/>
          <w:szCs w:val="22"/>
        </w:rPr>
        <w:t>, C. (2023). Digital interventions to reduce social isolation and loneliness in older adults: an evidence and gap map. Campbell Systematic Reviews, 19(4), e1369.</w:t>
      </w:r>
    </w:p>
    <w:p w14:paraId="3E58877E" w14:textId="10335A6B" w:rsidR="00B5299D" w:rsidRPr="009601B7" w:rsidRDefault="00B5299D" w:rsidP="00BA5ADE">
      <w:pPr>
        <w:rPr>
          <w:rFonts w:cs="Arial"/>
          <w:i/>
          <w:iCs/>
          <w:szCs w:val="22"/>
        </w:rPr>
      </w:pPr>
      <w:r w:rsidRPr="009601B7">
        <w:rPr>
          <w:rFonts w:cs="Arial"/>
          <w:i/>
          <w:iCs/>
          <w:szCs w:val="22"/>
        </w:rPr>
        <w:t xml:space="preserve">Kinsey, D., </w:t>
      </w:r>
      <w:proofErr w:type="spellStart"/>
      <w:r w:rsidRPr="009601B7">
        <w:rPr>
          <w:rFonts w:cs="Arial"/>
          <w:i/>
          <w:iCs/>
          <w:szCs w:val="22"/>
        </w:rPr>
        <w:t>Febrey</w:t>
      </w:r>
      <w:proofErr w:type="spellEnd"/>
      <w:r w:rsidRPr="009601B7">
        <w:rPr>
          <w:rFonts w:cs="Arial"/>
          <w:i/>
          <w:iCs/>
          <w:szCs w:val="22"/>
        </w:rPr>
        <w:t>, S., Briscoe, S., Kneale, D., Thompson Coon, J., Carrieri, D., ... &amp; Nunns, M. (2023). Impact of interventions to improve recovery of older adults following planned hospital admission on quality-of-life following discharge: linked-evidence synthesis. Health and Social Care Delivery Research, 11(23), 1-198.</w:t>
      </w:r>
    </w:p>
    <w:p w14:paraId="692D5B40" w14:textId="546492FB" w:rsidR="00874C86" w:rsidRPr="009601B7" w:rsidRDefault="00874C86" w:rsidP="00BA5ADE">
      <w:pPr>
        <w:rPr>
          <w:rFonts w:cs="Arial"/>
          <w:i/>
          <w:iCs/>
          <w:szCs w:val="22"/>
        </w:rPr>
      </w:pPr>
      <w:proofErr w:type="spellStart"/>
      <w:r w:rsidRPr="009601B7">
        <w:rPr>
          <w:rFonts w:cs="Arial"/>
          <w:i/>
          <w:iCs/>
          <w:szCs w:val="22"/>
        </w:rPr>
        <w:t>Bransgrove</w:t>
      </w:r>
      <w:proofErr w:type="spellEnd"/>
      <w:r w:rsidRPr="009601B7">
        <w:rPr>
          <w:rFonts w:cs="Arial"/>
          <w:i/>
          <w:iCs/>
          <w:szCs w:val="22"/>
        </w:rPr>
        <w:t>, N. J., Porter, J. E., Peck, B., &amp; Bishop, J. (2025). Barriers, benefits, and enablers of acute home-based care (hospital in the home) in Australia for older people: a systematic review. Home Health Care Management &amp; Practice, 37(1), 72-82.</w:t>
      </w:r>
    </w:p>
    <w:p w14:paraId="3B7306BF" w14:textId="6F08E933" w:rsidR="00874C86" w:rsidRPr="009601B7" w:rsidRDefault="00874C86" w:rsidP="00BA5ADE">
      <w:pPr>
        <w:rPr>
          <w:rFonts w:cs="Arial"/>
          <w:i/>
          <w:iCs/>
          <w:szCs w:val="22"/>
        </w:rPr>
      </w:pPr>
      <w:r w:rsidRPr="009601B7">
        <w:rPr>
          <w:rFonts w:cs="Arial"/>
          <w:i/>
          <w:iCs/>
          <w:szCs w:val="22"/>
        </w:rPr>
        <w:t xml:space="preserve">Morano, B., Jimenez-Mejia, J., Sanon, M., Morano, C., &amp; </w:t>
      </w:r>
      <w:proofErr w:type="spellStart"/>
      <w:r w:rsidRPr="009601B7">
        <w:rPr>
          <w:rFonts w:cs="Arial"/>
          <w:i/>
          <w:iCs/>
          <w:szCs w:val="22"/>
        </w:rPr>
        <w:t>DeCherrie</w:t>
      </w:r>
      <w:proofErr w:type="spellEnd"/>
      <w:r w:rsidRPr="009601B7">
        <w:rPr>
          <w:rFonts w:cs="Arial"/>
          <w:i/>
          <w:iCs/>
          <w:szCs w:val="22"/>
        </w:rPr>
        <w:t xml:space="preserve">, L. V. (2019). Acute care in the home setting: Hospital at home. In Geriatric practice: a </w:t>
      </w:r>
      <w:proofErr w:type="gramStart"/>
      <w:r w:rsidRPr="009601B7">
        <w:rPr>
          <w:rFonts w:cs="Arial"/>
          <w:i/>
          <w:iCs/>
          <w:szCs w:val="22"/>
        </w:rPr>
        <w:t>competency based</w:t>
      </w:r>
      <w:proofErr w:type="gramEnd"/>
      <w:r w:rsidRPr="009601B7">
        <w:rPr>
          <w:rFonts w:cs="Arial"/>
          <w:i/>
          <w:iCs/>
          <w:szCs w:val="22"/>
        </w:rPr>
        <w:t xml:space="preserve"> approach to caring for older adults (pp. 393-401). Cham: Springer International Publishing.</w:t>
      </w:r>
    </w:p>
    <w:p w14:paraId="090EEFF4" w14:textId="1194E4E1" w:rsidR="00874C86" w:rsidRPr="009601B7" w:rsidRDefault="00874C86" w:rsidP="00BA5ADE">
      <w:pPr>
        <w:rPr>
          <w:rFonts w:cs="Arial"/>
          <w:i/>
          <w:iCs/>
          <w:szCs w:val="22"/>
        </w:rPr>
      </w:pPr>
      <w:proofErr w:type="spellStart"/>
      <w:r w:rsidRPr="009601B7">
        <w:rPr>
          <w:rFonts w:cs="Arial"/>
          <w:i/>
          <w:iCs/>
          <w:szCs w:val="22"/>
        </w:rPr>
        <w:t>Karacaoglu</w:t>
      </w:r>
      <w:proofErr w:type="spellEnd"/>
      <w:r w:rsidRPr="009601B7">
        <w:rPr>
          <w:rFonts w:cs="Arial"/>
          <w:i/>
          <w:iCs/>
          <w:szCs w:val="22"/>
        </w:rPr>
        <w:t>, K., &amp; Leask, C. F. (2021). Staff views of a hospital at home model implemented in a Scottish care setting. AIMS Public Health, 8(3), 467.</w:t>
      </w:r>
    </w:p>
    <w:p w14:paraId="2AE245A8" w14:textId="5E2972B7" w:rsidR="009515CB" w:rsidRPr="009601B7" w:rsidRDefault="009515CB" w:rsidP="00BA5ADE">
      <w:pPr>
        <w:rPr>
          <w:rFonts w:cs="Arial"/>
          <w:i/>
          <w:iCs/>
          <w:szCs w:val="22"/>
        </w:rPr>
      </w:pPr>
      <w:r w:rsidRPr="009601B7">
        <w:rPr>
          <w:rFonts w:cs="Arial"/>
          <w:i/>
          <w:iCs/>
          <w:szCs w:val="22"/>
        </w:rPr>
        <w:t xml:space="preserve">Leff, B. (2015). Hospital at home. In Geriatrics Models of Care: </w:t>
      </w:r>
      <w:proofErr w:type="spellStart"/>
      <w:r w:rsidRPr="009601B7">
        <w:rPr>
          <w:rFonts w:cs="Arial"/>
          <w:i/>
          <w:iCs/>
          <w:szCs w:val="22"/>
        </w:rPr>
        <w:t>Bringing'Best</w:t>
      </w:r>
      <w:proofErr w:type="spellEnd"/>
      <w:r w:rsidRPr="009601B7">
        <w:rPr>
          <w:rFonts w:cs="Arial"/>
          <w:i/>
          <w:iCs/>
          <w:szCs w:val="22"/>
        </w:rPr>
        <w:t xml:space="preserve"> </w:t>
      </w:r>
      <w:proofErr w:type="spellStart"/>
      <w:r w:rsidRPr="009601B7">
        <w:rPr>
          <w:rFonts w:cs="Arial"/>
          <w:i/>
          <w:iCs/>
          <w:szCs w:val="22"/>
        </w:rPr>
        <w:t>Practice'to</w:t>
      </w:r>
      <w:proofErr w:type="spellEnd"/>
      <w:r w:rsidRPr="009601B7">
        <w:rPr>
          <w:rFonts w:cs="Arial"/>
          <w:i/>
          <w:iCs/>
          <w:szCs w:val="22"/>
        </w:rPr>
        <w:t xml:space="preserve"> an Aging America (pp. 163-171). Cham: Springer International Publishing.</w:t>
      </w:r>
    </w:p>
    <w:p w14:paraId="45C08092" w14:textId="7361DB8F" w:rsidR="00B5299D" w:rsidRPr="009601B7" w:rsidRDefault="0065583F" w:rsidP="00BA5ADE">
      <w:pPr>
        <w:rPr>
          <w:rFonts w:cs="Arial"/>
          <w:i/>
          <w:iCs/>
          <w:szCs w:val="22"/>
        </w:rPr>
      </w:pPr>
      <w:r w:rsidRPr="009601B7">
        <w:rPr>
          <w:rFonts w:cs="Arial"/>
          <w:i/>
          <w:iCs/>
          <w:szCs w:val="22"/>
        </w:rPr>
        <w:t>Chan, P. L. L., Dharmaratne, S., Lee, C., &amp; Abbott, P. (2024). Transforming Primary &amp; Community Health Services for a Healthy Future: A Rapid Review.</w:t>
      </w:r>
    </w:p>
    <w:p w14:paraId="49C0B809" w14:textId="6B540392" w:rsidR="009515CB" w:rsidRPr="009601B7" w:rsidRDefault="009515CB" w:rsidP="00BA5ADE">
      <w:pPr>
        <w:rPr>
          <w:rFonts w:cs="Arial"/>
          <w:i/>
          <w:iCs/>
          <w:szCs w:val="22"/>
        </w:rPr>
      </w:pPr>
      <w:r w:rsidRPr="009601B7">
        <w:rPr>
          <w:rFonts w:cs="Arial"/>
          <w:i/>
          <w:iCs/>
          <w:szCs w:val="22"/>
        </w:rPr>
        <w:lastRenderedPageBreak/>
        <w:t xml:space="preserve">Anwar, M. M., </w:t>
      </w:r>
      <w:proofErr w:type="spellStart"/>
      <w:r w:rsidRPr="009601B7">
        <w:rPr>
          <w:rFonts w:cs="Arial"/>
          <w:i/>
          <w:iCs/>
          <w:szCs w:val="22"/>
        </w:rPr>
        <w:t>Shamaz</w:t>
      </w:r>
      <w:proofErr w:type="spellEnd"/>
      <w:r w:rsidRPr="009601B7">
        <w:rPr>
          <w:rFonts w:cs="Arial"/>
          <w:i/>
          <w:iCs/>
          <w:szCs w:val="22"/>
        </w:rPr>
        <w:t>, H., Li, N., Crosbie, H., Mcgeachy, C., Harding, A., ... &amp; Anand, A. (2024). The future of hospital at home: a qualitative interview study of healthcare staff. European geriatric medicine, 15(4), 1001-1005.</w:t>
      </w:r>
    </w:p>
    <w:p w14:paraId="6F887E08" w14:textId="2A06B7CF" w:rsidR="0065583F" w:rsidRPr="009601B7" w:rsidRDefault="0065583F" w:rsidP="00BA5ADE">
      <w:pPr>
        <w:rPr>
          <w:rFonts w:cs="Arial"/>
          <w:i/>
          <w:iCs/>
          <w:szCs w:val="22"/>
        </w:rPr>
      </w:pPr>
      <w:r w:rsidRPr="009601B7">
        <w:rPr>
          <w:rFonts w:cs="Arial"/>
          <w:i/>
          <w:iCs/>
          <w:szCs w:val="22"/>
        </w:rPr>
        <w:t>Badger, C. (2024). Commissioning Strategy, Adult Social Services and Housing, 2024-2031.</w:t>
      </w:r>
    </w:p>
    <w:p w14:paraId="2E9AE492" w14:textId="7D1197B9" w:rsidR="0065583F" w:rsidRPr="009601B7" w:rsidRDefault="0065583F" w:rsidP="00BA5ADE">
      <w:pPr>
        <w:rPr>
          <w:rFonts w:cs="Arial"/>
          <w:i/>
          <w:iCs/>
          <w:szCs w:val="22"/>
        </w:rPr>
      </w:pPr>
      <w:r w:rsidRPr="009601B7">
        <w:rPr>
          <w:rFonts w:cs="Arial"/>
          <w:i/>
          <w:iCs/>
          <w:szCs w:val="22"/>
        </w:rPr>
        <w:t>Bradwell, C. (2024). Embodied Encounters: Enacting Community in Dementia Care through Participatory Arts (Doctoral dissertation, University of Exeter).</w:t>
      </w:r>
    </w:p>
    <w:p w14:paraId="5689AAFC" w14:textId="2A2D2FEB" w:rsidR="0065583F" w:rsidRPr="009601B7" w:rsidRDefault="0065583F" w:rsidP="00BA5ADE">
      <w:pPr>
        <w:rPr>
          <w:rFonts w:cs="Arial"/>
          <w:i/>
          <w:iCs/>
          <w:szCs w:val="22"/>
        </w:rPr>
      </w:pPr>
      <w:r w:rsidRPr="009601B7">
        <w:rPr>
          <w:rFonts w:cs="Arial"/>
          <w:i/>
          <w:iCs/>
          <w:szCs w:val="22"/>
        </w:rPr>
        <w:t xml:space="preserve">Canham, S., Ohmann, C., </w:t>
      </w:r>
      <w:proofErr w:type="spellStart"/>
      <w:r w:rsidRPr="009601B7">
        <w:rPr>
          <w:rFonts w:cs="Arial"/>
          <w:i/>
          <w:iCs/>
          <w:szCs w:val="22"/>
        </w:rPr>
        <w:t>Boiten</w:t>
      </w:r>
      <w:proofErr w:type="spellEnd"/>
      <w:r w:rsidRPr="009601B7">
        <w:rPr>
          <w:rFonts w:cs="Arial"/>
          <w:i/>
          <w:iCs/>
          <w:szCs w:val="22"/>
        </w:rPr>
        <w:t>, J. W., Panagiotopoulou, M., Hughes, N., David, R., ... &amp; Ewbank, J. (2021). EOSC-life report on data standards for observational and interventional studies, and interoperability between healthcare and research data (Doctoral dissertation, EOSC-Life).</w:t>
      </w:r>
    </w:p>
    <w:p w14:paraId="49F6FBC7" w14:textId="2BAA0ED6" w:rsidR="00874C86" w:rsidRPr="009601B7" w:rsidRDefault="00874C86" w:rsidP="00BA5ADE">
      <w:pPr>
        <w:rPr>
          <w:rFonts w:cs="Arial"/>
          <w:i/>
          <w:iCs/>
          <w:szCs w:val="22"/>
        </w:rPr>
      </w:pPr>
      <w:r w:rsidRPr="009601B7">
        <w:rPr>
          <w:rFonts w:cs="Arial"/>
          <w:i/>
          <w:iCs/>
          <w:szCs w:val="22"/>
        </w:rPr>
        <w:t>Tierney, B., Melby, V., &amp; Todd, S. (2021). Service evaluation comparing Acute Care at Home for older people service and conventional service within an acute hospital care of elderly ward. Journal of clinical nursing, 30(19-20), 2978-2989.</w:t>
      </w:r>
    </w:p>
    <w:sectPr w:rsidR="00874C86" w:rsidRPr="009601B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81454" w14:textId="77777777" w:rsidR="00DA6643" w:rsidRDefault="00DA6643" w:rsidP="00A46DA2">
      <w:pPr>
        <w:spacing w:after="0" w:line="240" w:lineRule="auto"/>
      </w:pPr>
      <w:r>
        <w:separator/>
      </w:r>
    </w:p>
  </w:endnote>
  <w:endnote w:type="continuationSeparator" w:id="0">
    <w:p w14:paraId="10BC9DB4" w14:textId="77777777" w:rsidR="00DA6643" w:rsidRDefault="00DA6643" w:rsidP="00A46D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6209652"/>
      <w:docPartObj>
        <w:docPartGallery w:val="Page Numbers (Bottom of Page)"/>
        <w:docPartUnique/>
      </w:docPartObj>
    </w:sdtPr>
    <w:sdtEndPr/>
    <w:sdtContent>
      <w:sdt>
        <w:sdtPr>
          <w:id w:val="1728636285"/>
          <w:docPartObj>
            <w:docPartGallery w:val="Page Numbers (Top of Page)"/>
            <w:docPartUnique/>
          </w:docPartObj>
        </w:sdtPr>
        <w:sdtEndPr/>
        <w:sdtContent>
          <w:p w14:paraId="4349443A" w14:textId="4DE2AF2D" w:rsidR="00266AFE" w:rsidRDefault="00266AFE">
            <w:pPr>
              <w:pStyle w:val="Footer"/>
              <w:jc w:val="center"/>
            </w:pPr>
            <w:r>
              <w:t xml:space="preserve">Page </w:t>
            </w:r>
            <w:r>
              <w:rPr>
                <w:b/>
                <w:bCs/>
                <w:sz w:val="24"/>
              </w:rPr>
              <w:fldChar w:fldCharType="begin"/>
            </w:r>
            <w:r>
              <w:rPr>
                <w:b/>
                <w:bCs/>
              </w:rPr>
              <w:instrText>PAGE</w:instrText>
            </w:r>
            <w:r>
              <w:rPr>
                <w:b/>
                <w:bCs/>
                <w:sz w:val="24"/>
              </w:rPr>
              <w:fldChar w:fldCharType="separate"/>
            </w:r>
            <w:r>
              <w:rPr>
                <w:b/>
                <w:bCs/>
              </w:rPr>
              <w:t>2</w:t>
            </w:r>
            <w:r>
              <w:rPr>
                <w:b/>
                <w:bCs/>
                <w:sz w:val="24"/>
              </w:rPr>
              <w:fldChar w:fldCharType="end"/>
            </w:r>
            <w:r>
              <w:t xml:space="preserve"> of </w:t>
            </w:r>
            <w:r>
              <w:rPr>
                <w:b/>
                <w:bCs/>
                <w:sz w:val="24"/>
              </w:rPr>
              <w:fldChar w:fldCharType="begin"/>
            </w:r>
            <w:r>
              <w:rPr>
                <w:b/>
                <w:bCs/>
              </w:rPr>
              <w:instrText>NUMPAGES</w:instrText>
            </w:r>
            <w:r>
              <w:rPr>
                <w:b/>
                <w:bCs/>
                <w:sz w:val="24"/>
              </w:rPr>
              <w:fldChar w:fldCharType="separate"/>
            </w:r>
            <w:r>
              <w:rPr>
                <w:b/>
                <w:bCs/>
              </w:rPr>
              <w:t>2</w:t>
            </w:r>
            <w:r>
              <w:rPr>
                <w:b/>
                <w:bCs/>
                <w:sz w:val="24"/>
              </w:rPr>
              <w:fldChar w:fldCharType="end"/>
            </w:r>
          </w:p>
        </w:sdtContent>
      </w:sdt>
    </w:sdtContent>
  </w:sdt>
  <w:p w14:paraId="792FE425" w14:textId="77777777" w:rsidR="00266AFE" w:rsidRDefault="00266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41615C" w14:textId="77777777" w:rsidR="00DA6643" w:rsidRDefault="00DA6643" w:rsidP="00A46DA2">
      <w:pPr>
        <w:spacing w:after="0" w:line="240" w:lineRule="auto"/>
      </w:pPr>
      <w:r>
        <w:separator/>
      </w:r>
    </w:p>
  </w:footnote>
  <w:footnote w:type="continuationSeparator" w:id="0">
    <w:p w14:paraId="68DF19F1" w14:textId="77777777" w:rsidR="00DA6643" w:rsidRDefault="00DA6643" w:rsidP="00A46D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FC8511" w14:textId="79102468" w:rsidR="00266AFE" w:rsidRPr="00266AFE" w:rsidRDefault="00266AFE">
    <w:pPr>
      <w:pStyle w:val="Header"/>
      <w:rPr>
        <w:color w:val="156082" w:themeColor="accent1"/>
      </w:rPr>
    </w:pPr>
    <w:r w:rsidRPr="00266AFE">
      <w:rPr>
        <w:color w:val="156082" w:themeColor="accent1"/>
      </w:rPr>
      <w:t>Musab Shah 2411894</w:t>
    </w:r>
  </w:p>
  <w:p w14:paraId="14B87BF9" w14:textId="791BB505" w:rsidR="00A46DA2" w:rsidRDefault="00A46D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806"/>
    <w:rsid w:val="00021933"/>
    <w:rsid w:val="000B6857"/>
    <w:rsid w:val="000C39D3"/>
    <w:rsid w:val="00101076"/>
    <w:rsid w:val="00121159"/>
    <w:rsid w:val="001636D2"/>
    <w:rsid w:val="00171218"/>
    <w:rsid w:val="00171632"/>
    <w:rsid w:val="001908E9"/>
    <w:rsid w:val="00266AFE"/>
    <w:rsid w:val="002B35C0"/>
    <w:rsid w:val="002D61F5"/>
    <w:rsid w:val="002E0A3F"/>
    <w:rsid w:val="0031259A"/>
    <w:rsid w:val="00325002"/>
    <w:rsid w:val="003631CF"/>
    <w:rsid w:val="00364D52"/>
    <w:rsid w:val="004415CF"/>
    <w:rsid w:val="00456EF5"/>
    <w:rsid w:val="004B2806"/>
    <w:rsid w:val="004C2D6C"/>
    <w:rsid w:val="004D16F1"/>
    <w:rsid w:val="004D3D5C"/>
    <w:rsid w:val="00585D0A"/>
    <w:rsid w:val="005978D1"/>
    <w:rsid w:val="005A5183"/>
    <w:rsid w:val="005B56D3"/>
    <w:rsid w:val="005D3788"/>
    <w:rsid w:val="00605DB5"/>
    <w:rsid w:val="006143CA"/>
    <w:rsid w:val="00615EDF"/>
    <w:rsid w:val="00647853"/>
    <w:rsid w:val="0065583F"/>
    <w:rsid w:val="00662A06"/>
    <w:rsid w:val="00676F4D"/>
    <w:rsid w:val="007E09C1"/>
    <w:rsid w:val="00861622"/>
    <w:rsid w:val="00874C86"/>
    <w:rsid w:val="008B3B40"/>
    <w:rsid w:val="008B5C67"/>
    <w:rsid w:val="008F0A38"/>
    <w:rsid w:val="009154A7"/>
    <w:rsid w:val="00922089"/>
    <w:rsid w:val="009515CB"/>
    <w:rsid w:val="009601B7"/>
    <w:rsid w:val="009A315E"/>
    <w:rsid w:val="00A34A27"/>
    <w:rsid w:val="00A46DA2"/>
    <w:rsid w:val="00A84B4A"/>
    <w:rsid w:val="00A95D3B"/>
    <w:rsid w:val="00A96D48"/>
    <w:rsid w:val="00B27C73"/>
    <w:rsid w:val="00B42432"/>
    <w:rsid w:val="00B43949"/>
    <w:rsid w:val="00B50E8A"/>
    <w:rsid w:val="00B5299D"/>
    <w:rsid w:val="00B817EF"/>
    <w:rsid w:val="00B93D89"/>
    <w:rsid w:val="00B94DFA"/>
    <w:rsid w:val="00BA52C0"/>
    <w:rsid w:val="00BA5ADE"/>
    <w:rsid w:val="00BB60CA"/>
    <w:rsid w:val="00BB65C0"/>
    <w:rsid w:val="00C11502"/>
    <w:rsid w:val="00C33305"/>
    <w:rsid w:val="00D223E8"/>
    <w:rsid w:val="00D66918"/>
    <w:rsid w:val="00D83271"/>
    <w:rsid w:val="00DA6643"/>
    <w:rsid w:val="00E40821"/>
    <w:rsid w:val="00E8626F"/>
    <w:rsid w:val="00F14F98"/>
    <w:rsid w:val="00F75BF9"/>
    <w:rsid w:val="00FC670A"/>
    <w:rsid w:val="00FF6B6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CD3E52"/>
  <w15:chartTrackingRefBased/>
  <w15:docId w15:val="{43AF03D3-F721-48D9-9AEA-38A13966D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622"/>
    <w:pPr>
      <w:spacing w:line="360" w:lineRule="auto"/>
      <w:jc w:val="both"/>
    </w:pPr>
    <w:rPr>
      <w:rFonts w:ascii="Arial" w:hAnsi="Arial"/>
      <w:sz w:val="22"/>
      <w:lang w:bidi="ur-PK"/>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4B280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B280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B280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B280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B280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B280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styleId="Hyperlink">
    <w:name w:val="Hyperlink"/>
    <w:basedOn w:val="DefaultParagraphFont"/>
    <w:uiPriority w:val="99"/>
    <w:unhideWhenUsed/>
    <w:rsid w:val="005D3788"/>
    <w:rPr>
      <w:color w:val="0B769F" w:themeColor="accent4" w:themeShade="BF"/>
      <w:u w:val="single"/>
    </w:rPr>
  </w:style>
  <w:style w:type="character" w:customStyle="1" w:styleId="Heading4Char">
    <w:name w:val="Heading 4 Char"/>
    <w:basedOn w:val="DefaultParagraphFont"/>
    <w:link w:val="Heading4"/>
    <w:uiPriority w:val="9"/>
    <w:semiHidden/>
    <w:rsid w:val="004B2806"/>
    <w:rPr>
      <w:rFonts w:eastAsiaTheme="majorEastAsia" w:cstheme="majorBidi"/>
      <w:i/>
      <w:iCs/>
      <w:color w:val="0F4761" w:themeColor="accent1" w:themeShade="BF"/>
      <w:lang w:bidi="ur-PK"/>
    </w:rPr>
  </w:style>
  <w:style w:type="character" w:customStyle="1" w:styleId="Heading5Char">
    <w:name w:val="Heading 5 Char"/>
    <w:basedOn w:val="DefaultParagraphFont"/>
    <w:link w:val="Heading5"/>
    <w:uiPriority w:val="9"/>
    <w:semiHidden/>
    <w:rsid w:val="004B2806"/>
    <w:rPr>
      <w:rFonts w:eastAsiaTheme="majorEastAsia" w:cstheme="majorBidi"/>
      <w:color w:val="0F4761" w:themeColor="accent1" w:themeShade="BF"/>
      <w:lang w:bidi="ur-PK"/>
    </w:rPr>
  </w:style>
  <w:style w:type="character" w:customStyle="1" w:styleId="Heading6Char">
    <w:name w:val="Heading 6 Char"/>
    <w:basedOn w:val="DefaultParagraphFont"/>
    <w:link w:val="Heading6"/>
    <w:uiPriority w:val="9"/>
    <w:semiHidden/>
    <w:rsid w:val="004B2806"/>
    <w:rPr>
      <w:rFonts w:eastAsiaTheme="majorEastAsia" w:cstheme="majorBidi"/>
      <w:i/>
      <w:iCs/>
      <w:color w:val="595959" w:themeColor="text1" w:themeTint="A6"/>
      <w:lang w:bidi="ur-PK"/>
    </w:rPr>
  </w:style>
  <w:style w:type="character" w:customStyle="1" w:styleId="Heading7Char">
    <w:name w:val="Heading 7 Char"/>
    <w:basedOn w:val="DefaultParagraphFont"/>
    <w:link w:val="Heading7"/>
    <w:uiPriority w:val="9"/>
    <w:semiHidden/>
    <w:rsid w:val="004B2806"/>
    <w:rPr>
      <w:rFonts w:eastAsiaTheme="majorEastAsia" w:cstheme="majorBidi"/>
      <w:color w:val="595959" w:themeColor="text1" w:themeTint="A6"/>
      <w:lang w:bidi="ur-PK"/>
    </w:rPr>
  </w:style>
  <w:style w:type="character" w:customStyle="1" w:styleId="Heading8Char">
    <w:name w:val="Heading 8 Char"/>
    <w:basedOn w:val="DefaultParagraphFont"/>
    <w:link w:val="Heading8"/>
    <w:uiPriority w:val="9"/>
    <w:semiHidden/>
    <w:rsid w:val="004B2806"/>
    <w:rPr>
      <w:rFonts w:eastAsiaTheme="majorEastAsia" w:cstheme="majorBidi"/>
      <w:i/>
      <w:iCs/>
      <w:color w:val="272727" w:themeColor="text1" w:themeTint="D8"/>
      <w:lang w:bidi="ur-PK"/>
    </w:rPr>
  </w:style>
  <w:style w:type="character" w:customStyle="1" w:styleId="Heading9Char">
    <w:name w:val="Heading 9 Char"/>
    <w:basedOn w:val="DefaultParagraphFont"/>
    <w:link w:val="Heading9"/>
    <w:uiPriority w:val="9"/>
    <w:semiHidden/>
    <w:rsid w:val="004B2806"/>
    <w:rPr>
      <w:rFonts w:eastAsiaTheme="majorEastAsia" w:cstheme="majorBidi"/>
      <w:color w:val="272727" w:themeColor="text1" w:themeTint="D8"/>
      <w:lang w:bidi="ur-PK"/>
    </w:rPr>
  </w:style>
  <w:style w:type="paragraph" w:styleId="Title">
    <w:name w:val="Title"/>
    <w:basedOn w:val="Normal"/>
    <w:next w:val="Normal"/>
    <w:link w:val="TitleChar"/>
    <w:uiPriority w:val="10"/>
    <w:qFormat/>
    <w:rsid w:val="004B2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806"/>
    <w:rPr>
      <w:rFonts w:asciiTheme="majorHAnsi" w:eastAsiaTheme="majorEastAsia" w:hAnsiTheme="majorHAnsi" w:cstheme="majorBidi"/>
      <w:spacing w:val="-10"/>
      <w:kern w:val="28"/>
      <w:sz w:val="56"/>
      <w:szCs w:val="56"/>
      <w:lang w:bidi="ur-PK"/>
    </w:rPr>
  </w:style>
  <w:style w:type="paragraph" w:styleId="Subtitle">
    <w:name w:val="Subtitle"/>
    <w:basedOn w:val="Normal"/>
    <w:next w:val="Normal"/>
    <w:link w:val="SubtitleChar"/>
    <w:uiPriority w:val="11"/>
    <w:qFormat/>
    <w:rsid w:val="004B280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806"/>
    <w:rPr>
      <w:rFonts w:eastAsiaTheme="majorEastAsia" w:cstheme="majorBidi"/>
      <w:color w:val="595959" w:themeColor="text1" w:themeTint="A6"/>
      <w:spacing w:val="15"/>
      <w:sz w:val="28"/>
      <w:szCs w:val="28"/>
      <w:lang w:bidi="ur-PK"/>
    </w:rPr>
  </w:style>
  <w:style w:type="paragraph" w:styleId="Quote">
    <w:name w:val="Quote"/>
    <w:basedOn w:val="Normal"/>
    <w:next w:val="Normal"/>
    <w:link w:val="QuoteChar"/>
    <w:uiPriority w:val="29"/>
    <w:qFormat/>
    <w:rsid w:val="004B2806"/>
    <w:pPr>
      <w:spacing w:before="160"/>
      <w:jc w:val="center"/>
    </w:pPr>
    <w:rPr>
      <w:i/>
      <w:iCs/>
      <w:color w:val="404040" w:themeColor="text1" w:themeTint="BF"/>
    </w:rPr>
  </w:style>
  <w:style w:type="character" w:customStyle="1" w:styleId="QuoteChar">
    <w:name w:val="Quote Char"/>
    <w:basedOn w:val="DefaultParagraphFont"/>
    <w:link w:val="Quote"/>
    <w:uiPriority w:val="29"/>
    <w:rsid w:val="004B2806"/>
    <w:rPr>
      <w:rFonts w:ascii="Times New Roman" w:hAnsi="Times New Roman"/>
      <w:i/>
      <w:iCs/>
      <w:color w:val="404040" w:themeColor="text1" w:themeTint="BF"/>
      <w:lang w:bidi="ur-PK"/>
    </w:rPr>
  </w:style>
  <w:style w:type="paragraph" w:styleId="ListParagraph">
    <w:name w:val="List Paragraph"/>
    <w:basedOn w:val="Normal"/>
    <w:uiPriority w:val="34"/>
    <w:qFormat/>
    <w:rsid w:val="004B2806"/>
    <w:pPr>
      <w:ind w:left="720"/>
      <w:contextualSpacing/>
    </w:pPr>
  </w:style>
  <w:style w:type="character" w:styleId="IntenseEmphasis">
    <w:name w:val="Intense Emphasis"/>
    <w:basedOn w:val="DefaultParagraphFont"/>
    <w:uiPriority w:val="21"/>
    <w:qFormat/>
    <w:rsid w:val="004B2806"/>
    <w:rPr>
      <w:i/>
      <w:iCs/>
      <w:color w:val="0F4761" w:themeColor="accent1" w:themeShade="BF"/>
    </w:rPr>
  </w:style>
  <w:style w:type="paragraph" w:styleId="IntenseQuote">
    <w:name w:val="Intense Quote"/>
    <w:basedOn w:val="Normal"/>
    <w:next w:val="Normal"/>
    <w:link w:val="IntenseQuoteChar"/>
    <w:uiPriority w:val="30"/>
    <w:qFormat/>
    <w:rsid w:val="004B2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806"/>
    <w:rPr>
      <w:rFonts w:ascii="Times New Roman" w:hAnsi="Times New Roman"/>
      <w:i/>
      <w:iCs/>
      <w:color w:val="0F4761" w:themeColor="accent1" w:themeShade="BF"/>
      <w:lang w:bidi="ur-PK"/>
    </w:rPr>
  </w:style>
  <w:style w:type="character" w:styleId="IntenseReference">
    <w:name w:val="Intense Reference"/>
    <w:basedOn w:val="DefaultParagraphFont"/>
    <w:uiPriority w:val="32"/>
    <w:qFormat/>
    <w:rsid w:val="004B2806"/>
    <w:rPr>
      <w:b/>
      <w:bCs/>
      <w:smallCaps/>
      <w:color w:val="0F4761" w:themeColor="accent1" w:themeShade="BF"/>
      <w:spacing w:val="5"/>
    </w:rPr>
  </w:style>
  <w:style w:type="character" w:styleId="UnresolvedMention">
    <w:name w:val="Unresolved Mention"/>
    <w:basedOn w:val="DefaultParagraphFont"/>
    <w:uiPriority w:val="99"/>
    <w:semiHidden/>
    <w:unhideWhenUsed/>
    <w:rsid w:val="004B2806"/>
    <w:rPr>
      <w:color w:val="605E5C"/>
      <w:shd w:val="clear" w:color="auto" w:fill="E1DFDD"/>
    </w:rPr>
  </w:style>
  <w:style w:type="paragraph" w:styleId="Header">
    <w:name w:val="header"/>
    <w:basedOn w:val="Normal"/>
    <w:link w:val="HeaderChar"/>
    <w:uiPriority w:val="99"/>
    <w:unhideWhenUsed/>
    <w:rsid w:val="00A46D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6DA2"/>
    <w:rPr>
      <w:rFonts w:ascii="Arial" w:hAnsi="Arial"/>
      <w:sz w:val="22"/>
      <w:lang w:bidi="ur-PK"/>
    </w:rPr>
  </w:style>
  <w:style w:type="paragraph" w:styleId="Footer">
    <w:name w:val="footer"/>
    <w:basedOn w:val="Normal"/>
    <w:link w:val="FooterChar"/>
    <w:uiPriority w:val="99"/>
    <w:unhideWhenUsed/>
    <w:rsid w:val="00A46D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6DA2"/>
    <w:rPr>
      <w:rFonts w:ascii="Arial" w:hAnsi="Arial"/>
      <w:sz w:val="22"/>
      <w:lang w:bidi="ur-PK"/>
    </w:rPr>
  </w:style>
  <w:style w:type="paragraph" w:styleId="TOCHeading">
    <w:name w:val="TOC Heading"/>
    <w:basedOn w:val="Heading1"/>
    <w:next w:val="Normal"/>
    <w:uiPriority w:val="39"/>
    <w:unhideWhenUsed/>
    <w:qFormat/>
    <w:rsid w:val="00615EDF"/>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615EDF"/>
    <w:pPr>
      <w:spacing w:after="100"/>
    </w:pPr>
  </w:style>
  <w:style w:type="paragraph" w:styleId="TOC2">
    <w:name w:val="toc 2"/>
    <w:basedOn w:val="Normal"/>
    <w:next w:val="Normal"/>
    <w:autoRedefine/>
    <w:uiPriority w:val="39"/>
    <w:unhideWhenUsed/>
    <w:rsid w:val="003631C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F57C8-42A7-4147-9CA7-B2E7829D5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1936</Words>
  <Characters>10573</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Musab Umayr Shah (2411894)</cp:lastModifiedBy>
  <cp:revision>2</cp:revision>
  <dcterms:created xsi:type="dcterms:W3CDTF">2026-02-22T18:41:00Z</dcterms:created>
  <dcterms:modified xsi:type="dcterms:W3CDTF">2026-02-22T18:41:00Z</dcterms:modified>
</cp:coreProperties>
</file>