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b w:val="1"/>
          <w:bCs w:val="1"/>
          <w:sz w:val="26"/>
          <w:szCs w:val="26"/>
        </w:rPr>
      </w:pPr>
      <w:r>
        <w:drawing>
          <wp:anchor distT="152400" distB="152400" distL="152400" distR="152400" simplePos="0" relativeHeight="251660288" behindDoc="0" locked="0" layoutInCell="1" allowOverlap="1">
            <wp:simplePos x="0" y="0"/>
            <wp:positionH relativeFrom="page">
              <wp:posOffset>-15</wp:posOffset>
            </wp:positionH>
            <wp:positionV relativeFrom="page">
              <wp:posOffset>0</wp:posOffset>
            </wp:positionV>
            <wp:extent cx="7560000" cy="9988382"/>
            <wp:effectExtent l="0" t="0" r="0" b="0"/>
            <wp:wrapThrough wrapText="bothSides" distL="152400" distR="152400">
              <wp:wrapPolygon edited="1">
                <wp:start x="0" y="0"/>
                <wp:lineTo x="0" y="21600"/>
                <wp:lineTo x="21600" y="21600"/>
                <wp:lineTo x="21600" y="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df"/>
                    <pic:cNvPicPr>
                      <a:picLocks noChangeAspect="1"/>
                    </pic:cNvPicPr>
                  </pic:nvPicPr>
                  <pic:blipFill>
                    <a:blip r:embed="rId4">
                      <a:extLst/>
                    </a:blip>
                    <a:srcRect l="0" t="0" r="0" b="6580"/>
                    <a:stretch>
                      <a:fillRect/>
                    </a:stretch>
                  </pic:blipFill>
                  <pic:spPr>
                    <a:xfrm>
                      <a:off x="0" y="0"/>
                      <a:ext cx="7560000" cy="9988382"/>
                    </a:xfrm>
                    <a:prstGeom prst="rect">
                      <a:avLst/>
                    </a:prstGeom>
                    <a:ln w="12700" cap="flat">
                      <a:noFill/>
                      <a:miter lim="400000"/>
                    </a:ln>
                    <a:effectLst/>
                  </pic:spPr>
                </pic:pic>
              </a:graphicData>
            </a:graphic>
          </wp:anchor>
        </w:drawing>
      </w:r>
      <w:r>
        <w:drawing>
          <wp:anchor distT="152400" distB="152400" distL="152400" distR="152400" simplePos="0" relativeHeight="251659264" behindDoc="0" locked="0" layoutInCell="1" allowOverlap="1">
            <wp:simplePos x="0" y="0"/>
            <wp:positionH relativeFrom="page">
              <wp:posOffset>-494035</wp:posOffset>
            </wp:positionH>
            <wp:positionV relativeFrom="page">
              <wp:posOffset>505856</wp:posOffset>
            </wp:positionV>
            <wp:extent cx="8274723" cy="9142311"/>
            <wp:effectExtent l="0" t="0" r="0" b="0"/>
            <wp:wrapSquare wrapText="bothSides" distL="152400" distR="152400"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df"/>
                    <pic:cNvPicPr>
                      <a:picLocks noChangeAspect="1"/>
                    </pic:cNvPicPr>
                  </pic:nvPicPr>
                  <pic:blipFill>
                    <a:blip r:embed="rId5">
                      <a:extLst/>
                    </a:blip>
                    <a:srcRect l="0" t="3500" r="0" b="18379"/>
                    <a:stretch>
                      <a:fillRect/>
                    </a:stretch>
                  </pic:blipFill>
                  <pic:spPr>
                    <a:xfrm>
                      <a:off x="0" y="0"/>
                      <a:ext cx="8274723" cy="9142311"/>
                    </a:xfrm>
                    <a:prstGeom prst="rect">
                      <a:avLst/>
                    </a:prstGeom>
                    <a:ln w="12700" cap="flat">
                      <a:noFill/>
                      <a:miter lim="400000"/>
                    </a:ln>
                    <a:effectLst/>
                  </pic:spPr>
                </pic:pic>
              </a:graphicData>
            </a:graphic>
          </wp:anchor>
        </w:drawing>
      </w:r>
    </w:p>
    <w:p>
      <w:pPr>
        <w:pStyle w:val="Body"/>
        <w:rPr>
          <w:b w:val="1"/>
          <w:bCs w:val="1"/>
          <w:sz w:val="26"/>
          <w:szCs w:val="26"/>
        </w:rPr>
      </w:pPr>
      <w:r>
        <w:rPr>
          <w:b w:val="1"/>
          <w:bCs w:val="1"/>
          <w:sz w:val="26"/>
          <w:szCs w:val="26"/>
          <w:rtl w:val="0"/>
          <w:lang w:val="en-US"/>
        </w:rPr>
        <w:t xml:space="preserve">If the Basque model were to be adopted in Wales what changes would need to be implemented to the teaching of Welsh in the English- medium sector? </w:t>
      </w:r>
    </w:p>
    <w:p>
      <w:pPr>
        <w:pStyle w:val="Body"/>
        <w:bidi w:val="0"/>
      </w:pPr>
    </w:p>
    <w:p>
      <w:pPr>
        <w:pStyle w:val="Body"/>
        <w:bidi w:val="0"/>
      </w:pPr>
    </w:p>
    <w:p>
      <w:pPr>
        <w:pStyle w:val="Body"/>
        <w:spacing w:line="480" w:lineRule="auto"/>
        <w:rPr>
          <w:rFonts w:ascii="Arial" w:cs="Arial" w:hAnsi="Arial" w:eastAsia="Arial"/>
          <w:sz w:val="24"/>
          <w:szCs w:val="24"/>
        </w:rPr>
      </w:pPr>
      <w:r>
        <w:rPr>
          <w:rFonts w:ascii="Arial" w:hAnsi="Arial"/>
          <w:sz w:val="24"/>
          <w:szCs w:val="24"/>
          <w:rtl w:val="0"/>
          <w:lang w:val="en-US"/>
        </w:rPr>
        <w:t xml:space="preserve">In this piece we analyse the implementation of a system similar to that that has been developed in the Basque country in Wales. It noted the number of cultural and governmental changes that must take place over many years. Firstly there is the introduction of internal and external CEFR </w:t>
      </w:r>
      <w:r>
        <w:rPr>
          <w:rFonts w:ascii="Arial" w:hAnsi="Arial"/>
          <w:sz w:val="24"/>
          <w:szCs w:val="24"/>
          <w:rtl w:val="0"/>
          <w:lang w:val="en-US"/>
        </w:rPr>
        <w:t>(Common European Framework of Reference for Language)</w:t>
      </w:r>
      <w:r>
        <w:rPr>
          <w:rFonts w:ascii="Arial" w:hAnsi="Arial"/>
          <w:sz w:val="24"/>
          <w:szCs w:val="24"/>
          <w:rtl w:val="0"/>
          <w:lang w:val="en-US"/>
        </w:rPr>
        <w:t xml:space="preserve"> accredited qualifications for both students and residents that have left compulsory education, paired with a language continuum where learners all travel along the same learning pathway. Secondly, the need for changes at governmental legislation level, with the Basque government requiring that all civil service employees and professionals hold a Basque language certificate. Finally, a large change to the schooling syst</w:t>
      </w:r>
      <w:r>
        <w:rPr>
          <w:rFonts w:ascii="Arial" w:hAnsi="Arial"/>
          <w:sz w:val="24"/>
          <w:szCs w:val="24"/>
          <w:rtl w:val="0"/>
          <w:lang w:val="en-US"/>
        </w:rPr>
        <w:t xml:space="preserve">em. The Basque schooling system has the majority of students in Basque medium or bilingual schools </w:t>
      </w:r>
      <w:r>
        <w:rPr>
          <w:rFonts w:ascii="Arial" w:hAnsi="Arial"/>
          <w:sz w:val="24"/>
          <w:szCs w:val="24"/>
          <w:rtl w:val="0"/>
          <w:lang w:val="en-US"/>
        </w:rPr>
        <w:t>(Basque Government,</w:t>
      </w:r>
      <w:r>
        <w:rPr>
          <w:rFonts w:ascii="Arial" w:hAnsi="Arial"/>
          <w:sz w:val="24"/>
          <w:szCs w:val="24"/>
          <w:rtl w:val="0"/>
          <w:lang w:val="en-US"/>
        </w:rPr>
        <w:t xml:space="preserve"> </w:t>
      </w:r>
      <w:r>
        <w:rPr>
          <w:rFonts w:ascii="Arial" w:hAnsi="Arial"/>
          <w:sz w:val="24"/>
          <w:szCs w:val="24"/>
          <w:rtl w:val="0"/>
        </w:rPr>
        <w:t>2011)</w:t>
      </w:r>
      <w:r>
        <w:rPr>
          <w:rFonts w:ascii="Arial" w:hAnsi="Arial"/>
          <w:sz w:val="24"/>
          <w:szCs w:val="24"/>
          <w:rtl w:val="0"/>
          <w:lang w:val="en-US"/>
        </w:rPr>
        <w:t>. This</w:t>
      </w:r>
      <w:r>
        <w:rPr>
          <w:rFonts w:ascii="Arial" w:hAnsi="Arial"/>
          <w:sz w:val="24"/>
          <w:szCs w:val="24"/>
          <w:rtl w:val="0"/>
          <w:lang w:val="en-US"/>
        </w:rPr>
        <w:t xml:space="preserve"> is opp</w:t>
      </w:r>
      <w:r>
        <w:rPr>
          <w:rFonts w:ascii="Arial" w:hAnsi="Arial"/>
          <w:sz w:val="24"/>
          <w:szCs w:val="24"/>
          <w:rtl w:val="0"/>
          <w:lang w:val="en-US"/>
        </w:rPr>
        <w:t xml:space="preserve">osite to the Welsh schooling system where the majority of pupils attend English medium schools (Welsh Government, 2018).The Basque schools adopt a </w:t>
      </w:r>
      <w:r>
        <w:rPr>
          <w:rFonts w:ascii="Arial" w:hAnsi="Arial"/>
          <w:sz w:val="24"/>
          <w:szCs w:val="24"/>
          <w:rtl w:val="0"/>
          <w:lang w:val="en-US"/>
        </w:rPr>
        <w:t xml:space="preserve">Content and Language Integrated Learning </w:t>
      </w:r>
      <w:r>
        <w:rPr>
          <w:rFonts w:ascii="Arial" w:hAnsi="Arial"/>
          <w:sz w:val="24"/>
          <w:szCs w:val="24"/>
          <w:rtl w:val="0"/>
          <w:lang w:val="en-US"/>
        </w:rPr>
        <w:t xml:space="preserve">(CLIL) method to learn both Basque and English without the added time taken by other methods. Although the </w:t>
      </w:r>
      <w:r>
        <w:rPr>
          <w:rFonts w:ascii="Arial" w:hAnsi="Arial"/>
          <w:sz w:val="24"/>
          <w:szCs w:val="24"/>
          <w:rtl w:val="0"/>
          <w:lang w:val="en-US"/>
        </w:rPr>
        <w:t xml:space="preserve">method is not without its flaws. The Basque government has also imposed laws and legislation requiring that pupils are leaving compulsory education either bilingual or plurilingual.   </w:t>
      </w:r>
    </w:p>
    <w:p>
      <w:pPr>
        <w:pStyle w:val="Body"/>
        <w:spacing w:line="480" w:lineRule="auto"/>
        <w:rPr>
          <w:rFonts w:ascii="Arial" w:cs="Arial" w:hAnsi="Arial" w:eastAsia="Arial"/>
          <w:sz w:val="24"/>
          <w:szCs w:val="24"/>
        </w:rPr>
      </w:pPr>
    </w:p>
    <w:p>
      <w:pPr>
        <w:pStyle w:val="Body"/>
        <w:spacing w:line="480" w:lineRule="auto"/>
        <w:rPr>
          <w:rFonts w:ascii="Arial" w:cs="Arial" w:hAnsi="Arial" w:eastAsia="Arial"/>
          <w:sz w:val="24"/>
          <w:szCs w:val="24"/>
        </w:rPr>
      </w:pPr>
      <w:r>
        <w:rPr>
          <w:rFonts w:ascii="Arial" w:hAnsi="Arial"/>
          <w:sz w:val="24"/>
          <w:szCs w:val="24"/>
          <w:rtl w:val="0"/>
          <w:lang w:val="en-US"/>
        </w:rPr>
        <w:t>To mirror the Basque country, Wales must adopt the use of CEFR (Common European Framework of Reference for Language).CEFR is an international reference for comparing and describing language ability and attainment. The scale can be used for any language and gives a scale to which employers and inst</w:t>
      </w:r>
      <w:r>
        <w:rPr>
          <w:rFonts w:ascii="Arial" w:hAnsi="Arial"/>
          <w:sz w:val="24"/>
          <w:szCs w:val="24"/>
          <w:rtl w:val="0"/>
          <w:lang w:val="en-US"/>
        </w:rPr>
        <w:t xml:space="preserve">itutions can compare qualifications. The CEFR scale begins at A1 for beginners, to C2 for fluency (Cambridge English, 2019).The Basque area uses the CEFR certified qualifications </w:t>
      </w:r>
      <w:r>
        <w:rPr>
          <w:rFonts w:ascii="Arial" w:hAnsi="Arial" w:hint="default"/>
          <w:sz w:val="24"/>
          <w:szCs w:val="24"/>
          <w:rtl w:val="0"/>
          <w:lang w:val="en-US"/>
        </w:rPr>
        <w:t>‘</w:t>
      </w:r>
      <w:r>
        <w:rPr>
          <w:rFonts w:ascii="Arial" w:hAnsi="Arial"/>
          <w:sz w:val="24"/>
          <w:szCs w:val="24"/>
          <w:rtl w:val="0"/>
          <w:lang w:val="pt-PT"/>
        </w:rPr>
        <w:t>Selectividad</w:t>
      </w:r>
      <w:r>
        <w:rPr>
          <w:rFonts w:ascii="Arial" w:hAnsi="Arial" w:hint="default"/>
          <w:sz w:val="24"/>
          <w:szCs w:val="24"/>
          <w:rtl w:val="0"/>
          <w:lang w:val="en-US"/>
        </w:rPr>
        <w:t xml:space="preserve">’ </w:t>
      </w:r>
      <w:r>
        <w:rPr>
          <w:rFonts w:ascii="Arial" w:hAnsi="Arial"/>
          <w:sz w:val="24"/>
          <w:szCs w:val="24"/>
          <w:rtl w:val="0"/>
          <w:lang w:val="en-US"/>
        </w:rPr>
        <w:t>to show learners attainment in Basque. In Wales there is no CEFR, and there is currently two widely used pathways to the learning of Welsh. Pupils may undertake Welsh medium education where they learn completely through the Welsh language and will sit equal Welsh and English Language GCSE</w:t>
      </w:r>
      <w:r>
        <w:rPr>
          <w:rFonts w:ascii="Arial" w:hAnsi="Arial" w:hint="default"/>
          <w:sz w:val="24"/>
          <w:szCs w:val="24"/>
          <w:rtl w:val="0"/>
          <w:lang w:val="en-US"/>
        </w:rPr>
        <w:t>’</w:t>
      </w:r>
      <w:r>
        <w:rPr>
          <w:rFonts w:ascii="Arial" w:hAnsi="Arial"/>
          <w:sz w:val="24"/>
          <w:szCs w:val="24"/>
          <w:rtl w:val="0"/>
          <w:lang w:val="en-US"/>
        </w:rPr>
        <w:t>s. The second pathway is through the English medium where the pupils will sit Welsh second language GCSE</w:t>
      </w:r>
      <w:r>
        <w:rPr>
          <w:rFonts w:ascii="Arial" w:hAnsi="Arial" w:hint="default"/>
          <w:sz w:val="24"/>
          <w:szCs w:val="24"/>
          <w:rtl w:val="0"/>
          <w:lang w:val="en-US"/>
        </w:rPr>
        <w:t>’</w:t>
      </w:r>
      <w:r>
        <w:rPr>
          <w:rFonts w:ascii="Arial" w:hAnsi="Arial"/>
          <w:sz w:val="24"/>
          <w:szCs w:val="24"/>
          <w:rtl w:val="0"/>
          <w:lang w:val="en-US"/>
        </w:rPr>
        <w:t xml:space="preserve">s. This divides the language in two, between learners and </w:t>
      </w:r>
      <w:r>
        <w:rPr>
          <w:rFonts w:ascii="Arial" w:hAnsi="Arial" w:hint="default"/>
          <w:sz w:val="24"/>
          <w:szCs w:val="24"/>
          <w:rtl w:val="0"/>
          <w:lang w:val="en-US"/>
        </w:rPr>
        <w:t>‘</w:t>
      </w:r>
      <w:r>
        <w:rPr>
          <w:rFonts w:ascii="Arial" w:hAnsi="Arial"/>
          <w:sz w:val="24"/>
          <w:szCs w:val="24"/>
          <w:rtl w:val="0"/>
          <w:lang w:val="en-US"/>
        </w:rPr>
        <w:t>native</w:t>
      </w:r>
      <w:r>
        <w:rPr>
          <w:rFonts w:ascii="Arial" w:hAnsi="Arial" w:hint="default"/>
          <w:sz w:val="24"/>
          <w:szCs w:val="24"/>
          <w:rtl w:val="0"/>
          <w:lang w:val="en-US"/>
        </w:rPr>
        <w:t xml:space="preserve">’ </w:t>
      </w:r>
      <w:r>
        <w:rPr>
          <w:rFonts w:ascii="Arial" w:hAnsi="Arial"/>
          <w:sz w:val="24"/>
          <w:szCs w:val="24"/>
          <w:rtl w:val="0"/>
          <w:lang w:val="en-US"/>
        </w:rPr>
        <w:t>speakers. To become more like the Basque schooling system, Wales will have to ensure there is a progression pathway through one language where a learner may progress from basic language skills to fluency. The CEFR gives practitioners a continuum tool where learners are given a personal development level and appropriately scaled development tasks (</w:t>
      </w:r>
      <w:r>
        <w:rPr>
          <w:rFonts w:ascii="Arial" w:hAnsi="Arial"/>
          <w:sz w:val="24"/>
          <w:szCs w:val="24"/>
          <w:rtl w:val="0"/>
          <w:lang w:val="en-US"/>
        </w:rPr>
        <w:t>Council of Europe</w:t>
      </w:r>
      <w:r>
        <w:rPr>
          <w:rFonts w:ascii="Arial" w:hAnsi="Arial"/>
          <w:sz w:val="24"/>
          <w:szCs w:val="24"/>
          <w:rtl w:val="0"/>
          <w:lang w:val="en-US"/>
        </w:rPr>
        <w:t xml:space="preserve">, </w:t>
      </w:r>
      <w:r>
        <w:rPr>
          <w:rFonts w:ascii="Arial" w:hAnsi="Arial"/>
          <w:sz w:val="24"/>
          <w:szCs w:val="24"/>
          <w:rtl w:val="0"/>
        </w:rPr>
        <w:t>2018)</w:t>
      </w:r>
      <w:r>
        <w:rPr>
          <w:rFonts w:ascii="Arial" w:hAnsi="Arial"/>
          <w:sz w:val="24"/>
          <w:szCs w:val="24"/>
          <w:rtl w:val="0"/>
          <w:lang w:val="en-US"/>
        </w:rPr>
        <w:t>. Although some institutions disagree with the effectiveness of CEFR scales (</w:t>
      </w:r>
      <w:r>
        <w:rPr>
          <w:rFonts w:ascii="Arial" w:hAnsi="Arial"/>
          <w:sz w:val="24"/>
          <w:szCs w:val="24"/>
          <w:rtl w:val="0"/>
          <w:lang w:val="nl-NL"/>
        </w:rPr>
        <w:t>John H.A.L. de Jong</w:t>
      </w:r>
      <w:r>
        <w:rPr>
          <w:rFonts w:ascii="Arial" w:hAnsi="Arial"/>
          <w:sz w:val="24"/>
          <w:szCs w:val="24"/>
          <w:rtl w:val="0"/>
          <w:lang w:val="en-US"/>
        </w:rPr>
        <w:t xml:space="preserve">, 2009) . </w:t>
      </w:r>
    </w:p>
    <w:p>
      <w:pPr>
        <w:pStyle w:val="Body"/>
        <w:spacing w:line="480" w:lineRule="auto"/>
        <w:rPr>
          <w:rFonts w:ascii="Arial" w:cs="Arial" w:hAnsi="Arial" w:eastAsia="Arial"/>
          <w:sz w:val="24"/>
          <w:szCs w:val="24"/>
        </w:rPr>
      </w:pPr>
    </w:p>
    <w:p>
      <w:pPr>
        <w:pStyle w:val="Body"/>
        <w:spacing w:line="480" w:lineRule="auto"/>
        <w:rPr>
          <w:rFonts w:ascii="Arial" w:cs="Arial" w:hAnsi="Arial" w:eastAsia="Arial"/>
          <w:sz w:val="24"/>
          <w:szCs w:val="24"/>
        </w:rPr>
      </w:pPr>
      <w:r>
        <w:rPr>
          <w:rFonts w:ascii="Arial" w:hAnsi="Arial"/>
          <w:sz w:val="24"/>
          <w:szCs w:val="24"/>
          <w:rtl w:val="0"/>
          <w:lang w:val="en-US"/>
        </w:rPr>
        <w:t xml:space="preserve">The adoption of CEFR tools will work alongside the introduction of internal and external qualifications. The Basque government subsidise </w:t>
      </w:r>
      <w:r>
        <w:rPr>
          <w:rFonts w:ascii="Arial" w:hAnsi="Arial" w:hint="default"/>
          <w:sz w:val="24"/>
          <w:szCs w:val="24"/>
          <w:rtl w:val="0"/>
          <w:lang w:val="en-US"/>
        </w:rPr>
        <w:t>‘</w:t>
      </w:r>
      <w:r>
        <w:rPr>
          <w:rFonts w:ascii="Arial" w:hAnsi="Arial"/>
          <w:sz w:val="24"/>
          <w:szCs w:val="24"/>
          <w:rtl w:val="0"/>
          <w:lang w:val="en-US"/>
        </w:rPr>
        <w:t>language profiles</w:t>
      </w:r>
      <w:r>
        <w:rPr>
          <w:rFonts w:ascii="Arial" w:hAnsi="Arial" w:hint="default"/>
          <w:sz w:val="24"/>
          <w:szCs w:val="24"/>
          <w:rtl w:val="0"/>
          <w:lang w:val="en-US"/>
        </w:rPr>
        <w:t xml:space="preserve">’ </w:t>
      </w:r>
      <w:r>
        <w:rPr>
          <w:rFonts w:ascii="Arial" w:hAnsi="Arial"/>
          <w:sz w:val="24"/>
          <w:szCs w:val="24"/>
          <w:rtl w:val="0"/>
          <w:lang w:val="en-US"/>
        </w:rPr>
        <w:t xml:space="preserve">that all residents can undertake after the age of 14 and correlate to CEFR levels B1 and B2. There is also the Basque competence certificate (EGA) , that is available to all Basque residents and correlates with the CEFR scale level C1 and C2, this certificate is essential in acquiring professional </w:t>
      </w:r>
      <w:r>
        <w:rPr>
          <w:rFonts w:ascii="Arial" w:hAnsi="Arial" w:hint="default"/>
          <w:sz w:val="24"/>
          <w:szCs w:val="24"/>
          <w:rtl w:val="0"/>
          <w:lang w:val="en-US"/>
        </w:rPr>
        <w:t>‘</w:t>
      </w:r>
      <w:r>
        <w:rPr>
          <w:rFonts w:ascii="Arial" w:hAnsi="Arial"/>
          <w:sz w:val="24"/>
          <w:szCs w:val="24"/>
          <w:rtl w:val="0"/>
          <w:lang w:val="en-US"/>
        </w:rPr>
        <w:t>functionary</w:t>
      </w:r>
      <w:r>
        <w:rPr>
          <w:rFonts w:ascii="Arial" w:hAnsi="Arial" w:hint="default"/>
          <w:sz w:val="24"/>
          <w:szCs w:val="24"/>
          <w:rtl w:val="0"/>
          <w:lang w:val="en-US"/>
        </w:rPr>
        <w:t xml:space="preserve">’ </w:t>
      </w:r>
      <w:r>
        <w:rPr>
          <w:rFonts w:ascii="Arial" w:hAnsi="Arial"/>
          <w:sz w:val="24"/>
          <w:szCs w:val="24"/>
          <w:rtl w:val="0"/>
          <w:lang w:val="en-US"/>
        </w:rPr>
        <w:t xml:space="preserve">job roles such as the civil service. A further </w:t>
      </w:r>
      <w:r>
        <w:rPr>
          <w:rFonts w:ascii="Arial" w:hAnsi="Arial" w:hint="default"/>
          <w:sz w:val="24"/>
          <w:szCs w:val="24"/>
          <w:rtl w:val="0"/>
          <w:lang w:val="en-US"/>
        </w:rPr>
        <w:t>‘</w:t>
      </w:r>
      <w:r>
        <w:rPr>
          <w:rFonts w:ascii="Arial" w:hAnsi="Arial"/>
          <w:sz w:val="24"/>
          <w:szCs w:val="24"/>
          <w:rtl w:val="0"/>
          <w:lang w:val="en-US"/>
        </w:rPr>
        <w:t>language profile</w:t>
      </w:r>
      <w:r>
        <w:rPr>
          <w:rFonts w:ascii="Arial" w:hAnsi="Arial" w:hint="default"/>
          <w:sz w:val="24"/>
          <w:szCs w:val="24"/>
          <w:rtl w:val="0"/>
          <w:lang w:val="en-US"/>
        </w:rPr>
        <w:t xml:space="preserve">’ </w:t>
      </w:r>
      <w:r>
        <w:rPr>
          <w:rFonts w:ascii="Arial" w:hAnsi="Arial"/>
          <w:sz w:val="24"/>
          <w:szCs w:val="24"/>
          <w:rtl w:val="0"/>
          <w:lang w:val="en-US"/>
        </w:rPr>
        <w:t xml:space="preserve">(PL4) is an even higher standard qualification available for certain professions. Even if a resident attends a Basque medium school there is still a requirement to undertake the language profiles or the EGA to qualify for a role. Welsh Government (2014) has recommended that over the next three to five years the Welsh Government should reshape the Welsh curriculum to create a continuum of learning similar to the method used with CEFR. They advise that the curriculum shall be a language pathway that all Welsh learners are on, and ultimately removing the </w:t>
      </w:r>
      <w:r>
        <w:rPr>
          <w:rFonts w:ascii="Arial" w:hAnsi="Arial" w:hint="default"/>
          <w:sz w:val="24"/>
          <w:szCs w:val="24"/>
          <w:rtl w:val="0"/>
          <w:lang w:val="en-US"/>
        </w:rPr>
        <w:t>‘</w:t>
      </w:r>
      <w:r>
        <w:rPr>
          <w:rFonts w:ascii="Arial" w:hAnsi="Arial"/>
          <w:sz w:val="24"/>
          <w:szCs w:val="24"/>
          <w:rtl w:val="0"/>
          <w:lang w:val="en-US"/>
        </w:rPr>
        <w:t>Welsh Second Language</w:t>
      </w:r>
      <w:r>
        <w:rPr>
          <w:rFonts w:ascii="Arial" w:hAnsi="Arial" w:hint="default"/>
          <w:sz w:val="24"/>
          <w:szCs w:val="24"/>
          <w:rtl w:val="0"/>
          <w:lang w:val="en-US"/>
        </w:rPr>
        <w:t xml:space="preserve">’ </w:t>
      </w:r>
      <w:r>
        <w:rPr>
          <w:rFonts w:ascii="Arial" w:hAnsi="Arial"/>
          <w:sz w:val="24"/>
          <w:szCs w:val="24"/>
          <w:rtl w:val="0"/>
          <w:lang w:val="en-US"/>
        </w:rPr>
        <w:t xml:space="preserve">programme of study. A target set in the Cymraeg 2050: A million Welsh speakers (2017) strategy will require the government to work closely with all teaching practitioners to ensure that there are opportunities for learners to access Welsh-medium education at various points and to continue their education on that pathway. </w:t>
      </w:r>
    </w:p>
    <w:p>
      <w:pPr>
        <w:pStyle w:val="Body"/>
        <w:spacing w:line="480" w:lineRule="auto"/>
        <w:rPr>
          <w:rFonts w:ascii="Arial" w:cs="Arial" w:hAnsi="Arial" w:eastAsia="Arial"/>
          <w:sz w:val="24"/>
          <w:szCs w:val="24"/>
        </w:rPr>
      </w:pPr>
    </w:p>
    <w:p>
      <w:pPr>
        <w:pStyle w:val="Body"/>
        <w:spacing w:line="480" w:lineRule="auto"/>
        <w:rPr>
          <w:rFonts w:ascii="Arial" w:cs="Arial" w:hAnsi="Arial" w:eastAsia="Arial"/>
          <w:sz w:val="24"/>
          <w:szCs w:val="24"/>
        </w:rPr>
      </w:pPr>
      <w:r>
        <w:rPr>
          <w:rFonts w:ascii="Arial" w:hAnsi="Arial"/>
          <w:sz w:val="24"/>
          <w:szCs w:val="24"/>
          <w:rtl w:val="0"/>
          <w:lang w:val="en-US"/>
        </w:rPr>
        <w:t xml:space="preserve">There are three models of schools in the Basque area; </w:t>
      </w:r>
      <w:r>
        <w:rPr>
          <w:rFonts w:ascii="Arial" w:hAnsi="Arial" w:hint="default"/>
          <w:sz w:val="24"/>
          <w:szCs w:val="24"/>
          <w:rtl w:val="0"/>
          <w:lang w:val="en-US"/>
        </w:rPr>
        <w:t>‘</w:t>
      </w:r>
      <w:r>
        <w:rPr>
          <w:rFonts w:ascii="Arial" w:hAnsi="Arial"/>
          <w:sz w:val="24"/>
          <w:szCs w:val="24"/>
          <w:rtl w:val="0"/>
          <w:lang w:val="en-US"/>
        </w:rPr>
        <w:t>A</w:t>
      </w:r>
      <w:r>
        <w:rPr>
          <w:rFonts w:ascii="Arial" w:hAnsi="Arial" w:hint="default"/>
          <w:sz w:val="24"/>
          <w:szCs w:val="24"/>
          <w:rtl w:val="0"/>
          <w:lang w:val="en-US"/>
        </w:rPr>
        <w:t xml:space="preserve">’ </w:t>
      </w:r>
      <w:r>
        <w:rPr>
          <w:rFonts w:ascii="Arial" w:hAnsi="Arial"/>
          <w:sz w:val="24"/>
          <w:szCs w:val="24"/>
          <w:rtl w:val="0"/>
          <w:lang w:val="en-US"/>
        </w:rPr>
        <w:t>schools where subjects are taught in Spanish with Basque taught 3 hours a week.</w:t>
      </w:r>
      <w:r>
        <w:rPr>
          <w:rFonts w:ascii="Arial" w:hAnsi="Arial" w:hint="default"/>
          <w:sz w:val="24"/>
          <w:szCs w:val="24"/>
          <w:rtl w:val="0"/>
          <w:lang w:val="en-US"/>
        </w:rPr>
        <w:t>’</w:t>
      </w:r>
      <w:r>
        <w:rPr>
          <w:rFonts w:ascii="Arial" w:hAnsi="Arial"/>
          <w:sz w:val="24"/>
          <w:szCs w:val="24"/>
          <w:rtl w:val="0"/>
          <w:lang w:val="en-US"/>
        </w:rPr>
        <w:t>B</w:t>
      </w:r>
      <w:r>
        <w:rPr>
          <w:rFonts w:ascii="Arial" w:hAnsi="Arial" w:hint="default"/>
          <w:sz w:val="24"/>
          <w:szCs w:val="24"/>
          <w:rtl w:val="0"/>
          <w:lang w:val="en-US"/>
        </w:rPr>
        <w:t xml:space="preserve">’ </w:t>
      </w:r>
      <w:r>
        <w:rPr>
          <w:rFonts w:ascii="Arial" w:hAnsi="Arial"/>
          <w:sz w:val="24"/>
          <w:szCs w:val="24"/>
          <w:rtl w:val="0"/>
          <w:lang w:val="en-US"/>
        </w:rPr>
        <w:t xml:space="preserve">schools where 30-40% of the subjects are taught in Basque, </w:t>
      </w:r>
      <w:r>
        <w:rPr>
          <w:rFonts w:ascii="Arial" w:hAnsi="Arial" w:hint="default"/>
          <w:sz w:val="24"/>
          <w:szCs w:val="24"/>
          <w:rtl w:val="0"/>
          <w:lang w:val="en-US"/>
        </w:rPr>
        <w:t>‘</w:t>
      </w:r>
      <w:r>
        <w:rPr>
          <w:rFonts w:ascii="Arial" w:hAnsi="Arial"/>
          <w:sz w:val="24"/>
          <w:szCs w:val="24"/>
          <w:rtl w:val="0"/>
          <w:lang w:val="en-US"/>
        </w:rPr>
        <w:t>D</w:t>
      </w:r>
      <w:r>
        <w:rPr>
          <w:rFonts w:ascii="Arial" w:hAnsi="Arial" w:hint="default"/>
          <w:sz w:val="24"/>
          <w:szCs w:val="24"/>
          <w:rtl w:val="0"/>
          <w:lang w:val="en-US"/>
        </w:rPr>
        <w:t xml:space="preserve">’ </w:t>
      </w:r>
      <w:r>
        <w:rPr>
          <w:rFonts w:ascii="Arial" w:hAnsi="Arial"/>
          <w:sz w:val="24"/>
          <w:szCs w:val="24"/>
          <w:rtl w:val="0"/>
          <w:lang w:val="en-US"/>
        </w:rPr>
        <w:t xml:space="preserve">schools where all subjects are taught in Basque (Basque Government,2011). To adopt this model, Wales must increase the number of </w:t>
      </w:r>
      <w:r>
        <w:rPr>
          <w:rFonts w:ascii="Arial" w:hAnsi="Arial" w:hint="default"/>
          <w:sz w:val="24"/>
          <w:szCs w:val="24"/>
          <w:rtl w:val="0"/>
          <w:lang w:val="en-US"/>
        </w:rPr>
        <w:t>‘</w:t>
      </w:r>
      <w:r>
        <w:rPr>
          <w:rFonts w:ascii="Arial" w:hAnsi="Arial"/>
          <w:sz w:val="24"/>
          <w:szCs w:val="24"/>
          <w:rtl w:val="0"/>
          <w:lang w:val="en-US"/>
        </w:rPr>
        <w:t>B</w:t>
      </w:r>
      <w:r>
        <w:rPr>
          <w:rFonts w:ascii="Arial" w:hAnsi="Arial" w:hint="default"/>
          <w:sz w:val="24"/>
          <w:szCs w:val="24"/>
          <w:rtl w:val="0"/>
          <w:lang w:val="en-US"/>
        </w:rPr>
        <w:t xml:space="preserve">’ </w:t>
      </w:r>
      <w:r>
        <w:rPr>
          <w:rFonts w:ascii="Arial" w:hAnsi="Arial"/>
          <w:sz w:val="24"/>
          <w:szCs w:val="24"/>
          <w:rtl w:val="0"/>
          <w:lang w:val="en-US"/>
        </w:rPr>
        <w:t xml:space="preserve">style schools where students are taught bilingually, as currently Wales has very little schools that follow this model and the majority of pupils are in English medium schools where Welsh is taught as a subject only and as such learners acquisition of Welsh varies wildly (National Assembly of Wales, 2016). The Basque area created this system as a solution to the issue of the limited number of practitioners capable of teaching in Basque. This issue is also present in Wales, the Welsh government has noted its desire for change in </w:t>
      </w:r>
      <w:r>
        <w:rPr>
          <w:rFonts w:ascii="Arial" w:hAnsi="Arial"/>
          <w:sz w:val="24"/>
          <w:szCs w:val="24"/>
          <w:rtl w:val="0"/>
          <w:lang w:val="en-US"/>
        </w:rPr>
        <w:t>Cymraeg 2050: A million Welsh s</w:t>
      </w:r>
      <w:r>
        <w:rPr>
          <w:rFonts w:ascii="Arial" w:hAnsi="Arial"/>
          <w:sz w:val="24"/>
          <w:szCs w:val="24"/>
          <w:rtl w:val="0"/>
          <w:lang w:val="en-US"/>
        </w:rPr>
        <w:t>peakers</w:t>
      </w:r>
      <w:r>
        <w:rPr>
          <w:rFonts w:ascii="Arial" w:hAnsi="Arial"/>
          <w:sz w:val="24"/>
          <w:szCs w:val="24"/>
          <w:rtl w:val="0"/>
        </w:rPr>
        <w:t xml:space="preserve"> </w:t>
      </w:r>
      <w:r>
        <w:rPr>
          <w:rFonts w:ascii="Arial" w:hAnsi="Arial"/>
          <w:sz w:val="24"/>
          <w:szCs w:val="24"/>
          <w:rtl w:val="0"/>
          <w:lang w:val="en-US"/>
        </w:rPr>
        <w:t>(</w:t>
      </w:r>
      <w:r>
        <w:rPr>
          <w:rFonts w:ascii="Arial" w:hAnsi="Arial"/>
          <w:sz w:val="24"/>
          <w:szCs w:val="24"/>
          <w:rtl w:val="0"/>
        </w:rPr>
        <w:t>2017</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 xml:space="preserve">they give a target of increasing the number of pupils receiving Welsh medium education from 22% to 40% by 2050.  Currently the vast majority (60-70%) of Basque children attend </w:t>
      </w:r>
      <w:r>
        <w:rPr>
          <w:rFonts w:ascii="Arial" w:hAnsi="Arial" w:hint="default"/>
          <w:sz w:val="24"/>
          <w:szCs w:val="24"/>
          <w:rtl w:val="0"/>
          <w:lang w:val="en-US"/>
        </w:rPr>
        <w:t>‘</w:t>
      </w:r>
      <w:r>
        <w:rPr>
          <w:rFonts w:ascii="Arial" w:hAnsi="Arial"/>
          <w:sz w:val="24"/>
          <w:szCs w:val="24"/>
          <w:rtl w:val="0"/>
          <w:lang w:val="en-US"/>
        </w:rPr>
        <w:t>D</w:t>
      </w:r>
      <w:r>
        <w:rPr>
          <w:rFonts w:ascii="Arial" w:hAnsi="Arial" w:hint="default"/>
          <w:sz w:val="24"/>
          <w:szCs w:val="24"/>
          <w:rtl w:val="0"/>
          <w:lang w:val="en-US"/>
        </w:rPr>
        <w:t xml:space="preserve">’ </w:t>
      </w:r>
      <w:r>
        <w:rPr>
          <w:rFonts w:ascii="Arial" w:hAnsi="Arial"/>
          <w:sz w:val="24"/>
          <w:szCs w:val="24"/>
          <w:rtl w:val="0"/>
          <w:lang w:val="en-US"/>
        </w:rPr>
        <w:t>schools where they will learn primarily in the Basque language. This is due to the fact that Basque is required to work in for the public service and is considered a large benefit in the private sector (</w:t>
      </w:r>
      <w:r>
        <w:rPr>
          <w:rFonts w:ascii="Arial" w:hAnsi="Arial"/>
          <w:sz w:val="24"/>
          <w:szCs w:val="24"/>
          <w:rtl w:val="0"/>
          <w:lang w:val="en-US"/>
        </w:rPr>
        <w:t>Vega-Bayo</w:t>
      </w:r>
      <w:r>
        <w:rPr>
          <w:rFonts w:ascii="Arial" w:hAnsi="Arial"/>
          <w:sz w:val="24"/>
          <w:szCs w:val="24"/>
          <w:rtl w:val="0"/>
          <w:lang w:val="en-US"/>
        </w:rPr>
        <w:t xml:space="preserve"> &amp; </w:t>
      </w:r>
      <w:r>
        <w:rPr>
          <w:rFonts w:ascii="Arial" w:hAnsi="Arial"/>
          <w:sz w:val="24"/>
          <w:szCs w:val="24"/>
          <w:rtl w:val="0"/>
          <w:lang w:val="de-DE"/>
        </w:rPr>
        <w:t>Mariel, 2015</w:t>
      </w:r>
      <w:r>
        <w:rPr>
          <w:rFonts w:ascii="Arial" w:hAnsi="Arial"/>
          <w:sz w:val="24"/>
          <w:szCs w:val="24"/>
          <w:rtl w:val="0"/>
          <w:lang w:val="en-US"/>
        </w:rPr>
        <w:t>). Again the Welsh Government (2017) has already shown its interest in such numbers with its target of 70% of pupils reporting that they can speak Welsh upon leaving compulsory education by 2050. The Basque country established a law in 1982 with the unique objective of requiring all pupils; to be able to use two official languages by the time they finish compulsory education. This law ensured an emphasis on Plurilingualism and the benefit of learning additional languages.(Basque Government, 2011). To ensure the success of this law the government allocated a large amount of funding and resources towards increasing the number of practitioners capable of teaching in Basque.Nicholas Gardner</w:t>
      </w:r>
      <w:r>
        <w:rPr>
          <w:rFonts w:ascii="Arial" w:hAnsi="Arial" w:hint="default"/>
          <w:sz w:val="24"/>
          <w:szCs w:val="24"/>
          <w:rtl w:val="0"/>
          <w:lang w:val="en-US"/>
        </w:rPr>
        <w:t>’</w:t>
      </w:r>
      <w:r>
        <w:rPr>
          <w:rFonts w:ascii="Arial" w:hAnsi="Arial"/>
          <w:sz w:val="24"/>
          <w:szCs w:val="24"/>
          <w:rtl w:val="0"/>
          <w:lang w:val="en-US"/>
        </w:rPr>
        <w:t xml:space="preserve">s </w:t>
      </w:r>
      <w:r>
        <w:rPr>
          <w:rFonts w:ascii="Arial" w:hAnsi="Arial" w:hint="default"/>
          <w:sz w:val="24"/>
          <w:szCs w:val="24"/>
          <w:rtl w:val="0"/>
          <w:lang w:val="en-US"/>
        </w:rPr>
        <w:t>‘</w:t>
      </w:r>
      <w:r>
        <w:rPr>
          <w:rFonts w:ascii="Arial" w:hAnsi="Arial"/>
          <w:sz w:val="24"/>
          <w:szCs w:val="24"/>
          <w:rtl w:val="0"/>
          <w:lang w:val="en-US"/>
        </w:rPr>
        <w:t>Language policy for Basque education (2002) notes that practitioners may take a fully paid sabbatical of up to three years with further supplementary courses available thereafter. Prof. Graham Donaldson</w:t>
      </w:r>
      <w:r>
        <w:rPr>
          <w:rFonts w:ascii="Arial" w:hAnsi="Arial" w:hint="default"/>
          <w:sz w:val="24"/>
          <w:szCs w:val="24"/>
          <w:rtl w:val="0"/>
          <w:lang w:val="en-US"/>
        </w:rPr>
        <w:t>’</w:t>
      </w:r>
      <w:r>
        <w:rPr>
          <w:rFonts w:ascii="Arial" w:hAnsi="Arial"/>
          <w:sz w:val="24"/>
          <w:szCs w:val="24"/>
          <w:rtl w:val="0"/>
          <w:lang w:val="en-US"/>
        </w:rPr>
        <w:t xml:space="preserve">s review of the Welsh curriculum </w:t>
      </w:r>
      <w:r>
        <w:rPr>
          <w:rFonts w:ascii="Arial" w:hAnsi="Arial" w:hint="default"/>
          <w:sz w:val="24"/>
          <w:szCs w:val="24"/>
          <w:rtl w:val="0"/>
          <w:lang w:val="en-US"/>
        </w:rPr>
        <w:t>‘</w:t>
      </w:r>
      <w:r>
        <w:rPr>
          <w:rFonts w:ascii="Arial" w:hAnsi="Arial"/>
          <w:sz w:val="24"/>
          <w:szCs w:val="24"/>
          <w:rtl w:val="0"/>
          <w:lang w:val="en-US"/>
        </w:rPr>
        <w:t>Successful Futures</w:t>
      </w:r>
      <w:r>
        <w:rPr>
          <w:rFonts w:ascii="Arial" w:hAnsi="Arial" w:hint="default"/>
          <w:sz w:val="24"/>
          <w:szCs w:val="24"/>
          <w:rtl w:val="0"/>
          <w:lang w:val="en-US"/>
        </w:rPr>
        <w:t xml:space="preserve">’ </w:t>
      </w:r>
      <w:r>
        <w:rPr>
          <w:rFonts w:ascii="Arial" w:hAnsi="Arial"/>
          <w:sz w:val="24"/>
          <w:szCs w:val="24"/>
          <w:rtl w:val="0"/>
          <w:lang w:val="en-US"/>
        </w:rPr>
        <w:t xml:space="preserve">(2012) also states the importance of improving teacher training and as such ensuring the improvement of Welsh language teaching and as such this has been included as one of the targets of </w:t>
      </w:r>
      <w:r>
        <w:rPr>
          <w:rFonts w:ascii="Arial" w:hAnsi="Arial"/>
          <w:sz w:val="24"/>
          <w:szCs w:val="24"/>
          <w:rtl w:val="0"/>
          <w:lang w:val="en-US"/>
        </w:rPr>
        <w:t>Cymraeg 2050: A million Welsh s</w:t>
      </w:r>
      <w:r>
        <w:rPr>
          <w:rFonts w:ascii="Arial" w:hAnsi="Arial"/>
          <w:sz w:val="24"/>
          <w:szCs w:val="24"/>
          <w:rtl w:val="0"/>
          <w:lang w:val="en-US"/>
        </w:rPr>
        <w:t>peakers</w:t>
      </w:r>
      <w:r>
        <w:rPr>
          <w:rFonts w:ascii="Arial" w:hAnsi="Arial"/>
          <w:sz w:val="24"/>
          <w:szCs w:val="24"/>
          <w:rtl w:val="0"/>
        </w:rPr>
        <w:t xml:space="preserve"> </w:t>
      </w:r>
      <w:r>
        <w:rPr>
          <w:rFonts w:ascii="Arial" w:hAnsi="Arial"/>
          <w:sz w:val="24"/>
          <w:szCs w:val="24"/>
          <w:rtl w:val="0"/>
          <w:lang w:val="en-US"/>
        </w:rPr>
        <w:t>(</w:t>
      </w:r>
      <w:r>
        <w:rPr>
          <w:rFonts w:ascii="Arial" w:hAnsi="Arial"/>
          <w:sz w:val="24"/>
          <w:szCs w:val="24"/>
          <w:rtl w:val="0"/>
        </w:rPr>
        <w:t>2017</w:t>
      </w:r>
      <w:r>
        <w:rPr>
          <w:rFonts w:ascii="Arial" w:hAnsi="Arial"/>
          <w:sz w:val="24"/>
          <w:szCs w:val="24"/>
          <w:rtl w:val="0"/>
          <w:lang w:val="en-US"/>
        </w:rPr>
        <w:t>). The target sets the goal of in</w:t>
      </w:r>
      <w:r>
        <w:rPr>
          <w:rFonts w:ascii="Arial" w:hAnsi="Arial"/>
          <w:sz w:val="24"/>
          <w:szCs w:val="24"/>
          <w:rtl w:val="0"/>
          <w:lang w:val="en-US"/>
        </w:rPr>
        <w:t>creas</w:t>
      </w:r>
      <w:r>
        <w:rPr>
          <w:rFonts w:ascii="Arial" w:hAnsi="Arial"/>
          <w:sz w:val="24"/>
          <w:szCs w:val="24"/>
          <w:rtl w:val="0"/>
          <w:lang w:val="en-US"/>
        </w:rPr>
        <w:t>ing</w:t>
      </w:r>
      <w:r>
        <w:rPr>
          <w:rFonts w:ascii="Arial" w:hAnsi="Arial"/>
          <w:sz w:val="24"/>
          <w:szCs w:val="24"/>
          <w:rtl w:val="0"/>
          <w:lang w:val="en-US"/>
        </w:rPr>
        <w:t xml:space="preserve"> the number of primary teachers who can teach in Welsh from 2,900 to 3,900 by 2031</w:t>
      </w:r>
      <w:r>
        <w:rPr>
          <w:rFonts w:ascii="Arial" w:hAnsi="Arial"/>
          <w:sz w:val="24"/>
          <w:szCs w:val="24"/>
          <w:rtl w:val="0"/>
          <w:lang w:val="en-US"/>
        </w:rPr>
        <w:t xml:space="preserve"> </w:t>
      </w:r>
      <w:r>
        <w:rPr>
          <w:rFonts w:ascii="Arial" w:hAnsi="Arial"/>
          <w:sz w:val="24"/>
          <w:szCs w:val="24"/>
          <w:rtl w:val="0"/>
        </w:rPr>
        <w:t>and</w:t>
      </w:r>
      <w:r>
        <w:rPr>
          <w:rFonts w:ascii="Arial" w:hAnsi="Arial"/>
          <w:sz w:val="24"/>
          <w:szCs w:val="24"/>
          <w:rtl w:val="0"/>
          <w:lang w:val="en-US"/>
        </w:rPr>
        <w:t xml:space="preserve"> then</w:t>
      </w:r>
      <w:r>
        <w:rPr>
          <w:rFonts w:ascii="Arial" w:hAnsi="Arial"/>
          <w:sz w:val="24"/>
          <w:szCs w:val="24"/>
          <w:rtl w:val="0"/>
        </w:rPr>
        <w:t xml:space="preserve"> 5,200 by 2050</w:t>
      </w:r>
      <w:r>
        <w:rPr>
          <w:rFonts w:ascii="Arial" w:hAnsi="Arial"/>
          <w:sz w:val="24"/>
          <w:szCs w:val="24"/>
          <w:rtl w:val="0"/>
          <w:lang w:val="en-US"/>
        </w:rPr>
        <w:t xml:space="preserve">. The level of Basque expected of practitioners varies by job role and age group but requires a minimum of a Teachers Language Profile 1.This requirement also benefits from CEFR external qualifications. </w:t>
      </w:r>
    </w:p>
    <w:p>
      <w:pPr>
        <w:pStyle w:val="Body"/>
        <w:spacing w:line="480" w:lineRule="auto"/>
        <w:rPr>
          <w:rFonts w:ascii="Arial" w:cs="Arial" w:hAnsi="Arial" w:eastAsia="Arial"/>
          <w:sz w:val="24"/>
          <w:szCs w:val="24"/>
        </w:rPr>
      </w:pPr>
    </w:p>
    <w:p>
      <w:pPr>
        <w:pStyle w:val="Body"/>
        <w:spacing w:line="480" w:lineRule="auto"/>
        <w:rPr>
          <w:rFonts w:ascii="Arial" w:cs="Arial" w:hAnsi="Arial" w:eastAsia="Arial"/>
          <w:sz w:val="24"/>
          <w:szCs w:val="24"/>
        </w:rPr>
      </w:pPr>
      <w:r>
        <w:rPr>
          <w:rFonts w:ascii="Arial" w:hAnsi="Arial"/>
          <w:sz w:val="24"/>
          <w:szCs w:val="24"/>
          <w:rtl w:val="0"/>
          <w:lang w:val="en-US"/>
        </w:rPr>
        <w:t xml:space="preserve">In the Basque bilingual curriculum the government adopts a </w:t>
      </w:r>
      <w:r>
        <w:rPr>
          <w:rFonts w:ascii="Arial" w:hAnsi="Arial"/>
          <w:sz w:val="24"/>
          <w:szCs w:val="24"/>
          <w:rtl w:val="0"/>
          <w:lang w:val="en-US"/>
        </w:rPr>
        <w:t xml:space="preserve">Content and </w:t>
      </w:r>
      <w:r>
        <w:rPr>
          <w:rFonts w:ascii="Arial" w:hAnsi="Arial"/>
          <w:sz w:val="24"/>
          <w:szCs w:val="24"/>
          <w:rtl w:val="0"/>
          <w:lang w:val="en-US"/>
        </w:rPr>
        <w:t>L</w:t>
      </w:r>
      <w:r>
        <w:rPr>
          <w:rFonts w:ascii="Arial" w:hAnsi="Arial"/>
          <w:sz w:val="24"/>
          <w:szCs w:val="24"/>
          <w:rtl w:val="0"/>
          <w:lang w:val="en-US"/>
        </w:rPr>
        <w:t xml:space="preserve">anguage </w:t>
      </w:r>
      <w:r>
        <w:rPr>
          <w:rFonts w:ascii="Arial" w:hAnsi="Arial"/>
          <w:sz w:val="24"/>
          <w:szCs w:val="24"/>
          <w:rtl w:val="0"/>
          <w:lang w:val="en-US"/>
        </w:rPr>
        <w:t>I</w:t>
      </w:r>
      <w:r>
        <w:rPr>
          <w:rFonts w:ascii="Arial" w:hAnsi="Arial"/>
          <w:sz w:val="24"/>
          <w:szCs w:val="24"/>
          <w:rtl w:val="0"/>
          <w:lang w:val="en-US"/>
        </w:rPr>
        <w:t xml:space="preserve">ntegrated </w:t>
      </w:r>
      <w:r>
        <w:rPr>
          <w:rFonts w:ascii="Arial" w:hAnsi="Arial"/>
          <w:sz w:val="24"/>
          <w:szCs w:val="24"/>
          <w:rtl w:val="0"/>
          <w:lang w:val="en-US"/>
        </w:rPr>
        <w:t>L</w:t>
      </w:r>
      <w:r>
        <w:rPr>
          <w:rFonts w:ascii="Arial" w:hAnsi="Arial"/>
          <w:sz w:val="24"/>
          <w:szCs w:val="24"/>
          <w:rtl w:val="0"/>
          <w:lang w:val="en-US"/>
        </w:rPr>
        <w:t>earning</w:t>
      </w:r>
      <w:r>
        <w:rPr>
          <w:rFonts w:ascii="Arial" w:hAnsi="Arial"/>
          <w:sz w:val="24"/>
          <w:szCs w:val="24"/>
          <w:rtl w:val="0"/>
          <w:lang w:val="en-US"/>
        </w:rPr>
        <w:t xml:space="preserve"> (CLIL)</w:t>
      </w:r>
      <w:r>
        <w:rPr>
          <w:rFonts w:ascii="Arial" w:hAnsi="Arial"/>
          <w:sz w:val="24"/>
          <w:szCs w:val="24"/>
          <w:rtl w:val="0"/>
          <w:lang w:val="en-US"/>
        </w:rPr>
        <w:t xml:space="preserve"> method</w:t>
      </w:r>
      <w:r>
        <w:rPr>
          <w:rFonts w:ascii="Arial" w:hAnsi="Arial"/>
          <w:sz w:val="24"/>
          <w:szCs w:val="24"/>
          <w:rtl w:val="0"/>
          <w:lang w:val="en-US"/>
        </w:rPr>
        <w:t xml:space="preserve">. CLIL is an umbrella statement covering the use of a non-native language in the teaching of curriculum subjects. The Language is used to learn as well as communicate. The </w:t>
      </w:r>
      <w:r>
        <w:rPr>
          <w:rFonts w:ascii="Arial" w:hAnsi="Arial"/>
          <w:sz w:val="24"/>
          <w:szCs w:val="24"/>
          <w:rtl w:val="0"/>
          <w:lang w:val="en-US"/>
        </w:rPr>
        <w:t>Ikastola D-model schools</w:t>
      </w:r>
      <w:r>
        <w:rPr>
          <w:rFonts w:ascii="Arial" w:hAnsi="Arial"/>
          <w:sz w:val="24"/>
          <w:szCs w:val="24"/>
          <w:rtl w:val="0"/>
          <w:lang w:val="en-US"/>
        </w:rPr>
        <w:t xml:space="preserve"> use the CLIL approach to teach both Basque and English and has been shown to have positive effects on the production of bilingual and trilingual speakers (</w:t>
      </w:r>
      <w:r>
        <w:rPr>
          <w:rFonts w:ascii="Arial" w:hAnsi="Arial"/>
          <w:sz w:val="24"/>
          <w:szCs w:val="24"/>
          <w:rtl w:val="0"/>
          <w:lang w:val="sv-SE"/>
        </w:rPr>
        <w:t>Lundin &amp; Persson</w:t>
      </w:r>
      <w:r>
        <w:rPr>
          <w:rFonts w:ascii="Arial" w:hAnsi="Arial"/>
          <w:sz w:val="24"/>
          <w:szCs w:val="24"/>
          <w:rtl w:val="0"/>
          <w:lang w:val="en-US"/>
        </w:rPr>
        <w:t xml:space="preserve">, </w:t>
      </w:r>
      <w:r>
        <w:rPr>
          <w:rFonts w:ascii="Arial" w:hAnsi="Arial"/>
          <w:sz w:val="24"/>
          <w:szCs w:val="24"/>
          <w:rtl w:val="0"/>
        </w:rPr>
        <w:t>2015)</w:t>
      </w:r>
      <w:r>
        <w:rPr>
          <w:rFonts w:ascii="Arial" w:hAnsi="Arial"/>
          <w:sz w:val="24"/>
          <w:szCs w:val="24"/>
          <w:rtl w:val="0"/>
          <w:lang w:val="en-US"/>
        </w:rPr>
        <w:t>. The CLIL methodology requires effective timetabling to ensure high contact hours for language development by combining language lessons and curriculum content, and as a result the learner is shows greater motivation and progress (</w:t>
      </w:r>
      <w:r>
        <w:rPr>
          <w:rFonts w:ascii="Arial" w:hAnsi="Arial"/>
          <w:sz w:val="24"/>
          <w:szCs w:val="24"/>
          <w:rtl w:val="0"/>
          <w:lang w:val="es-ES_tradnl"/>
        </w:rPr>
        <w:t>David Lasagabaster</w:t>
      </w:r>
      <w:r>
        <w:rPr>
          <w:rFonts w:ascii="Arial" w:hAnsi="Arial"/>
          <w:sz w:val="24"/>
          <w:szCs w:val="24"/>
          <w:rtl w:val="0"/>
          <w:lang w:val="en-US"/>
        </w:rPr>
        <w:t xml:space="preserve">, </w:t>
      </w:r>
      <w:r>
        <w:rPr>
          <w:rFonts w:ascii="Arial" w:hAnsi="Arial"/>
          <w:sz w:val="24"/>
          <w:szCs w:val="24"/>
          <w:rtl w:val="0"/>
        </w:rPr>
        <w:t>2011)</w:t>
      </w:r>
      <w:r>
        <w:rPr>
          <w:rFonts w:ascii="Arial" w:hAnsi="Arial"/>
          <w:sz w:val="24"/>
          <w:szCs w:val="24"/>
          <w:rtl w:val="0"/>
          <w:lang w:val="en-US"/>
        </w:rPr>
        <w:t>. Excluding the need for a high standard of language competence needed to perform curriculum subject lessons in a foreign language, the CLIL approach does not burden the school any more than regular language programmes. Countering the benefit of not requiring teaching hours focused solely on language (</w:t>
      </w:r>
      <w:r>
        <w:rPr>
          <w:rFonts w:ascii="Arial" w:hAnsi="Arial"/>
          <w:sz w:val="24"/>
          <w:szCs w:val="24"/>
          <w:rtl w:val="0"/>
          <w:lang w:val="es-ES_tradnl"/>
        </w:rPr>
        <w:t>Ruiz de Zarobe</w:t>
      </w:r>
      <w:r>
        <w:rPr>
          <w:rFonts w:ascii="Arial" w:hAnsi="Arial"/>
          <w:sz w:val="24"/>
          <w:szCs w:val="24"/>
          <w:rtl w:val="0"/>
          <w:lang w:val="en-US"/>
        </w:rPr>
        <w:t>, 2013) there is the negative impact on teachers, with the need for much more planning and with the limited resources available, teachers will be spending more time planning CLIL lessons (</w:t>
      </w:r>
      <w:r>
        <w:rPr>
          <w:rFonts w:ascii="Arial" w:hAnsi="Arial"/>
          <w:sz w:val="24"/>
          <w:szCs w:val="24"/>
          <w:rtl w:val="0"/>
          <w:lang w:val="es-ES_tradnl"/>
        </w:rPr>
        <w:t>Alonso</w:t>
      </w:r>
      <w:r>
        <w:rPr>
          <w:rFonts w:ascii="Arial" w:hAnsi="Arial"/>
          <w:sz w:val="24"/>
          <w:szCs w:val="24"/>
          <w:rtl w:val="0"/>
          <w:lang w:val="en-US"/>
        </w:rPr>
        <w:t xml:space="preserve">, </w:t>
      </w:r>
      <w:r>
        <w:rPr>
          <w:rFonts w:ascii="Arial" w:hAnsi="Arial"/>
          <w:sz w:val="24"/>
          <w:szCs w:val="24"/>
          <w:rtl w:val="0"/>
        </w:rPr>
        <w:t>2008)</w:t>
      </w:r>
      <w:r>
        <w:rPr>
          <w:rFonts w:ascii="Arial" w:hAnsi="Arial"/>
          <w:sz w:val="24"/>
          <w:szCs w:val="24"/>
          <w:rtl w:val="0"/>
          <w:lang w:val="en-US"/>
        </w:rPr>
        <w:t xml:space="preserve">. </w:t>
      </w:r>
      <w:r>
        <w:rPr>
          <w:rFonts w:ascii="Arial" w:hAnsi="Arial"/>
          <w:sz w:val="24"/>
          <w:szCs w:val="24"/>
          <w:rtl w:val="0"/>
          <w:lang w:val="it-IT"/>
        </w:rPr>
        <w:t>Anghel, B., Cabrales, A., &amp; Carro, J. M. (2012)</w:t>
      </w:r>
      <w:r>
        <w:rPr>
          <w:rFonts w:ascii="Arial" w:hAnsi="Arial"/>
          <w:sz w:val="24"/>
          <w:szCs w:val="24"/>
          <w:rtl w:val="0"/>
          <w:lang w:val="en-US"/>
        </w:rPr>
        <w:t xml:space="preserve"> have researched the affects of language programs including CLIL and have found that such methods have large negative impacts on the original curriculum subject. Pupils understanding and attainment are months behind where they would otherwise be in non-CLIL method lessons. </w:t>
      </w:r>
    </w:p>
    <w:p>
      <w:pPr>
        <w:pStyle w:val="Body"/>
        <w:spacing w:line="480" w:lineRule="auto"/>
        <w:rPr>
          <w:rFonts w:ascii="Arial" w:cs="Arial" w:hAnsi="Arial" w:eastAsia="Arial"/>
          <w:sz w:val="24"/>
          <w:szCs w:val="24"/>
        </w:rPr>
      </w:pPr>
    </w:p>
    <w:p>
      <w:pPr>
        <w:pStyle w:val="Body"/>
        <w:spacing w:line="480" w:lineRule="auto"/>
        <w:rPr>
          <w:rFonts w:ascii="Arial" w:cs="Arial" w:hAnsi="Arial" w:eastAsia="Arial"/>
          <w:sz w:val="24"/>
          <w:szCs w:val="24"/>
        </w:rPr>
      </w:pPr>
      <w:r>
        <w:rPr>
          <w:rFonts w:ascii="Arial" w:hAnsi="Arial"/>
          <w:sz w:val="24"/>
          <w:szCs w:val="24"/>
          <w:rtl w:val="0"/>
          <w:lang w:val="en-US"/>
        </w:rPr>
        <w:t>The conclusion is that there is many changes that are needed to take place for Wales to mirror the language successes of the Basque country. These changes are possible although will require many years of development and governmental legislation. These changes could yield positive results for the Welsh language as there is many similarities between the two small countries with a national language that is dominated by more widely used languages, Spanish and English respectively. The CLIL method has many noted disadvantages on the wider curriculum despite the positives on learning a foreign language and as such may not be an overall positive change to the current Welsh education system. Although the system is not perfect as despite significant importance given to the education system by the Basque government in the revival of the Basque language, other areas of everyday life have been relatively ignored. This is a possible reason as to why although there has been an increase in Basque speakers there is little Basque spoken in everyday situations and is still dominated by Spanish (</w:t>
      </w:r>
      <w:r>
        <w:rPr>
          <w:rFonts w:ascii="Arial" w:hAnsi="Arial"/>
          <w:sz w:val="24"/>
          <w:szCs w:val="24"/>
          <w:rtl w:val="0"/>
          <w:lang w:val="es-ES_tradnl"/>
        </w:rPr>
        <w:t>Sierra, J</w:t>
      </w:r>
      <w:r>
        <w:rPr>
          <w:rFonts w:ascii="Arial" w:hAnsi="Arial"/>
          <w:sz w:val="24"/>
          <w:szCs w:val="24"/>
          <w:rtl w:val="0"/>
          <w:lang w:val="en-US"/>
        </w:rPr>
        <w:t xml:space="preserve">. </w:t>
      </w:r>
      <w:r>
        <w:rPr>
          <w:rFonts w:ascii="Arial" w:hAnsi="Arial"/>
          <w:sz w:val="24"/>
          <w:szCs w:val="24"/>
          <w:rtl w:val="0"/>
        </w:rPr>
        <w:t>2008)</w:t>
      </w:r>
      <w:r>
        <w:rPr>
          <w:rFonts w:ascii="Arial" w:hAnsi="Arial"/>
          <w:sz w:val="24"/>
          <w:szCs w:val="24"/>
          <w:rtl w:val="0"/>
          <w:lang w:val="en-US"/>
        </w:rPr>
        <w:t>. Ultimately there is many reasons to adopt the Basque style language system, but the Welsh government must ensure their targets are clear on what they wish to achieve. Is it suffice to achieve a million Welsh speakers by 2050 if our daily and most used language remains English (</w:t>
      </w:r>
      <w:r>
        <w:rPr>
          <w:rFonts w:ascii="Arial" w:hAnsi="Arial"/>
          <w:sz w:val="24"/>
          <w:szCs w:val="24"/>
          <w:rtl w:val="0"/>
          <w:lang w:val="en-US"/>
        </w:rPr>
        <w:t>Welsh Government</w:t>
      </w:r>
      <w:r>
        <w:rPr>
          <w:rFonts w:ascii="Arial" w:hAnsi="Arial"/>
          <w:sz w:val="24"/>
          <w:szCs w:val="24"/>
          <w:rtl w:val="0"/>
          <w:lang w:val="en-US"/>
        </w:rPr>
        <w:t xml:space="preserve">, </w:t>
      </w:r>
      <w:r>
        <w:rPr>
          <w:rFonts w:ascii="Arial" w:hAnsi="Arial"/>
          <w:sz w:val="24"/>
          <w:szCs w:val="24"/>
          <w:rtl w:val="0"/>
        </w:rPr>
        <w:t>2017)</w:t>
      </w:r>
      <w:r>
        <w:rPr>
          <w:rFonts w:ascii="Arial" w:hAnsi="Arial"/>
          <w:sz w:val="24"/>
          <w:szCs w:val="24"/>
          <w:rtl w:val="0"/>
          <w:lang w:val="en-US"/>
        </w:rPr>
        <w:t>.</w:t>
      </w:r>
    </w:p>
    <w:p>
      <w:pPr>
        <w:pStyle w:val="Body"/>
        <w:bidi w:val="0"/>
        <w:rPr/>
      </w:pPr>
    </w:p>
    <w:p>
      <w:pPr>
        <w:pStyle w:val="Body"/>
        <w:bidi w:val="0"/>
        <w:rPr/>
      </w:pPr>
    </w:p>
    <w:p>
      <w:pPr>
        <w:pStyle w:val="Body"/>
        <w:bidi w:val="0"/>
        <w:rPr/>
      </w:pPr>
    </w:p>
    <w:p>
      <w:pPr>
        <w:pStyle w:val="Body"/>
        <w:bidi w:val="0"/>
        <w:rPr/>
      </w:pPr>
    </w:p>
    <w:p>
      <w:pPr>
        <w:pStyle w:val="Body"/>
        <w:bidi w:val="0"/>
        <w:rPr/>
      </w:pPr>
    </w:p>
    <w:p>
      <w:pPr>
        <w:pStyle w:val="Body"/>
        <w:rPr>
          <w:b w:val="1"/>
          <w:bCs w:val="1"/>
          <w:color w:val="0432ff"/>
        </w:rPr>
      </w:pPr>
    </w:p>
    <w:p>
      <w:pPr>
        <w:pStyle w:val="Body"/>
        <w:bidi w:val="0"/>
        <w:rPr/>
      </w:pPr>
      <w:r>
        <w:rPr>
          <w:rFonts w:cs="Arial Unicode MS" w:eastAsia="Arial Unicode MS"/>
          <w:rtl w:val="0"/>
        </w:rPr>
        <w:t xml:space="preserve"> </w:t>
      </w:r>
    </w:p>
    <w:p>
      <w:pPr>
        <w:pStyle w:val="Body"/>
        <w:bidi w:val="0"/>
        <w:rPr/>
      </w:pPr>
    </w:p>
    <w:p>
      <w:pPr>
        <w:pStyle w:val="Body"/>
        <w:bidi w:val="0"/>
        <w:rPr/>
      </w:pPr>
    </w:p>
    <w:p>
      <w:pPr>
        <w:pStyle w:val="Body"/>
        <w:bidi w:val="0"/>
        <w:rPr/>
      </w:pPr>
      <w:r>
        <w:rPr>
          <w:rFonts w:cs="Arial Unicode MS" w:eastAsia="Arial Unicode MS"/>
          <w:rtl w:val="0"/>
          <w:lang w:val="en-US"/>
        </w:rPr>
        <w:t>REFERENCES-</w:t>
      </w:r>
    </w:p>
    <w:p>
      <w:pPr>
        <w:pStyle w:val="Body"/>
        <w:bidi w:val="0"/>
        <w:rPr/>
      </w:pPr>
    </w:p>
    <w:p>
      <w:pPr>
        <w:pStyle w:val="Body"/>
        <w:bidi w:val="0"/>
        <w:rPr/>
      </w:pPr>
      <w:r>
        <w:rPr>
          <w:rFonts w:cs="Arial Unicode MS" w:eastAsia="Arial Unicode MS"/>
          <w:rtl w:val="0"/>
          <w:lang w:val="it-IT"/>
        </w:rPr>
        <w:t>Alonso, E., Grisalen</w:t>
      </w:r>
      <w:r>
        <w:rPr>
          <w:rFonts w:cs="Arial Unicode MS" w:eastAsia="Arial Unicode MS" w:hint="default"/>
          <w:rtl w:val="0"/>
        </w:rPr>
        <w:t>̃</w:t>
      </w:r>
      <w:r>
        <w:rPr>
          <w:rFonts w:cs="Arial Unicode MS" w:eastAsia="Arial Unicode MS"/>
          <w:rtl w:val="0"/>
          <w:lang w:val="it-IT"/>
        </w:rPr>
        <w:t xml:space="preserve">a, J., Campo, A., </w:t>
      </w:r>
      <w:r>
        <w:rPr>
          <w:rFonts w:cs="Arial Unicode MS" w:eastAsia="Arial Unicode MS"/>
          <w:rtl w:val="0"/>
          <w:lang w:val="en-US"/>
        </w:rPr>
        <w:t>(</w:t>
      </w:r>
      <w:r>
        <w:rPr>
          <w:rFonts w:cs="Arial Unicode MS" w:eastAsia="Arial Unicode MS"/>
          <w:rtl w:val="0"/>
        </w:rPr>
        <w:t>2008</w:t>
      </w:r>
      <w:r>
        <w:rPr>
          <w:rFonts w:cs="Arial Unicode MS" w:eastAsia="Arial Unicode MS"/>
          <w:rtl w:val="0"/>
          <w:lang w:val="en-US"/>
        </w:rPr>
        <w:t>)</w:t>
      </w:r>
      <w:r>
        <w:rPr>
          <w:rFonts w:cs="Arial Unicode MS" w:eastAsia="Arial Unicode MS"/>
          <w:rtl w:val="0"/>
        </w:rPr>
        <w:t>.</w:t>
      </w:r>
      <w:r>
        <w:rPr>
          <w:rFonts w:cs="Arial Unicode MS" w:eastAsia="Arial Unicode MS"/>
          <w:i w:val="1"/>
          <w:iCs w:val="1"/>
          <w:rtl w:val="0"/>
          <w:lang w:val="en-US"/>
        </w:rPr>
        <w:t xml:space="preserve"> Plurilingual Education in Secondary Schools: International CLIL Research Journal 1</w:t>
      </w:r>
      <w:r>
        <w:rPr>
          <w:rFonts w:cs="Arial Unicode MS" w:eastAsia="Arial Unicode MS"/>
          <w:rtl w:val="0"/>
        </w:rPr>
        <w:t>.</w:t>
      </w:r>
    </w:p>
    <w:p>
      <w:pPr>
        <w:pStyle w:val="Body"/>
        <w:bidi w:val="0"/>
        <w:rPr/>
      </w:pPr>
    </w:p>
    <w:p>
      <w:pPr>
        <w:pStyle w:val="Body"/>
        <w:bidi w:val="0"/>
        <w:rPr/>
      </w:pPr>
      <w:r>
        <w:rPr>
          <w:rFonts w:cs="Arial Unicode MS" w:eastAsia="Arial Unicode MS"/>
          <w:rtl w:val="0"/>
          <w:lang w:val="it-IT"/>
        </w:rPr>
        <w:t xml:space="preserve">Anghel, B., Cabrales, A., &amp; Carro, J. M. (2012). </w:t>
      </w:r>
      <w:r>
        <w:rPr>
          <w:rFonts w:cs="Arial Unicode MS" w:eastAsia="Arial Unicode MS"/>
          <w:i w:val="1"/>
          <w:iCs w:val="1"/>
          <w:rtl w:val="0"/>
          <w:lang w:val="en-US"/>
        </w:rPr>
        <w:t>Evaluating a bilingual education program in Spain: The impact beyond foreign language learning</w:t>
      </w:r>
      <w:r>
        <w:rPr>
          <w:rFonts w:cs="Arial Unicode MS" w:eastAsia="Arial Unicode MS"/>
          <w:rtl w:val="0"/>
        </w:rPr>
        <w:t>.</w:t>
      </w:r>
    </w:p>
    <w:p>
      <w:pPr>
        <w:pStyle w:val="Body"/>
        <w:bidi w:val="0"/>
        <w:rPr/>
      </w:pPr>
    </w:p>
    <w:p>
      <w:pPr>
        <w:pStyle w:val="Body"/>
        <w:bidi w:val="0"/>
        <w:rPr/>
      </w:pPr>
      <w:r>
        <w:rPr>
          <w:rFonts w:cs="Arial Unicode MS" w:eastAsia="Arial Unicode MS"/>
          <w:rtl w:val="0"/>
          <w:lang w:val="en-US"/>
        </w:rPr>
        <w:t>Basque Government</w:t>
      </w:r>
      <w:r>
        <w:rPr>
          <w:rFonts w:cs="Arial Unicode MS" w:eastAsia="Arial Unicode MS"/>
          <w:rtl w:val="0"/>
          <w:lang w:val="en-US"/>
        </w:rPr>
        <w:t>,</w:t>
      </w:r>
      <w:r>
        <w:rPr>
          <w:rFonts w:cs="Arial Unicode MS" w:eastAsia="Arial Unicode MS"/>
          <w:rtl w:val="0"/>
          <w:lang w:val="es-ES_tradnl"/>
        </w:rPr>
        <w:t xml:space="preserve"> Instituto Vasco de Evaluacio</w:t>
      </w:r>
      <w:r>
        <w:rPr>
          <w:rFonts w:cs="Arial Unicode MS" w:eastAsia="Arial Unicode MS" w:hint="default"/>
          <w:rtl w:val="0"/>
        </w:rPr>
        <w:t>́</w:t>
      </w:r>
      <w:r>
        <w:rPr>
          <w:rFonts w:cs="Arial Unicode MS" w:eastAsia="Arial Unicode MS"/>
          <w:rtl w:val="0"/>
          <w:lang w:val="es-ES_tradnl"/>
        </w:rPr>
        <w:t>n e Investigacio</w:t>
      </w:r>
      <w:r>
        <w:rPr>
          <w:rFonts w:cs="Arial Unicode MS" w:eastAsia="Arial Unicode MS" w:hint="default"/>
          <w:rtl w:val="0"/>
        </w:rPr>
        <w:t>́</w:t>
      </w:r>
      <w:r>
        <w:rPr>
          <w:rFonts w:cs="Arial Unicode MS" w:eastAsia="Arial Unicode MS"/>
          <w:rtl w:val="0"/>
          <w:lang w:val="pt-PT"/>
        </w:rPr>
        <w:t>n Educativa. (2011).</w:t>
      </w:r>
      <w:r>
        <w:rPr>
          <w:rFonts w:cs="Arial Unicode MS" w:eastAsia="Arial Unicode MS"/>
          <w:i w:val="1"/>
          <w:iCs w:val="1"/>
          <w:rtl w:val="0"/>
          <w:lang w:val="es-ES_tradnl"/>
        </w:rPr>
        <w:t xml:space="preserve"> Evaluacio</w:t>
      </w:r>
      <w:r>
        <w:rPr>
          <w:rFonts w:cs="Arial Unicode MS" w:eastAsia="Arial Unicode MS" w:hint="default"/>
          <w:i w:val="1"/>
          <w:iCs w:val="1"/>
          <w:rtl w:val="0"/>
        </w:rPr>
        <w:t>́</w:t>
      </w:r>
      <w:r>
        <w:rPr>
          <w:rFonts w:cs="Arial Unicode MS" w:eastAsia="Arial Unicode MS"/>
          <w:i w:val="1"/>
          <w:iCs w:val="1"/>
          <w:rtl w:val="0"/>
          <w:lang w:val="it-IT"/>
        </w:rPr>
        <w:t>n Diagno</w:t>
      </w:r>
      <w:r>
        <w:rPr>
          <w:rFonts w:cs="Arial Unicode MS" w:eastAsia="Arial Unicode MS" w:hint="default"/>
          <w:i w:val="1"/>
          <w:iCs w:val="1"/>
          <w:rtl w:val="0"/>
        </w:rPr>
        <w:t>́</w:t>
      </w:r>
      <w:r>
        <w:rPr>
          <w:rFonts w:cs="Arial Unicode MS" w:eastAsia="Arial Unicode MS"/>
          <w:i w:val="1"/>
          <w:iCs w:val="1"/>
          <w:rtl w:val="0"/>
          <w:lang w:val="es-ES_tradnl"/>
        </w:rPr>
        <w:t>stica 2011. Informe de Resultados y Ana</w:t>
      </w:r>
      <w:r>
        <w:rPr>
          <w:rFonts w:cs="Arial Unicode MS" w:eastAsia="Arial Unicode MS" w:hint="default"/>
          <w:i w:val="1"/>
          <w:iCs w:val="1"/>
          <w:rtl w:val="0"/>
        </w:rPr>
        <w:t>́</w:t>
      </w:r>
      <w:r>
        <w:rPr>
          <w:rFonts w:cs="Arial Unicode MS" w:eastAsia="Arial Unicode MS"/>
          <w:i w:val="1"/>
          <w:iCs w:val="1"/>
          <w:rtl w:val="0"/>
          <w:lang w:val="es-ES_tradnl"/>
        </w:rPr>
        <w:t>lisis de Variables</w:t>
      </w:r>
      <w:r>
        <w:rPr>
          <w:rFonts w:cs="Arial Unicode MS" w:eastAsia="Arial Unicode MS"/>
          <w:rtl w:val="0"/>
        </w:rPr>
        <w:t>.</w:t>
      </w:r>
    </w:p>
    <w:p>
      <w:pPr>
        <w:pStyle w:val="Body"/>
        <w:bidi w:val="0"/>
        <w:rPr/>
      </w:pPr>
    </w:p>
    <w:p>
      <w:pPr>
        <w:pStyle w:val="Body"/>
        <w:bidi w:val="0"/>
        <w:rPr/>
      </w:pPr>
      <w:r>
        <w:rPr>
          <w:rFonts w:cs="Arial Unicode MS" w:eastAsia="Arial Unicode MS"/>
          <w:rtl w:val="0"/>
          <w:lang w:val="en-US"/>
        </w:rPr>
        <w:t xml:space="preserve">Basque Government. (2015) </w:t>
      </w:r>
      <w:r>
        <w:rPr>
          <w:rFonts w:cs="Arial Unicode MS" w:eastAsia="Arial Unicode MS"/>
          <w:i w:val="1"/>
          <w:iCs w:val="1"/>
          <w:rtl w:val="0"/>
          <w:lang w:val="en-US"/>
        </w:rPr>
        <w:t>School Choice in the Basque Country:</w:t>
      </w:r>
      <w:r>
        <w:rPr>
          <w:rFonts w:cs="Arial Unicode MS" w:eastAsia="Arial Unicode MS"/>
          <w:i w:val="1"/>
          <w:iCs w:val="1"/>
          <w:rtl w:val="0"/>
          <w:lang w:val="en-US"/>
        </w:rPr>
        <w:t xml:space="preserve"> </w:t>
      </w:r>
      <w:r>
        <w:rPr>
          <w:rFonts w:cs="Arial Unicode MS" w:eastAsia="Arial Unicode MS"/>
          <w:i w:val="1"/>
          <w:iCs w:val="1"/>
          <w:rtl w:val="0"/>
          <w:lang w:val="en-US"/>
        </w:rPr>
        <w:t>Public, Government-Dependent and Private Schools with</w:t>
      </w:r>
      <w:r>
        <w:rPr>
          <w:rFonts w:cs="Arial Unicode MS" w:eastAsia="Arial Unicode MS"/>
          <w:i w:val="1"/>
          <w:iCs w:val="1"/>
          <w:rtl w:val="0"/>
          <w:lang w:val="en-US"/>
        </w:rPr>
        <w:t xml:space="preserve"> </w:t>
      </w:r>
      <w:r>
        <w:rPr>
          <w:rFonts w:cs="Arial Unicode MS" w:eastAsia="Arial Unicode MS"/>
          <w:i w:val="1"/>
          <w:iCs w:val="1"/>
          <w:rtl w:val="0"/>
          <w:lang w:val="en-US"/>
        </w:rPr>
        <w:t>Different Languages of Instruction</w:t>
      </w:r>
      <w:r>
        <w:rPr>
          <w:rFonts w:cs="Arial Unicode MS" w:eastAsia="Arial Unicode MS"/>
          <w:rtl w:val="0"/>
          <w:lang w:val="en-US"/>
        </w:rPr>
        <w:t>.</w:t>
      </w:r>
    </w:p>
    <w:p>
      <w:pPr>
        <w:pStyle w:val="Body"/>
        <w:bidi w:val="0"/>
        <w:rPr/>
      </w:pPr>
    </w:p>
    <w:p>
      <w:pPr>
        <w:pStyle w:val="Body"/>
        <w:bidi w:val="0"/>
        <w:rPr/>
      </w:pPr>
      <w:r>
        <w:rPr>
          <w:rFonts w:cs="Arial Unicode MS" w:eastAsia="Arial Unicode MS"/>
          <w:rtl w:val="0"/>
          <w:lang w:val="en-US"/>
        </w:rPr>
        <w:t>Cambridge English</w:t>
      </w:r>
      <w:r>
        <w:rPr>
          <w:rFonts w:cs="Arial Unicode MS" w:eastAsia="Arial Unicode MS"/>
          <w:rtl w:val="0"/>
        </w:rPr>
        <w:t xml:space="preserve"> (2019).</w:t>
      </w:r>
      <w:r>
        <w:rPr>
          <w:rFonts w:cs="Arial Unicode MS" w:eastAsia="Arial Unicode MS" w:hint="default"/>
          <w:rtl w:val="0"/>
        </w:rPr>
        <w:t> </w:t>
      </w:r>
      <w:r>
        <w:rPr>
          <w:rFonts w:cs="Arial Unicode MS" w:eastAsia="Arial Unicode MS"/>
          <w:i w:val="1"/>
          <w:iCs w:val="1"/>
          <w:rtl w:val="0"/>
          <w:lang w:val="en-US"/>
        </w:rPr>
        <w:t>International language standards | Cambridge English</w:t>
      </w:r>
      <w:r>
        <w:rPr>
          <w:rFonts w:cs="Arial Unicode MS" w:eastAsia="Arial Unicode MS" w:hint="default"/>
          <w:i w:val="1"/>
          <w:iCs w:val="1"/>
          <w:rtl w:val="0"/>
        </w:rPr>
        <w:t> </w:t>
      </w:r>
      <w:r>
        <w:rPr>
          <w:rFonts w:cs="Arial Unicode MS" w:eastAsia="Arial Unicode MS"/>
          <w:rtl w:val="0"/>
          <w:lang w:val="en-US"/>
        </w:rPr>
        <w:t>. [online] Cambridgeenglish.org. Available at: https://www.cambridgeenglish.org/exams-and-tests/cefr/ [Accessed 4 Jan. 2019].</w:t>
      </w:r>
    </w:p>
    <w:p>
      <w:pPr>
        <w:pStyle w:val="Body"/>
        <w:bidi w:val="0"/>
        <w:rPr/>
      </w:pPr>
    </w:p>
    <w:p>
      <w:pPr>
        <w:pStyle w:val="Body"/>
        <w:bidi w:val="0"/>
        <w:rPr/>
      </w:pPr>
      <w:r>
        <w:rPr>
          <w:rFonts w:cs="Arial Unicode MS" w:eastAsia="Arial Unicode MS"/>
          <w:rtl w:val="0"/>
          <w:lang w:val="en-US"/>
        </w:rPr>
        <w:t>Council of Europe</w:t>
      </w:r>
      <w:r>
        <w:rPr>
          <w:rFonts w:cs="Arial Unicode MS" w:eastAsia="Arial Unicode MS"/>
          <w:rtl w:val="0"/>
        </w:rPr>
        <w:t xml:space="preserve"> (201</w:t>
      </w:r>
      <w:r>
        <w:rPr>
          <w:rFonts w:cs="Arial Unicode MS" w:eastAsia="Arial Unicode MS"/>
          <w:rtl w:val="0"/>
          <w:lang w:val="en-US"/>
        </w:rPr>
        <w:t>8</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lang w:val="en-US"/>
        </w:rPr>
        <w:t>Use of the CEFR. [online] Common European Framework of Reference for Languages (CEFR)</w:t>
      </w:r>
      <w:r>
        <w:rPr>
          <w:rFonts w:cs="Arial Unicode MS" w:eastAsia="Arial Unicode MS"/>
          <w:rtl w:val="0"/>
          <w:lang w:val="en-US"/>
        </w:rPr>
        <w:t>. Available at: https://www.coe.int/en/web/common-european-framework-reference-languages/uses-and-objectives [Accessed 4 Jan. 2019].</w:t>
      </w:r>
    </w:p>
    <w:p>
      <w:pPr>
        <w:pStyle w:val="Body"/>
        <w:bidi w:val="0"/>
        <w:rPr/>
      </w:pPr>
    </w:p>
    <w:p>
      <w:pPr>
        <w:pStyle w:val="Body"/>
        <w:bidi w:val="0"/>
        <w:rPr/>
      </w:pPr>
      <w:r>
        <w:rPr>
          <w:rFonts w:cs="Arial Unicode MS" w:eastAsia="Arial Unicode MS"/>
          <w:rtl w:val="0"/>
          <w:lang w:val="en-US"/>
        </w:rPr>
        <w:t xml:space="preserve">De Jong, H. (2009) </w:t>
      </w:r>
      <w:r>
        <w:rPr>
          <w:rFonts w:cs="Arial Unicode MS" w:eastAsia="Arial Unicode MS"/>
          <w:i w:val="1"/>
          <w:iCs w:val="1"/>
          <w:rtl w:val="0"/>
          <w:lang w:val="en-US"/>
        </w:rPr>
        <w:t>Unwarranted claims about CEF alignment of some international English language tests</w:t>
      </w:r>
      <w:r>
        <w:rPr>
          <w:rFonts w:cs="Arial Unicode MS" w:eastAsia="Arial Unicode MS"/>
          <w:rtl w:val="0"/>
          <w:lang w:val="en-US"/>
        </w:rPr>
        <w:t xml:space="preserve">. </w:t>
      </w:r>
      <w:r>
        <w:rPr>
          <w:rFonts w:cs="Arial Unicode MS" w:eastAsia="Arial Unicode MS"/>
          <w:rtl w:val="0"/>
          <w:lang w:val="en-US"/>
        </w:rPr>
        <w:t>[online] Available at: http://www.ealta.eu.org/conference/2009/docs/friday/John_deJong.pdf [Accessed 4 Jan. 2019].</w:t>
      </w:r>
    </w:p>
    <w:p>
      <w:pPr>
        <w:pStyle w:val="Body"/>
        <w:bidi w:val="0"/>
        <w:rPr/>
      </w:pPr>
    </w:p>
    <w:p>
      <w:pPr>
        <w:pStyle w:val="Body"/>
        <w:bidi w:val="0"/>
        <w:rPr/>
      </w:pPr>
      <w:r>
        <w:rPr>
          <w:rFonts w:cs="Arial Unicode MS" w:eastAsia="Arial Unicode MS"/>
          <w:rtl w:val="0"/>
          <w:lang w:val="en-US"/>
        </w:rPr>
        <w:t xml:space="preserve">Donaldson, G. (2015) Successful Futures. Crown copyright. Available at: </w:t>
      </w:r>
      <w:r>
        <w:rPr>
          <w:rStyle w:val="Hyperlink.0"/>
        </w:rPr>
        <w:fldChar w:fldCharType="begin" w:fldLock="0"/>
      </w:r>
      <w:r>
        <w:rPr>
          <w:rStyle w:val="Hyperlink.0"/>
        </w:rPr>
        <w:instrText xml:space="preserve"> HYPERLINK "http://gov.wales/docs/dcells/publications/150317-successful-futures-en.pdf"</w:instrText>
      </w:r>
      <w:r>
        <w:rPr>
          <w:rStyle w:val="Hyperlink.0"/>
        </w:rPr>
        <w:fldChar w:fldCharType="separate" w:fldLock="0"/>
      </w:r>
      <w:r>
        <w:rPr>
          <w:rStyle w:val="Hyperlink.0"/>
          <w:rFonts w:cs="Arial Unicode MS" w:eastAsia="Arial Unicode MS"/>
          <w:rtl w:val="0"/>
          <w:lang w:val="en-US"/>
        </w:rPr>
        <w:t>http://gov.wales/docs/dcells/publications/150317-successful-futures-en.pdf</w:t>
      </w:r>
      <w:r>
        <w:rPr/>
        <w:fldChar w:fldCharType="end" w:fldLock="0"/>
      </w:r>
      <w:r>
        <w:rPr>
          <w:rFonts w:cs="Arial Unicode MS" w:eastAsia="Arial Unicode MS"/>
          <w:rtl w:val="0"/>
          <w:lang w:val="en-US"/>
        </w:rPr>
        <w:t xml:space="preserve"> </w:t>
      </w:r>
      <w:r>
        <w:rPr>
          <w:rFonts w:cs="Arial Unicode MS" w:eastAsia="Arial Unicode MS"/>
          <w:rtl w:val="0"/>
        </w:rPr>
        <w:t xml:space="preserve"> </w:t>
      </w:r>
      <w:r>
        <w:rPr>
          <w:rFonts w:cs="Arial Unicode MS" w:eastAsia="Arial Unicode MS"/>
          <w:rtl w:val="0"/>
          <w:lang w:val="en-US"/>
        </w:rPr>
        <w:t xml:space="preserve"> </w:t>
      </w:r>
    </w:p>
    <w:p>
      <w:pPr>
        <w:pStyle w:val="Body"/>
        <w:bidi w:val="0"/>
        <w:rPr/>
      </w:pPr>
    </w:p>
    <w:p>
      <w:pPr>
        <w:pStyle w:val="Body"/>
        <w:bidi w:val="0"/>
        <w:rPr/>
      </w:pPr>
      <w:r>
        <w:rPr>
          <w:rFonts w:cs="Arial Unicode MS" w:eastAsia="Arial Unicode MS"/>
          <w:rtl w:val="0"/>
        </w:rPr>
        <w:t xml:space="preserve">Gardner, N. </w:t>
      </w:r>
      <w:r>
        <w:rPr>
          <w:rFonts w:cs="Arial Unicode MS" w:eastAsia="Arial Unicode MS"/>
          <w:rtl w:val="0"/>
          <w:lang w:val="en-US"/>
        </w:rPr>
        <w:t>(</w:t>
      </w:r>
      <w:r>
        <w:rPr>
          <w:rFonts w:cs="Arial Unicode MS" w:eastAsia="Arial Unicode MS"/>
          <w:rtl w:val="0"/>
        </w:rPr>
        <w:t>2002</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Language Policy for Basque Education</w:t>
      </w:r>
      <w:r>
        <w:rPr>
          <w:rFonts w:cs="Arial Unicode MS" w:eastAsia="Arial Unicode MS"/>
          <w:rtl w:val="0"/>
          <w:lang w:val="en-US"/>
        </w:rPr>
        <w:t>. Vitoria-Gasteiz: Basque Government</w:t>
      </w:r>
    </w:p>
    <w:p>
      <w:pPr>
        <w:pStyle w:val="Body"/>
        <w:bidi w:val="0"/>
        <w:rPr/>
      </w:pPr>
    </w:p>
    <w:p>
      <w:pPr>
        <w:pStyle w:val="Body"/>
        <w:bidi w:val="0"/>
        <w:rPr>
          <w:i w:val="1"/>
          <w:iCs w:val="1"/>
        </w:rPr>
      </w:pPr>
      <w:r>
        <w:rPr>
          <w:rFonts w:cs="Arial Unicode MS" w:eastAsia="Arial Unicode MS"/>
          <w:rtl w:val="0"/>
          <w:lang w:val="en-US"/>
        </w:rPr>
        <w:t xml:space="preserve">National Assembly of Wales. (2016) </w:t>
      </w:r>
      <w:r>
        <w:rPr>
          <w:rFonts w:cs="Arial Unicode MS" w:eastAsia="Arial Unicode MS"/>
          <w:i w:val="1"/>
          <w:iCs w:val="1"/>
          <w:rtl w:val="0"/>
          <w:lang w:val="de-DE"/>
        </w:rPr>
        <w:t>Research Briefing</w:t>
      </w:r>
      <w:r>
        <w:rPr>
          <w:rFonts w:cs="Arial Unicode MS" w:eastAsia="Arial Unicode MS"/>
          <w:i w:val="1"/>
          <w:iCs w:val="1"/>
          <w:rtl w:val="0"/>
          <w:lang w:val="en-US"/>
        </w:rPr>
        <w:t xml:space="preserve">; </w:t>
      </w:r>
      <w:r>
        <w:rPr>
          <w:rFonts w:cs="Arial Unicode MS" w:eastAsia="Arial Unicode MS"/>
          <w:i w:val="1"/>
          <w:iCs w:val="1"/>
          <w:rtl w:val="0"/>
          <w:lang w:val="en-US"/>
        </w:rPr>
        <w:t>Welsh-medium education and Welsh as a subject</w:t>
      </w:r>
      <w:r>
        <w:rPr>
          <w:rFonts w:cs="Arial Unicode MS" w:eastAsia="Arial Unicode MS"/>
          <w:i w:val="1"/>
          <w:iCs w:val="1"/>
          <w:rtl w:val="0"/>
          <w:lang w:val="en-US"/>
        </w:rPr>
        <w:t xml:space="preserve">. </w:t>
      </w:r>
      <w:r>
        <w:rPr>
          <w:rFonts w:cs="Arial Unicode MS" w:eastAsia="Arial Unicode MS"/>
          <w:rtl w:val="0"/>
          <w:lang w:val="en-US"/>
        </w:rPr>
        <w:t>Cardiff: Crown.</w:t>
      </w:r>
    </w:p>
    <w:p>
      <w:pPr>
        <w:pStyle w:val="Body"/>
        <w:bidi w:val="0"/>
        <w:rPr/>
      </w:pPr>
    </w:p>
    <w:p>
      <w:pPr>
        <w:pStyle w:val="Body"/>
        <w:bidi w:val="0"/>
        <w:rPr>
          <w:i w:val="1"/>
          <w:iCs w:val="1"/>
        </w:rPr>
      </w:pPr>
      <w:r>
        <w:rPr>
          <w:rFonts w:cs="Arial Unicode MS" w:eastAsia="Arial Unicode MS"/>
          <w:rtl w:val="0"/>
        </w:rPr>
        <w:t>Lundin</w:t>
      </w:r>
      <w:r>
        <w:rPr>
          <w:rFonts w:cs="Arial Unicode MS" w:eastAsia="Arial Unicode MS"/>
          <w:rtl w:val="0"/>
          <w:lang w:val="en-US"/>
        </w:rPr>
        <w:t>, C. &amp;</w:t>
      </w:r>
      <w:r>
        <w:rPr>
          <w:rFonts w:cs="Arial Unicode MS" w:eastAsia="Arial Unicode MS"/>
          <w:rtl w:val="0"/>
          <w:lang w:val="sv-SE"/>
        </w:rPr>
        <w:t xml:space="preserve"> Persson</w:t>
      </w:r>
      <w:r>
        <w:rPr>
          <w:rFonts w:cs="Arial Unicode MS" w:eastAsia="Arial Unicode MS"/>
          <w:rtl w:val="0"/>
          <w:lang w:val="en-US"/>
        </w:rPr>
        <w:t xml:space="preserve">, L. (2015) </w:t>
      </w:r>
      <w:r>
        <w:rPr>
          <w:rFonts w:cs="Arial Unicode MS" w:eastAsia="Arial Unicode MS"/>
          <w:i w:val="1"/>
          <w:iCs w:val="1"/>
          <w:rtl w:val="0"/>
          <w:lang w:val="en-US"/>
        </w:rPr>
        <w:t>CLIL teachers and teacher education. Content and Language Integrated Learning (CLIL) in Europe.</w:t>
      </w:r>
    </w:p>
    <w:p>
      <w:pPr>
        <w:pStyle w:val="Body"/>
        <w:bidi w:val="0"/>
        <w:rPr>
          <w:i w:val="1"/>
          <w:iCs w:val="1"/>
        </w:rPr>
      </w:pPr>
    </w:p>
    <w:p>
      <w:pPr>
        <w:pStyle w:val="Body"/>
        <w:bidi w:val="0"/>
        <w:rPr/>
      </w:pPr>
      <w:r>
        <w:rPr>
          <w:rFonts w:cs="Arial Unicode MS" w:eastAsia="Arial Unicode MS"/>
          <w:rtl w:val="0"/>
        </w:rPr>
        <w:t>Lasagabaster, D., 2008</w:t>
      </w:r>
      <w:r>
        <w:rPr>
          <w:rFonts w:cs="Arial Unicode MS" w:eastAsia="Arial Unicode MS"/>
          <w:i w:val="1"/>
          <w:iCs w:val="1"/>
          <w:rtl w:val="0"/>
          <w:lang w:val="en-US"/>
        </w:rPr>
        <w:t>. Foreign Language Competence in Content and Language Integrated Courses. The Open Applied Linguistics Journal 1,</w:t>
      </w:r>
    </w:p>
    <w:p>
      <w:pPr>
        <w:pStyle w:val="Body"/>
        <w:bidi w:val="0"/>
        <w:rPr/>
      </w:pPr>
    </w:p>
    <w:p>
      <w:pPr>
        <w:pStyle w:val="Body"/>
        <w:bidi w:val="0"/>
        <w:rPr>
          <w:i w:val="1"/>
          <w:iCs w:val="1"/>
        </w:rPr>
      </w:pPr>
      <w:r>
        <w:rPr>
          <w:rFonts w:cs="Arial Unicode MS" w:eastAsia="Arial Unicode MS"/>
          <w:rtl w:val="0"/>
          <w:lang w:val="es-ES_tradnl"/>
        </w:rPr>
        <w:t xml:space="preserve">Ruiz de Zarobe, Y.R., </w:t>
      </w:r>
      <w:r>
        <w:rPr>
          <w:rFonts w:cs="Arial Unicode MS" w:eastAsia="Arial Unicode MS"/>
          <w:rtl w:val="0"/>
          <w:lang w:val="en-US"/>
        </w:rPr>
        <w:t>(</w:t>
      </w:r>
      <w:r>
        <w:rPr>
          <w:rFonts w:cs="Arial Unicode MS" w:eastAsia="Arial Unicode MS"/>
          <w:rtl w:val="0"/>
        </w:rPr>
        <w:t>2013</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CLIL Implementation: from policy makers to individual initiatives. International Journal of Bilingual Education and Bilingualism</w:t>
      </w:r>
      <w:r>
        <w:rPr>
          <w:rFonts w:cs="Arial Unicode MS" w:eastAsia="Arial Unicode MS"/>
          <w:i w:val="1"/>
          <w:iCs w:val="1"/>
          <w:rtl w:val="0"/>
          <w:lang w:val="en-US"/>
        </w:rPr>
        <w:t>.</w:t>
      </w:r>
    </w:p>
    <w:p>
      <w:pPr>
        <w:pStyle w:val="Body"/>
        <w:bidi w:val="0"/>
        <w:rPr>
          <w:i w:val="1"/>
          <w:iCs w:val="1"/>
        </w:rPr>
      </w:pPr>
    </w:p>
    <w:p>
      <w:pPr>
        <w:pStyle w:val="Body"/>
        <w:bidi w:val="0"/>
        <w:rPr>
          <w:i w:val="1"/>
          <w:iCs w:val="1"/>
        </w:rPr>
      </w:pPr>
      <w:r>
        <w:rPr>
          <w:rFonts w:cs="Arial Unicode MS" w:eastAsia="Arial Unicode MS"/>
          <w:i w:val="1"/>
          <w:iCs w:val="1"/>
          <w:rtl w:val="0"/>
          <w:lang w:val="en-US"/>
        </w:rPr>
        <w:t>Sierra, J. (2008). Assessment of Bilingual Education in the Basque Country: Achievement and Challenges. 10.21832/9781847690715-004.</w:t>
      </w:r>
    </w:p>
    <w:p>
      <w:pPr>
        <w:pStyle w:val="Body"/>
        <w:bidi w:val="0"/>
        <w:rPr>
          <w:i w:val="1"/>
          <w:iCs w:val="1"/>
        </w:rPr>
      </w:pPr>
    </w:p>
    <w:p>
      <w:pPr>
        <w:pStyle w:val="Body"/>
        <w:bidi w:val="0"/>
        <w:rPr>
          <w:i w:val="1"/>
          <w:iCs w:val="1"/>
        </w:rPr>
      </w:pPr>
      <w:r>
        <w:rPr>
          <w:rFonts w:cs="Arial Unicode MS" w:eastAsia="Arial Unicode MS"/>
          <w:rtl w:val="0"/>
          <w:lang w:val="es-ES_tradnl"/>
        </w:rPr>
        <w:t>Vega-Bayo, A</w:t>
      </w:r>
      <w:r>
        <w:rPr>
          <w:rFonts w:cs="Arial Unicode MS" w:eastAsia="Arial Unicode MS"/>
          <w:rtl w:val="0"/>
          <w:lang w:val="en-US"/>
        </w:rPr>
        <w:t>.</w:t>
      </w:r>
      <w:r>
        <w:rPr>
          <w:rFonts w:cs="Arial Unicode MS" w:eastAsia="Arial Unicode MS"/>
          <w:rtl w:val="0"/>
          <w:lang w:val="fr-FR"/>
        </w:rPr>
        <w:t>, Mariel</w:t>
      </w:r>
      <w:r>
        <w:rPr>
          <w:rFonts w:cs="Arial Unicode MS" w:eastAsia="Arial Unicode MS"/>
          <w:rtl w:val="0"/>
          <w:lang w:val="en-US"/>
        </w:rPr>
        <w:t xml:space="preserve">, P. </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rPr>
        <w:t>2015</w:t>
      </w:r>
      <w:r>
        <w:rPr>
          <w:rFonts w:cs="Arial Unicode MS" w:eastAsia="Arial Unicode MS"/>
          <w:rtl w:val="0"/>
          <w:lang w:val="en-US"/>
        </w:rPr>
        <w:t>)</w:t>
      </w:r>
      <w:r>
        <w:rPr>
          <w:rFonts w:cs="Arial Unicode MS" w:eastAsia="Arial Unicode MS"/>
          <w:i w:val="1"/>
          <w:iCs w:val="1"/>
          <w:rtl w:val="0"/>
          <w:lang w:val="en-US"/>
        </w:rPr>
        <w:t>. School Choice in the Basque Country: Public, Government-Dependent and Private Schools with Different Languages of Instruction.</w:t>
      </w:r>
      <w:r>
        <w:rPr>
          <w:rFonts w:cs="Arial Unicode MS" w:eastAsia="Arial Unicode MS"/>
          <w:i w:val="1"/>
          <w:iCs w:val="1"/>
          <w:rtl w:val="0"/>
          <w:lang w:val="en-US"/>
        </w:rPr>
        <w:t xml:space="preserve"> </w:t>
      </w:r>
      <w:r>
        <w:rPr>
          <w:rFonts w:cs="Arial Unicode MS" w:eastAsia="Arial Unicode MS"/>
          <w:i w:val="1"/>
          <w:iCs w:val="1"/>
          <w:rtl w:val="0"/>
          <w:lang w:val="en-US"/>
        </w:rPr>
        <w:t>International Journal of Educational Research 74: 13</w:t>
      </w:r>
      <w:r>
        <w:rPr>
          <w:rFonts w:cs="Arial Unicode MS" w:eastAsia="Arial Unicode MS" w:hint="default"/>
          <w:i w:val="1"/>
          <w:iCs w:val="1"/>
          <w:rtl w:val="0"/>
        </w:rPr>
        <w:t>–</w:t>
      </w:r>
      <w:r>
        <w:rPr>
          <w:rFonts w:cs="Arial Unicode MS" w:eastAsia="Arial Unicode MS"/>
          <w:i w:val="1"/>
          <w:iCs w:val="1"/>
          <w:rtl w:val="0"/>
        </w:rPr>
        <w:t xml:space="preserve">25. </w:t>
      </w:r>
    </w:p>
    <w:p>
      <w:pPr>
        <w:pStyle w:val="Body"/>
        <w:bidi w:val="0"/>
        <w:rPr>
          <w:i w:val="1"/>
          <w:iCs w:val="1"/>
        </w:rPr>
      </w:pPr>
    </w:p>
    <w:p>
      <w:pPr>
        <w:pStyle w:val="Body"/>
        <w:bidi w:val="0"/>
        <w:rPr>
          <w:i w:val="1"/>
          <w:iCs w:val="1"/>
        </w:rPr>
      </w:pPr>
      <w:r>
        <w:rPr>
          <w:rFonts w:cs="Arial Unicode MS" w:eastAsia="Arial Unicode MS"/>
          <w:rtl w:val="0"/>
          <w:lang w:val="en-US"/>
        </w:rPr>
        <w:t>Welsh Government (2014)</w:t>
      </w:r>
      <w:r>
        <w:rPr>
          <w:rFonts w:cs="Arial Unicode MS" w:eastAsia="Arial Unicode MS"/>
          <w:i w:val="1"/>
          <w:iCs w:val="1"/>
          <w:rtl w:val="0"/>
          <w:lang w:val="en-US"/>
        </w:rPr>
        <w:t xml:space="preserve"> </w:t>
      </w:r>
      <w:r>
        <w:rPr>
          <w:rFonts w:cs="Arial Unicode MS" w:eastAsia="Arial Unicode MS"/>
          <w:i w:val="1"/>
          <w:iCs w:val="1"/>
          <w:rtl w:val="0"/>
          <w:lang w:val="en-US"/>
        </w:rPr>
        <w:t>Response to Welsh second language review group recommendations</w:t>
      </w:r>
      <w:r>
        <w:rPr>
          <w:rFonts w:cs="Arial Unicode MS" w:eastAsia="Arial Unicode MS"/>
          <w:i w:val="1"/>
          <w:iCs w:val="1"/>
          <w:rtl w:val="0"/>
          <w:lang w:val="en-US"/>
        </w:rPr>
        <w:t xml:space="preserve">. </w:t>
      </w:r>
      <w:r>
        <w:rPr>
          <w:rFonts w:cs="Arial Unicode MS" w:eastAsia="Arial Unicode MS"/>
          <w:rtl w:val="0"/>
          <w:lang w:val="en-US"/>
        </w:rPr>
        <w:t>Cardiff: Crown.</w:t>
      </w:r>
    </w:p>
    <w:p>
      <w:pPr>
        <w:pStyle w:val="Body"/>
        <w:bidi w:val="0"/>
        <w:rPr>
          <w:i w:val="1"/>
          <w:iCs w:val="1"/>
        </w:rPr>
      </w:pPr>
    </w:p>
    <w:p>
      <w:pPr>
        <w:pStyle w:val="Body"/>
        <w:bidi w:val="0"/>
        <w:rPr>
          <w:i w:val="1"/>
          <w:iCs w:val="1"/>
        </w:rPr>
      </w:pPr>
      <w:r>
        <w:rPr>
          <w:rFonts w:cs="Arial Unicode MS" w:eastAsia="Arial Unicode MS"/>
          <w:rtl w:val="0"/>
          <w:lang w:val="en-US"/>
        </w:rPr>
        <w:t>Welsh Government (2017</w:t>
      </w:r>
      <w:r>
        <w:rPr>
          <w:rFonts w:cs="Arial Unicode MS" w:eastAsia="Arial Unicode MS"/>
          <w:i w:val="1"/>
          <w:iCs w:val="1"/>
          <w:rtl w:val="0"/>
          <w:lang w:val="en-US"/>
        </w:rPr>
        <w:t xml:space="preserve">). Cymraeg 2050: A million Welsh speakers. </w:t>
      </w:r>
      <w:r>
        <w:rPr>
          <w:rFonts w:cs="Arial Unicode MS" w:eastAsia="Arial Unicode MS"/>
          <w:i w:val="1"/>
          <w:iCs w:val="1"/>
          <w:rtl w:val="0"/>
          <w:lang w:val="en-US"/>
        </w:rPr>
        <w:t>Cardiff: Crown</w:t>
      </w:r>
      <w:r>
        <w:rPr>
          <w:rFonts w:cs="Arial Unicode MS" w:eastAsia="Arial Unicode MS"/>
          <w:i w:val="1"/>
          <w:iCs w:val="1"/>
          <w:rtl w:val="0"/>
          <w:lang w:val="en-US"/>
        </w:rPr>
        <w:t>.</w:t>
      </w:r>
      <w:r>
        <w:rPr>
          <w:rFonts w:cs="Arial Unicode MS" w:eastAsia="Arial Unicode MS"/>
          <w:i w:val="1"/>
          <w:iCs w:val="1"/>
          <w:rtl w:val="0"/>
        </w:rPr>
        <w:t xml:space="preserve"> </w:t>
      </w:r>
    </w:p>
    <w:p>
      <w:pPr>
        <w:pStyle w:val="Body"/>
        <w:bidi w:val="0"/>
        <w:rPr>
          <w:i w:val="1"/>
          <w:iCs w:val="1"/>
        </w:rPr>
      </w:pPr>
      <w:r>
        <w:rPr>
          <w:rFonts w:cs="Arial Unicode MS" w:eastAsia="Arial Unicode MS"/>
          <w:i w:val="1"/>
          <w:iCs w:val="1"/>
          <w:rtl w:val="0"/>
          <w:lang w:val="en-US"/>
        </w:rPr>
        <w:t xml:space="preserve"> </w:t>
      </w:r>
    </w:p>
    <w:p>
      <w:pPr>
        <w:pStyle w:val="Body"/>
        <w:bidi w:val="0"/>
      </w:pPr>
      <w:r>
        <w:rPr>
          <w:rFonts w:cs="Arial Unicode MS" w:eastAsia="Arial Unicode MS"/>
          <w:rtl w:val="0"/>
          <w:lang w:val="en-US"/>
        </w:rPr>
        <w:t xml:space="preserve">Welsh Government (2018). </w:t>
      </w:r>
      <w:r>
        <w:rPr>
          <w:rFonts w:cs="Arial Unicode MS" w:eastAsia="Arial Unicode MS"/>
          <w:i w:val="1"/>
          <w:iCs w:val="1"/>
          <w:rtl w:val="0"/>
          <w:lang w:val="en-US"/>
        </w:rPr>
        <w:t>School Census Results, 2018</w:t>
      </w:r>
      <w:r>
        <w:rPr>
          <w:rFonts w:cs="Arial Unicode MS" w:eastAsia="Arial Unicode MS"/>
          <w:i w:val="1"/>
          <w:iCs w:val="1"/>
          <w:rtl w:val="0"/>
          <w:lang w:val="en-US"/>
        </w:rPr>
        <w:t>.</w:t>
      </w:r>
      <w:r>
        <w:rPr>
          <w:rFonts w:cs="Arial Unicode MS" w:eastAsia="Arial Unicode MS"/>
          <w:rtl w:val="0"/>
          <w:lang w:val="en-US"/>
        </w:rPr>
        <w:t xml:space="preserve"> Cardiff:Crown </w:t>
      </w:r>
      <w:r>
        <w:rPr>
          <w:rFonts w:cs="Arial Unicode MS" w:eastAsia="Arial Unicode MS"/>
          <w:rtl w:val="0"/>
          <w:lang w:val="en-US"/>
        </w:rPr>
        <w:t>[online] Available at: https://gov.wales/docs/statistics/2018/180725-school-census-results-2018-en.pdf [Accessed 4 Jan. 2019].</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fldChar w:fldCharType="begin" w:fldLock="0"/>
    </w:r>
    <w:r>
      <w:instrText xml:space="preserve"> PAGE </w:instrText>
    </w:r>
    <w:r>
      <w:rPr/>
      <w:fldChar w:fldCharType="separate" w:fldLock="0"/>
    </w:r>
    <w:r>
      <w:t>9</w:t>
    </w:r>
    <w:r>
      <w:rPr/>
      <w:fldChar w:fldCharType="end" w:fldLock="0"/>
    </w:r>
    <w:r>
      <w:rPr>
        <w:rtl w:val="0"/>
        <w:lang w:val="en-US"/>
      </w:rPr>
      <w:t xml:space="preserve"> of </w:t>
    </w:r>
    <w:r>
      <w:rPr/>
      <w:fldChar w:fldCharType="begin" w:fldLock="0"/>
    </w:r>
    <w:r>
      <w:instrText xml:space="preserve"> NUMPAGES </w:instrText>
    </w:r>
    <w:r>
      <w:rPr/>
      <w:fldChar w:fldCharType="separate" w:fldLock="0"/>
    </w:r>
    <w:r>
      <w:t>9</w:t>
    </w:r>
    <w:r>
      <w:rPr/>
      <w:fldChar w:fldCharType="end" w:fldLock="0"/>
    </w:r>
    <w:r>
      <w:tab/>
      <w:tab/>
    </w:r>
    <w:r>
      <w:rPr>
        <w:rtl w:val="0"/>
        <w:lang w:val="en-US"/>
      </w:rPr>
      <w:t>1702851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