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241FAD8" w:rsidR="00986B43" w:rsidRPr="00AF053E" w:rsidRDefault="00986B43" w:rsidP="005D3F07">
            <w:pPr>
              <w:overflowPunct/>
              <w:autoSpaceDE/>
              <w:autoSpaceDN/>
              <w:adjustRightInd/>
              <w:ind w:right="-957"/>
              <w:textAlignment w:val="auto"/>
              <w:rPr>
                <w:rFonts w:ascii="Times New Roman" w:hAnsi="Times New Roman" w:cs="Times New Roman"/>
                <w:b/>
                <w:color w:val="auto"/>
                <w:sz w:val="40"/>
                <w:szCs w:val="40"/>
              </w:rPr>
            </w:pPr>
            <w:r w:rsidRPr="00AF053E">
              <w:rPr>
                <w:rFonts w:ascii="Times New Roman" w:hAnsi="Times New Roman" w:cs="Times New Roman"/>
                <w:b/>
                <w:color w:val="auto"/>
                <w:sz w:val="40"/>
                <w:szCs w:val="40"/>
              </w:rPr>
              <w:t>Learner’s name:</w:t>
            </w:r>
            <w:r w:rsidR="00247265" w:rsidRPr="00AF053E">
              <w:rPr>
                <w:rFonts w:ascii="Times New Roman" w:hAnsi="Times New Roman" w:cs="Times New Roman"/>
                <w:b/>
                <w:color w:val="auto"/>
                <w:sz w:val="40"/>
                <w:szCs w:val="40"/>
              </w:rPr>
              <w:t xml:space="preserve"> </w:t>
            </w:r>
            <w:r w:rsidR="00AF053E" w:rsidRPr="00AF053E">
              <w:rPr>
                <w:rFonts w:ascii="Times New Roman" w:hAnsi="Times New Roman" w:cs="Times New Roman"/>
                <w:b/>
                <w:color w:val="auto"/>
                <w:sz w:val="40"/>
                <w:szCs w:val="40"/>
              </w:rPr>
              <w:t>Jessica Worthington</w:t>
            </w:r>
          </w:p>
          <w:p w14:paraId="0B6CD0DB" w14:textId="689515B5" w:rsidR="009C337F" w:rsidRPr="00AF053E" w:rsidRDefault="009C337F" w:rsidP="005D3F07">
            <w:pPr>
              <w:overflowPunct/>
              <w:autoSpaceDE/>
              <w:autoSpaceDN/>
              <w:adjustRightInd/>
              <w:ind w:right="-957"/>
              <w:textAlignment w:val="auto"/>
              <w:rPr>
                <w:rFonts w:ascii="Times New Roman" w:hAnsi="Times New Roman" w:cs="Times New Roman"/>
                <w:b/>
                <w:color w:val="auto"/>
                <w:sz w:val="40"/>
                <w:szCs w:val="40"/>
              </w:rPr>
            </w:pPr>
          </w:p>
          <w:p w14:paraId="3A6EAAC7" w14:textId="6BB2E6F0" w:rsidR="009C337F" w:rsidRPr="00AF053E" w:rsidRDefault="009C337F" w:rsidP="005D3F07">
            <w:pPr>
              <w:overflowPunct/>
              <w:autoSpaceDE/>
              <w:autoSpaceDN/>
              <w:adjustRightInd/>
              <w:ind w:right="-957"/>
              <w:textAlignment w:val="auto"/>
              <w:rPr>
                <w:rFonts w:ascii="Times New Roman" w:hAnsi="Times New Roman" w:cs="Times New Roman"/>
                <w:b/>
                <w:color w:val="auto"/>
                <w:sz w:val="40"/>
                <w:szCs w:val="40"/>
              </w:rPr>
            </w:pPr>
            <w:r w:rsidRPr="00AF053E">
              <w:rPr>
                <w:rFonts w:ascii="Times New Roman" w:hAnsi="Times New Roman" w:cs="Times New Roman"/>
                <w:b/>
                <w:color w:val="auto"/>
                <w:sz w:val="40"/>
                <w:szCs w:val="40"/>
              </w:rPr>
              <w:t>Email address:</w:t>
            </w:r>
            <w:r w:rsidR="00AF053E" w:rsidRPr="00AF053E">
              <w:rPr>
                <w:rFonts w:ascii="Times New Roman" w:hAnsi="Times New Roman" w:cs="Times New Roman"/>
                <w:b/>
                <w:color w:val="auto"/>
                <w:sz w:val="40"/>
                <w:szCs w:val="40"/>
              </w:rPr>
              <w:t xml:space="preserve"> Jessica.worthington@powys.gov.uk</w:t>
            </w:r>
          </w:p>
          <w:p w14:paraId="22E38809" w14:textId="77777777" w:rsidR="00986B43" w:rsidRPr="00AF053E" w:rsidRDefault="00986B43" w:rsidP="005D3F07">
            <w:pPr>
              <w:overflowPunct/>
              <w:autoSpaceDE/>
              <w:autoSpaceDN/>
              <w:adjustRightInd/>
              <w:ind w:right="-957"/>
              <w:textAlignment w:val="auto"/>
              <w:rPr>
                <w:rFonts w:ascii="Times New Roman" w:hAnsi="Times New Roman" w:cs="Times New Roman"/>
                <w:b/>
                <w:color w:val="auto"/>
                <w:sz w:val="40"/>
                <w:szCs w:val="40"/>
              </w:rPr>
            </w:pPr>
          </w:p>
          <w:p w14:paraId="0DE696B2" w14:textId="177184E8" w:rsidR="00F927A1" w:rsidRPr="00AF053E"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AF053E">
              <w:rPr>
                <w:rFonts w:ascii="Times New Roman" w:hAnsi="Times New Roman" w:cs="Times New Roman"/>
                <w:b/>
                <w:color w:val="auto"/>
                <w:sz w:val="40"/>
                <w:szCs w:val="40"/>
              </w:rPr>
              <w:t>Learner’s University Registration</w:t>
            </w:r>
            <w:r w:rsidR="00F927A1" w:rsidRPr="00AF053E">
              <w:rPr>
                <w:rFonts w:ascii="Times New Roman" w:hAnsi="Times New Roman" w:cs="Times New Roman"/>
                <w:b/>
                <w:color w:val="auto"/>
                <w:sz w:val="40"/>
                <w:szCs w:val="40"/>
              </w:rPr>
              <w:t xml:space="preserve"> Number:</w:t>
            </w:r>
            <w:r w:rsidR="00AF053E">
              <w:rPr>
                <w:rFonts w:ascii="Times New Roman" w:hAnsi="Times New Roman" w:cs="Times New Roman"/>
                <w:b/>
                <w:color w:val="auto"/>
                <w:sz w:val="40"/>
                <w:szCs w:val="40"/>
              </w:rPr>
              <w:t xml:space="preserve"> 2416351</w:t>
            </w:r>
          </w:p>
          <w:p w14:paraId="622FD17A" w14:textId="77777777" w:rsidR="0085230E" w:rsidRPr="00AF053E" w:rsidRDefault="0085230E" w:rsidP="005D3F07">
            <w:pPr>
              <w:overflowPunct/>
              <w:autoSpaceDE/>
              <w:autoSpaceDN/>
              <w:adjustRightInd/>
              <w:ind w:right="-957"/>
              <w:textAlignment w:val="auto"/>
              <w:rPr>
                <w:rFonts w:ascii="Times New Roman" w:hAnsi="Times New Roman" w:cs="Times New Roman"/>
                <w:b/>
                <w:color w:val="auto"/>
                <w:sz w:val="40"/>
                <w:szCs w:val="40"/>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AF053E">
              <w:rPr>
                <w:rFonts w:ascii="Times New Roman" w:hAnsi="Times New Roman" w:cs="Times New Roman"/>
                <w:b/>
                <w:color w:val="auto"/>
                <w:sz w:val="40"/>
                <w:szCs w:val="40"/>
              </w:rPr>
              <w:t xml:space="preserve">Cohort: </w:t>
            </w:r>
            <w:r w:rsidR="00512AB1" w:rsidRPr="00AF053E">
              <w:rPr>
                <w:rFonts w:ascii="Times New Roman" w:hAnsi="Times New Roman" w:cs="Times New Roman"/>
                <w:b/>
                <w:color w:val="auto"/>
                <w:sz w:val="40"/>
                <w:szCs w:val="40"/>
              </w:rPr>
              <w:t>21</w:t>
            </w:r>
            <w:r w:rsidR="00AE6231" w:rsidRPr="00AF053E">
              <w:rPr>
                <w:rFonts w:ascii="Times New Roman" w:hAnsi="Times New Roman" w:cs="Times New Roman"/>
                <w:b/>
                <w:color w:val="auto"/>
                <w:sz w:val="40"/>
                <w:szCs w:val="40"/>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0387A95F" w14:textId="6604CFA7" w:rsidR="00EB695F" w:rsidRPr="00E634A7" w:rsidRDefault="00E634A7" w:rsidP="00FF7EBB">
      <w:pPr>
        <w:jc w:val="both"/>
        <w:rPr>
          <w:b/>
          <w:bCs/>
          <w:sz w:val="24"/>
          <w:szCs w:val="24"/>
          <w:u w:val="single"/>
        </w:rPr>
      </w:pPr>
      <w:r w:rsidRPr="00E634A7">
        <w:rPr>
          <w:b/>
          <w:bCs/>
          <w:sz w:val="24"/>
          <w:szCs w:val="24"/>
          <w:u w:val="single"/>
        </w:rPr>
        <w:t xml:space="preserve">Task 1. </w:t>
      </w:r>
    </w:p>
    <w:p w14:paraId="067948B4" w14:textId="77777777" w:rsidR="00EB695F" w:rsidRDefault="00EB695F" w:rsidP="00FF7EBB">
      <w:pPr>
        <w:jc w:val="both"/>
        <w:rPr>
          <w:sz w:val="24"/>
          <w:szCs w:val="24"/>
        </w:rPr>
      </w:pPr>
    </w:p>
    <w:p w14:paraId="53E91AF0" w14:textId="27E8929B" w:rsidR="00BD6B0F" w:rsidRPr="00BD6B0F" w:rsidRDefault="00BD6B0F" w:rsidP="00FF7EBB">
      <w:pPr>
        <w:jc w:val="both"/>
        <w:rPr>
          <w:rFonts w:ascii="Aptos" w:hAnsi="Aptos"/>
          <w:sz w:val="24"/>
          <w:szCs w:val="24"/>
        </w:rPr>
      </w:pPr>
      <w:r w:rsidRPr="00BD6B0F">
        <w:rPr>
          <w:rFonts w:ascii="Aptos" w:hAnsi="Aptos"/>
          <w:sz w:val="24"/>
          <w:szCs w:val="24"/>
        </w:rPr>
        <w:t>Part A.</w:t>
      </w:r>
    </w:p>
    <w:p w14:paraId="45461A9F" w14:textId="77777777" w:rsidR="00BD6B0F" w:rsidRPr="00BD6B0F" w:rsidRDefault="00BD6B0F" w:rsidP="00FF7EBB">
      <w:pPr>
        <w:jc w:val="both"/>
        <w:rPr>
          <w:rFonts w:ascii="Aptos" w:hAnsi="Aptos"/>
          <w:sz w:val="24"/>
          <w:szCs w:val="24"/>
        </w:rPr>
      </w:pPr>
    </w:p>
    <w:p w14:paraId="33DCE099" w14:textId="77777777" w:rsidR="00F864A8" w:rsidRPr="00BD6B0F" w:rsidRDefault="00F864A8" w:rsidP="00F864A8">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D6B0F">
        <w:rPr>
          <w:rFonts w:ascii="Aptos" w:eastAsia="Aptos" w:hAnsi="Aptos" w:cs="Times New Roman"/>
          <w:color w:val="auto"/>
          <w:kern w:val="2"/>
          <w:sz w:val="24"/>
          <w:szCs w:val="24"/>
          <w:lang w:eastAsia="en-US"/>
          <w14:ligatures w14:val="standardContextual"/>
        </w:rPr>
        <w:t xml:space="preserve">Jasper, M. (2013). </w:t>
      </w:r>
      <w:r w:rsidRPr="00BD6B0F">
        <w:rPr>
          <w:rFonts w:ascii="Aptos" w:eastAsia="Aptos" w:hAnsi="Aptos" w:cs="Times New Roman"/>
          <w:i/>
          <w:iCs/>
          <w:color w:val="auto"/>
          <w:kern w:val="2"/>
          <w:sz w:val="24"/>
          <w:szCs w:val="24"/>
          <w:lang w:eastAsia="en-US"/>
          <w14:ligatures w14:val="standardContextual"/>
        </w:rPr>
        <w:t>Beginning Reflective Practice.</w:t>
      </w:r>
      <w:r w:rsidRPr="00BD6B0F">
        <w:rPr>
          <w:rFonts w:ascii="Aptos" w:eastAsia="Aptos" w:hAnsi="Aptos" w:cs="Times New Roman"/>
          <w:color w:val="auto"/>
          <w:kern w:val="2"/>
          <w:sz w:val="24"/>
          <w:szCs w:val="24"/>
          <w:lang w:eastAsia="en-US"/>
          <w14:ligatures w14:val="standardContextual"/>
        </w:rPr>
        <w:t xml:space="preserve"> Andover: Cengage Learning.</w:t>
      </w:r>
    </w:p>
    <w:p w14:paraId="3BA11344" w14:textId="77777777" w:rsidR="00F864A8" w:rsidRPr="00BD6B0F" w:rsidRDefault="00F864A8" w:rsidP="00F864A8">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D6B0F">
        <w:rPr>
          <w:rFonts w:ascii="Aptos" w:eastAsia="Aptos" w:hAnsi="Aptos" w:cs="Times New Roman"/>
          <w:color w:val="auto"/>
          <w:kern w:val="2"/>
          <w:sz w:val="24"/>
          <w:szCs w:val="24"/>
          <w:lang w:eastAsia="en-US"/>
          <w14:ligatures w14:val="standardContextual"/>
        </w:rPr>
        <w:t>Reamer, F. (2023). Artificial Intelligence in Social Work: Emerging Ethical Issues. </w:t>
      </w:r>
      <w:r w:rsidRPr="00BD6B0F">
        <w:rPr>
          <w:rFonts w:ascii="Aptos" w:eastAsia="Aptos" w:hAnsi="Aptos" w:cs="Times New Roman"/>
          <w:i/>
          <w:iCs/>
          <w:color w:val="auto"/>
          <w:kern w:val="2"/>
          <w:sz w:val="24"/>
          <w:szCs w:val="24"/>
          <w:lang w:eastAsia="en-US"/>
          <w14:ligatures w14:val="standardContextual"/>
        </w:rPr>
        <w:t>International Journal of Social Work Values and Ethics</w:t>
      </w:r>
      <w:r w:rsidRPr="00BD6B0F">
        <w:rPr>
          <w:rFonts w:ascii="Aptos" w:eastAsia="Aptos" w:hAnsi="Aptos" w:cs="Times New Roman"/>
          <w:color w:val="auto"/>
          <w:kern w:val="2"/>
          <w:sz w:val="24"/>
          <w:szCs w:val="24"/>
          <w:lang w:eastAsia="en-US"/>
          <w14:ligatures w14:val="standardContextual"/>
        </w:rPr>
        <w:t>, 20(2), 52-71. https://doi.org/10.55521/10-020-205</w:t>
      </w:r>
    </w:p>
    <w:p w14:paraId="3543ABE6" w14:textId="75C70894" w:rsidR="00F864A8" w:rsidRPr="00BD6B0F" w:rsidRDefault="00F864A8" w:rsidP="00F864A8">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D6B0F">
        <w:rPr>
          <w:rFonts w:ascii="Aptos" w:eastAsia="Aptos" w:hAnsi="Aptos" w:cs="Times New Roman"/>
          <w:color w:val="auto"/>
          <w:kern w:val="2"/>
          <w:sz w:val="24"/>
          <w:szCs w:val="24"/>
          <w:lang w:eastAsia="en-US"/>
          <w14:ligatures w14:val="standardContextual"/>
        </w:rPr>
        <w:t xml:space="preserve">Whittington, C., Weinstein, J. and Leiba, T. (2003). </w:t>
      </w:r>
      <w:r w:rsidRPr="00BD6B0F">
        <w:rPr>
          <w:rFonts w:ascii="Aptos" w:eastAsia="Aptos" w:hAnsi="Aptos" w:cs="Times New Roman"/>
          <w:i/>
          <w:iCs/>
          <w:color w:val="auto"/>
          <w:kern w:val="2"/>
          <w:sz w:val="24"/>
          <w:szCs w:val="24"/>
          <w:lang w:eastAsia="en-US"/>
          <w14:ligatures w14:val="standardContextual"/>
        </w:rPr>
        <w:t>Collaboration in Social Work Practice.</w:t>
      </w:r>
      <w:r w:rsidRPr="00BD6B0F">
        <w:rPr>
          <w:rFonts w:ascii="Aptos" w:eastAsia="Aptos" w:hAnsi="Aptos" w:cs="Times New Roman"/>
          <w:color w:val="auto"/>
          <w:kern w:val="2"/>
          <w:sz w:val="24"/>
          <w:szCs w:val="24"/>
          <w:lang w:eastAsia="en-US"/>
          <w14:ligatures w14:val="standardContextual"/>
        </w:rPr>
        <w:t>  United Kingdom: Jessica Kingsley Publishers.</w:t>
      </w:r>
    </w:p>
    <w:p w14:paraId="7347754A" w14:textId="77777777" w:rsidR="00BD6B0F" w:rsidRPr="00BD6B0F" w:rsidRDefault="00BD6B0F" w:rsidP="00F864A8">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p>
    <w:p w14:paraId="12ED75D1" w14:textId="2BBF0966" w:rsidR="00BD6B0F" w:rsidRDefault="00BD6B0F" w:rsidP="00F864A8">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D6B0F">
        <w:rPr>
          <w:rFonts w:ascii="Aptos" w:eastAsia="Aptos" w:hAnsi="Aptos" w:cs="Times New Roman"/>
          <w:color w:val="auto"/>
          <w:kern w:val="2"/>
          <w:sz w:val="24"/>
          <w:szCs w:val="24"/>
          <w:lang w:eastAsia="en-US"/>
          <w14:ligatures w14:val="standardContextual"/>
        </w:rPr>
        <w:t>Part B.</w:t>
      </w:r>
    </w:p>
    <w:p w14:paraId="40E9143D" w14:textId="77777777" w:rsidR="00573C31" w:rsidRPr="00BD6B0F" w:rsidRDefault="00573C31" w:rsidP="00573C31">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BD6B0F">
        <w:rPr>
          <w:rFonts w:ascii="Aptos" w:eastAsia="Aptos" w:hAnsi="Aptos" w:cs="Times New Roman"/>
          <w:color w:val="auto"/>
          <w:kern w:val="2"/>
          <w:sz w:val="24"/>
          <w:szCs w:val="24"/>
          <w:lang w:eastAsia="en-US"/>
          <w14:ligatures w14:val="standardContextual"/>
        </w:rPr>
        <w:t xml:space="preserve">Jasper, M. (2013). </w:t>
      </w:r>
      <w:r w:rsidRPr="00BD6B0F">
        <w:rPr>
          <w:rFonts w:ascii="Aptos" w:eastAsia="Aptos" w:hAnsi="Aptos" w:cs="Times New Roman"/>
          <w:i/>
          <w:iCs/>
          <w:color w:val="auto"/>
          <w:kern w:val="2"/>
          <w:sz w:val="24"/>
          <w:szCs w:val="24"/>
          <w:lang w:eastAsia="en-US"/>
          <w14:ligatures w14:val="standardContextual"/>
        </w:rPr>
        <w:t>Beginning Reflective Practice.</w:t>
      </w:r>
      <w:r w:rsidRPr="00BD6B0F">
        <w:rPr>
          <w:rFonts w:ascii="Aptos" w:eastAsia="Aptos" w:hAnsi="Aptos" w:cs="Times New Roman"/>
          <w:color w:val="auto"/>
          <w:kern w:val="2"/>
          <w:sz w:val="24"/>
          <w:szCs w:val="24"/>
          <w:lang w:eastAsia="en-US"/>
          <w14:ligatures w14:val="standardContextual"/>
        </w:rPr>
        <w:t xml:space="preserve"> Andover: Cengage Learning.</w:t>
      </w:r>
    </w:p>
    <w:p w14:paraId="75E6D4CA" w14:textId="77777777" w:rsidR="00EB695F" w:rsidRDefault="00EB695F" w:rsidP="00FF7EBB">
      <w:pPr>
        <w:jc w:val="both"/>
        <w:rPr>
          <w:sz w:val="24"/>
          <w:szCs w:val="24"/>
        </w:rPr>
      </w:pPr>
    </w:p>
    <w:p w14:paraId="30AD7D87" w14:textId="77777777" w:rsidR="00E634A7" w:rsidRDefault="00E634A7" w:rsidP="00FF7EBB">
      <w:pPr>
        <w:jc w:val="both"/>
        <w:rPr>
          <w:sz w:val="24"/>
          <w:szCs w:val="24"/>
        </w:rPr>
      </w:pPr>
    </w:p>
    <w:p w14:paraId="6C3E6037" w14:textId="6749D738" w:rsidR="00E634A7" w:rsidRDefault="00E634A7" w:rsidP="00FF7EBB">
      <w:pPr>
        <w:jc w:val="both"/>
        <w:rPr>
          <w:b/>
          <w:bCs/>
          <w:sz w:val="24"/>
          <w:szCs w:val="24"/>
          <w:u w:val="single"/>
        </w:rPr>
      </w:pPr>
      <w:r w:rsidRPr="00E634A7">
        <w:rPr>
          <w:b/>
          <w:bCs/>
          <w:sz w:val="24"/>
          <w:szCs w:val="24"/>
          <w:u w:val="single"/>
        </w:rPr>
        <w:t>Task 2.</w:t>
      </w:r>
    </w:p>
    <w:p w14:paraId="4EEBFDB5" w14:textId="77777777" w:rsidR="005D5E97" w:rsidRDefault="005D5E97" w:rsidP="00FF7EBB">
      <w:pPr>
        <w:jc w:val="both"/>
        <w:rPr>
          <w:b/>
          <w:bCs/>
          <w:sz w:val="24"/>
          <w:szCs w:val="24"/>
          <w:u w:val="single"/>
        </w:rPr>
      </w:pPr>
    </w:p>
    <w:p w14:paraId="12C19738" w14:textId="6F542EF8" w:rsidR="000D4483" w:rsidRPr="00C75B5C" w:rsidRDefault="000D4483" w:rsidP="00FF7EBB">
      <w:pPr>
        <w:jc w:val="both"/>
        <w:rPr>
          <w:rFonts w:ascii="Aptos" w:hAnsi="Aptos"/>
          <w:sz w:val="24"/>
          <w:szCs w:val="24"/>
        </w:rPr>
      </w:pPr>
      <w:r w:rsidRPr="00C75B5C">
        <w:rPr>
          <w:rFonts w:ascii="Aptos" w:hAnsi="Aptos"/>
          <w:sz w:val="24"/>
          <w:szCs w:val="24"/>
        </w:rPr>
        <w:t>Part A.</w:t>
      </w:r>
    </w:p>
    <w:p w14:paraId="5F7D0186" w14:textId="77777777" w:rsidR="00B65524" w:rsidRPr="00C75B5C" w:rsidRDefault="00B65524" w:rsidP="00FF7EBB">
      <w:pPr>
        <w:jc w:val="both"/>
        <w:rPr>
          <w:rFonts w:ascii="Aptos" w:hAnsi="Aptos"/>
          <w:b/>
          <w:bCs/>
          <w:sz w:val="24"/>
          <w:szCs w:val="24"/>
          <w:u w:val="single"/>
        </w:rPr>
      </w:pPr>
    </w:p>
    <w:p w14:paraId="71ED2E22" w14:textId="63FB5300" w:rsidR="005D5E97" w:rsidRPr="00C75B5C" w:rsidRDefault="005D5E97" w:rsidP="005D5E97">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C75B5C">
        <w:rPr>
          <w:rFonts w:ascii="Aptos" w:eastAsia="Aptos" w:hAnsi="Aptos" w:cs="Times New Roman"/>
          <w:color w:val="auto"/>
          <w:kern w:val="2"/>
          <w:sz w:val="24"/>
          <w:szCs w:val="24"/>
          <w:lang w:eastAsia="en-US"/>
          <w14:ligatures w14:val="standardContextual"/>
        </w:rPr>
        <w:t xml:space="preserve">Social Services and Well-being (Wales) Act 2014, </w:t>
      </w:r>
      <w:proofErr w:type="spellStart"/>
      <w:r w:rsidRPr="00C75B5C">
        <w:rPr>
          <w:rFonts w:ascii="Aptos" w:eastAsia="Aptos" w:hAnsi="Aptos" w:cs="Times New Roman"/>
          <w:color w:val="auto"/>
          <w:kern w:val="2"/>
          <w:sz w:val="24"/>
          <w:szCs w:val="24"/>
          <w:lang w:eastAsia="en-US"/>
          <w14:ligatures w14:val="standardContextual"/>
        </w:rPr>
        <w:t>anaw</w:t>
      </w:r>
      <w:proofErr w:type="spellEnd"/>
      <w:r w:rsidRPr="00C75B5C">
        <w:rPr>
          <w:rFonts w:ascii="Aptos" w:eastAsia="Aptos" w:hAnsi="Aptos" w:cs="Times New Roman"/>
          <w:color w:val="auto"/>
          <w:kern w:val="2"/>
          <w:sz w:val="24"/>
          <w:szCs w:val="24"/>
          <w:lang w:eastAsia="en-US"/>
          <w14:ligatures w14:val="standardContextual"/>
        </w:rPr>
        <w:t xml:space="preserve"> 4. Available at: https://www.legislation.gov.uk/anaw/2014/4 (Accessed: 11 September 2025)</w:t>
      </w:r>
      <w:r w:rsidR="000D4483" w:rsidRPr="00C75B5C">
        <w:rPr>
          <w:rFonts w:ascii="Aptos" w:eastAsia="Aptos" w:hAnsi="Aptos" w:cs="Times New Roman"/>
          <w:color w:val="auto"/>
          <w:kern w:val="2"/>
          <w:sz w:val="24"/>
          <w:szCs w:val="24"/>
          <w:lang w:eastAsia="en-US"/>
          <w14:ligatures w14:val="standardContextual"/>
        </w:rPr>
        <w:t>.</w:t>
      </w:r>
    </w:p>
    <w:p w14:paraId="56014C38" w14:textId="77777777" w:rsidR="000D4483" w:rsidRPr="00C75B5C" w:rsidRDefault="000D4483" w:rsidP="005D5E97">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p>
    <w:p w14:paraId="484B5851" w14:textId="2F1D36F2" w:rsidR="000D4483" w:rsidRPr="00C75B5C" w:rsidRDefault="000D4483" w:rsidP="005D5E97">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C75B5C">
        <w:rPr>
          <w:rFonts w:ascii="Aptos" w:eastAsia="Aptos" w:hAnsi="Aptos" w:cs="Times New Roman"/>
          <w:color w:val="auto"/>
          <w:kern w:val="2"/>
          <w:sz w:val="24"/>
          <w:szCs w:val="24"/>
          <w:lang w:eastAsia="en-US"/>
          <w14:ligatures w14:val="standardContextual"/>
        </w:rPr>
        <w:t>Part B.</w:t>
      </w:r>
    </w:p>
    <w:p w14:paraId="5DAF3541" w14:textId="7B6C52FD" w:rsidR="002A2841" w:rsidRPr="00C75B5C" w:rsidRDefault="002A2841" w:rsidP="005D5E97">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proofErr w:type="spellStart"/>
      <w:r w:rsidRPr="00C75B5C">
        <w:rPr>
          <w:rFonts w:ascii="Aptos" w:eastAsia="Aptos" w:hAnsi="Aptos" w:cs="Times New Roman"/>
          <w:color w:val="auto"/>
          <w:kern w:val="2"/>
          <w:sz w:val="24"/>
          <w:szCs w:val="24"/>
          <w:lang w:eastAsia="en-US"/>
          <w14:ligatures w14:val="standardContextual"/>
        </w:rPr>
        <w:t>Encyclopædia</w:t>
      </w:r>
      <w:proofErr w:type="spellEnd"/>
      <w:r w:rsidRPr="00C75B5C">
        <w:rPr>
          <w:rFonts w:ascii="Aptos" w:eastAsia="Aptos" w:hAnsi="Aptos" w:cs="Times New Roman"/>
          <w:color w:val="auto"/>
          <w:kern w:val="2"/>
          <w:sz w:val="24"/>
          <w:szCs w:val="24"/>
          <w:lang w:eastAsia="en-US"/>
          <w14:ligatures w14:val="standardContextual"/>
        </w:rPr>
        <w:t xml:space="preserve"> Britannica (n.d.) </w:t>
      </w:r>
      <w:r w:rsidRPr="00C75B5C">
        <w:rPr>
          <w:rFonts w:ascii="Aptos" w:eastAsia="Aptos" w:hAnsi="Aptos" w:cs="Times New Roman"/>
          <w:i/>
          <w:iCs/>
          <w:color w:val="auto"/>
          <w:kern w:val="2"/>
          <w:sz w:val="24"/>
          <w:szCs w:val="24"/>
          <w:lang w:eastAsia="en-US"/>
          <w14:ligatures w14:val="standardContextual"/>
        </w:rPr>
        <w:t>Sunnah</w:t>
      </w:r>
      <w:r w:rsidRPr="00C75B5C">
        <w:rPr>
          <w:rFonts w:ascii="Aptos" w:eastAsia="Aptos" w:hAnsi="Aptos" w:cs="Times New Roman"/>
          <w:color w:val="auto"/>
          <w:kern w:val="2"/>
          <w:sz w:val="24"/>
          <w:szCs w:val="24"/>
          <w:lang w:eastAsia="en-US"/>
          <w14:ligatures w14:val="standardContextual"/>
        </w:rPr>
        <w:t xml:space="preserve">. </w:t>
      </w:r>
      <w:proofErr w:type="spellStart"/>
      <w:r w:rsidRPr="00C75B5C">
        <w:rPr>
          <w:rFonts w:ascii="Aptos" w:eastAsia="Aptos" w:hAnsi="Aptos" w:cs="Times New Roman"/>
          <w:color w:val="auto"/>
          <w:kern w:val="2"/>
          <w:sz w:val="24"/>
          <w:szCs w:val="24"/>
          <w:lang w:eastAsia="en-US"/>
          <w14:ligatures w14:val="standardContextual"/>
        </w:rPr>
        <w:t>Encyclopædia</w:t>
      </w:r>
      <w:proofErr w:type="spellEnd"/>
      <w:r w:rsidRPr="00C75B5C">
        <w:rPr>
          <w:rFonts w:ascii="Aptos" w:eastAsia="Aptos" w:hAnsi="Aptos" w:cs="Times New Roman"/>
          <w:color w:val="auto"/>
          <w:kern w:val="2"/>
          <w:sz w:val="24"/>
          <w:szCs w:val="24"/>
          <w:lang w:eastAsia="en-US"/>
          <w14:ligatures w14:val="standardContextual"/>
        </w:rPr>
        <w:t xml:space="preserve"> Britannica. Available at: https://www.britannica.com/topic/Sunnah (Accessed: 17 September 2025).</w:t>
      </w:r>
    </w:p>
    <w:p w14:paraId="405AC896" w14:textId="2E3D0C84" w:rsidR="00EF4CDD" w:rsidRPr="00C75B5C" w:rsidRDefault="00EF4CDD" w:rsidP="005D5E97">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C75B5C">
        <w:rPr>
          <w:rFonts w:ascii="Aptos" w:eastAsia="Aptos" w:hAnsi="Aptos" w:cs="Times New Roman"/>
          <w:color w:val="auto"/>
          <w:kern w:val="2"/>
          <w:sz w:val="24"/>
          <w:szCs w:val="24"/>
          <w:lang w:eastAsia="en-US"/>
          <w14:ligatures w14:val="standardContextual"/>
        </w:rPr>
        <w:t xml:space="preserve">Rentschler, L., Matson, J.L., Tarbox, J., Dixon, D.R. and Sturmey, P., </w:t>
      </w:r>
      <w:r w:rsidR="006F3857" w:rsidRPr="00C75B5C">
        <w:rPr>
          <w:rFonts w:ascii="Aptos" w:eastAsia="Aptos" w:hAnsi="Aptos" w:cs="Times New Roman"/>
          <w:color w:val="auto"/>
          <w:kern w:val="2"/>
          <w:sz w:val="24"/>
          <w:szCs w:val="24"/>
          <w:lang w:eastAsia="en-US"/>
          <w14:ligatures w14:val="standardContextual"/>
        </w:rPr>
        <w:t>(</w:t>
      </w:r>
      <w:r w:rsidRPr="00C75B5C">
        <w:rPr>
          <w:rFonts w:ascii="Aptos" w:eastAsia="Aptos" w:hAnsi="Aptos" w:cs="Times New Roman"/>
          <w:color w:val="auto"/>
          <w:kern w:val="2"/>
          <w:sz w:val="24"/>
          <w:szCs w:val="24"/>
          <w:lang w:eastAsia="en-US"/>
          <w14:ligatures w14:val="standardContextual"/>
        </w:rPr>
        <w:t>2024</w:t>
      </w:r>
      <w:r w:rsidR="006F3857" w:rsidRPr="00C75B5C">
        <w:rPr>
          <w:rFonts w:ascii="Aptos" w:eastAsia="Aptos" w:hAnsi="Aptos" w:cs="Times New Roman"/>
          <w:color w:val="auto"/>
          <w:kern w:val="2"/>
          <w:sz w:val="24"/>
          <w:szCs w:val="24"/>
          <w:lang w:eastAsia="en-US"/>
          <w14:ligatures w14:val="standardContextual"/>
        </w:rPr>
        <w:t>)</w:t>
      </w:r>
      <w:r w:rsidRPr="00C75B5C">
        <w:rPr>
          <w:rFonts w:ascii="Aptos" w:eastAsia="Aptos" w:hAnsi="Aptos" w:cs="Times New Roman"/>
          <w:color w:val="auto"/>
          <w:kern w:val="2"/>
          <w:sz w:val="24"/>
          <w:szCs w:val="24"/>
          <w:lang w:eastAsia="en-US"/>
          <w14:ligatures w14:val="standardContextual"/>
        </w:rPr>
        <w:t xml:space="preserve">. Use of visual supports with young children with autism spectrum disorders. In: J. Tarbox, D.R. Dixon, P. Sturmey and J.L. Matson, eds. </w:t>
      </w:r>
      <w:r w:rsidRPr="00C75B5C">
        <w:rPr>
          <w:rFonts w:ascii="Aptos" w:eastAsia="Aptos" w:hAnsi="Aptos" w:cs="Times New Roman"/>
          <w:i/>
          <w:iCs/>
          <w:color w:val="auto"/>
          <w:kern w:val="2"/>
          <w:sz w:val="24"/>
          <w:szCs w:val="24"/>
          <w:lang w:eastAsia="en-US"/>
          <w14:ligatures w14:val="standardContextual"/>
        </w:rPr>
        <w:t>Handbook of Early Intervention for Autism Spectrum Disorders</w:t>
      </w:r>
      <w:r w:rsidRPr="00C75B5C">
        <w:rPr>
          <w:rFonts w:ascii="Aptos" w:eastAsia="Aptos" w:hAnsi="Aptos" w:cs="Times New Roman"/>
          <w:color w:val="auto"/>
          <w:kern w:val="2"/>
          <w:sz w:val="24"/>
          <w:szCs w:val="24"/>
          <w:lang w:eastAsia="en-US"/>
          <w14:ligatures w14:val="standardContextual"/>
        </w:rPr>
        <w:t>. 2nd ed. New York: Springer, pp.375–402</w:t>
      </w:r>
    </w:p>
    <w:p w14:paraId="269C6252" w14:textId="528C67E2" w:rsidR="00A964BD" w:rsidRPr="00C75B5C" w:rsidRDefault="00A964BD" w:rsidP="005D5E97">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proofErr w:type="spellStart"/>
      <w:r w:rsidRPr="00C75B5C">
        <w:rPr>
          <w:rFonts w:ascii="Aptos" w:eastAsia="Aptos" w:hAnsi="Aptos" w:cs="Times New Roman"/>
          <w:color w:val="auto"/>
          <w:kern w:val="2"/>
          <w:sz w:val="24"/>
          <w:szCs w:val="24"/>
          <w:lang w:eastAsia="en-US"/>
          <w14:ligatures w14:val="standardContextual"/>
        </w:rPr>
        <w:lastRenderedPageBreak/>
        <w:t>Saleebey</w:t>
      </w:r>
      <w:proofErr w:type="spellEnd"/>
      <w:r w:rsidRPr="00C75B5C">
        <w:rPr>
          <w:rFonts w:ascii="Aptos" w:eastAsia="Aptos" w:hAnsi="Aptos" w:cs="Times New Roman"/>
          <w:color w:val="auto"/>
          <w:kern w:val="2"/>
          <w:sz w:val="24"/>
          <w:szCs w:val="24"/>
          <w:lang w:eastAsia="en-US"/>
          <w14:ligatures w14:val="standardContextual"/>
        </w:rPr>
        <w:t>, D. (2013) </w:t>
      </w:r>
      <w:r w:rsidRPr="00C75B5C">
        <w:rPr>
          <w:rFonts w:ascii="Aptos" w:eastAsia="Aptos" w:hAnsi="Aptos" w:cs="Times New Roman"/>
          <w:i/>
          <w:iCs/>
          <w:color w:val="auto"/>
          <w:kern w:val="2"/>
          <w:sz w:val="24"/>
          <w:szCs w:val="24"/>
          <w:lang w:eastAsia="en-US"/>
          <w14:ligatures w14:val="standardContextual"/>
        </w:rPr>
        <w:t>The Strengths Perspective in Social Work Practice</w:t>
      </w:r>
      <w:r w:rsidRPr="00C75B5C">
        <w:rPr>
          <w:rFonts w:ascii="Aptos" w:eastAsia="Aptos" w:hAnsi="Aptos" w:cs="Times New Roman"/>
          <w:color w:val="auto"/>
          <w:kern w:val="2"/>
          <w:sz w:val="24"/>
          <w:szCs w:val="24"/>
          <w:lang w:eastAsia="en-US"/>
          <w14:ligatures w14:val="standardContextual"/>
        </w:rPr>
        <w:t xml:space="preserve">. 6th </w:t>
      </w:r>
      <w:proofErr w:type="spellStart"/>
      <w:r w:rsidRPr="00C75B5C">
        <w:rPr>
          <w:rFonts w:ascii="Aptos" w:eastAsia="Aptos" w:hAnsi="Aptos" w:cs="Times New Roman"/>
          <w:color w:val="auto"/>
          <w:kern w:val="2"/>
          <w:sz w:val="24"/>
          <w:szCs w:val="24"/>
          <w:lang w:eastAsia="en-US"/>
          <w14:ligatures w14:val="standardContextual"/>
        </w:rPr>
        <w:t>edn</w:t>
      </w:r>
      <w:proofErr w:type="spellEnd"/>
      <w:r w:rsidRPr="00C75B5C">
        <w:rPr>
          <w:rFonts w:ascii="Aptos" w:eastAsia="Aptos" w:hAnsi="Aptos" w:cs="Times New Roman"/>
          <w:color w:val="auto"/>
          <w:kern w:val="2"/>
          <w:sz w:val="24"/>
          <w:szCs w:val="24"/>
          <w:lang w:eastAsia="en-US"/>
          <w14:ligatures w14:val="standardContextual"/>
        </w:rPr>
        <w:t>. Boston: Pearson. ISBN: 9780205241620</w:t>
      </w:r>
    </w:p>
    <w:p w14:paraId="3331C459" w14:textId="65549B4A" w:rsidR="00435FC3" w:rsidRDefault="00A36660" w:rsidP="005D5E97">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A36660">
        <w:rPr>
          <w:rFonts w:ascii="Aptos" w:eastAsia="Aptos" w:hAnsi="Aptos" w:cs="Times New Roman"/>
          <w:color w:val="auto"/>
          <w:kern w:val="2"/>
          <w:sz w:val="24"/>
          <w:szCs w:val="24"/>
          <w:lang w:eastAsia="en-US"/>
          <w14:ligatures w14:val="standardContextual"/>
        </w:rPr>
        <w:t>Social Care Wales (2017) </w:t>
      </w:r>
      <w:r w:rsidRPr="00A36660">
        <w:rPr>
          <w:rFonts w:ascii="Aptos" w:eastAsia="Aptos" w:hAnsi="Aptos" w:cs="Times New Roman"/>
          <w:i/>
          <w:iCs/>
          <w:color w:val="auto"/>
          <w:kern w:val="2"/>
          <w:sz w:val="24"/>
          <w:szCs w:val="24"/>
          <w:lang w:eastAsia="en-US"/>
          <w14:ligatures w14:val="standardContextual"/>
        </w:rPr>
        <w:t>Code of Professional Practice for Social Care</w:t>
      </w:r>
      <w:r w:rsidRPr="00A36660">
        <w:rPr>
          <w:rFonts w:ascii="Aptos" w:eastAsia="Aptos" w:hAnsi="Aptos" w:cs="Times New Roman"/>
          <w:color w:val="auto"/>
          <w:kern w:val="2"/>
          <w:sz w:val="24"/>
          <w:szCs w:val="24"/>
          <w:lang w:eastAsia="en-US"/>
          <w14:ligatures w14:val="standardContextual"/>
        </w:rPr>
        <w:t>. Cardiff: Social Care Wales. ISBN: 978-1-911463-28-3. Available at: https://socialcare.wales/cms-assets/documents/Code-of-Professional-Practice-for-Social-Care-web-version.pdf (Accessed: 17 September 2025).</w:t>
      </w:r>
    </w:p>
    <w:p w14:paraId="1C84AAA9" w14:textId="61D5CE98" w:rsidR="000D4483" w:rsidRPr="004125DA" w:rsidRDefault="001163FE" w:rsidP="005D5E97">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1163FE">
        <w:rPr>
          <w:rFonts w:ascii="Aptos" w:eastAsia="Aptos" w:hAnsi="Aptos" w:cs="Times New Roman"/>
          <w:color w:val="auto"/>
          <w:kern w:val="2"/>
          <w:sz w:val="24"/>
          <w:szCs w:val="24"/>
          <w:lang w:eastAsia="en-US"/>
          <w14:ligatures w14:val="standardContextual"/>
        </w:rPr>
        <w:t xml:space="preserve">Welsh Government (2012) </w:t>
      </w:r>
      <w:r w:rsidRPr="001163FE">
        <w:rPr>
          <w:rFonts w:ascii="Aptos" w:eastAsia="Aptos" w:hAnsi="Aptos" w:cs="Times New Roman"/>
          <w:i/>
          <w:iCs/>
          <w:color w:val="auto"/>
          <w:kern w:val="2"/>
          <w:sz w:val="24"/>
          <w:szCs w:val="24"/>
          <w:lang w:eastAsia="en-US"/>
          <w14:ligatures w14:val="standardContextual"/>
        </w:rPr>
        <w:t>More than just words… Strategic Framework for Welsh Language Services in Health, Social Services and Social Care</w:t>
      </w:r>
      <w:r w:rsidRPr="001163FE">
        <w:rPr>
          <w:rFonts w:ascii="Aptos" w:eastAsia="Aptos" w:hAnsi="Aptos" w:cs="Times New Roman"/>
          <w:color w:val="auto"/>
          <w:kern w:val="2"/>
          <w:sz w:val="24"/>
          <w:szCs w:val="24"/>
          <w:lang w:eastAsia="en-US"/>
          <w14:ligatures w14:val="standardContextual"/>
        </w:rPr>
        <w:t>. Cardiff: Welsh Government. Available at: https://www.gov.wales/written-statement-more-just-words-strategic-framework-welsh-language-services-health-social (Accessed: 17 September 2025).</w:t>
      </w:r>
    </w:p>
    <w:p w14:paraId="5F664836" w14:textId="77777777" w:rsidR="005D5E97" w:rsidRPr="00E634A7" w:rsidRDefault="005D5E97" w:rsidP="00FF7EBB">
      <w:pPr>
        <w:jc w:val="both"/>
        <w:rPr>
          <w:b/>
          <w:bCs/>
          <w:sz w:val="24"/>
          <w:szCs w:val="24"/>
          <w:u w:val="single"/>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1F9A2767" w14:textId="77777777" w:rsidR="00E634A7" w:rsidRDefault="00E634A7" w:rsidP="00FF7EBB">
      <w:pPr>
        <w:jc w:val="both"/>
        <w:rPr>
          <w:sz w:val="24"/>
          <w:szCs w:val="24"/>
        </w:rPr>
      </w:pPr>
    </w:p>
    <w:p w14:paraId="5B8BC1BD" w14:textId="30854C9B" w:rsidR="00E634A7" w:rsidRPr="00E634A7" w:rsidRDefault="00E634A7" w:rsidP="00FF7EBB">
      <w:pPr>
        <w:jc w:val="both"/>
        <w:rPr>
          <w:b/>
          <w:bCs/>
          <w:sz w:val="24"/>
          <w:szCs w:val="24"/>
          <w:u w:val="single"/>
        </w:rPr>
      </w:pPr>
      <w:r w:rsidRPr="00E634A7">
        <w:rPr>
          <w:b/>
          <w:bCs/>
          <w:sz w:val="24"/>
          <w:szCs w:val="24"/>
          <w:u w:val="single"/>
        </w:rPr>
        <w:t>Task 3.</w:t>
      </w:r>
    </w:p>
    <w:p w14:paraId="51AD639A" w14:textId="77777777" w:rsidR="00EB695F" w:rsidRDefault="00EB695F" w:rsidP="00FF7EBB">
      <w:pPr>
        <w:jc w:val="both"/>
        <w:rPr>
          <w:sz w:val="24"/>
          <w:szCs w:val="24"/>
        </w:rPr>
      </w:pPr>
    </w:p>
    <w:p w14:paraId="7C6CED82"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Banks, S. (2012). </w:t>
      </w:r>
      <w:r w:rsidRPr="004125DA">
        <w:rPr>
          <w:rFonts w:ascii="Aptos" w:eastAsia="Aptos" w:hAnsi="Aptos" w:cs="Times New Roman"/>
          <w:i/>
          <w:iCs/>
          <w:color w:val="auto"/>
          <w:kern w:val="2"/>
          <w:sz w:val="24"/>
          <w:szCs w:val="24"/>
          <w:lang w:eastAsia="en-US"/>
          <w14:ligatures w14:val="standardContextual"/>
        </w:rPr>
        <w:t>Ethics and Values in Social Work</w:t>
      </w:r>
      <w:r w:rsidRPr="004125DA">
        <w:rPr>
          <w:rFonts w:ascii="Aptos" w:eastAsia="Aptos" w:hAnsi="Aptos" w:cs="Times New Roman"/>
          <w:color w:val="auto"/>
          <w:kern w:val="2"/>
          <w:sz w:val="24"/>
          <w:szCs w:val="24"/>
          <w:lang w:eastAsia="en-US"/>
          <w14:ligatures w14:val="standardContextual"/>
        </w:rPr>
        <w:t> (4th ed.). Basingstoke: Palgrave Macmillan.</w:t>
      </w:r>
    </w:p>
    <w:p w14:paraId="79E08092"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Bowlby, J. and Ainsworth, M.D.S. (1992) ‘The origins of attachment theory’, in Bretherton, I. </w:t>
      </w:r>
      <w:r w:rsidRPr="004125DA">
        <w:rPr>
          <w:rFonts w:ascii="Aptos" w:eastAsia="Aptos" w:hAnsi="Aptos" w:cs="Times New Roman"/>
          <w:i/>
          <w:iCs/>
          <w:color w:val="auto"/>
          <w:kern w:val="2"/>
          <w:sz w:val="24"/>
          <w:szCs w:val="24"/>
          <w:lang w:eastAsia="en-US"/>
          <w14:ligatures w14:val="standardContextual"/>
        </w:rPr>
        <w:t>Developmental Psychology</w:t>
      </w:r>
      <w:r w:rsidRPr="004125DA">
        <w:rPr>
          <w:rFonts w:ascii="Aptos" w:eastAsia="Aptos" w:hAnsi="Aptos" w:cs="Times New Roman"/>
          <w:color w:val="auto"/>
          <w:kern w:val="2"/>
          <w:sz w:val="24"/>
          <w:szCs w:val="24"/>
          <w:lang w:eastAsia="en-US"/>
          <w14:ligatures w14:val="standardContextual"/>
        </w:rPr>
        <w:t xml:space="preserve">, 28(5), pp. 759–775. </w:t>
      </w:r>
    </w:p>
    <w:p w14:paraId="34B1540E"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British Association of Social Workers (n.d.) </w:t>
      </w:r>
      <w:r w:rsidRPr="004125DA">
        <w:rPr>
          <w:rFonts w:ascii="Aptos" w:eastAsia="Aptos" w:hAnsi="Aptos" w:cs="Times New Roman"/>
          <w:i/>
          <w:iCs/>
          <w:color w:val="auto"/>
          <w:kern w:val="2"/>
          <w:sz w:val="24"/>
          <w:szCs w:val="24"/>
          <w:lang w:eastAsia="en-US"/>
          <w14:ligatures w14:val="standardContextual"/>
        </w:rPr>
        <w:t>Professional Capabilities Framework (PCF)</w:t>
      </w:r>
      <w:r w:rsidRPr="004125DA">
        <w:rPr>
          <w:rFonts w:ascii="Aptos" w:eastAsia="Aptos" w:hAnsi="Aptos" w:cs="Times New Roman"/>
          <w:color w:val="auto"/>
          <w:kern w:val="2"/>
          <w:sz w:val="24"/>
          <w:szCs w:val="24"/>
          <w:lang w:eastAsia="en-US"/>
          <w14:ligatures w14:val="standardContextual"/>
        </w:rPr>
        <w:t>. Available at: https://www.basw.co.uk/training-cpd/professional-capabilities-framework-pcf (Accessed: 11 September 2025).</w:t>
      </w:r>
    </w:p>
    <w:p w14:paraId="11F27009"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British Association of Social Workers (BASW) England Children and Families Group (2020) </w:t>
      </w:r>
      <w:r w:rsidRPr="004125DA">
        <w:rPr>
          <w:rFonts w:ascii="Aptos" w:eastAsia="Aptos" w:hAnsi="Aptos" w:cs="Times New Roman"/>
          <w:i/>
          <w:iCs/>
          <w:color w:val="auto"/>
          <w:kern w:val="2"/>
          <w:sz w:val="24"/>
          <w:szCs w:val="24"/>
          <w:lang w:eastAsia="en-US"/>
          <w14:ligatures w14:val="standardContextual"/>
        </w:rPr>
        <w:t>The context, roles and tasks of the child and family social worker</w:t>
      </w:r>
      <w:r w:rsidRPr="004125DA">
        <w:rPr>
          <w:rFonts w:ascii="Aptos" w:eastAsia="Aptos" w:hAnsi="Aptos" w:cs="Times New Roman"/>
          <w:color w:val="auto"/>
          <w:kern w:val="2"/>
          <w:sz w:val="24"/>
          <w:szCs w:val="24"/>
          <w:lang w:eastAsia="en-US"/>
          <w14:ligatures w14:val="standardContextual"/>
        </w:rPr>
        <w:t>. Birmingham: BASW. Available at: https://basw.co.uk/sites/default/files/resources/basw_england_-_children_and_families_practice_policy_and_education_group_role_of_a_child_and_family_social_worker_v2_september_2020.pdf (Accessed: 11 September 2025)</w:t>
      </w:r>
    </w:p>
    <w:p w14:paraId="1CC0BFAC"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Cafcass Cymru (2019) </w:t>
      </w:r>
      <w:r w:rsidRPr="004125DA">
        <w:rPr>
          <w:rFonts w:ascii="Aptos" w:eastAsia="Aptos" w:hAnsi="Aptos" w:cs="Times New Roman"/>
          <w:i/>
          <w:iCs/>
          <w:color w:val="auto"/>
          <w:kern w:val="2"/>
          <w:sz w:val="24"/>
          <w:szCs w:val="24"/>
          <w:lang w:eastAsia="en-US"/>
          <w14:ligatures w14:val="standardContextual"/>
        </w:rPr>
        <w:t>Impact on children of experiencing domestic abuse</w:t>
      </w:r>
      <w:r w:rsidRPr="004125DA">
        <w:rPr>
          <w:rFonts w:ascii="Aptos" w:eastAsia="Aptos" w:hAnsi="Aptos" w:cs="Times New Roman"/>
          <w:color w:val="auto"/>
          <w:kern w:val="2"/>
          <w:sz w:val="24"/>
          <w:szCs w:val="24"/>
          <w:lang w:eastAsia="en-US"/>
          <w14:ligatures w14:val="standardContextual"/>
        </w:rPr>
        <w:t>. Cardiff: Welsh Government. Available at: https://www.gov.wales/sites/default/files/publications/2019-08/cafcass-cymru-impact-on%20children-experiencing-domestic-abuse.pdf (Accessed: 11 September 2025).</w:t>
      </w:r>
    </w:p>
    <w:p w14:paraId="2985D804"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Children Act 1989, c.41. Available at: https://www.legislation.gov.uk/ukpga/1989/41/contents (Accessed: 11 September 2025).</w:t>
      </w:r>
    </w:p>
    <w:p w14:paraId="0EBCE394"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Children Act 2004, c.31. Available at: https://www.legislation.gov.uk/ukpga/2004/31/contents (Accessed: 11 September 2025).</w:t>
      </w:r>
    </w:p>
    <w:p w14:paraId="7F735B3C"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lastRenderedPageBreak/>
        <w:t>Council of Europe (1950) </w:t>
      </w:r>
      <w:r w:rsidRPr="004125DA">
        <w:rPr>
          <w:rFonts w:ascii="Aptos" w:eastAsia="Aptos" w:hAnsi="Aptos" w:cs="Times New Roman"/>
          <w:i/>
          <w:iCs/>
          <w:color w:val="auto"/>
          <w:kern w:val="2"/>
          <w:sz w:val="24"/>
          <w:szCs w:val="24"/>
          <w:lang w:eastAsia="en-US"/>
          <w14:ligatures w14:val="standardContextual"/>
        </w:rPr>
        <w:t>European Convention on Human Rights</w:t>
      </w:r>
      <w:r w:rsidRPr="004125DA">
        <w:rPr>
          <w:rFonts w:ascii="Aptos" w:eastAsia="Aptos" w:hAnsi="Aptos" w:cs="Times New Roman"/>
          <w:color w:val="auto"/>
          <w:kern w:val="2"/>
          <w:sz w:val="24"/>
          <w:szCs w:val="24"/>
          <w:lang w:eastAsia="en-US"/>
          <w14:ligatures w14:val="standardContextual"/>
        </w:rPr>
        <w:t>. Rome: Council of Europe. Available at: https://www.echr.coe.int/documents/d/echr/Convention_ENG (Accessed: 11 September 2025).</w:t>
      </w:r>
    </w:p>
    <w:p w14:paraId="07800F07"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Department for Education (2023) </w:t>
      </w:r>
      <w:r w:rsidRPr="004125DA">
        <w:rPr>
          <w:rFonts w:ascii="Aptos" w:eastAsia="Aptos" w:hAnsi="Aptos" w:cs="Times New Roman"/>
          <w:i/>
          <w:iCs/>
          <w:color w:val="auto"/>
          <w:kern w:val="2"/>
          <w:sz w:val="24"/>
          <w:szCs w:val="24"/>
          <w:lang w:eastAsia="en-US"/>
          <w14:ligatures w14:val="standardContextual"/>
        </w:rPr>
        <w:t>Working Together to Safeguard Children: Statutory guidance on multi-agency working to help, support and protect children</w:t>
      </w:r>
      <w:r w:rsidRPr="004125DA">
        <w:rPr>
          <w:rFonts w:ascii="Aptos" w:eastAsia="Aptos" w:hAnsi="Aptos" w:cs="Times New Roman"/>
          <w:color w:val="auto"/>
          <w:kern w:val="2"/>
          <w:sz w:val="24"/>
          <w:szCs w:val="24"/>
          <w:lang w:eastAsia="en-US"/>
          <w14:ligatures w14:val="standardContextual"/>
        </w:rPr>
        <w:t>. London: HM Government. Available at: https://www.gov.uk/government/publications/working-together-to-safeguard-children--2 (Accessed: 11 September 2025).</w:t>
      </w:r>
    </w:p>
    <w:p w14:paraId="56CD2754"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Equality Act 2010, c.15. Available at: https://www.legislation.gov.uk/ukpga/2010/15 (Accessed: 11 September 2025).</w:t>
      </w:r>
    </w:p>
    <w:p w14:paraId="176AACAA"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Estyn (2020) </w:t>
      </w:r>
      <w:r w:rsidRPr="004125DA">
        <w:rPr>
          <w:rFonts w:ascii="Aptos" w:eastAsia="Aptos" w:hAnsi="Aptos" w:cs="Times New Roman"/>
          <w:i/>
          <w:iCs/>
          <w:color w:val="auto"/>
          <w:kern w:val="2"/>
          <w:sz w:val="24"/>
          <w:szCs w:val="24"/>
          <w:lang w:eastAsia="en-US"/>
          <w14:ligatures w14:val="standardContextual"/>
        </w:rPr>
        <w:t>Adverse childhood experiences (ACEs) – how can schools support children and young people who live in difficult circumstances?</w:t>
      </w:r>
      <w:r w:rsidRPr="004125DA">
        <w:rPr>
          <w:rFonts w:ascii="Aptos" w:eastAsia="Aptos" w:hAnsi="Aptos" w:cs="Times New Roman"/>
          <w:color w:val="auto"/>
          <w:kern w:val="2"/>
          <w:sz w:val="24"/>
          <w:szCs w:val="24"/>
          <w:lang w:eastAsia="en-US"/>
          <w14:ligatures w14:val="standardContextual"/>
        </w:rPr>
        <w:t> Available at: https://estyn.gov.wales/blog/adverse-childhood-experiences-aces-how-can-schools-support-children-and-young-people-who-live-in-difficult-circumstances (Accessed: 11 September 2025)</w:t>
      </w:r>
    </w:p>
    <w:p w14:paraId="726EC5DA"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Hooper, C.-A., Gorin, S., Cabral, C. and Dyson, C. (2007) </w:t>
      </w:r>
      <w:r w:rsidRPr="004125DA">
        <w:rPr>
          <w:rFonts w:ascii="Aptos" w:eastAsia="Aptos" w:hAnsi="Aptos" w:cs="Times New Roman"/>
          <w:i/>
          <w:iCs/>
          <w:color w:val="auto"/>
          <w:kern w:val="2"/>
          <w:sz w:val="24"/>
          <w:szCs w:val="24"/>
          <w:lang w:eastAsia="en-US"/>
          <w14:ligatures w14:val="standardContextual"/>
        </w:rPr>
        <w:t>Living with hardship 24/7: The diverse experiences of families in poverty in England</w:t>
      </w:r>
      <w:r w:rsidRPr="004125DA">
        <w:rPr>
          <w:rFonts w:ascii="Aptos" w:eastAsia="Aptos" w:hAnsi="Aptos" w:cs="Times New Roman"/>
          <w:color w:val="auto"/>
          <w:kern w:val="2"/>
          <w:sz w:val="24"/>
          <w:szCs w:val="24"/>
          <w:lang w:eastAsia="en-US"/>
          <w14:ligatures w14:val="standardContextual"/>
        </w:rPr>
        <w:t>. London: The Frank Buttle Trust. Available at: https://www.researchgate.net/publication/237123137_Living_in_hardship_247_The_diverse_experiences_of_families_in_poverty_in_England (Accessed: 11 September 2025)</w:t>
      </w:r>
    </w:p>
    <w:p w14:paraId="1EA94312"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Levenson, J. (2017). </w:t>
      </w:r>
      <w:r w:rsidRPr="004125DA">
        <w:rPr>
          <w:rFonts w:ascii="Aptos" w:eastAsia="Aptos" w:hAnsi="Aptos" w:cs="Times New Roman"/>
          <w:i/>
          <w:iCs/>
          <w:color w:val="auto"/>
          <w:kern w:val="2"/>
          <w:sz w:val="24"/>
          <w:szCs w:val="24"/>
          <w:lang w:eastAsia="en-US"/>
          <w14:ligatures w14:val="standardContextual"/>
        </w:rPr>
        <w:t>Trauma-Informed Social Work Practice</w:t>
      </w:r>
      <w:r w:rsidRPr="004125DA">
        <w:rPr>
          <w:rFonts w:ascii="Aptos" w:eastAsia="Aptos" w:hAnsi="Aptos" w:cs="Times New Roman"/>
          <w:color w:val="auto"/>
          <w:kern w:val="2"/>
          <w:sz w:val="24"/>
          <w:szCs w:val="24"/>
          <w:lang w:eastAsia="en-US"/>
          <w14:ligatures w14:val="standardContextual"/>
        </w:rPr>
        <w:t>. </w:t>
      </w:r>
      <w:r w:rsidRPr="004125DA">
        <w:rPr>
          <w:rFonts w:ascii="Aptos" w:eastAsia="Aptos" w:hAnsi="Aptos" w:cs="Times New Roman"/>
          <w:i/>
          <w:iCs/>
          <w:color w:val="auto"/>
          <w:kern w:val="2"/>
          <w:sz w:val="24"/>
          <w:szCs w:val="24"/>
          <w:lang w:eastAsia="en-US"/>
          <w14:ligatures w14:val="standardContextual"/>
        </w:rPr>
        <w:t>Social Work</w:t>
      </w:r>
      <w:r w:rsidRPr="004125DA">
        <w:rPr>
          <w:rFonts w:ascii="Aptos" w:eastAsia="Aptos" w:hAnsi="Aptos" w:cs="Times New Roman"/>
          <w:color w:val="auto"/>
          <w:kern w:val="2"/>
          <w:sz w:val="24"/>
          <w:szCs w:val="24"/>
          <w:lang w:eastAsia="en-US"/>
          <w14:ligatures w14:val="standardContextual"/>
        </w:rPr>
        <w:t>, 62(2), 105–113. </w:t>
      </w:r>
    </w:p>
    <w:p w14:paraId="5E7EBB37"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McManus, M.A., Ball, E. and Almond, L. (2023). </w:t>
      </w:r>
      <w:r w:rsidRPr="004125DA">
        <w:rPr>
          <w:rFonts w:ascii="Aptos" w:eastAsia="Aptos" w:hAnsi="Aptos" w:cs="Times New Roman"/>
          <w:i/>
          <w:iCs/>
          <w:color w:val="auto"/>
          <w:kern w:val="2"/>
          <w:sz w:val="24"/>
          <w:szCs w:val="24"/>
          <w:lang w:eastAsia="en-US"/>
          <w14:ligatures w14:val="standardContextual"/>
        </w:rPr>
        <w:t>Risk, response and review: multi-agency safeguarding</w:t>
      </w:r>
      <w:r w:rsidRPr="004125DA">
        <w:rPr>
          <w:rFonts w:ascii="Aptos" w:eastAsia="Aptos" w:hAnsi="Aptos" w:cs="Times New Roman"/>
          <w:color w:val="auto"/>
          <w:kern w:val="2"/>
          <w:sz w:val="24"/>
          <w:szCs w:val="24"/>
          <w:lang w:eastAsia="en-US"/>
          <w14:ligatures w14:val="standardContextual"/>
        </w:rPr>
        <w:t xml:space="preserve">. Cardiff: National Independent Safeguarding Board. </w:t>
      </w:r>
    </w:p>
    <w:p w14:paraId="3EE1173B"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National Assembly for Wales (2015) </w:t>
      </w:r>
      <w:r w:rsidRPr="004125DA">
        <w:rPr>
          <w:rFonts w:ascii="Aptos" w:eastAsia="Aptos" w:hAnsi="Aptos" w:cs="Times New Roman"/>
          <w:i/>
          <w:iCs/>
          <w:color w:val="auto"/>
          <w:kern w:val="2"/>
          <w:sz w:val="24"/>
          <w:szCs w:val="24"/>
          <w:lang w:eastAsia="en-US"/>
          <w14:ligatures w14:val="standardContextual"/>
        </w:rPr>
        <w:t>Well-being of Future Generations (Wales) Act 2015</w:t>
      </w:r>
      <w:r w:rsidRPr="004125DA">
        <w:rPr>
          <w:rFonts w:ascii="Aptos" w:eastAsia="Aptos" w:hAnsi="Aptos" w:cs="Times New Roman"/>
          <w:color w:val="auto"/>
          <w:kern w:val="2"/>
          <w:sz w:val="24"/>
          <w:szCs w:val="24"/>
          <w:lang w:eastAsia="en-US"/>
          <w14:ligatures w14:val="standardContextual"/>
        </w:rPr>
        <w:t>. Available at: https://www.legislation.gov.uk/anaw/2015/2/contents (Accessed: 11 September 2025).</w:t>
      </w:r>
    </w:p>
    <w:p w14:paraId="5C44FBA3"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O’Connor, R. (2020) </w:t>
      </w:r>
      <w:r w:rsidRPr="004125DA">
        <w:rPr>
          <w:rFonts w:ascii="Aptos" w:eastAsia="Aptos" w:hAnsi="Aptos" w:cs="Times New Roman"/>
          <w:i/>
          <w:iCs/>
          <w:color w:val="auto"/>
          <w:kern w:val="2"/>
          <w:sz w:val="24"/>
          <w:szCs w:val="24"/>
          <w:lang w:eastAsia="en-US"/>
          <w14:ligatures w14:val="standardContextual"/>
        </w:rPr>
        <w:t>Alcohol dependence and mental health</w:t>
      </w:r>
      <w:r w:rsidRPr="004125DA">
        <w:rPr>
          <w:rFonts w:ascii="Aptos" w:eastAsia="Aptos" w:hAnsi="Aptos" w:cs="Times New Roman"/>
          <w:color w:val="auto"/>
          <w:kern w:val="2"/>
          <w:sz w:val="24"/>
          <w:szCs w:val="24"/>
          <w:lang w:eastAsia="en-US"/>
          <w14:ligatures w14:val="standardContextual"/>
        </w:rPr>
        <w:t>. UK Health Security Agency Blog, 17 November. Available at: https://ukhsa.blog.gov.uk/2020/11/17/alcohol-dependence-and-mental-health/ (Accessed: 11 September 2025).</w:t>
      </w:r>
    </w:p>
    <w:p w14:paraId="5D7687CF"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proofErr w:type="spellStart"/>
      <w:r w:rsidRPr="004125DA">
        <w:rPr>
          <w:rFonts w:ascii="Aptos" w:eastAsia="Aptos" w:hAnsi="Aptos" w:cs="Times New Roman"/>
          <w:color w:val="auto"/>
          <w:kern w:val="2"/>
          <w:sz w:val="24"/>
          <w:szCs w:val="24"/>
          <w:lang w:eastAsia="en-US"/>
          <w14:ligatures w14:val="standardContextual"/>
        </w:rPr>
        <w:t>Perôt</w:t>
      </w:r>
      <w:proofErr w:type="spellEnd"/>
      <w:r w:rsidRPr="004125DA">
        <w:rPr>
          <w:rFonts w:ascii="Aptos" w:eastAsia="Aptos" w:hAnsi="Aptos" w:cs="Times New Roman"/>
          <w:color w:val="auto"/>
          <w:kern w:val="2"/>
          <w:sz w:val="24"/>
          <w:szCs w:val="24"/>
          <w:lang w:eastAsia="en-US"/>
          <w14:ligatures w14:val="standardContextual"/>
        </w:rPr>
        <w:t xml:space="preserve">, C., </w:t>
      </w:r>
      <w:proofErr w:type="spellStart"/>
      <w:r w:rsidRPr="004125DA">
        <w:rPr>
          <w:rFonts w:ascii="Aptos" w:eastAsia="Aptos" w:hAnsi="Aptos" w:cs="Times New Roman"/>
          <w:color w:val="auto"/>
          <w:kern w:val="2"/>
          <w:sz w:val="24"/>
          <w:szCs w:val="24"/>
          <w:lang w:eastAsia="en-US"/>
          <w14:ligatures w14:val="standardContextual"/>
        </w:rPr>
        <w:t>Chevous</w:t>
      </w:r>
      <w:proofErr w:type="spellEnd"/>
      <w:r w:rsidRPr="004125DA">
        <w:rPr>
          <w:rFonts w:ascii="Aptos" w:eastAsia="Aptos" w:hAnsi="Aptos" w:cs="Times New Roman"/>
          <w:color w:val="auto"/>
          <w:kern w:val="2"/>
          <w:sz w:val="24"/>
          <w:szCs w:val="24"/>
          <w:lang w:eastAsia="en-US"/>
          <w14:ligatures w14:val="standardContextual"/>
        </w:rPr>
        <w:t>, J. and the Survivors’ Voices Research Group (2018). </w:t>
      </w:r>
      <w:r w:rsidRPr="004125DA">
        <w:rPr>
          <w:rFonts w:ascii="Aptos" w:eastAsia="Aptos" w:hAnsi="Aptos" w:cs="Times New Roman"/>
          <w:i/>
          <w:iCs/>
          <w:color w:val="auto"/>
          <w:kern w:val="2"/>
          <w:sz w:val="24"/>
          <w:szCs w:val="24"/>
          <w:lang w:eastAsia="en-US"/>
          <w14:ligatures w14:val="standardContextual"/>
        </w:rPr>
        <w:t>Embedding trauma-informed approaches in adult social care</w:t>
      </w:r>
      <w:r w:rsidRPr="004125DA">
        <w:rPr>
          <w:rFonts w:ascii="Aptos" w:eastAsia="Aptos" w:hAnsi="Aptos" w:cs="Times New Roman"/>
          <w:color w:val="auto"/>
          <w:kern w:val="2"/>
          <w:sz w:val="24"/>
          <w:szCs w:val="24"/>
          <w:lang w:eastAsia="en-US"/>
          <w14:ligatures w14:val="standardContextual"/>
        </w:rPr>
        <w:t>. Research in Practice for Adults. Available at: https://www.researchinpractice.org.uk/media/hj0k0021/ripfa_embedding_trauma-informed_approaches_frontline_briefing_web.pdf. (Accessed: 11 September 2025).</w:t>
      </w:r>
    </w:p>
    <w:p w14:paraId="27450A1C"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Public Health England (2016) </w:t>
      </w:r>
      <w:r w:rsidRPr="004125DA">
        <w:rPr>
          <w:rFonts w:ascii="Aptos" w:eastAsia="Aptos" w:hAnsi="Aptos" w:cs="Times New Roman"/>
          <w:i/>
          <w:iCs/>
          <w:color w:val="auto"/>
          <w:kern w:val="2"/>
          <w:sz w:val="24"/>
          <w:szCs w:val="24"/>
          <w:lang w:eastAsia="en-US"/>
          <w14:ligatures w14:val="standardContextual"/>
        </w:rPr>
        <w:t>Health matters: harmful drinking and alcohol dependence</w:t>
      </w:r>
      <w:r w:rsidRPr="004125DA">
        <w:rPr>
          <w:rFonts w:ascii="Aptos" w:eastAsia="Aptos" w:hAnsi="Aptos" w:cs="Times New Roman"/>
          <w:color w:val="auto"/>
          <w:kern w:val="2"/>
          <w:sz w:val="24"/>
          <w:szCs w:val="24"/>
          <w:lang w:eastAsia="en-US"/>
          <w14:ligatures w14:val="standardContextual"/>
        </w:rPr>
        <w:t>. Available at: https://www.gov.uk/government/publications/health-matters-harmful-drinking-and-alcohol-dependence/health-matters-harmful-drinking-and-alcohol-dependence (Accessed: 11 September 2025).</w:t>
      </w:r>
    </w:p>
    <w:p w14:paraId="1EA19BF5"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lastRenderedPageBreak/>
        <w:t>Social Care Wales (2011) </w:t>
      </w:r>
      <w:r w:rsidRPr="004125DA">
        <w:rPr>
          <w:rFonts w:ascii="Aptos" w:eastAsia="Aptos" w:hAnsi="Aptos" w:cs="Times New Roman"/>
          <w:i/>
          <w:iCs/>
          <w:color w:val="auto"/>
          <w:kern w:val="2"/>
          <w:sz w:val="24"/>
          <w:szCs w:val="24"/>
          <w:lang w:eastAsia="en-US"/>
          <w14:ligatures w14:val="standardContextual"/>
        </w:rPr>
        <w:t>National occupational standards for social work</w:t>
      </w:r>
      <w:r w:rsidRPr="004125DA">
        <w:rPr>
          <w:rFonts w:ascii="Aptos" w:eastAsia="Aptos" w:hAnsi="Aptos" w:cs="Times New Roman"/>
          <w:color w:val="auto"/>
          <w:kern w:val="2"/>
          <w:sz w:val="24"/>
          <w:szCs w:val="24"/>
          <w:lang w:eastAsia="en-US"/>
          <w14:ligatures w14:val="standardContextual"/>
        </w:rPr>
        <w:t>. Available at: https://socialcare.wales/nos-areas/social-work (Accessed: 11 September 2025).</w:t>
      </w:r>
    </w:p>
    <w:p w14:paraId="38E8B9EE"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 xml:space="preserve">Social Services and Well-being (Wales) Act 2014, </w:t>
      </w:r>
      <w:proofErr w:type="spellStart"/>
      <w:r w:rsidRPr="004125DA">
        <w:rPr>
          <w:rFonts w:ascii="Aptos" w:eastAsia="Aptos" w:hAnsi="Aptos" w:cs="Times New Roman"/>
          <w:color w:val="auto"/>
          <w:kern w:val="2"/>
          <w:sz w:val="24"/>
          <w:szCs w:val="24"/>
          <w:lang w:eastAsia="en-US"/>
          <w14:ligatures w14:val="standardContextual"/>
        </w:rPr>
        <w:t>anaw</w:t>
      </w:r>
      <w:proofErr w:type="spellEnd"/>
      <w:r w:rsidRPr="004125DA">
        <w:rPr>
          <w:rFonts w:ascii="Aptos" w:eastAsia="Aptos" w:hAnsi="Aptos" w:cs="Times New Roman"/>
          <w:color w:val="auto"/>
          <w:kern w:val="2"/>
          <w:sz w:val="24"/>
          <w:szCs w:val="24"/>
          <w:lang w:eastAsia="en-US"/>
          <w14:ligatures w14:val="standardContextual"/>
        </w:rPr>
        <w:t xml:space="preserve"> 4. Available at: https://www.legislation.gov.uk/anaw/2014/4 (Accessed: 11 September 2025)</w:t>
      </w:r>
    </w:p>
    <w:p w14:paraId="5331B494"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UK Government (1998) </w:t>
      </w:r>
      <w:r w:rsidRPr="004125DA">
        <w:rPr>
          <w:rFonts w:ascii="Aptos" w:eastAsia="Aptos" w:hAnsi="Aptos" w:cs="Times New Roman"/>
          <w:i/>
          <w:iCs/>
          <w:color w:val="auto"/>
          <w:kern w:val="2"/>
          <w:sz w:val="24"/>
          <w:szCs w:val="24"/>
          <w:lang w:eastAsia="en-US"/>
          <w14:ligatures w14:val="standardContextual"/>
        </w:rPr>
        <w:t>Human Rights Act 1998, c.42</w:t>
      </w:r>
      <w:r w:rsidRPr="004125DA">
        <w:rPr>
          <w:rFonts w:ascii="Aptos" w:eastAsia="Aptos" w:hAnsi="Aptos" w:cs="Times New Roman"/>
          <w:color w:val="auto"/>
          <w:kern w:val="2"/>
          <w:sz w:val="24"/>
          <w:szCs w:val="24"/>
          <w:lang w:eastAsia="en-US"/>
          <w14:ligatures w14:val="standardContextual"/>
        </w:rPr>
        <w:t>. Available at: https://www.legislation.gov.uk/ukpga/1998/42 (Accessed: 11 September 2025).</w:t>
      </w:r>
    </w:p>
    <w:p w14:paraId="34E978CB"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UK Government (2016) </w:t>
      </w:r>
      <w:r w:rsidRPr="004125DA">
        <w:rPr>
          <w:rFonts w:ascii="Aptos" w:eastAsia="Aptos" w:hAnsi="Aptos" w:cs="Times New Roman"/>
          <w:i/>
          <w:iCs/>
          <w:color w:val="auto"/>
          <w:kern w:val="2"/>
          <w:sz w:val="24"/>
          <w:szCs w:val="24"/>
          <w:lang w:eastAsia="en-US"/>
          <w14:ligatures w14:val="standardContextual"/>
        </w:rPr>
        <w:t>Regulation (EU) 2016/679 of the European Parliament and of the Council (UK General Data Protection Regulation)</w:t>
      </w:r>
      <w:r w:rsidRPr="004125DA">
        <w:rPr>
          <w:rFonts w:ascii="Aptos" w:eastAsia="Aptos" w:hAnsi="Aptos" w:cs="Times New Roman"/>
          <w:color w:val="auto"/>
          <w:kern w:val="2"/>
          <w:sz w:val="24"/>
          <w:szCs w:val="24"/>
          <w:lang w:eastAsia="en-US"/>
          <w14:ligatures w14:val="standardContextual"/>
        </w:rPr>
        <w:t>. Available at: https://www.legislation.gov.uk/eur/2016/679/contents (Accessed: 11 September 2025).</w:t>
      </w:r>
    </w:p>
    <w:p w14:paraId="7BCBD437"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UK Government (2018) </w:t>
      </w:r>
      <w:r w:rsidRPr="004125DA">
        <w:rPr>
          <w:rFonts w:ascii="Aptos" w:eastAsia="Aptos" w:hAnsi="Aptos" w:cs="Times New Roman"/>
          <w:i/>
          <w:iCs/>
          <w:color w:val="auto"/>
          <w:kern w:val="2"/>
          <w:sz w:val="24"/>
          <w:szCs w:val="24"/>
          <w:lang w:eastAsia="en-US"/>
          <w14:ligatures w14:val="standardContextual"/>
        </w:rPr>
        <w:t>European Union (Withdrawal) Act 2018, c.16</w:t>
      </w:r>
      <w:r w:rsidRPr="004125DA">
        <w:rPr>
          <w:rFonts w:ascii="Aptos" w:eastAsia="Aptos" w:hAnsi="Aptos" w:cs="Times New Roman"/>
          <w:color w:val="auto"/>
          <w:kern w:val="2"/>
          <w:sz w:val="24"/>
          <w:szCs w:val="24"/>
          <w:lang w:eastAsia="en-US"/>
          <w14:ligatures w14:val="standardContextual"/>
        </w:rPr>
        <w:t>. Available at: https://www.legislation.gov.uk/ukpga/2018/16/contents (Accessed: 11 September 2025)</w:t>
      </w:r>
    </w:p>
    <w:p w14:paraId="55994554"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United Nations (1989) </w:t>
      </w:r>
      <w:r w:rsidRPr="004125DA">
        <w:rPr>
          <w:rFonts w:ascii="Aptos" w:eastAsia="Aptos" w:hAnsi="Aptos" w:cs="Times New Roman"/>
          <w:i/>
          <w:iCs/>
          <w:color w:val="auto"/>
          <w:kern w:val="2"/>
          <w:sz w:val="24"/>
          <w:szCs w:val="24"/>
          <w:lang w:eastAsia="en-US"/>
          <w14:ligatures w14:val="standardContextual"/>
        </w:rPr>
        <w:t>Convention on the Rights of the Child</w:t>
      </w:r>
      <w:r w:rsidRPr="004125DA">
        <w:rPr>
          <w:rFonts w:ascii="Aptos" w:eastAsia="Aptos" w:hAnsi="Aptos" w:cs="Times New Roman"/>
          <w:color w:val="auto"/>
          <w:kern w:val="2"/>
          <w:sz w:val="24"/>
          <w:szCs w:val="24"/>
          <w:lang w:eastAsia="en-US"/>
          <w14:ligatures w14:val="standardContextual"/>
        </w:rPr>
        <w:t>. New York: United Nations General Assembly. Available at: https://www.education-ni.gov.uk/articles/united-nations-convention-rights-child (Accessed: 11 September 2025).</w:t>
      </w:r>
    </w:p>
    <w:p w14:paraId="74059163"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Wales Safeguarding Procedures Project Board (2019) </w:t>
      </w:r>
      <w:r w:rsidRPr="004125DA">
        <w:rPr>
          <w:rFonts w:ascii="Aptos" w:eastAsia="Aptos" w:hAnsi="Aptos" w:cs="Times New Roman"/>
          <w:i/>
          <w:iCs/>
          <w:color w:val="auto"/>
          <w:kern w:val="2"/>
          <w:sz w:val="24"/>
          <w:szCs w:val="24"/>
          <w:lang w:eastAsia="en-US"/>
          <w14:ligatures w14:val="standardContextual"/>
        </w:rPr>
        <w:t>Wales Safeguarding Procedures for children and adults at risk of abuse and neglect</w:t>
      </w:r>
      <w:r w:rsidRPr="004125DA">
        <w:rPr>
          <w:rFonts w:ascii="Aptos" w:eastAsia="Aptos" w:hAnsi="Aptos" w:cs="Times New Roman"/>
          <w:color w:val="auto"/>
          <w:kern w:val="2"/>
          <w:sz w:val="24"/>
          <w:szCs w:val="24"/>
          <w:lang w:eastAsia="en-US"/>
          <w14:ligatures w14:val="standardContextual"/>
        </w:rPr>
        <w:t>. Cardiff and the Vale Safeguarding Board. Available at: https://www.gwentsafeguarding.org.uk/en/protocols-and-procedures/the-wales-safeguarding-procedures-for-children-and-adults-at-risk-of-abuse-and-neglect (Accessed: 11 September 2025).</w:t>
      </w:r>
    </w:p>
    <w:p w14:paraId="14A7760F"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Welsh Government (2021) </w:t>
      </w:r>
      <w:r w:rsidRPr="004125DA">
        <w:rPr>
          <w:rFonts w:ascii="Aptos" w:eastAsia="Aptos" w:hAnsi="Aptos" w:cs="Times New Roman"/>
          <w:i/>
          <w:iCs/>
          <w:color w:val="auto"/>
          <w:kern w:val="2"/>
          <w:sz w:val="24"/>
          <w:szCs w:val="24"/>
          <w:lang w:eastAsia="en-US"/>
          <w14:ligatures w14:val="standardContextual"/>
        </w:rPr>
        <w:t>Substance Misuse Treatment Framework: Prevention, diagnosis, treatment and support for alcohol-related brain damage</w:t>
      </w:r>
      <w:r w:rsidRPr="004125DA">
        <w:rPr>
          <w:rFonts w:ascii="Aptos" w:eastAsia="Aptos" w:hAnsi="Aptos" w:cs="Times New Roman"/>
          <w:color w:val="auto"/>
          <w:kern w:val="2"/>
          <w:sz w:val="24"/>
          <w:szCs w:val="24"/>
          <w:lang w:eastAsia="en-US"/>
          <w14:ligatures w14:val="standardContextual"/>
        </w:rPr>
        <w:t>. Cardiff: Welsh Government. Available at: https://www.gov.wales/sites/default/files/publications/2021-11/substance-misuse-treatment-framework-prevention-diagnosis-treatment-and-support-for-alcohol-related-brain-damage.pdf (Accessed: 11 September 2025).</w:t>
      </w:r>
    </w:p>
    <w:p w14:paraId="7768D0EC" w14:textId="77777777" w:rsidR="00D7658E" w:rsidRPr="00E634A7" w:rsidRDefault="00D7658E" w:rsidP="00D7658E">
      <w:pPr>
        <w:jc w:val="both"/>
        <w:rPr>
          <w:b/>
          <w:bCs/>
          <w:sz w:val="24"/>
          <w:szCs w:val="24"/>
          <w:u w:val="single"/>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0785D802" w14:textId="5179F124" w:rsidR="00E634A7" w:rsidRDefault="00E634A7" w:rsidP="00FF7EBB">
      <w:pPr>
        <w:jc w:val="both"/>
        <w:rPr>
          <w:b/>
          <w:bCs/>
          <w:sz w:val="24"/>
          <w:szCs w:val="24"/>
          <w:u w:val="single"/>
        </w:rPr>
      </w:pPr>
      <w:r w:rsidRPr="00E634A7">
        <w:rPr>
          <w:b/>
          <w:bCs/>
          <w:sz w:val="24"/>
          <w:szCs w:val="24"/>
          <w:u w:val="single"/>
        </w:rPr>
        <w:t>Task 4.</w:t>
      </w:r>
    </w:p>
    <w:p w14:paraId="28E1F4DF" w14:textId="77777777" w:rsidR="005B1BD4" w:rsidRDefault="005B1BD4" w:rsidP="00FF7EBB">
      <w:pPr>
        <w:jc w:val="both"/>
        <w:rPr>
          <w:b/>
          <w:bCs/>
          <w:sz w:val="24"/>
          <w:szCs w:val="24"/>
          <w:u w:val="single"/>
        </w:rPr>
      </w:pPr>
    </w:p>
    <w:p w14:paraId="7047CC64" w14:textId="77777777" w:rsidR="005B1BD4" w:rsidRPr="004125DA" w:rsidRDefault="005B1BD4" w:rsidP="005B1BD4">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Children Act 1989, c.41. Available at: https://www.legislation.gov.uk/ukpga/1989/41/contents (Accessed: 11 September 2025).</w:t>
      </w:r>
    </w:p>
    <w:p w14:paraId="0D79159D" w14:textId="77777777" w:rsidR="005B1BD4" w:rsidRPr="004125DA" w:rsidRDefault="005B1BD4" w:rsidP="005B1BD4">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Children Act 2004, c.31. Available at: https://www.legislation.gov.uk/ukpga/2004/31/contents (Accessed: 11 September 2025).</w:t>
      </w:r>
    </w:p>
    <w:p w14:paraId="4B14993E" w14:textId="77777777" w:rsidR="005B1BD4" w:rsidRDefault="005B1BD4" w:rsidP="00FF7EBB">
      <w:pPr>
        <w:jc w:val="both"/>
        <w:rPr>
          <w:b/>
          <w:bCs/>
          <w:sz w:val="24"/>
          <w:szCs w:val="24"/>
          <w:u w:val="single"/>
        </w:rPr>
      </w:pPr>
    </w:p>
    <w:p w14:paraId="2E0E449C" w14:textId="77777777" w:rsidR="004125DA" w:rsidRDefault="004125DA" w:rsidP="00FF7EBB">
      <w:pPr>
        <w:jc w:val="both"/>
        <w:rPr>
          <w:b/>
          <w:bCs/>
          <w:sz w:val="24"/>
          <w:szCs w:val="24"/>
          <w:u w:val="single"/>
        </w:rPr>
      </w:pPr>
    </w:p>
    <w:p w14:paraId="1048320E" w14:textId="6F2C233E" w:rsidR="00B212FF" w:rsidRDefault="00375025" w:rsidP="00375025">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Council of Europe (1950) </w:t>
      </w:r>
      <w:r w:rsidRPr="004125DA">
        <w:rPr>
          <w:rFonts w:ascii="Aptos" w:eastAsia="Aptos" w:hAnsi="Aptos" w:cs="Times New Roman"/>
          <w:i/>
          <w:iCs/>
          <w:color w:val="auto"/>
          <w:kern w:val="2"/>
          <w:sz w:val="24"/>
          <w:szCs w:val="24"/>
          <w:lang w:eastAsia="en-US"/>
          <w14:ligatures w14:val="standardContextual"/>
        </w:rPr>
        <w:t>European Convention on Human Rights</w:t>
      </w:r>
      <w:r w:rsidRPr="004125DA">
        <w:rPr>
          <w:rFonts w:ascii="Aptos" w:eastAsia="Aptos" w:hAnsi="Aptos" w:cs="Times New Roman"/>
          <w:color w:val="auto"/>
          <w:kern w:val="2"/>
          <w:sz w:val="24"/>
          <w:szCs w:val="24"/>
          <w:lang w:eastAsia="en-US"/>
          <w14:ligatures w14:val="standardContextual"/>
        </w:rPr>
        <w:t>. Rome: Council of Europe. Available at: https://www.echr.coe.int/documents/d/echr/Convention_ENG (Accessed: 11 September 2025).</w:t>
      </w:r>
    </w:p>
    <w:p w14:paraId="696C0458" w14:textId="53D822B1" w:rsidR="00190EBB" w:rsidRDefault="00190EBB" w:rsidP="00375025">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190EBB">
        <w:rPr>
          <w:rFonts w:ascii="Aptos" w:eastAsia="Aptos" w:hAnsi="Aptos" w:cs="Times New Roman"/>
          <w:color w:val="auto"/>
          <w:kern w:val="2"/>
          <w:sz w:val="24"/>
          <w:szCs w:val="24"/>
          <w:lang w:eastAsia="en-US"/>
          <w14:ligatures w14:val="standardContextual"/>
        </w:rPr>
        <w:t>XXX</w:t>
      </w:r>
      <w:r w:rsidRPr="00190EBB">
        <w:rPr>
          <w:rFonts w:ascii="Aptos" w:eastAsia="Aptos" w:hAnsi="Aptos" w:cs="Times New Roman"/>
          <w:color w:val="auto"/>
          <w:kern w:val="2"/>
          <w:sz w:val="24"/>
          <w:szCs w:val="24"/>
          <w:lang w:eastAsia="en-US"/>
          <w14:ligatures w14:val="standardContextual"/>
        </w:rPr>
        <w:t xml:space="preserve"> County Council. (2025) </w:t>
      </w:r>
      <w:r w:rsidRPr="00190EBB">
        <w:rPr>
          <w:rFonts w:ascii="Aptos" w:eastAsia="Aptos" w:hAnsi="Aptos" w:cs="Times New Roman"/>
          <w:i/>
          <w:iCs/>
          <w:color w:val="auto"/>
          <w:kern w:val="2"/>
          <w:sz w:val="24"/>
          <w:szCs w:val="24"/>
          <w:lang w:eastAsia="en-US"/>
          <w14:ligatures w14:val="standardContextual"/>
        </w:rPr>
        <w:t xml:space="preserve">Corporate Safeguarding Policy: Safeguarding People in </w:t>
      </w:r>
      <w:r>
        <w:rPr>
          <w:rFonts w:ascii="Aptos" w:eastAsia="Aptos" w:hAnsi="Aptos" w:cs="Times New Roman"/>
          <w:i/>
          <w:iCs/>
          <w:color w:val="auto"/>
          <w:kern w:val="2"/>
          <w:sz w:val="24"/>
          <w:szCs w:val="24"/>
          <w:lang w:eastAsia="en-US"/>
          <w14:ligatures w14:val="standardContextual"/>
        </w:rPr>
        <w:t>XXX</w:t>
      </w:r>
      <w:r w:rsidRPr="00190EBB">
        <w:rPr>
          <w:rFonts w:ascii="Aptos" w:eastAsia="Aptos" w:hAnsi="Aptos" w:cs="Times New Roman"/>
          <w:color w:val="auto"/>
          <w:kern w:val="2"/>
          <w:sz w:val="24"/>
          <w:szCs w:val="24"/>
          <w:lang w:eastAsia="en-US"/>
          <w14:ligatures w14:val="standardContextual"/>
        </w:rPr>
        <w:t xml:space="preserve">. </w:t>
      </w:r>
      <w:r>
        <w:rPr>
          <w:rFonts w:ascii="Aptos" w:eastAsia="Aptos" w:hAnsi="Aptos" w:cs="Times New Roman"/>
          <w:color w:val="auto"/>
          <w:kern w:val="2"/>
          <w:sz w:val="24"/>
          <w:szCs w:val="24"/>
          <w:lang w:eastAsia="en-US"/>
          <w14:ligatures w14:val="standardContextual"/>
        </w:rPr>
        <w:t>XXX</w:t>
      </w:r>
      <w:r w:rsidRPr="00190EBB">
        <w:rPr>
          <w:rFonts w:ascii="Aptos" w:eastAsia="Aptos" w:hAnsi="Aptos" w:cs="Times New Roman"/>
          <w:color w:val="auto"/>
          <w:kern w:val="2"/>
          <w:sz w:val="24"/>
          <w:szCs w:val="24"/>
          <w:lang w:eastAsia="en-US"/>
          <w14:ligatures w14:val="standardContextual"/>
        </w:rPr>
        <w:t xml:space="preserve">: </w:t>
      </w:r>
      <w:r>
        <w:rPr>
          <w:rFonts w:ascii="Aptos" w:eastAsia="Aptos" w:hAnsi="Aptos" w:cs="Times New Roman"/>
          <w:color w:val="auto"/>
          <w:kern w:val="2"/>
          <w:sz w:val="24"/>
          <w:szCs w:val="24"/>
          <w:lang w:eastAsia="en-US"/>
          <w14:ligatures w14:val="standardContextual"/>
        </w:rPr>
        <w:t xml:space="preserve">XXX </w:t>
      </w:r>
      <w:r w:rsidRPr="00190EBB">
        <w:rPr>
          <w:rFonts w:ascii="Aptos" w:eastAsia="Aptos" w:hAnsi="Aptos" w:cs="Times New Roman"/>
          <w:color w:val="auto"/>
          <w:kern w:val="2"/>
          <w:sz w:val="24"/>
          <w:szCs w:val="24"/>
          <w:lang w:eastAsia="en-US"/>
          <w14:ligatures w14:val="standardContextual"/>
        </w:rPr>
        <w:t>County Council.</w:t>
      </w:r>
    </w:p>
    <w:p w14:paraId="4D92AEBD" w14:textId="7672C860" w:rsidR="00F1164C" w:rsidRPr="00F1164C" w:rsidRDefault="00F1164C" w:rsidP="00375025">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F1164C">
        <w:rPr>
          <w:rFonts w:ascii="Aptos" w:eastAsia="Aptos" w:hAnsi="Aptos" w:cs="Times New Roman"/>
          <w:color w:val="auto"/>
          <w:kern w:val="2"/>
          <w:sz w:val="24"/>
          <w:szCs w:val="24"/>
          <w:lang w:eastAsia="en-US"/>
          <w14:ligatures w14:val="standardContextual"/>
        </w:rPr>
        <w:t xml:space="preserve">Great Britain. (1998) </w:t>
      </w:r>
      <w:r w:rsidRPr="00F1164C">
        <w:rPr>
          <w:rFonts w:ascii="Aptos" w:eastAsia="Aptos" w:hAnsi="Aptos" w:cs="Times New Roman"/>
          <w:i/>
          <w:iCs/>
          <w:color w:val="auto"/>
          <w:kern w:val="2"/>
          <w:sz w:val="24"/>
          <w:szCs w:val="24"/>
          <w:lang w:eastAsia="en-US"/>
          <w14:ligatures w14:val="standardContextual"/>
        </w:rPr>
        <w:t>Human Rights Act 1998: Chapter 42</w:t>
      </w:r>
      <w:r w:rsidRPr="00F1164C">
        <w:rPr>
          <w:rFonts w:ascii="Aptos" w:eastAsia="Aptos" w:hAnsi="Aptos" w:cs="Times New Roman"/>
          <w:color w:val="auto"/>
          <w:kern w:val="2"/>
          <w:sz w:val="24"/>
          <w:szCs w:val="24"/>
          <w:lang w:eastAsia="en-US"/>
          <w14:ligatures w14:val="standardContextual"/>
        </w:rPr>
        <w:t>. London: The Stationery Office. Available at: https://www.legislation.gov.uk/ukpga/1998/42/contents (Accessed: 6 October 2025).</w:t>
      </w:r>
    </w:p>
    <w:p w14:paraId="34FD06DB" w14:textId="4EA8F79A" w:rsidR="00D44293" w:rsidRPr="00576229" w:rsidRDefault="00576229" w:rsidP="00E92EBF">
      <w:pPr>
        <w:rPr>
          <w:rFonts w:ascii="Aptos" w:hAnsi="Aptos"/>
          <w:sz w:val="24"/>
          <w:szCs w:val="24"/>
        </w:rPr>
      </w:pPr>
      <w:r w:rsidRPr="00576229">
        <w:rPr>
          <w:rFonts w:ascii="Aptos" w:hAnsi="Aptos"/>
          <w:sz w:val="24"/>
          <w:szCs w:val="24"/>
        </w:rPr>
        <w:t xml:space="preserve">Great Britain. Ministry of Justice. (2008) </w:t>
      </w:r>
      <w:r w:rsidRPr="00576229">
        <w:rPr>
          <w:rFonts w:ascii="Aptos" w:hAnsi="Aptos"/>
          <w:i/>
          <w:iCs/>
          <w:sz w:val="24"/>
          <w:szCs w:val="24"/>
        </w:rPr>
        <w:t>Mental Capacity Act 2005: Deprivation of Liberty Safeguards – Code of Practice to supplement the main Mental Capacity Act 2005 Code of Practice</w:t>
      </w:r>
      <w:r w:rsidRPr="00576229">
        <w:rPr>
          <w:rFonts w:ascii="Aptos" w:hAnsi="Aptos"/>
          <w:sz w:val="24"/>
          <w:szCs w:val="24"/>
        </w:rPr>
        <w:t>. London: TSO (The Stationery Office). Available at: https://www.mentalhealthlaw.co.uk/Ministry_of_Justice,_Mental_Capacity_Act_2005:Deprivation_of_Liberty_Safeguards_Code_of_Practice%282008%29 (Accessed: 6 October 2025).</w:t>
      </w:r>
    </w:p>
    <w:p w14:paraId="21C5A1AD" w14:textId="77777777" w:rsidR="00576229" w:rsidRDefault="00576229" w:rsidP="00E92EBF">
      <w:pPr>
        <w:rPr>
          <w:sz w:val="24"/>
          <w:szCs w:val="24"/>
        </w:rPr>
      </w:pPr>
    </w:p>
    <w:p w14:paraId="47344924" w14:textId="7697B4B9" w:rsidR="00EB695F" w:rsidRDefault="00922347" w:rsidP="00E92EBF">
      <w:pPr>
        <w:rPr>
          <w:rFonts w:ascii="Aptos" w:hAnsi="Aptos" w:cs="Segoe UI"/>
          <w:color w:val="auto"/>
          <w:sz w:val="24"/>
          <w:szCs w:val="24"/>
          <w:shd w:val="clear" w:color="auto" w:fill="FAFAFA"/>
        </w:rPr>
      </w:pPr>
      <w:r w:rsidRPr="002D50BC">
        <w:rPr>
          <w:rStyle w:val="Strong"/>
          <w:rFonts w:ascii="Aptos" w:hAnsi="Aptos" w:cs="Segoe UI"/>
          <w:b w:val="0"/>
          <w:bCs w:val="0"/>
          <w:color w:val="auto"/>
          <w:sz w:val="24"/>
          <w:szCs w:val="24"/>
          <w:shd w:val="clear" w:color="auto" w:fill="FAFAFA"/>
        </w:rPr>
        <w:t xml:space="preserve">Mental Capacity Act </w:t>
      </w:r>
      <w:r w:rsidR="00E92EBF" w:rsidRPr="002D50BC">
        <w:rPr>
          <w:rStyle w:val="Strong"/>
          <w:rFonts w:ascii="Aptos" w:hAnsi="Aptos" w:cs="Segoe UI"/>
          <w:b w:val="0"/>
          <w:bCs w:val="0"/>
          <w:color w:val="auto"/>
          <w:sz w:val="24"/>
          <w:szCs w:val="24"/>
          <w:shd w:val="clear" w:color="auto" w:fill="FAFAFA"/>
        </w:rPr>
        <w:t xml:space="preserve">(2005). </w:t>
      </w:r>
      <w:r w:rsidR="00B212FF" w:rsidRPr="002D50BC">
        <w:rPr>
          <w:rStyle w:val="Strong"/>
          <w:rFonts w:ascii="Aptos" w:hAnsi="Aptos" w:cs="Segoe UI"/>
          <w:b w:val="0"/>
          <w:bCs w:val="0"/>
          <w:color w:val="auto"/>
          <w:sz w:val="24"/>
          <w:szCs w:val="24"/>
          <w:shd w:val="clear" w:color="auto" w:fill="FAFAFA"/>
        </w:rPr>
        <w:t>c.9.</w:t>
      </w:r>
      <w:r w:rsidR="00B212FF" w:rsidRPr="002D50BC">
        <w:rPr>
          <w:rFonts w:ascii="Aptos" w:hAnsi="Aptos" w:cs="Segoe UI"/>
          <w:color w:val="auto"/>
          <w:sz w:val="24"/>
          <w:szCs w:val="24"/>
          <w:shd w:val="clear" w:color="auto" w:fill="FAFAFA"/>
        </w:rPr>
        <w:t> Available at: https://www.legislation.gov.uk/ukpga/2005/9 (Accessed: 11 September 2025).</w:t>
      </w:r>
    </w:p>
    <w:p w14:paraId="2D5A593B" w14:textId="77777777" w:rsidR="00A1452E" w:rsidRPr="00A1452E" w:rsidRDefault="00A1452E" w:rsidP="00A1452E">
      <w:pPr>
        <w:rPr>
          <w:rFonts w:ascii="Aptos" w:hAnsi="Aptos"/>
          <w:color w:val="auto"/>
          <w:sz w:val="24"/>
          <w:szCs w:val="24"/>
        </w:rPr>
      </w:pPr>
    </w:p>
    <w:p w14:paraId="2035BD8C" w14:textId="4C3B23AD" w:rsidR="00D7658E"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 xml:space="preserve">Social Services and Well-being (Wales) Act 2014, </w:t>
      </w:r>
      <w:proofErr w:type="spellStart"/>
      <w:r w:rsidRPr="004125DA">
        <w:rPr>
          <w:rFonts w:ascii="Aptos" w:eastAsia="Aptos" w:hAnsi="Aptos" w:cs="Times New Roman"/>
          <w:color w:val="auto"/>
          <w:kern w:val="2"/>
          <w:sz w:val="24"/>
          <w:szCs w:val="24"/>
          <w:lang w:eastAsia="en-US"/>
          <w14:ligatures w14:val="standardContextual"/>
        </w:rPr>
        <w:t>anaw</w:t>
      </w:r>
      <w:proofErr w:type="spellEnd"/>
      <w:r w:rsidRPr="004125DA">
        <w:rPr>
          <w:rFonts w:ascii="Aptos" w:eastAsia="Aptos" w:hAnsi="Aptos" w:cs="Times New Roman"/>
          <w:color w:val="auto"/>
          <w:kern w:val="2"/>
          <w:sz w:val="24"/>
          <w:szCs w:val="24"/>
          <w:lang w:eastAsia="en-US"/>
          <w14:ligatures w14:val="standardContextual"/>
        </w:rPr>
        <w:t xml:space="preserve"> 4. Available at: https://www.legislation.gov.uk/anaw/2014/4 (Accessed: 11 September 2025)</w:t>
      </w:r>
      <w:r w:rsidRPr="00922347">
        <w:rPr>
          <w:rFonts w:ascii="Aptos" w:eastAsia="Aptos" w:hAnsi="Aptos" w:cs="Times New Roman"/>
          <w:color w:val="auto"/>
          <w:kern w:val="2"/>
          <w:sz w:val="24"/>
          <w:szCs w:val="24"/>
          <w:lang w:eastAsia="en-US"/>
          <w14:ligatures w14:val="standardContextual"/>
        </w:rPr>
        <w:t>.</w:t>
      </w:r>
    </w:p>
    <w:p w14:paraId="5D409D34" w14:textId="37AC768C" w:rsidR="00617236" w:rsidRPr="00922347" w:rsidRDefault="00617236"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UK Government (1998) </w:t>
      </w:r>
      <w:r w:rsidRPr="004125DA">
        <w:rPr>
          <w:rFonts w:ascii="Aptos" w:eastAsia="Aptos" w:hAnsi="Aptos" w:cs="Times New Roman"/>
          <w:i/>
          <w:iCs/>
          <w:color w:val="auto"/>
          <w:kern w:val="2"/>
          <w:sz w:val="24"/>
          <w:szCs w:val="24"/>
          <w:lang w:eastAsia="en-US"/>
          <w14:ligatures w14:val="standardContextual"/>
        </w:rPr>
        <w:t>Human Rights Act 1998, c.42</w:t>
      </w:r>
      <w:r w:rsidRPr="004125DA">
        <w:rPr>
          <w:rFonts w:ascii="Aptos" w:eastAsia="Aptos" w:hAnsi="Aptos" w:cs="Times New Roman"/>
          <w:color w:val="auto"/>
          <w:kern w:val="2"/>
          <w:sz w:val="24"/>
          <w:szCs w:val="24"/>
          <w:lang w:eastAsia="en-US"/>
          <w14:ligatures w14:val="standardContextual"/>
        </w:rPr>
        <w:t>. Available at: https://www.legislation.gov.uk/ukpga/1998/42 (Accessed: 11 September 2025).</w:t>
      </w:r>
    </w:p>
    <w:p w14:paraId="226C3229"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4125DA">
        <w:rPr>
          <w:rFonts w:ascii="Aptos" w:eastAsia="Aptos" w:hAnsi="Aptos" w:cs="Times New Roman"/>
          <w:color w:val="auto"/>
          <w:kern w:val="2"/>
          <w:sz w:val="24"/>
          <w:szCs w:val="24"/>
          <w:lang w:eastAsia="en-US"/>
          <w14:ligatures w14:val="standardContextual"/>
        </w:rPr>
        <w:t>Wales Safeguarding Procedures Project Board (2019) </w:t>
      </w:r>
      <w:r w:rsidRPr="004125DA">
        <w:rPr>
          <w:rFonts w:ascii="Aptos" w:eastAsia="Aptos" w:hAnsi="Aptos" w:cs="Times New Roman"/>
          <w:i/>
          <w:iCs/>
          <w:color w:val="auto"/>
          <w:kern w:val="2"/>
          <w:sz w:val="24"/>
          <w:szCs w:val="24"/>
          <w:lang w:eastAsia="en-US"/>
          <w14:ligatures w14:val="standardContextual"/>
        </w:rPr>
        <w:t>Wales Safeguarding Procedures for children and adults at risk of abuse and neglect</w:t>
      </w:r>
      <w:r w:rsidRPr="004125DA">
        <w:rPr>
          <w:rFonts w:ascii="Aptos" w:eastAsia="Aptos" w:hAnsi="Aptos" w:cs="Times New Roman"/>
          <w:color w:val="auto"/>
          <w:kern w:val="2"/>
          <w:sz w:val="24"/>
          <w:szCs w:val="24"/>
          <w:lang w:eastAsia="en-US"/>
          <w14:ligatures w14:val="standardContextual"/>
        </w:rPr>
        <w:t>. Cardiff and the Vale Safeguarding Board. Available at: https://www.gwentsafeguarding.org.uk/en/protocols-and-procedures/the-wales-safeguarding-procedures-for-children-and-adults-at-risk-of-abuse-and-neglect (Accessed: 11 September 2025).</w:t>
      </w:r>
    </w:p>
    <w:p w14:paraId="61881AC0" w14:textId="77777777" w:rsidR="00D7658E" w:rsidRPr="004125DA" w:rsidRDefault="00D7658E" w:rsidP="00D7658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90484A1" w:rsidR="00E559CE" w:rsidRPr="00B17FA0" w:rsidRDefault="00E559CE" w:rsidP="00B94443">
            <w:pPr>
              <w:jc w:val="both"/>
              <w:rPr>
                <w:sz w:val="24"/>
                <w:szCs w:val="24"/>
              </w:rPr>
            </w:pPr>
            <w:r w:rsidRPr="00B17FA0">
              <w:rPr>
                <w:sz w:val="24"/>
                <w:szCs w:val="24"/>
              </w:rPr>
              <w:t>1</w:t>
            </w:r>
            <w:r w:rsidR="00AF053E">
              <w:rPr>
                <w:sz w:val="24"/>
                <w:szCs w:val="24"/>
              </w:rPr>
              <w:t xml:space="preserve"> </w:t>
            </w:r>
          </w:p>
        </w:tc>
        <w:tc>
          <w:tcPr>
            <w:tcW w:w="5094" w:type="dxa"/>
          </w:tcPr>
          <w:p w14:paraId="4504991A" w14:textId="518455C5" w:rsidR="00E559CE" w:rsidRPr="00B17FA0" w:rsidRDefault="00AF053E" w:rsidP="00B94443">
            <w:pPr>
              <w:jc w:val="both"/>
              <w:rPr>
                <w:sz w:val="24"/>
                <w:szCs w:val="24"/>
              </w:rPr>
            </w:pPr>
            <w:r>
              <w:rPr>
                <w:sz w:val="24"/>
                <w:szCs w:val="24"/>
              </w:rPr>
              <w:t>26/11/2024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7E042C2B" w:rsidR="00E559CE" w:rsidRPr="00B17FA0" w:rsidRDefault="00AF053E" w:rsidP="00B94443">
            <w:pPr>
              <w:jc w:val="both"/>
              <w:rPr>
                <w:sz w:val="24"/>
                <w:szCs w:val="24"/>
              </w:rPr>
            </w:pPr>
            <w:r>
              <w:rPr>
                <w:sz w:val="24"/>
                <w:szCs w:val="24"/>
              </w:rPr>
              <w:t>22/01/2025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715981A8" w:rsidR="00E559CE" w:rsidRPr="00B17FA0" w:rsidRDefault="00AF053E" w:rsidP="00B94443">
            <w:pPr>
              <w:jc w:val="both"/>
              <w:rPr>
                <w:sz w:val="24"/>
                <w:szCs w:val="24"/>
              </w:rPr>
            </w:pPr>
            <w:r>
              <w:rPr>
                <w:sz w:val="24"/>
                <w:szCs w:val="24"/>
              </w:rPr>
              <w:t>30/04/2025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36F58EA3" w:rsidR="00AF053E" w:rsidRPr="00B17FA0" w:rsidRDefault="00AF053E" w:rsidP="00B94443">
            <w:pPr>
              <w:jc w:val="both"/>
              <w:rPr>
                <w:sz w:val="24"/>
                <w:szCs w:val="24"/>
              </w:rPr>
            </w:pPr>
            <w:r>
              <w:rPr>
                <w:sz w:val="24"/>
                <w:szCs w:val="24"/>
              </w:rPr>
              <w:t>15/07/2025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4B216DE2" w14:textId="77777777" w:rsidR="00596659" w:rsidRPr="00596659" w:rsidRDefault="00596659" w:rsidP="00596659">
            <w:pPr>
              <w:jc w:val="both"/>
              <w:rPr>
                <w:color w:val="auto"/>
                <w:sz w:val="24"/>
                <w:szCs w:val="24"/>
              </w:rPr>
            </w:pPr>
            <w:r w:rsidRPr="00596659">
              <w:rPr>
                <w:color w:val="auto"/>
                <w:sz w:val="24"/>
                <w:szCs w:val="24"/>
              </w:rPr>
              <w:t>I have only been Jess' mentor since February 2025 following the departure of her previous mentor, however, in that time Jess was able to evidence to me her capabilities and professionalism in her social work role. She has always been a very focused and well organised practitioner who recognises the importance of reflecting on the work undertaken and the impact this has upon her own wellbeing. </w:t>
            </w:r>
          </w:p>
          <w:p w14:paraId="5C814A7F" w14:textId="77777777" w:rsidR="00596659" w:rsidRPr="00596659" w:rsidRDefault="00596659" w:rsidP="00596659">
            <w:pPr>
              <w:jc w:val="both"/>
              <w:rPr>
                <w:color w:val="auto"/>
                <w:sz w:val="24"/>
                <w:szCs w:val="24"/>
              </w:rPr>
            </w:pPr>
          </w:p>
          <w:p w14:paraId="6713CA58" w14:textId="77777777" w:rsidR="00596659" w:rsidRPr="00596659" w:rsidRDefault="00596659" w:rsidP="00596659">
            <w:pPr>
              <w:jc w:val="both"/>
              <w:rPr>
                <w:color w:val="auto"/>
                <w:sz w:val="24"/>
                <w:szCs w:val="24"/>
              </w:rPr>
            </w:pPr>
            <w:r w:rsidRPr="00596659">
              <w:rPr>
                <w:color w:val="auto"/>
                <w:sz w:val="24"/>
                <w:szCs w:val="24"/>
              </w:rPr>
              <w:t>Jess has completed a wide range of assessments within complex situations this year and through our discussions I have seen her knowledge and confidence develop in that time. She is a very focused individual who gives a lot of thought to her work and to any recommendations she makes in her assessments.</w:t>
            </w:r>
          </w:p>
          <w:p w14:paraId="7D46747F" w14:textId="77777777" w:rsidR="00596659" w:rsidRPr="00596659" w:rsidRDefault="00596659" w:rsidP="00596659">
            <w:pPr>
              <w:jc w:val="both"/>
              <w:rPr>
                <w:color w:val="auto"/>
                <w:sz w:val="24"/>
                <w:szCs w:val="24"/>
              </w:rPr>
            </w:pPr>
          </w:p>
          <w:p w14:paraId="12F026DF" w14:textId="77777777" w:rsidR="00596659" w:rsidRPr="00596659" w:rsidRDefault="00596659" w:rsidP="00596659">
            <w:pPr>
              <w:jc w:val="both"/>
              <w:rPr>
                <w:color w:val="auto"/>
                <w:sz w:val="24"/>
                <w:szCs w:val="24"/>
              </w:rPr>
            </w:pPr>
            <w:r w:rsidRPr="00596659">
              <w:rPr>
                <w:color w:val="auto"/>
                <w:sz w:val="24"/>
                <w:szCs w:val="24"/>
              </w:rPr>
              <w:t xml:space="preserve">I was very impressed with the skills Jess demonstrated during a direct observation I carried out with her when she was working with a young person seeking asylum. She showed empathy and was sensitive to the experiences the young person spoke about during the visit. Jess was extremely prepared for the session, having brought a variety of tools with her that had been </w:t>
            </w:r>
            <w:r w:rsidRPr="00596659">
              <w:rPr>
                <w:color w:val="auto"/>
                <w:sz w:val="24"/>
                <w:szCs w:val="24"/>
              </w:rPr>
              <w:lastRenderedPageBreak/>
              <w:t>appropriately translated, and she had utilised the assistance of a translator as well. She worked collaboratively with the young people at a pace that was suitable to him and his needs at that time and was able to ensure he understood what she was saying in a supportive manner. </w:t>
            </w:r>
          </w:p>
          <w:p w14:paraId="221000DF" w14:textId="77777777" w:rsidR="00596659" w:rsidRPr="00596659" w:rsidRDefault="00596659" w:rsidP="00596659">
            <w:pPr>
              <w:jc w:val="both"/>
              <w:rPr>
                <w:color w:val="auto"/>
                <w:sz w:val="24"/>
                <w:szCs w:val="24"/>
              </w:rPr>
            </w:pPr>
          </w:p>
          <w:p w14:paraId="5AFE25E7" w14:textId="77777777" w:rsidR="00596659" w:rsidRPr="00596659" w:rsidRDefault="00596659" w:rsidP="00596659">
            <w:pPr>
              <w:jc w:val="both"/>
              <w:rPr>
                <w:color w:val="auto"/>
                <w:sz w:val="24"/>
                <w:szCs w:val="24"/>
              </w:rPr>
            </w:pPr>
            <w:r w:rsidRPr="00596659">
              <w:rPr>
                <w:color w:val="auto"/>
                <w:sz w:val="24"/>
                <w:szCs w:val="24"/>
              </w:rPr>
              <w:t xml:space="preserve">During the last 7 months Jess has always used mentoring sessions appropriately. She has given thought to her agenda items and whilst discussions have taken place about the completion of the Porth </w:t>
            </w:r>
            <w:proofErr w:type="spellStart"/>
            <w:r w:rsidRPr="00596659">
              <w:rPr>
                <w:color w:val="auto"/>
                <w:sz w:val="24"/>
                <w:szCs w:val="24"/>
              </w:rPr>
              <w:t>Agored</w:t>
            </w:r>
            <w:proofErr w:type="spellEnd"/>
            <w:r w:rsidRPr="00596659">
              <w:rPr>
                <w:color w:val="auto"/>
                <w:sz w:val="24"/>
                <w:szCs w:val="24"/>
              </w:rPr>
              <w:t xml:space="preserve"> we have also discussed a variety of other topics she has faced in her role for example, her caseload numbers, gender identity, her work with young people seeking asylum, contact within adoption placements and care leaver entitlements.</w:t>
            </w:r>
          </w:p>
          <w:p w14:paraId="63010647" w14:textId="77777777" w:rsidR="00596659" w:rsidRPr="00596659" w:rsidRDefault="00596659" w:rsidP="00596659">
            <w:pPr>
              <w:jc w:val="both"/>
              <w:rPr>
                <w:color w:val="auto"/>
                <w:sz w:val="24"/>
                <w:szCs w:val="24"/>
              </w:rPr>
            </w:pPr>
          </w:p>
          <w:p w14:paraId="395AB932" w14:textId="77777777" w:rsidR="00596659" w:rsidRPr="00596659" w:rsidRDefault="00596659" w:rsidP="00596659">
            <w:pPr>
              <w:jc w:val="both"/>
              <w:rPr>
                <w:color w:val="auto"/>
                <w:sz w:val="24"/>
                <w:szCs w:val="24"/>
              </w:rPr>
            </w:pPr>
            <w:r w:rsidRPr="00596659">
              <w:rPr>
                <w:color w:val="auto"/>
                <w:sz w:val="24"/>
                <w:szCs w:val="24"/>
              </w:rPr>
              <w:t xml:space="preserve">During the time I have been mentoring Jess, I have seen her grow and develop in her abilities as a social worker and at being able to manage the emotional impact the work can have upon us at times. It is a strength that Jess </w:t>
            </w:r>
            <w:proofErr w:type="gramStart"/>
            <w:r w:rsidRPr="00596659">
              <w:rPr>
                <w:color w:val="auto"/>
                <w:sz w:val="24"/>
                <w:szCs w:val="24"/>
              </w:rPr>
              <w:t>is able to</w:t>
            </w:r>
            <w:proofErr w:type="gramEnd"/>
            <w:r w:rsidRPr="00596659">
              <w:rPr>
                <w:color w:val="auto"/>
                <w:sz w:val="24"/>
                <w:szCs w:val="24"/>
              </w:rPr>
              <w:t xml:space="preserve"> seek advice and guidance when this is </w:t>
            </w:r>
            <w:proofErr w:type="gramStart"/>
            <w:r w:rsidRPr="00596659">
              <w:rPr>
                <w:color w:val="auto"/>
                <w:sz w:val="24"/>
                <w:szCs w:val="24"/>
              </w:rPr>
              <w:t>needed</w:t>
            </w:r>
            <w:proofErr w:type="gramEnd"/>
            <w:r w:rsidRPr="00596659">
              <w:rPr>
                <w:color w:val="auto"/>
                <w:sz w:val="24"/>
                <w:szCs w:val="24"/>
              </w:rPr>
              <w:t xml:space="preserve"> and I believe she will continue to grow in confidence as she continues in her social work career. She is an asset to the authority in which works, and I look forward to seeing how she progresses in the future. </w:t>
            </w: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772F6B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AF053E">
        <w:rPr>
          <w:b/>
          <w:sz w:val="24"/>
          <w:szCs w:val="24"/>
        </w:rPr>
        <w:t>Jessica Worthington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BA95E70"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F053E">
        <w:rPr>
          <w:b/>
          <w:sz w:val="24"/>
          <w:szCs w:val="24"/>
        </w:rPr>
        <w:t xml:space="preserve"> 2416351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B5875F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AF053E">
        <w:rPr>
          <w:b/>
          <w:sz w:val="24"/>
          <w:szCs w:val="24"/>
        </w:rPr>
        <w:t xml:space="preserve"> 34 Llanbedr Road, Cardiff, CF5 3BW</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6F71E9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AF053E">
        <w:rPr>
          <w:b/>
          <w:sz w:val="24"/>
          <w:szCs w:val="24"/>
        </w:rPr>
        <w:t xml:space="preserve"> 01874 612105</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18DEAF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AF053E">
        <w:rPr>
          <w:b/>
          <w:sz w:val="24"/>
          <w:szCs w:val="24"/>
        </w:rPr>
        <w:t xml:space="preserve"> Jessica.worthington@powys.gov.uk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AEA658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AF053E">
        <w:rPr>
          <w:b/>
          <w:sz w:val="24"/>
          <w:szCs w:val="24"/>
        </w:rPr>
        <w:t>18/07/2023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8D3E73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AF053E">
        <w:rPr>
          <w:b/>
          <w:sz w:val="24"/>
          <w:szCs w:val="24"/>
        </w:rPr>
        <w:t xml:space="preserve"> 14/08/2023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0E1CD72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AF053E">
        <w:rPr>
          <w:b/>
          <w:sz w:val="24"/>
          <w:szCs w:val="24"/>
        </w:rPr>
        <w:t xml:space="preserve"> Powys County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0EFAB4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AF053E">
        <w:rPr>
          <w:b/>
          <w:sz w:val="24"/>
          <w:szCs w:val="24"/>
        </w:rPr>
        <w:t xml:space="preserve"> Tracy Rawbone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0F614B8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AF053E">
        <w:rPr>
          <w:b/>
          <w:sz w:val="24"/>
          <w:szCs w:val="24"/>
        </w:rPr>
        <w:t xml:space="preserve"> County Hall, Llandrindod Wells, LD1 5LG</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39372AE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AF053E">
        <w:rPr>
          <w:b/>
          <w:sz w:val="24"/>
          <w:szCs w:val="24"/>
        </w:rPr>
        <w:t xml:space="preserve"> </w:t>
      </w:r>
      <w:r w:rsidR="00AF053E" w:rsidRPr="00AF053E">
        <w:rPr>
          <w:b/>
          <w:sz w:val="24"/>
          <w:szCs w:val="24"/>
        </w:rPr>
        <w:t>01597 827539</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26341AD9"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AF053E">
        <w:rPr>
          <w:b/>
          <w:sz w:val="24"/>
          <w:szCs w:val="24"/>
        </w:rPr>
        <w:t xml:space="preserve"> </w:t>
      </w:r>
      <w:r w:rsidR="00AF053E" w:rsidRPr="00AF053E">
        <w:rPr>
          <w:b/>
          <w:sz w:val="24"/>
          <w:szCs w:val="24"/>
        </w:rPr>
        <w:t>tracy.rawbone@powys.gov.uk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FF88775"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AF053E">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3DD056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AF053E">
        <w:rPr>
          <w:b/>
          <w:sz w:val="24"/>
          <w:szCs w:val="24"/>
        </w:rPr>
        <w:t xml:space="preserve"> Lisa Hocking</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051C1C0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AF053E">
        <w:rPr>
          <w:b/>
          <w:sz w:val="24"/>
          <w:szCs w:val="24"/>
        </w:rPr>
        <w:t xml:space="preserve"> County Hall, Llandrindod Wells, LD1 5LG</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2C6E0E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AF053E">
        <w:rPr>
          <w:b/>
          <w:sz w:val="24"/>
          <w:szCs w:val="24"/>
        </w:rPr>
        <w:t xml:space="preserve"> </w:t>
      </w:r>
      <w:r w:rsidR="00AF053E" w:rsidRPr="00AF053E">
        <w:rPr>
          <w:b/>
          <w:sz w:val="24"/>
          <w:szCs w:val="24"/>
        </w:rPr>
        <w:t>01686 617557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5BB3F9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AF053E">
        <w:rPr>
          <w:b/>
          <w:sz w:val="24"/>
          <w:szCs w:val="24"/>
        </w:rPr>
        <w:t xml:space="preserve"> </w:t>
      </w:r>
      <w:r w:rsidR="00AF053E" w:rsidRPr="00AF053E">
        <w:rPr>
          <w:b/>
          <w:sz w:val="24"/>
          <w:szCs w:val="24"/>
        </w:rPr>
        <w:t>lisa.hocking@powys.gov.uk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1CC9E03" w:rsidR="004923DA" w:rsidRDefault="004923DA" w:rsidP="00FF7EBB">
            <w:pPr>
              <w:jc w:val="both"/>
              <w:rPr>
                <w:b/>
                <w:sz w:val="24"/>
                <w:szCs w:val="24"/>
              </w:rPr>
            </w:pPr>
            <w:r w:rsidRPr="008B28E7">
              <w:rPr>
                <w:b/>
                <w:sz w:val="24"/>
                <w:szCs w:val="24"/>
              </w:rPr>
              <w:t>Name:</w:t>
            </w:r>
            <w:r w:rsidR="00AF053E">
              <w:rPr>
                <w:b/>
                <w:sz w:val="24"/>
                <w:szCs w:val="24"/>
              </w:rPr>
              <w:t xml:space="preserve"> Lisa Hocking</w:t>
            </w:r>
          </w:p>
          <w:p w14:paraId="4EF4A770" w14:textId="77777777" w:rsidR="004923DA" w:rsidRPr="008B28E7" w:rsidRDefault="004923DA" w:rsidP="00FF7EBB">
            <w:pPr>
              <w:jc w:val="both"/>
              <w:rPr>
                <w:b/>
                <w:sz w:val="24"/>
                <w:szCs w:val="24"/>
              </w:rPr>
            </w:pPr>
          </w:p>
          <w:p w14:paraId="1AC8522D" w14:textId="5ADEFD45" w:rsidR="004923DA" w:rsidRDefault="004923DA" w:rsidP="00FF7EBB">
            <w:pPr>
              <w:jc w:val="both"/>
              <w:rPr>
                <w:b/>
                <w:sz w:val="24"/>
                <w:szCs w:val="24"/>
              </w:rPr>
            </w:pPr>
            <w:r w:rsidRPr="008B28E7">
              <w:rPr>
                <w:b/>
                <w:sz w:val="24"/>
                <w:szCs w:val="24"/>
              </w:rPr>
              <w:t xml:space="preserve">Work Address: </w:t>
            </w:r>
            <w:r w:rsidR="00AF053E">
              <w:rPr>
                <w:b/>
                <w:sz w:val="24"/>
                <w:szCs w:val="24"/>
              </w:rPr>
              <w:t>County Hall, Llandrindod Wells, LD1 5LG</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6896C98" w:rsidR="004923DA" w:rsidRPr="008B28E7" w:rsidRDefault="004923DA" w:rsidP="00FF7EBB">
            <w:pPr>
              <w:jc w:val="both"/>
              <w:rPr>
                <w:b/>
                <w:sz w:val="24"/>
                <w:szCs w:val="24"/>
              </w:rPr>
            </w:pPr>
            <w:r w:rsidRPr="008B28E7">
              <w:rPr>
                <w:b/>
                <w:sz w:val="24"/>
                <w:szCs w:val="24"/>
              </w:rPr>
              <w:t>Professional Qualification and date of qualification:</w:t>
            </w:r>
            <w:r w:rsidR="00E634A7">
              <w:rPr>
                <w:b/>
                <w:sz w:val="24"/>
                <w:szCs w:val="24"/>
              </w:rPr>
              <w:t xml:space="preserve"> </w:t>
            </w:r>
            <w:proofErr w:type="spellStart"/>
            <w:r w:rsidR="00E634A7">
              <w:rPr>
                <w:b/>
                <w:sz w:val="24"/>
                <w:szCs w:val="24"/>
              </w:rPr>
              <w:t>DipSW</w:t>
            </w:r>
            <w:proofErr w:type="spellEnd"/>
            <w:r w:rsidR="00E634A7">
              <w:rPr>
                <w:b/>
                <w:sz w:val="24"/>
                <w:szCs w:val="24"/>
              </w:rPr>
              <w:t xml:space="preserve"> awarded 19/03/2004.</w:t>
            </w:r>
          </w:p>
          <w:p w14:paraId="5F68A3CF" w14:textId="77777777" w:rsidR="004923DA" w:rsidRDefault="004923DA" w:rsidP="00FF7EBB">
            <w:pPr>
              <w:jc w:val="both"/>
              <w:rPr>
                <w:b/>
                <w:sz w:val="24"/>
                <w:szCs w:val="24"/>
              </w:rPr>
            </w:pPr>
          </w:p>
          <w:p w14:paraId="4C6113F1" w14:textId="6ACC17EA" w:rsidR="004923DA" w:rsidRDefault="009D59C2" w:rsidP="00FF7EBB">
            <w:pPr>
              <w:jc w:val="both"/>
              <w:rPr>
                <w:b/>
                <w:sz w:val="24"/>
                <w:szCs w:val="24"/>
              </w:rPr>
            </w:pPr>
            <w:r>
              <w:rPr>
                <w:b/>
                <w:sz w:val="24"/>
                <w:szCs w:val="24"/>
              </w:rPr>
              <w:t>T</w:t>
            </w:r>
            <w:r w:rsidR="004923DA" w:rsidRPr="008B28E7">
              <w:rPr>
                <w:b/>
                <w:sz w:val="24"/>
                <w:szCs w:val="24"/>
              </w:rPr>
              <w:t>elephone number:</w:t>
            </w:r>
            <w:r w:rsidR="00AF053E">
              <w:rPr>
                <w:b/>
                <w:sz w:val="24"/>
                <w:szCs w:val="24"/>
              </w:rPr>
              <w:t xml:space="preserve"> </w:t>
            </w:r>
            <w:r w:rsidR="00AF053E" w:rsidRPr="00AF053E">
              <w:rPr>
                <w:b/>
                <w:sz w:val="24"/>
                <w:szCs w:val="24"/>
              </w:rPr>
              <w:t>01686 617557</w:t>
            </w:r>
          </w:p>
          <w:p w14:paraId="0BB87919" w14:textId="548A11EF" w:rsidR="009D59C2" w:rsidRDefault="009D59C2" w:rsidP="00FF7EBB">
            <w:pPr>
              <w:jc w:val="both"/>
              <w:rPr>
                <w:b/>
                <w:sz w:val="24"/>
                <w:szCs w:val="24"/>
              </w:rPr>
            </w:pPr>
          </w:p>
          <w:p w14:paraId="4FDEE73F" w14:textId="135AACE2" w:rsidR="009D59C2" w:rsidRPr="008B28E7" w:rsidRDefault="009D59C2" w:rsidP="00FF7EBB">
            <w:pPr>
              <w:jc w:val="both"/>
              <w:rPr>
                <w:b/>
                <w:sz w:val="24"/>
                <w:szCs w:val="24"/>
              </w:rPr>
            </w:pPr>
            <w:r>
              <w:rPr>
                <w:b/>
                <w:sz w:val="24"/>
                <w:szCs w:val="24"/>
              </w:rPr>
              <w:t>Email address:</w:t>
            </w:r>
            <w:r w:rsidR="00AF053E">
              <w:rPr>
                <w:b/>
                <w:sz w:val="24"/>
                <w:szCs w:val="24"/>
              </w:rPr>
              <w:t xml:space="preserve">  lisa.hocking@powys.gov.uk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D2B0820"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E634A7">
        <w:rPr>
          <w:sz w:val="24"/>
          <w:szCs w:val="24"/>
        </w:rPr>
        <w:t xml:space="preserve">J Worthington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AE245B2"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065168">
        <w:rPr>
          <w:sz w:val="24"/>
          <w:szCs w:val="24"/>
        </w:rPr>
        <w:t>26/09/</w:t>
      </w:r>
      <w:r w:rsidR="00737DB8">
        <w:rPr>
          <w:sz w:val="24"/>
          <w:szCs w:val="24"/>
        </w:rPr>
        <w:t>2025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088FFCFB" w:rsidR="004923DA" w:rsidRPr="008B28E7" w:rsidRDefault="00C549DD" w:rsidP="00C549DD">
      <w:pPr>
        <w:pBdr>
          <w:top w:val="single" w:sz="6" w:space="1" w:color="auto"/>
          <w:left w:val="single" w:sz="6" w:space="1" w:color="auto"/>
          <w:bottom w:val="single" w:sz="6" w:space="1" w:color="auto"/>
          <w:right w:val="single" w:sz="6" w:space="1" w:color="auto"/>
        </w:pBdr>
        <w:tabs>
          <w:tab w:val="left" w:pos="1241"/>
        </w:tabs>
        <w:jc w:val="both"/>
        <w:rPr>
          <w:sz w:val="24"/>
          <w:szCs w:val="24"/>
        </w:rPr>
      </w:pPr>
      <w:r>
        <w:rPr>
          <w:sz w:val="24"/>
          <w:szCs w:val="24"/>
        </w:rPr>
        <w:tab/>
      </w:r>
    </w:p>
    <w:p w14:paraId="791BE923" w14:textId="580B2119"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C549DD" w:rsidRPr="00C549DD">
        <w:rPr>
          <w:noProof/>
        </w:rPr>
        <w:drawing>
          <wp:inline distT="0" distB="0" distL="0" distR="0" wp14:anchorId="6BCA9955" wp14:editId="6B1C7E3A">
            <wp:extent cx="1055370" cy="379730"/>
            <wp:effectExtent l="0" t="0" r="0" b="1270"/>
            <wp:docPr id="522533778" name="Picture 2" descr="A black line with a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533778" name="Picture 2" descr="A black line with a hear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5370" cy="379730"/>
                    </a:xfrm>
                    <a:prstGeom prst="rect">
                      <a:avLst/>
                    </a:prstGeom>
                    <a:noFill/>
                    <a:ln>
                      <a:noFill/>
                    </a:ln>
                  </pic:spPr>
                </pic:pic>
              </a:graphicData>
            </a:graphic>
          </wp:inline>
        </w:drawing>
      </w:r>
      <w:r w:rsidR="00B577D3">
        <w:rPr>
          <w:sz w:val="24"/>
          <w:szCs w:val="24"/>
        </w:rPr>
        <w:t xml:space="preserve">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8ABBE6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w:t>
      </w:r>
      <w:r w:rsidR="00737DB8">
        <w:rPr>
          <w:sz w:val="24"/>
          <w:szCs w:val="24"/>
        </w:rPr>
        <w:t>26/09/2025</w:t>
      </w:r>
      <w:r>
        <w:rPr>
          <w:sz w:val="24"/>
          <w:szCs w:val="24"/>
        </w:rPr>
        <w:t xml:space="preserve">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CBB3FE7" w:rsidR="00335C41" w:rsidRPr="00D3203C" w:rsidRDefault="00335C41" w:rsidP="00335C41">
            <w:pPr>
              <w:ind w:right="180"/>
              <w:jc w:val="both"/>
              <w:rPr>
                <w:sz w:val="24"/>
                <w:szCs w:val="24"/>
              </w:rPr>
            </w:pPr>
            <w:r w:rsidRPr="00D3203C">
              <w:rPr>
                <w:sz w:val="24"/>
                <w:szCs w:val="24"/>
              </w:rPr>
              <w:t>Signed____</w:t>
            </w:r>
            <w:r w:rsidR="00C549DD" w:rsidRPr="00C549DD">
              <w:rPr>
                <w:noProof/>
              </w:rPr>
              <w:drawing>
                <wp:inline distT="0" distB="0" distL="0" distR="0" wp14:anchorId="54EADA05" wp14:editId="338202E8">
                  <wp:extent cx="1055370" cy="379730"/>
                  <wp:effectExtent l="0" t="0" r="0" b="1270"/>
                  <wp:docPr id="15020801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5370" cy="379730"/>
                          </a:xfrm>
                          <a:prstGeom prst="rect">
                            <a:avLst/>
                          </a:prstGeom>
                          <a:noFill/>
                          <a:ln>
                            <a:noFill/>
                          </a:ln>
                        </pic:spPr>
                      </pic:pic>
                    </a:graphicData>
                  </a:graphic>
                </wp:inline>
              </w:drawing>
            </w:r>
            <w:r w:rsidRPr="00D3203C">
              <w:rPr>
                <w:sz w:val="24"/>
                <w:szCs w:val="24"/>
              </w:rPr>
              <w:t>________ (Mentor)</w:t>
            </w:r>
          </w:p>
          <w:p w14:paraId="5D3F0767" w14:textId="77777777" w:rsidR="00335C41" w:rsidRPr="00D3203C" w:rsidRDefault="00335C41" w:rsidP="00335C41">
            <w:pPr>
              <w:ind w:right="180"/>
              <w:jc w:val="both"/>
              <w:rPr>
                <w:sz w:val="24"/>
                <w:szCs w:val="24"/>
              </w:rPr>
            </w:pPr>
          </w:p>
          <w:p w14:paraId="24E1B8A5" w14:textId="25A0F5DE" w:rsidR="00335C41" w:rsidRPr="00D3203C" w:rsidRDefault="00335C41" w:rsidP="00335C41">
            <w:pPr>
              <w:ind w:right="180"/>
              <w:jc w:val="both"/>
              <w:rPr>
                <w:sz w:val="24"/>
                <w:szCs w:val="24"/>
              </w:rPr>
            </w:pPr>
            <w:r w:rsidRPr="00D3203C">
              <w:rPr>
                <w:sz w:val="24"/>
                <w:szCs w:val="24"/>
              </w:rPr>
              <w:t>Date ___</w:t>
            </w:r>
            <w:r w:rsidR="00737DB8">
              <w:rPr>
                <w:sz w:val="24"/>
                <w:szCs w:val="24"/>
              </w:rPr>
              <w:t>26/09/2025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w:t>
      </w:r>
      <w:r w:rsidR="0006581A">
        <w:rPr>
          <w:color w:val="auto"/>
          <w:sz w:val="24"/>
          <w:szCs w:val="24"/>
        </w:rPr>
        <w:lastRenderedPageBreak/>
        <w:t xml:space="preserve">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7D5476A"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 xml:space="preserve">_ _ _ </w:t>
      </w:r>
      <w:r w:rsidR="004C5EBC">
        <w:rPr>
          <w:caps/>
          <w:sz w:val="24"/>
          <w:szCs w:val="24"/>
        </w:rPr>
        <w:t>meryl Ellis</w:t>
      </w:r>
      <w:r w:rsidR="00B577D3">
        <w:rPr>
          <w:caps/>
          <w:sz w:val="24"/>
          <w:szCs w:val="24"/>
        </w:rPr>
        <w:t>_ _ _ _ _ _ _ _ _ _ _ _ _ _ _ _ _ _ _ _ _ _ _</w:t>
      </w:r>
    </w:p>
    <w:p w14:paraId="7C11F360" w14:textId="3C84506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w:t>
      </w:r>
      <w:r w:rsidR="004C5EBC" w:rsidRPr="004C5EBC">
        <w:rPr>
          <w:i/>
          <w:iCs/>
          <w:sz w:val="24"/>
          <w:szCs w:val="24"/>
        </w:rPr>
        <w:t>M Ellis</w:t>
      </w:r>
      <w:r w:rsidR="00B577D3" w:rsidRPr="00B577D3">
        <w:rPr>
          <w:sz w:val="24"/>
          <w:szCs w:val="24"/>
        </w:rPr>
        <w:t>_ 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15316369"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w:t>
      </w:r>
      <w:r w:rsidR="004C5EBC">
        <w:rPr>
          <w:sz w:val="24"/>
          <w:szCs w:val="24"/>
        </w:rPr>
        <w:t>29/09/2025</w:t>
      </w:r>
      <w:r w:rsidR="00B577D3" w:rsidRPr="00B577D3">
        <w:rPr>
          <w:sz w:val="24"/>
          <w:szCs w:val="24"/>
        </w:rPr>
        <w:t>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05F3B60D" w:rsidR="00D05A5D" w:rsidRPr="00DA5682" w:rsidRDefault="00E634A7" w:rsidP="00CC14B6">
            <w:pPr>
              <w:rPr>
                <w:sz w:val="24"/>
                <w:szCs w:val="24"/>
              </w:rPr>
            </w:pPr>
            <w:r>
              <w:rPr>
                <w:sz w:val="24"/>
                <w:szCs w:val="24"/>
              </w:rPr>
              <w:t>Jessica Worthington</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24FB0B59" w:rsidR="00D05A5D" w:rsidRPr="00DA5682" w:rsidRDefault="00E634A7" w:rsidP="00CC14B6">
            <w:pPr>
              <w:rPr>
                <w:sz w:val="24"/>
                <w:szCs w:val="24"/>
              </w:rPr>
            </w:pPr>
            <w:r>
              <w:rPr>
                <w:sz w:val="24"/>
                <w:szCs w:val="24"/>
              </w:rPr>
              <w:t>Powys County Council – 14+ Through Care Team.</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0DB89BCD" w:rsidR="00D05A5D" w:rsidRPr="00DA5682" w:rsidRDefault="00E634A7" w:rsidP="00CC14B6">
            <w:pPr>
              <w:rPr>
                <w:sz w:val="24"/>
                <w:szCs w:val="24"/>
              </w:rPr>
            </w:pPr>
            <w:r>
              <w:rPr>
                <w:sz w:val="24"/>
                <w:szCs w:val="24"/>
              </w:rPr>
              <w:t>Lisa Hocking</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7CD3FECD" w:rsidR="00D05A5D" w:rsidRPr="00DA5682" w:rsidRDefault="00E634A7" w:rsidP="00CC14B6">
            <w:pPr>
              <w:rPr>
                <w:sz w:val="24"/>
                <w:szCs w:val="24"/>
              </w:rPr>
            </w:pPr>
            <w:r>
              <w:rPr>
                <w:sz w:val="24"/>
                <w:szCs w:val="24"/>
              </w:rPr>
              <w:t>Meryl Ellis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74DA601F" w:rsidR="00D05A5D" w:rsidRPr="00DA5682" w:rsidRDefault="00D05A5D" w:rsidP="00D05A5D">
      <w:pPr>
        <w:rPr>
          <w:sz w:val="24"/>
          <w:szCs w:val="24"/>
        </w:rPr>
      </w:pPr>
      <w:r w:rsidRPr="00DA5682">
        <w:rPr>
          <w:sz w:val="24"/>
          <w:szCs w:val="24"/>
        </w:rPr>
        <w:t>Signed</w:t>
      </w:r>
      <w:r w:rsidR="00E634A7">
        <w:rPr>
          <w:sz w:val="24"/>
          <w:szCs w:val="24"/>
        </w:rPr>
        <w:t xml:space="preserve">: </w:t>
      </w:r>
      <w:proofErr w:type="gramStart"/>
      <w:r w:rsidR="00E634A7">
        <w:rPr>
          <w:sz w:val="24"/>
          <w:szCs w:val="24"/>
        </w:rPr>
        <w:t>J  Worthington</w:t>
      </w:r>
      <w:proofErr w:type="gramEnd"/>
      <w:r w:rsidRPr="00DA5682">
        <w:rPr>
          <w:sz w:val="24"/>
          <w:szCs w:val="24"/>
        </w:rPr>
        <w:t xml:space="preserve"> </w:t>
      </w:r>
      <w:r w:rsidR="00E634A7">
        <w:rPr>
          <w:sz w:val="24"/>
          <w:szCs w:val="24"/>
        </w:rPr>
        <w:t xml:space="preserve">    </w:t>
      </w:r>
      <w:r w:rsidRPr="00DA5682">
        <w:rPr>
          <w:sz w:val="24"/>
          <w:szCs w:val="24"/>
        </w:rPr>
        <w:t>Print Name:</w:t>
      </w:r>
      <w:r w:rsidR="00E634A7">
        <w:rPr>
          <w:sz w:val="24"/>
          <w:szCs w:val="24"/>
        </w:rPr>
        <w:t xml:space="preserve"> J</w:t>
      </w:r>
      <w:r w:rsidR="00197435">
        <w:rPr>
          <w:sz w:val="24"/>
          <w:szCs w:val="24"/>
        </w:rPr>
        <w:t>essica</w:t>
      </w:r>
      <w:r w:rsidR="00E634A7">
        <w:rPr>
          <w:sz w:val="24"/>
          <w:szCs w:val="24"/>
        </w:rPr>
        <w:t xml:space="preserve"> </w:t>
      </w:r>
      <w:proofErr w:type="gramStart"/>
      <w:r w:rsidR="00E634A7">
        <w:rPr>
          <w:sz w:val="24"/>
          <w:szCs w:val="24"/>
        </w:rPr>
        <w:t xml:space="preserve">Worthington </w:t>
      </w:r>
      <w:r w:rsidRPr="00DA5682">
        <w:rPr>
          <w:sz w:val="24"/>
          <w:szCs w:val="24"/>
        </w:rPr>
        <w:t xml:space="preserve"> Date:…</w:t>
      </w:r>
      <w:proofErr w:type="gramEnd"/>
      <w:r w:rsidR="00BE76D8">
        <w:rPr>
          <w:sz w:val="24"/>
          <w:szCs w:val="24"/>
        </w:rPr>
        <w:t>20/10/2024</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01179A5B"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761ADA" w:rsidRPr="00761ADA">
        <w:rPr>
          <w:sz w:val="27"/>
          <w:szCs w:val="27"/>
        </w:rPr>
        <w:t xml:space="preserve"> </w:t>
      </w:r>
      <w:r w:rsidR="00761ADA" w:rsidRPr="00BE76D8">
        <w:rPr>
          <w:rFonts w:ascii="Baguet Script" w:hAnsi="Baguet Script"/>
          <w:sz w:val="27"/>
          <w:szCs w:val="27"/>
        </w:rPr>
        <w:t>M Ellis</w:t>
      </w:r>
      <w:r w:rsidR="00F5636E" w:rsidRPr="00DA5682">
        <w:rPr>
          <w:sz w:val="24"/>
          <w:szCs w:val="24"/>
        </w:rPr>
        <w:t xml:space="preserve"> </w:t>
      </w:r>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00197435">
        <w:rPr>
          <w:sz w:val="24"/>
          <w:szCs w:val="24"/>
        </w:rPr>
        <w:t>Meryl Ellis</w:t>
      </w:r>
      <w:r w:rsidR="00F5636E" w:rsidRPr="00DA5682">
        <w:rPr>
          <w:sz w:val="24"/>
          <w:szCs w:val="24"/>
        </w:rPr>
        <w:t xml:space="preserve"> </w:t>
      </w:r>
      <w:r w:rsidRPr="00DA5682">
        <w:rPr>
          <w:sz w:val="24"/>
          <w:szCs w:val="24"/>
        </w:rPr>
        <w:t>…</w:t>
      </w:r>
      <w:proofErr w:type="gramStart"/>
      <w:r w:rsidRPr="00DA5682">
        <w:rPr>
          <w:sz w:val="24"/>
          <w:szCs w:val="24"/>
        </w:rPr>
        <w:t>….Date:…</w:t>
      </w:r>
      <w:proofErr w:type="gramEnd"/>
      <w:r w:rsidR="00BE76D8">
        <w:rPr>
          <w:sz w:val="24"/>
          <w:szCs w:val="24"/>
        </w:rPr>
        <w:t>30/10/2024</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2C1E13C7" w:rsidR="00D05A5D" w:rsidRPr="00DA5682" w:rsidRDefault="00D05A5D" w:rsidP="00C549DD">
      <w:pPr>
        <w:pStyle w:val="NormalWeb"/>
      </w:pPr>
      <w:proofErr w:type="gramStart"/>
      <w:r w:rsidRPr="00DA5682">
        <w:t>Signed:…</w:t>
      </w:r>
      <w:proofErr w:type="gramEnd"/>
      <w:r w:rsidRPr="00DA5682">
        <w:t>…</w:t>
      </w:r>
      <w:r w:rsidR="00C549DD" w:rsidRPr="00C549DD">
        <w:rPr>
          <w:rFonts w:ascii="Calibri" w:hAnsi="Calibri" w:cs="Calibri"/>
          <w:noProof/>
          <w:color w:val="auto"/>
          <w:sz w:val="22"/>
          <w:szCs w:val="22"/>
        </w:rPr>
        <w:t xml:space="preserve"> </w:t>
      </w:r>
      <w:r w:rsidR="00C549DD" w:rsidRPr="00C549DD">
        <w:rPr>
          <w:rFonts w:ascii="Calibri" w:hAnsi="Calibri" w:cs="Calibri"/>
          <w:noProof/>
          <w:color w:val="auto"/>
          <w:sz w:val="22"/>
          <w:szCs w:val="22"/>
        </w:rPr>
        <w:drawing>
          <wp:inline distT="0" distB="0" distL="0" distR="0" wp14:anchorId="081BDEC5" wp14:editId="272C45BC">
            <wp:extent cx="1055370" cy="379730"/>
            <wp:effectExtent l="0" t="0" r="0" b="1270"/>
            <wp:docPr id="11" name="Picture 3" descr="A black line with a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3" descr="A black line with a hear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55370" cy="379730"/>
                    </a:xfrm>
                    <a:prstGeom prst="rect">
                      <a:avLst/>
                    </a:prstGeom>
                    <a:noFill/>
                    <a:ln>
                      <a:noFill/>
                    </a:ln>
                  </pic:spPr>
                </pic:pic>
              </a:graphicData>
            </a:graphic>
          </wp:inline>
        </w:drawing>
      </w:r>
      <w:proofErr w:type="gramStart"/>
      <w:r w:rsidRPr="00DA5682">
        <w:t>…..</w:t>
      </w:r>
      <w:proofErr w:type="gramEnd"/>
      <w:r w:rsidRPr="00DA5682">
        <w:t xml:space="preserve"> Print </w:t>
      </w:r>
      <w:proofErr w:type="gramStart"/>
      <w:r w:rsidRPr="00DA5682">
        <w:t>Name:…</w:t>
      </w:r>
      <w:proofErr w:type="gramEnd"/>
      <w:r w:rsidR="00C549DD">
        <w:t>Lisa Hocking</w:t>
      </w:r>
      <w:r w:rsidRPr="00DA5682">
        <w:t>……</w:t>
      </w:r>
      <w:proofErr w:type="gramStart"/>
      <w:r w:rsidRPr="00DA5682">
        <w:t>….Date:…</w:t>
      </w:r>
      <w:proofErr w:type="gramEnd"/>
      <w:r w:rsidR="00F65D00">
        <w:t>30/01/2025</w:t>
      </w:r>
      <w:r w:rsidRPr="00DA5682">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9854B" w14:textId="77777777" w:rsidR="009A0362" w:rsidRDefault="009A0362">
      <w:r>
        <w:separator/>
      </w:r>
    </w:p>
  </w:endnote>
  <w:endnote w:type="continuationSeparator" w:id="0">
    <w:p w14:paraId="65EB23AF" w14:textId="77777777" w:rsidR="009A0362" w:rsidRDefault="009A03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aguet Script">
    <w:charset w:val="00"/>
    <w:family w:val="auto"/>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72646" w14:textId="77777777" w:rsidR="009A0362" w:rsidRDefault="009A0362">
      <w:r>
        <w:separator/>
      </w:r>
    </w:p>
  </w:footnote>
  <w:footnote w:type="continuationSeparator" w:id="0">
    <w:p w14:paraId="28A9FA64" w14:textId="77777777" w:rsidR="009A0362" w:rsidRDefault="009A03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44"/>
    <w:rsid w:val="00045B87"/>
    <w:rsid w:val="00045C07"/>
    <w:rsid w:val="00045C40"/>
    <w:rsid w:val="00046861"/>
    <w:rsid w:val="00054A07"/>
    <w:rsid w:val="0005504D"/>
    <w:rsid w:val="00055D43"/>
    <w:rsid w:val="00056FAC"/>
    <w:rsid w:val="00057751"/>
    <w:rsid w:val="00062E39"/>
    <w:rsid w:val="00064063"/>
    <w:rsid w:val="00065168"/>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4483"/>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63FE"/>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0EBB"/>
    <w:rsid w:val="0019496C"/>
    <w:rsid w:val="001961CF"/>
    <w:rsid w:val="00197435"/>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D2C"/>
    <w:rsid w:val="002A0E51"/>
    <w:rsid w:val="002A1A44"/>
    <w:rsid w:val="002A2841"/>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0BC"/>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025"/>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4CE2"/>
    <w:rsid w:val="003F67A4"/>
    <w:rsid w:val="00400786"/>
    <w:rsid w:val="00401FDA"/>
    <w:rsid w:val="004046F0"/>
    <w:rsid w:val="0040668F"/>
    <w:rsid w:val="00411EF7"/>
    <w:rsid w:val="004125DA"/>
    <w:rsid w:val="00412677"/>
    <w:rsid w:val="00425160"/>
    <w:rsid w:val="00430DE3"/>
    <w:rsid w:val="004348AE"/>
    <w:rsid w:val="00435FC3"/>
    <w:rsid w:val="004376C0"/>
    <w:rsid w:val="0044223A"/>
    <w:rsid w:val="0044357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0B22"/>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C5EBC"/>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1CA9"/>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3C31"/>
    <w:rsid w:val="00574A0C"/>
    <w:rsid w:val="00576229"/>
    <w:rsid w:val="0057780F"/>
    <w:rsid w:val="00581E0A"/>
    <w:rsid w:val="005841E5"/>
    <w:rsid w:val="00586D89"/>
    <w:rsid w:val="005877C8"/>
    <w:rsid w:val="00587923"/>
    <w:rsid w:val="00594F9F"/>
    <w:rsid w:val="00596659"/>
    <w:rsid w:val="005A1B4C"/>
    <w:rsid w:val="005A545C"/>
    <w:rsid w:val="005B1BD4"/>
    <w:rsid w:val="005B271A"/>
    <w:rsid w:val="005B3A2D"/>
    <w:rsid w:val="005C1567"/>
    <w:rsid w:val="005C28D3"/>
    <w:rsid w:val="005C6CE5"/>
    <w:rsid w:val="005D3F07"/>
    <w:rsid w:val="005D4A1E"/>
    <w:rsid w:val="005D4F72"/>
    <w:rsid w:val="005D5E97"/>
    <w:rsid w:val="005E13EA"/>
    <w:rsid w:val="005E17F1"/>
    <w:rsid w:val="005F64AA"/>
    <w:rsid w:val="005F7851"/>
    <w:rsid w:val="00606E27"/>
    <w:rsid w:val="006108C9"/>
    <w:rsid w:val="00614DF7"/>
    <w:rsid w:val="00617236"/>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3857"/>
    <w:rsid w:val="006F5ED3"/>
    <w:rsid w:val="00700249"/>
    <w:rsid w:val="007069CD"/>
    <w:rsid w:val="00706BB5"/>
    <w:rsid w:val="0071231A"/>
    <w:rsid w:val="00712E90"/>
    <w:rsid w:val="00713B7E"/>
    <w:rsid w:val="0072678F"/>
    <w:rsid w:val="007276E5"/>
    <w:rsid w:val="00727C4C"/>
    <w:rsid w:val="00734809"/>
    <w:rsid w:val="0073714E"/>
    <w:rsid w:val="007374EF"/>
    <w:rsid w:val="00737DB8"/>
    <w:rsid w:val="007406E1"/>
    <w:rsid w:val="00743E40"/>
    <w:rsid w:val="00745016"/>
    <w:rsid w:val="0075031F"/>
    <w:rsid w:val="00751263"/>
    <w:rsid w:val="007544FC"/>
    <w:rsid w:val="00755427"/>
    <w:rsid w:val="00756548"/>
    <w:rsid w:val="0075673A"/>
    <w:rsid w:val="0075704F"/>
    <w:rsid w:val="00761ADA"/>
    <w:rsid w:val="00763B2D"/>
    <w:rsid w:val="00764C84"/>
    <w:rsid w:val="007710AD"/>
    <w:rsid w:val="00772924"/>
    <w:rsid w:val="007805AF"/>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4947"/>
    <w:rsid w:val="008E5A35"/>
    <w:rsid w:val="008F127E"/>
    <w:rsid w:val="008F32D9"/>
    <w:rsid w:val="00902A65"/>
    <w:rsid w:val="00903932"/>
    <w:rsid w:val="009079BD"/>
    <w:rsid w:val="00912BD9"/>
    <w:rsid w:val="00916FB2"/>
    <w:rsid w:val="00920E5B"/>
    <w:rsid w:val="00922347"/>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0362"/>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452E"/>
    <w:rsid w:val="00A16DD1"/>
    <w:rsid w:val="00A22441"/>
    <w:rsid w:val="00A23F3B"/>
    <w:rsid w:val="00A24406"/>
    <w:rsid w:val="00A25F64"/>
    <w:rsid w:val="00A275F6"/>
    <w:rsid w:val="00A303B9"/>
    <w:rsid w:val="00A36660"/>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964BD"/>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053E"/>
    <w:rsid w:val="00AF61C2"/>
    <w:rsid w:val="00AF6CC6"/>
    <w:rsid w:val="00B00D53"/>
    <w:rsid w:val="00B0296A"/>
    <w:rsid w:val="00B07E79"/>
    <w:rsid w:val="00B12295"/>
    <w:rsid w:val="00B137BE"/>
    <w:rsid w:val="00B15998"/>
    <w:rsid w:val="00B17FA0"/>
    <w:rsid w:val="00B212FF"/>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65524"/>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7823"/>
    <w:rsid w:val="00BD30B1"/>
    <w:rsid w:val="00BD6B0F"/>
    <w:rsid w:val="00BE0F7B"/>
    <w:rsid w:val="00BE10C2"/>
    <w:rsid w:val="00BE709C"/>
    <w:rsid w:val="00BE76D8"/>
    <w:rsid w:val="00BF0D6C"/>
    <w:rsid w:val="00C01D14"/>
    <w:rsid w:val="00C01D97"/>
    <w:rsid w:val="00C025B4"/>
    <w:rsid w:val="00C029EC"/>
    <w:rsid w:val="00C03FF2"/>
    <w:rsid w:val="00C161FD"/>
    <w:rsid w:val="00C17C9F"/>
    <w:rsid w:val="00C23F17"/>
    <w:rsid w:val="00C246F2"/>
    <w:rsid w:val="00C26D0D"/>
    <w:rsid w:val="00C27C95"/>
    <w:rsid w:val="00C300D2"/>
    <w:rsid w:val="00C3270F"/>
    <w:rsid w:val="00C3278B"/>
    <w:rsid w:val="00C33375"/>
    <w:rsid w:val="00C34C23"/>
    <w:rsid w:val="00C368FA"/>
    <w:rsid w:val="00C41F1F"/>
    <w:rsid w:val="00C42005"/>
    <w:rsid w:val="00C4664D"/>
    <w:rsid w:val="00C472AA"/>
    <w:rsid w:val="00C50A05"/>
    <w:rsid w:val="00C549DD"/>
    <w:rsid w:val="00C54AED"/>
    <w:rsid w:val="00C555FC"/>
    <w:rsid w:val="00C55E9B"/>
    <w:rsid w:val="00C56D09"/>
    <w:rsid w:val="00C57D24"/>
    <w:rsid w:val="00C604D6"/>
    <w:rsid w:val="00C63CAB"/>
    <w:rsid w:val="00C63D00"/>
    <w:rsid w:val="00C6441B"/>
    <w:rsid w:val="00C65921"/>
    <w:rsid w:val="00C7108B"/>
    <w:rsid w:val="00C75883"/>
    <w:rsid w:val="00C75B5C"/>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293"/>
    <w:rsid w:val="00D44B67"/>
    <w:rsid w:val="00D44F8E"/>
    <w:rsid w:val="00D51FD5"/>
    <w:rsid w:val="00D55DE0"/>
    <w:rsid w:val="00D607EF"/>
    <w:rsid w:val="00D60F88"/>
    <w:rsid w:val="00D646BD"/>
    <w:rsid w:val="00D65558"/>
    <w:rsid w:val="00D71201"/>
    <w:rsid w:val="00D720C7"/>
    <w:rsid w:val="00D7658E"/>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34A7"/>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2EBF"/>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24F2"/>
    <w:rsid w:val="00ED5D03"/>
    <w:rsid w:val="00EE01ED"/>
    <w:rsid w:val="00EE1AC1"/>
    <w:rsid w:val="00EE39D6"/>
    <w:rsid w:val="00EE52AD"/>
    <w:rsid w:val="00EE5BC3"/>
    <w:rsid w:val="00EE6FAB"/>
    <w:rsid w:val="00EF328C"/>
    <w:rsid w:val="00EF4CDD"/>
    <w:rsid w:val="00EF68BB"/>
    <w:rsid w:val="00F01F92"/>
    <w:rsid w:val="00F030D4"/>
    <w:rsid w:val="00F04053"/>
    <w:rsid w:val="00F06573"/>
    <w:rsid w:val="00F10A08"/>
    <w:rsid w:val="00F1164C"/>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4DF3"/>
    <w:rsid w:val="00F5636E"/>
    <w:rsid w:val="00F60281"/>
    <w:rsid w:val="00F65D00"/>
    <w:rsid w:val="00F66272"/>
    <w:rsid w:val="00F709C0"/>
    <w:rsid w:val="00F81FEC"/>
    <w:rsid w:val="00F864A8"/>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Strong">
    <w:name w:val="Strong"/>
    <w:basedOn w:val="DefaultParagraphFont"/>
    <w:uiPriority w:val="22"/>
    <w:qFormat/>
    <w:rsid w:val="00B212FF"/>
    <w:rPr>
      <w:b/>
      <w:bCs/>
    </w:rPr>
  </w:style>
  <w:style w:type="character" w:styleId="UnresolvedMention">
    <w:name w:val="Unresolved Mention"/>
    <w:basedOn w:val="DefaultParagraphFont"/>
    <w:uiPriority w:val="99"/>
    <w:semiHidden/>
    <w:unhideWhenUsed/>
    <w:rsid w:val="001163FE"/>
    <w:rPr>
      <w:color w:val="605E5C"/>
      <w:shd w:val="clear" w:color="auto" w:fill="E1DFDD"/>
    </w:rPr>
  </w:style>
  <w:style w:type="paragraph" w:styleId="NormalWeb">
    <w:name w:val="Normal (Web)"/>
    <w:basedOn w:val="Normal"/>
    <w:uiPriority w:val="99"/>
    <w:unhideWhenUsed/>
    <w:rsid w:val="00C549D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7</TotalTime>
  <Pages>18</Pages>
  <Words>4343</Words>
  <Characters>23803</Characters>
  <Application>Microsoft Office Word</Application>
  <DocSecurity>0</DocSecurity>
  <Lines>517</Lines>
  <Paragraphs>138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Jessica Worthington</cp:lastModifiedBy>
  <cp:revision>8</cp:revision>
  <cp:lastPrinted>2020-02-11T19:20:00Z</cp:lastPrinted>
  <dcterms:created xsi:type="dcterms:W3CDTF">2025-10-06T16:31:00Z</dcterms:created>
  <dcterms:modified xsi:type="dcterms:W3CDTF">2025-10-06T17:44:00Z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