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54978" w14:textId="116CC81A" w:rsidR="17AFAE1D" w:rsidRDefault="17AFAE1D" w:rsidP="17AFAE1D">
      <w:pPr>
        <w:spacing w:line="257" w:lineRule="auto"/>
      </w:pPr>
    </w:p>
    <w:p w14:paraId="37B299F1" w14:textId="608AFA56" w:rsidR="17AFAE1D" w:rsidRDefault="17AFAE1D" w:rsidP="17AFAE1D">
      <w:pPr>
        <w:spacing w:line="480" w:lineRule="auto"/>
      </w:pPr>
      <w:r w:rsidRPr="17AFAE1D">
        <w:rPr>
          <w:rFonts w:ascii="Arial" w:eastAsia="Arial" w:hAnsi="Arial" w:cs="Arial"/>
          <w:sz w:val="24"/>
          <w:szCs w:val="24"/>
        </w:rPr>
        <w:t xml:space="preserve">This assignment explores what constitutes as a family in modern society, and how the issues young people experience affect their adolescent development. Focusing on how issues such as financial deprivation and unemployment emanate from poverty, as well as looking at how changes in the family structure impacts also on their overall development. I will then explore how youth workers are able to help young people through these events. </w:t>
      </w:r>
    </w:p>
    <w:p w14:paraId="7050C265" w14:textId="26E89EEF" w:rsidR="17AFAE1D" w:rsidRDefault="17AFAE1D" w:rsidP="17AFAE1D">
      <w:pPr>
        <w:spacing w:line="480" w:lineRule="auto"/>
      </w:pPr>
      <w:r w:rsidRPr="17AFAE1D">
        <w:rPr>
          <w:rFonts w:ascii="Arial" w:eastAsia="Arial" w:hAnsi="Arial" w:cs="Arial"/>
          <w:sz w:val="24"/>
          <w:szCs w:val="24"/>
        </w:rPr>
        <w:t xml:space="preserve">The definition of what families are comprised of depends varies individually on personal perception and values. Although the definition of a ‘traditional’ family can be described in the Collins dictionary as </w:t>
      </w:r>
    </w:p>
    <w:p w14:paraId="3A25CAC7" w14:textId="4ECB3958" w:rsidR="17AFAE1D" w:rsidRDefault="17AFAE1D" w:rsidP="17AFAE1D">
      <w:pPr>
        <w:spacing w:line="480" w:lineRule="auto"/>
      </w:pPr>
      <w:r w:rsidRPr="17AFAE1D">
        <w:rPr>
          <w:rFonts w:ascii="Arial" w:eastAsia="Arial" w:hAnsi="Arial" w:cs="Arial"/>
          <w:sz w:val="24"/>
          <w:szCs w:val="24"/>
        </w:rPr>
        <w:t xml:space="preserve"> </w:t>
      </w:r>
    </w:p>
    <w:p w14:paraId="46E13538" w14:textId="336D4FCF" w:rsidR="17AFAE1D" w:rsidRDefault="17AFAE1D" w:rsidP="17AFAE1D">
      <w:pPr>
        <w:spacing w:line="257" w:lineRule="auto"/>
      </w:pPr>
      <w:r w:rsidRPr="17AFAE1D">
        <w:rPr>
          <w:rFonts w:ascii="Arial" w:eastAsia="Arial" w:hAnsi="Arial" w:cs="Arial"/>
          <w:sz w:val="24"/>
          <w:szCs w:val="24"/>
        </w:rPr>
        <w:t xml:space="preserve">    ‘’A Family is a group of people who are related to each other, especially </w:t>
      </w:r>
    </w:p>
    <w:p w14:paraId="4304C554" w14:textId="1FB97F00" w:rsidR="17AFAE1D" w:rsidRDefault="17AFAE1D" w:rsidP="17AFAE1D">
      <w:pPr>
        <w:spacing w:line="257" w:lineRule="auto"/>
      </w:pPr>
      <w:r w:rsidRPr="17AFAE1D">
        <w:rPr>
          <w:rFonts w:ascii="Arial" w:eastAsia="Arial" w:hAnsi="Arial" w:cs="Arial"/>
          <w:sz w:val="24"/>
          <w:szCs w:val="24"/>
        </w:rPr>
        <w:t>parents and their children’’</w:t>
      </w:r>
    </w:p>
    <w:p w14:paraId="782B37D2" w14:textId="3DD5C46D" w:rsidR="17AFAE1D" w:rsidRDefault="17AFAE1D" w:rsidP="17AFAE1D">
      <w:pPr>
        <w:spacing w:line="257" w:lineRule="auto"/>
      </w:pPr>
      <w:r w:rsidRPr="17AFAE1D">
        <w:rPr>
          <w:rFonts w:ascii="Arial" w:eastAsia="Arial" w:hAnsi="Arial" w:cs="Arial"/>
          <w:sz w:val="24"/>
          <w:szCs w:val="24"/>
        </w:rPr>
        <w:t xml:space="preserve"> </w:t>
      </w:r>
    </w:p>
    <w:p w14:paraId="3D814689" w14:textId="58F0D650" w:rsidR="17AFAE1D" w:rsidRDefault="17AFAE1D" w:rsidP="17AFAE1D">
      <w:pPr>
        <w:spacing w:line="257" w:lineRule="auto"/>
      </w:pPr>
      <w:r w:rsidRPr="17AFAE1D">
        <w:rPr>
          <w:rFonts w:ascii="Arial" w:eastAsia="Arial" w:hAnsi="Arial" w:cs="Arial"/>
          <w:sz w:val="24"/>
          <w:szCs w:val="24"/>
        </w:rPr>
        <w:t xml:space="preserve">                                                          (Collinsdictionary.com, 2019)</w:t>
      </w:r>
    </w:p>
    <w:p w14:paraId="0FD7A8FB" w14:textId="62D5A09E" w:rsidR="17AFAE1D" w:rsidRDefault="17AFAE1D" w:rsidP="17AFAE1D">
      <w:pPr>
        <w:spacing w:line="257" w:lineRule="auto"/>
      </w:pPr>
      <w:r w:rsidRPr="17AFAE1D">
        <w:rPr>
          <w:rFonts w:ascii="Arial" w:eastAsia="Arial" w:hAnsi="Arial" w:cs="Arial"/>
          <w:sz w:val="24"/>
          <w:szCs w:val="24"/>
        </w:rPr>
        <w:t xml:space="preserve"> </w:t>
      </w:r>
    </w:p>
    <w:p w14:paraId="0B33C5D6" w14:textId="41B161D5" w:rsidR="17AFAE1D" w:rsidRDefault="17AFAE1D" w:rsidP="17AFAE1D">
      <w:pPr>
        <w:spacing w:line="480" w:lineRule="auto"/>
      </w:pPr>
      <w:r w:rsidRPr="17AFAE1D">
        <w:rPr>
          <w:rFonts w:ascii="Arial" w:eastAsia="Arial" w:hAnsi="Arial" w:cs="Arial"/>
          <w:sz w:val="24"/>
          <w:szCs w:val="24"/>
        </w:rPr>
        <w:t>Families today are structured in many ways, as to the definition of a 1960’s family being two parents and their children. (</w:t>
      </w:r>
      <w:proofErr w:type="spellStart"/>
      <w:r w:rsidRPr="17AFAE1D">
        <w:rPr>
          <w:rFonts w:ascii="Arial" w:eastAsia="Arial" w:hAnsi="Arial" w:cs="Arial"/>
          <w:sz w:val="24"/>
          <w:szCs w:val="24"/>
        </w:rPr>
        <w:t>Childtrends</w:t>
      </w:r>
      <w:proofErr w:type="spellEnd"/>
      <w:r w:rsidRPr="17AFAE1D">
        <w:rPr>
          <w:rFonts w:ascii="Arial" w:eastAsia="Arial" w:hAnsi="Arial" w:cs="Arial"/>
          <w:sz w:val="24"/>
          <w:szCs w:val="24"/>
        </w:rPr>
        <w:t xml:space="preserve"> 2015) Family structure can be diverse, with same sex parents, lone parent families and reconstituted families, even with grandparent taking on a parental role. There is much debate however if family can be defined as ‘blood relation’ or, as caregivers who offer support, security and warmth that is needed for a young person to thrive. (</w:t>
      </w:r>
      <w:proofErr w:type="spellStart"/>
      <w:r w:rsidRPr="17AFAE1D">
        <w:rPr>
          <w:rFonts w:ascii="Arial" w:eastAsia="Arial" w:hAnsi="Arial" w:cs="Arial"/>
          <w:sz w:val="24"/>
          <w:szCs w:val="24"/>
        </w:rPr>
        <w:t>Nason</w:t>
      </w:r>
      <w:proofErr w:type="spellEnd"/>
      <w:r w:rsidRPr="17AFAE1D">
        <w:rPr>
          <w:rFonts w:ascii="Arial" w:eastAsia="Arial" w:hAnsi="Arial" w:cs="Arial"/>
          <w:sz w:val="24"/>
          <w:szCs w:val="24"/>
        </w:rPr>
        <w:t xml:space="preserve">, 2017) According to Maslow (1958) to develop well, the child’s basic, psychological and self- fulfilment needs have to be met in order to progress on to the next stage that can be seen with the Hierarchy of needs model (Maslow, 1958) According to this theory, as long as these deficiency and growth needs are met successfully by the caregiver, the child </w:t>
      </w:r>
      <w:r w:rsidRPr="17AFAE1D">
        <w:rPr>
          <w:rFonts w:ascii="Arial" w:eastAsia="Arial" w:hAnsi="Arial" w:cs="Arial"/>
          <w:sz w:val="24"/>
          <w:szCs w:val="24"/>
        </w:rPr>
        <w:lastRenderedPageBreak/>
        <w:t>will thrive (McLeod, 2018). If we take into consideration Maslow’s theory with Bronfenbrenner’s Ecological systems theory, the definition of family goes beyond what the structure of the family is, with the core value of family being whether the child receives enough warmth and support from those who care for them. However, the changing dynamic of families during adolescence can impact on young people when close attachments have been made with their caregivers at a young age (Bowlby, 1969)</w:t>
      </w:r>
    </w:p>
    <w:p w14:paraId="1EAC3F8F" w14:textId="43DA7AE7" w:rsidR="17AFAE1D" w:rsidRDefault="17AFAE1D" w:rsidP="17AFAE1D">
      <w:pPr>
        <w:spacing w:line="480" w:lineRule="auto"/>
      </w:pPr>
      <w:r w:rsidRPr="17AFAE1D">
        <w:rPr>
          <w:rFonts w:ascii="Arial" w:eastAsia="Arial" w:hAnsi="Arial" w:cs="Arial"/>
          <w:sz w:val="24"/>
          <w:szCs w:val="24"/>
        </w:rPr>
        <w:t xml:space="preserve"> </w:t>
      </w:r>
    </w:p>
    <w:p w14:paraId="59C81BB4" w14:textId="3361653B" w:rsidR="17AFAE1D" w:rsidRDefault="17AFAE1D" w:rsidP="17AFAE1D">
      <w:pPr>
        <w:spacing w:line="480" w:lineRule="auto"/>
      </w:pPr>
      <w:r w:rsidRPr="17AFAE1D">
        <w:rPr>
          <w:rFonts w:ascii="Arial" w:eastAsia="Arial" w:hAnsi="Arial" w:cs="Arial"/>
          <w:sz w:val="24"/>
          <w:szCs w:val="24"/>
        </w:rPr>
        <w:t xml:space="preserve">Bowlby’s attachment theory </w:t>
      </w:r>
      <w:r w:rsidRPr="17AFAE1D">
        <w:rPr>
          <w:rFonts w:ascii="Georgia" w:eastAsia="Georgia" w:hAnsi="Georgia" w:cs="Georgia"/>
          <w:sz w:val="26"/>
          <w:szCs w:val="26"/>
        </w:rPr>
        <w:t>(</w:t>
      </w:r>
      <w:r w:rsidRPr="17AFAE1D">
        <w:rPr>
          <w:rFonts w:ascii="Arial" w:eastAsia="Arial" w:hAnsi="Arial" w:cs="Arial"/>
          <w:sz w:val="24"/>
          <w:szCs w:val="24"/>
        </w:rPr>
        <w:t>Ainsworth, 1973; Bowlby</w:t>
      </w:r>
      <w:r w:rsidRPr="17AFAE1D">
        <w:rPr>
          <w:rFonts w:ascii="Georgia" w:eastAsia="Georgia" w:hAnsi="Georgia" w:cs="Georgia"/>
          <w:sz w:val="26"/>
          <w:szCs w:val="26"/>
        </w:rPr>
        <w:t xml:space="preserve">, </w:t>
      </w:r>
      <w:r w:rsidRPr="17AFAE1D">
        <w:rPr>
          <w:rFonts w:ascii="Arial" w:eastAsia="Arial" w:hAnsi="Arial" w:cs="Arial"/>
          <w:sz w:val="24"/>
          <w:szCs w:val="24"/>
        </w:rPr>
        <w:t>1969) describes the emotional bonds that are created between caregiver and child and how these bonds influence warmth, and security. This can predict how well adolescents cope with transitions later in life. When a young person experiences a divide in a positive family environment with events such as parental divorce, it can be a challenging and stressful time for them. More so when they are going through adolescence. The main concern here is that adolescence is a period of changes (</w:t>
      </w:r>
      <w:r w:rsidR="00031D65">
        <w:rPr>
          <w:rFonts w:ascii="Arial" w:eastAsia="Arial" w:hAnsi="Arial" w:cs="Arial"/>
          <w:sz w:val="24"/>
          <w:szCs w:val="24"/>
        </w:rPr>
        <w:t>Coleman, 2011, p</w:t>
      </w:r>
      <w:r w:rsidR="007C2A5F">
        <w:rPr>
          <w:rFonts w:ascii="Arial" w:eastAsia="Arial" w:hAnsi="Arial" w:cs="Arial"/>
          <w:sz w:val="24"/>
          <w:szCs w:val="24"/>
        </w:rPr>
        <w:t>2</w:t>
      </w:r>
      <w:r w:rsidRPr="17AFAE1D">
        <w:rPr>
          <w:rFonts w:ascii="Arial" w:eastAsia="Arial" w:hAnsi="Arial" w:cs="Arial"/>
          <w:sz w:val="24"/>
          <w:szCs w:val="24"/>
        </w:rPr>
        <w:t>) where it can be challenging for the young person to cope with new cognitive and biological changes. For a young person experiencing stressful situations such as divorce, this can set off a multitude of negative issues that can impact on their overall wellbeing. (Amato, 2001, cited in Steinberg and Lerner, 2009, p32)</w:t>
      </w:r>
    </w:p>
    <w:p w14:paraId="44C4E13F" w14:textId="5A36E941" w:rsidR="17AFAE1D" w:rsidRDefault="17AFAE1D" w:rsidP="17AFAE1D">
      <w:pPr>
        <w:spacing w:line="480" w:lineRule="auto"/>
      </w:pPr>
      <w:r w:rsidRPr="17AFAE1D">
        <w:rPr>
          <w:rFonts w:ascii="Arial" w:eastAsia="Arial" w:hAnsi="Arial" w:cs="Arial"/>
          <w:sz w:val="24"/>
          <w:szCs w:val="24"/>
        </w:rPr>
        <w:t xml:space="preserve">Divorce is recognised as a risk factor. (Coleman, 2011, p212) This means that divorce has been identified as a potentially damaging process that affects the young person indirectly but, contributes to the new ways in which a parent delivers their roles. For example, </w:t>
      </w:r>
      <w:proofErr w:type="spellStart"/>
      <w:r w:rsidRPr="17AFAE1D">
        <w:rPr>
          <w:rFonts w:ascii="Arial" w:eastAsia="Arial" w:hAnsi="Arial" w:cs="Arial"/>
          <w:sz w:val="24"/>
          <w:szCs w:val="24"/>
        </w:rPr>
        <w:t>Noller</w:t>
      </w:r>
      <w:proofErr w:type="spellEnd"/>
      <w:r w:rsidRPr="17AFAE1D">
        <w:rPr>
          <w:rFonts w:ascii="Arial" w:eastAsia="Arial" w:hAnsi="Arial" w:cs="Arial"/>
          <w:sz w:val="24"/>
          <w:szCs w:val="24"/>
        </w:rPr>
        <w:t xml:space="preserve"> (20</w:t>
      </w:r>
      <w:r w:rsidR="00510426">
        <w:rPr>
          <w:rFonts w:ascii="Arial" w:eastAsia="Arial" w:hAnsi="Arial" w:cs="Arial"/>
          <w:sz w:val="24"/>
          <w:szCs w:val="24"/>
        </w:rPr>
        <w:t>14</w:t>
      </w:r>
      <w:r w:rsidRPr="17AFAE1D">
        <w:rPr>
          <w:rFonts w:ascii="Arial" w:eastAsia="Arial" w:hAnsi="Arial" w:cs="Arial"/>
          <w:sz w:val="24"/>
          <w:szCs w:val="24"/>
        </w:rPr>
        <w:t xml:space="preserve">) states that communication is vital within the family, and if communication Is positive, conflict is reduced. For the adolescent who has </w:t>
      </w:r>
      <w:r w:rsidRPr="17AFAE1D">
        <w:rPr>
          <w:rFonts w:ascii="Arial" w:eastAsia="Arial" w:hAnsi="Arial" w:cs="Arial"/>
          <w:sz w:val="24"/>
          <w:szCs w:val="24"/>
        </w:rPr>
        <w:lastRenderedPageBreak/>
        <w:t>experienced conflict within the family prior to divorce, there will be a great deal of stress placed upon that adolescent witnessing stressful family environments, being subjected to arguments and negative behaviours.(</w:t>
      </w:r>
      <w:proofErr w:type="spellStart"/>
      <w:r w:rsidRPr="17AFAE1D">
        <w:rPr>
          <w:rFonts w:ascii="Arial" w:eastAsia="Arial" w:hAnsi="Arial" w:cs="Arial"/>
          <w:sz w:val="24"/>
          <w:szCs w:val="24"/>
        </w:rPr>
        <w:t>Collishaw</w:t>
      </w:r>
      <w:proofErr w:type="spellEnd"/>
      <w:r w:rsidRPr="17AFAE1D">
        <w:rPr>
          <w:rFonts w:ascii="Arial" w:eastAsia="Arial" w:hAnsi="Arial" w:cs="Arial"/>
          <w:sz w:val="24"/>
          <w:szCs w:val="24"/>
        </w:rPr>
        <w:t xml:space="preserve"> et., al, cited in Coleman, 2011, p97) When an adolescence adjusts to a parent leaving the family home, there is added pressure for the resident parent to provide the role of parent, (Coleman, 2011, pp98,99) as well as non-resident parent with emotional stress and adjusting to loss of income. For the parent, divorce is a highly stressful time, and it can be difficult to give the young person the support and love that they need to feel secure and help them to adjust. Although the way a young person responds to divorce is determined by their resilience level and the protective factors present in their life.(Brynner,2001,p.286, cited in Coleman, 2011, p215) Nature of the divorce and how well parental relationships are established also depend on how well divorce is managed. Divorce can also be a factor for personal growth and development, by taking on responsible roles within the family. (Hetherington,1999</w:t>
      </w:r>
      <w:r w:rsidR="000323CE">
        <w:rPr>
          <w:rFonts w:ascii="Arial" w:eastAsia="Arial" w:hAnsi="Arial" w:cs="Arial"/>
          <w:sz w:val="24"/>
          <w:szCs w:val="24"/>
        </w:rPr>
        <w:t xml:space="preserve">, cited in </w:t>
      </w:r>
      <w:r w:rsidR="00811FCF">
        <w:rPr>
          <w:rFonts w:ascii="Arial" w:eastAsia="Arial" w:hAnsi="Arial" w:cs="Arial"/>
          <w:sz w:val="24"/>
          <w:szCs w:val="24"/>
        </w:rPr>
        <w:t>Steinberg and Lerner, 200</w:t>
      </w:r>
      <w:r w:rsidR="006A790C">
        <w:rPr>
          <w:rFonts w:ascii="Arial" w:eastAsia="Arial" w:hAnsi="Arial" w:cs="Arial"/>
          <w:sz w:val="24"/>
          <w:szCs w:val="24"/>
        </w:rPr>
        <w:t>9, p451)</w:t>
      </w:r>
    </w:p>
    <w:p w14:paraId="2F1D4273" w14:textId="499CC2B0" w:rsidR="17AFAE1D" w:rsidRDefault="17AFAE1D" w:rsidP="17AFAE1D">
      <w:pPr>
        <w:spacing w:line="480" w:lineRule="auto"/>
      </w:pPr>
      <w:r w:rsidRPr="17AFAE1D">
        <w:rPr>
          <w:rFonts w:ascii="Arial" w:eastAsia="Arial" w:hAnsi="Arial" w:cs="Arial"/>
          <w:sz w:val="24"/>
          <w:szCs w:val="24"/>
        </w:rPr>
        <w:t xml:space="preserve"> </w:t>
      </w:r>
    </w:p>
    <w:p w14:paraId="1E8CF57D" w14:textId="192631FD" w:rsidR="17AFAE1D" w:rsidRDefault="17AFAE1D" w:rsidP="17AFAE1D">
      <w:pPr>
        <w:spacing w:line="480" w:lineRule="auto"/>
      </w:pPr>
      <w:r w:rsidRPr="17AFAE1D">
        <w:rPr>
          <w:rFonts w:ascii="Arial" w:eastAsia="Arial" w:hAnsi="Arial" w:cs="Arial"/>
          <w:sz w:val="24"/>
          <w:szCs w:val="24"/>
        </w:rPr>
        <w:t>In order to assess the risk young people are of developing and ACE (adverse childhood experience) (GOV.UK, 2019) it is essential for youth workers to use their existing skills and tools such as NAOMIE (Ingram and Harris, 2001, pp21-23) to evaluate and assess each individual outcome.</w:t>
      </w:r>
    </w:p>
    <w:p w14:paraId="0FC6B46B" w14:textId="3EDD8917" w:rsidR="17AFAE1D" w:rsidRDefault="17AFAE1D" w:rsidP="17AFAE1D">
      <w:pPr>
        <w:spacing w:line="480" w:lineRule="auto"/>
      </w:pPr>
      <w:r w:rsidRPr="17AFAE1D">
        <w:rPr>
          <w:rFonts w:ascii="Arial" w:eastAsia="Arial" w:hAnsi="Arial" w:cs="Arial"/>
          <w:sz w:val="24"/>
          <w:szCs w:val="24"/>
        </w:rPr>
        <w:t xml:space="preserve"> </w:t>
      </w:r>
    </w:p>
    <w:p w14:paraId="7960F17F" w14:textId="226318F9" w:rsidR="17AFAE1D" w:rsidRDefault="17AFAE1D" w:rsidP="17AFAE1D">
      <w:pPr>
        <w:spacing w:line="480" w:lineRule="auto"/>
      </w:pPr>
      <w:r w:rsidRPr="17AFAE1D">
        <w:rPr>
          <w:rFonts w:ascii="Arial" w:eastAsia="Arial" w:hAnsi="Arial" w:cs="Arial"/>
          <w:sz w:val="24"/>
          <w:szCs w:val="24"/>
        </w:rPr>
        <w:t xml:space="preserve">If we look at poverty for example being a contributory factor of divorce where families suffer financial loss with only one income (Coleman,2011, p122) a youth worker could help to ensure that the financial needs of the family are met by working </w:t>
      </w:r>
      <w:r w:rsidRPr="17AFAE1D">
        <w:rPr>
          <w:rFonts w:ascii="Arial" w:eastAsia="Arial" w:hAnsi="Arial" w:cs="Arial"/>
          <w:sz w:val="24"/>
          <w:szCs w:val="24"/>
        </w:rPr>
        <w:lastRenderedPageBreak/>
        <w:t>alongside external agencies to discuss how, if relevant, the adolescent and family can be supported financially.</w:t>
      </w:r>
    </w:p>
    <w:p w14:paraId="1BBC2AFE" w14:textId="7518E99E" w:rsidR="17AFAE1D" w:rsidRDefault="17AFAE1D" w:rsidP="17AFAE1D">
      <w:pPr>
        <w:spacing w:line="480" w:lineRule="auto"/>
      </w:pPr>
      <w:r w:rsidRPr="17AFAE1D">
        <w:rPr>
          <w:rFonts w:ascii="Arial" w:eastAsia="Arial" w:hAnsi="Arial" w:cs="Arial"/>
          <w:sz w:val="24"/>
          <w:szCs w:val="24"/>
        </w:rPr>
        <w:t xml:space="preserve"> </w:t>
      </w:r>
    </w:p>
    <w:p w14:paraId="176B2D99" w14:textId="4F6C14B8" w:rsidR="17AFAE1D" w:rsidRDefault="17AFAE1D" w:rsidP="17AFAE1D">
      <w:pPr>
        <w:spacing w:line="480" w:lineRule="auto"/>
      </w:pPr>
      <w:r w:rsidRPr="17AFAE1D">
        <w:rPr>
          <w:rFonts w:ascii="Arial" w:eastAsia="Arial" w:hAnsi="Arial" w:cs="Arial"/>
          <w:sz w:val="24"/>
          <w:szCs w:val="24"/>
        </w:rPr>
        <w:t>Poverty alone, has a huge impact on families as well as adolescence. The adolescent is not affected directly, but the impact of parental unemployment that can be a contributing factor to the overall experience of living in poverty does. According to Blanchflower (2010) many young people who live with unemployed parents are destined to follow their footsteps. This means that there is a high risk of adolescents becoming NEET, resulting in the same pattern of deprivation (Blanchflower, 2010) repeating with future generations. This can be damaging to the future outcomes of the adolescent (Appleyard et al., 2005, cited in Coleman, 2011 p212)</w:t>
      </w:r>
    </w:p>
    <w:p w14:paraId="5FDBC4AE" w14:textId="23833C48" w:rsidR="17AFAE1D" w:rsidRDefault="17AFAE1D" w:rsidP="17AFAE1D">
      <w:pPr>
        <w:spacing w:line="480" w:lineRule="auto"/>
      </w:pPr>
      <w:r w:rsidRPr="17AFAE1D">
        <w:rPr>
          <w:rFonts w:ascii="Arial" w:eastAsia="Arial" w:hAnsi="Arial" w:cs="Arial"/>
          <w:sz w:val="24"/>
          <w:szCs w:val="24"/>
        </w:rPr>
        <w:t xml:space="preserve"> </w:t>
      </w:r>
    </w:p>
    <w:p w14:paraId="3386446A" w14:textId="257044C1" w:rsidR="17AFAE1D" w:rsidRDefault="17AFAE1D" w:rsidP="17AFAE1D">
      <w:pPr>
        <w:spacing w:line="480" w:lineRule="auto"/>
      </w:pPr>
      <w:r w:rsidRPr="17AFAE1D">
        <w:rPr>
          <w:rFonts w:ascii="Arial" w:eastAsia="Arial" w:hAnsi="Arial" w:cs="Arial"/>
          <w:sz w:val="24"/>
          <w:szCs w:val="24"/>
        </w:rPr>
        <w:t xml:space="preserve">The Warner family, from the Cynon valley in Wales, (BBC Wales,2000) are an example of what it is like for families, who are faced with unemployment and financial hardship. </w:t>
      </w:r>
    </w:p>
    <w:p w14:paraId="0B54C41F" w14:textId="3FD4FCDB" w:rsidR="17AFAE1D" w:rsidRDefault="17AFAE1D" w:rsidP="17AFAE1D">
      <w:pPr>
        <w:spacing w:line="480" w:lineRule="auto"/>
      </w:pPr>
      <w:r w:rsidRPr="17AFAE1D">
        <w:rPr>
          <w:rFonts w:ascii="Arial" w:eastAsia="Arial" w:hAnsi="Arial" w:cs="Arial"/>
          <w:sz w:val="24"/>
          <w:szCs w:val="24"/>
        </w:rPr>
        <w:t xml:space="preserve"> </w:t>
      </w:r>
    </w:p>
    <w:p w14:paraId="376186CB" w14:textId="6F764018" w:rsidR="17AFAE1D" w:rsidRDefault="17AFAE1D" w:rsidP="17AFAE1D">
      <w:pPr>
        <w:spacing w:line="480" w:lineRule="auto"/>
      </w:pPr>
      <w:r w:rsidRPr="17AFAE1D">
        <w:rPr>
          <w:rFonts w:ascii="Arial" w:eastAsia="Arial" w:hAnsi="Arial" w:cs="Arial"/>
          <w:sz w:val="24"/>
          <w:szCs w:val="24"/>
        </w:rPr>
        <w:t>According to the Office of National Statistics (Gov.2019) the percentage of NEET adolescents in wales aged 16 to 18 has increased slightly from 2018 from 10.3% to 9.4% of NEET adolescents in 2017. Whereas for the those aged 19 to 24, has increased slightly from 15% in 2019 to 15.7% for 2018.</w:t>
      </w:r>
    </w:p>
    <w:p w14:paraId="000E02EA" w14:textId="171B1B98" w:rsidR="17AFAE1D" w:rsidRDefault="17AFAE1D" w:rsidP="17AFAE1D">
      <w:pPr>
        <w:spacing w:line="480" w:lineRule="auto"/>
      </w:pPr>
      <w:r w:rsidRPr="17AFAE1D">
        <w:rPr>
          <w:rFonts w:ascii="Arial" w:eastAsia="Arial" w:hAnsi="Arial" w:cs="Arial"/>
          <w:sz w:val="24"/>
          <w:szCs w:val="24"/>
        </w:rPr>
        <w:t xml:space="preserve"> </w:t>
      </w:r>
    </w:p>
    <w:p w14:paraId="2B86BEA8" w14:textId="01B29AAF" w:rsidR="17AFAE1D" w:rsidRDefault="0A534157" w:rsidP="17AFAE1D">
      <w:pPr>
        <w:spacing w:line="480" w:lineRule="auto"/>
      </w:pPr>
      <w:r w:rsidRPr="0A534157">
        <w:rPr>
          <w:rFonts w:ascii="Arial" w:eastAsia="Arial" w:hAnsi="Arial" w:cs="Arial"/>
          <w:sz w:val="24"/>
          <w:szCs w:val="24"/>
        </w:rPr>
        <w:t xml:space="preserve">According to these findings, this means that there is an increase in adolescents that have just left school, that will face psychological distress (Smith et, al 2007) if they </w:t>
      </w:r>
      <w:r w:rsidRPr="0A534157">
        <w:rPr>
          <w:rFonts w:ascii="Arial" w:eastAsia="Arial" w:hAnsi="Arial" w:cs="Arial"/>
          <w:sz w:val="24"/>
          <w:szCs w:val="24"/>
        </w:rPr>
        <w:lastRenderedPageBreak/>
        <w:t xml:space="preserve">do not have enough support networks. In contrast to young people becoming NEET, Blackwell (2003, p477) identified that there is also a link to poverty and delinquent behaviour. According to Bourdieu and </w:t>
      </w:r>
      <w:proofErr w:type="spellStart"/>
      <w:r w:rsidRPr="0A534157">
        <w:rPr>
          <w:rFonts w:ascii="Arial" w:eastAsia="Arial" w:hAnsi="Arial" w:cs="Arial"/>
          <w:sz w:val="24"/>
          <w:szCs w:val="24"/>
        </w:rPr>
        <w:t>Passeron</w:t>
      </w:r>
      <w:proofErr w:type="spellEnd"/>
      <w:r w:rsidRPr="0A534157">
        <w:rPr>
          <w:rFonts w:ascii="Arial" w:eastAsia="Arial" w:hAnsi="Arial" w:cs="Arial"/>
          <w:sz w:val="24"/>
          <w:szCs w:val="24"/>
        </w:rPr>
        <w:t xml:space="preserve"> (1977, cited in Coleman, </w:t>
      </w:r>
      <w:proofErr w:type="gramStart"/>
      <w:r w:rsidRPr="0A534157">
        <w:rPr>
          <w:rFonts w:ascii="Arial" w:eastAsia="Arial" w:hAnsi="Arial" w:cs="Arial"/>
          <w:sz w:val="24"/>
          <w:szCs w:val="24"/>
        </w:rPr>
        <w:t>2011,p</w:t>
      </w:r>
      <w:proofErr w:type="gramEnd"/>
      <w:r w:rsidRPr="0A534157">
        <w:rPr>
          <w:rFonts w:ascii="Arial" w:eastAsia="Arial" w:hAnsi="Arial" w:cs="Arial"/>
          <w:sz w:val="24"/>
          <w:szCs w:val="24"/>
        </w:rPr>
        <w:t xml:space="preserve">202) this is because parents from poorer households are not as able to support and motivate their children, because of little to no social capital. (MacDonald 2007 and White 2009 cited in Coleman (2011), pp 202,203) resulting in enforcing little discipline or showing much affection. (Steinberg and Lerner, 2005, p451) </w:t>
      </w:r>
    </w:p>
    <w:p w14:paraId="7257A16F" w14:textId="1895F955" w:rsidR="537EE739" w:rsidRDefault="537EE739" w:rsidP="537EE739">
      <w:pPr>
        <w:spacing w:line="480" w:lineRule="auto"/>
        <w:rPr>
          <w:rFonts w:ascii="Arial" w:eastAsia="Arial" w:hAnsi="Arial" w:cs="Arial"/>
          <w:sz w:val="24"/>
          <w:szCs w:val="24"/>
        </w:rPr>
      </w:pPr>
      <w:r w:rsidRPr="537EE739">
        <w:rPr>
          <w:rFonts w:ascii="Arial" w:eastAsia="Arial" w:hAnsi="Arial" w:cs="Arial"/>
          <w:sz w:val="24"/>
          <w:szCs w:val="24"/>
        </w:rPr>
        <w:t>The role of the youth worker is to ensure that the young person is supported throughout adolescence by working in accordance with the National Occupation standards, (NOS 2019) and following the CWVYS.ORG.UK (2018) Principles and purposes of youth work. To be able to deliver high quality youth work, it is essential for youth workers to draw upon their skills and identify the individual needs of the young person to deliver the appropriate support.</w:t>
      </w:r>
      <w:r w:rsidR="0069270A">
        <w:rPr>
          <w:rFonts w:ascii="Arial" w:eastAsia="Arial" w:hAnsi="Arial" w:cs="Arial"/>
          <w:sz w:val="24"/>
          <w:szCs w:val="24"/>
        </w:rPr>
        <w:t xml:space="preserve"> </w:t>
      </w:r>
      <w:r w:rsidRPr="537EE739">
        <w:rPr>
          <w:rFonts w:ascii="Arial" w:eastAsia="Arial" w:hAnsi="Arial" w:cs="Arial"/>
          <w:sz w:val="24"/>
          <w:szCs w:val="24"/>
        </w:rPr>
        <w:t>W</w:t>
      </w:r>
      <w:r w:rsidR="00C14776">
        <w:rPr>
          <w:rFonts w:ascii="Arial" w:eastAsia="Arial" w:hAnsi="Arial" w:cs="Arial"/>
          <w:sz w:val="24"/>
          <w:szCs w:val="24"/>
        </w:rPr>
        <w:t xml:space="preserve">ith </w:t>
      </w:r>
      <w:r w:rsidRPr="537EE739">
        <w:rPr>
          <w:rFonts w:ascii="Arial" w:eastAsia="Arial" w:hAnsi="Arial" w:cs="Arial"/>
          <w:sz w:val="24"/>
          <w:szCs w:val="24"/>
        </w:rPr>
        <w:t xml:space="preserve">adverse factors such as Divorce and Poverty, youth organisations such as the Welsh Governments Families First programme (GOV.UK, 2019) can deliver targeted youth work to young people facing adversity and financial hardship. The purpose of families first is to work with young people and families who are experiencing issues such as poverty and unemployment and to work in partnership to deliver programmes that focus on achieving educational attainment (GOV.UK, 2019) by enhancing employability and basic life skills and strengthening their existing skills. Youth workers can also provide a link between community connectedness in working with other agencies such as </w:t>
      </w:r>
      <w:r w:rsidR="005266F7">
        <w:rPr>
          <w:rFonts w:ascii="Arial" w:eastAsia="Arial" w:hAnsi="Arial" w:cs="Arial"/>
          <w:sz w:val="24"/>
          <w:szCs w:val="24"/>
        </w:rPr>
        <w:t>Flying start programme</w:t>
      </w:r>
      <w:r w:rsidR="00804537">
        <w:rPr>
          <w:rFonts w:ascii="Arial" w:eastAsia="Arial" w:hAnsi="Arial" w:cs="Arial"/>
          <w:sz w:val="24"/>
          <w:szCs w:val="24"/>
        </w:rPr>
        <w:t xml:space="preserve"> (G</w:t>
      </w:r>
      <w:r w:rsidR="00A96757">
        <w:rPr>
          <w:rFonts w:ascii="Arial" w:eastAsia="Arial" w:hAnsi="Arial" w:cs="Arial"/>
          <w:sz w:val="24"/>
          <w:szCs w:val="24"/>
        </w:rPr>
        <w:t xml:space="preserve">OV.UK, 2019) </w:t>
      </w:r>
      <w:r w:rsidRPr="537EE739">
        <w:rPr>
          <w:rFonts w:ascii="Arial" w:eastAsia="Arial" w:hAnsi="Arial" w:cs="Arial"/>
          <w:sz w:val="24"/>
          <w:szCs w:val="24"/>
        </w:rPr>
        <w:t>schools, jobcentre plus and careers services, exploring various options that are suitable for young people. A sense of community for young people can be important in achieving social connectedness,</w:t>
      </w:r>
      <w:r w:rsidR="00F04831">
        <w:rPr>
          <w:rFonts w:ascii="Arial" w:eastAsia="Arial" w:hAnsi="Arial" w:cs="Arial"/>
          <w:sz w:val="24"/>
          <w:szCs w:val="24"/>
        </w:rPr>
        <w:t xml:space="preserve"> </w:t>
      </w:r>
      <w:r w:rsidR="00FA422A">
        <w:rPr>
          <w:rFonts w:ascii="Arial" w:eastAsia="Arial" w:hAnsi="Arial" w:cs="Arial"/>
          <w:sz w:val="24"/>
          <w:szCs w:val="24"/>
        </w:rPr>
        <w:t>(Allen et</w:t>
      </w:r>
      <w:r w:rsidR="00B253E7">
        <w:rPr>
          <w:rFonts w:ascii="Arial" w:eastAsia="Arial" w:hAnsi="Arial" w:cs="Arial"/>
          <w:sz w:val="24"/>
          <w:szCs w:val="24"/>
        </w:rPr>
        <w:t xml:space="preserve"> </w:t>
      </w:r>
      <w:r w:rsidR="000B026C">
        <w:rPr>
          <w:rFonts w:ascii="Arial" w:eastAsia="Arial" w:hAnsi="Arial" w:cs="Arial"/>
          <w:sz w:val="24"/>
          <w:szCs w:val="24"/>
        </w:rPr>
        <w:t>al</w:t>
      </w:r>
      <w:r w:rsidR="00B253E7">
        <w:rPr>
          <w:rFonts w:ascii="Arial" w:eastAsia="Arial" w:hAnsi="Arial" w:cs="Arial"/>
          <w:sz w:val="24"/>
          <w:szCs w:val="24"/>
        </w:rPr>
        <w:t>.</w:t>
      </w:r>
      <w:r w:rsidR="000B026C">
        <w:rPr>
          <w:rFonts w:ascii="Arial" w:eastAsia="Arial" w:hAnsi="Arial" w:cs="Arial"/>
          <w:sz w:val="24"/>
          <w:szCs w:val="24"/>
        </w:rPr>
        <w:t xml:space="preserve">, </w:t>
      </w:r>
      <w:r w:rsidR="003668C2">
        <w:rPr>
          <w:rFonts w:ascii="Arial" w:eastAsia="Arial" w:hAnsi="Arial" w:cs="Arial"/>
          <w:sz w:val="24"/>
          <w:szCs w:val="24"/>
        </w:rPr>
        <w:t>1994c</w:t>
      </w:r>
      <w:r w:rsidR="00D40335">
        <w:rPr>
          <w:rFonts w:ascii="Arial" w:eastAsia="Arial" w:hAnsi="Arial" w:cs="Arial"/>
          <w:sz w:val="24"/>
          <w:szCs w:val="24"/>
        </w:rPr>
        <w:t xml:space="preserve">,1997, cited in </w:t>
      </w:r>
      <w:r w:rsidR="005D3093">
        <w:rPr>
          <w:rFonts w:ascii="Arial" w:eastAsia="Arial" w:hAnsi="Arial" w:cs="Arial"/>
          <w:sz w:val="24"/>
          <w:szCs w:val="24"/>
        </w:rPr>
        <w:t xml:space="preserve">Blackwell, </w:t>
      </w:r>
      <w:r w:rsidR="000636D4">
        <w:rPr>
          <w:rFonts w:ascii="Arial" w:eastAsia="Arial" w:hAnsi="Arial" w:cs="Arial"/>
          <w:sz w:val="24"/>
          <w:szCs w:val="24"/>
        </w:rPr>
        <w:t>2003, p</w:t>
      </w:r>
      <w:r w:rsidR="00F04831">
        <w:rPr>
          <w:rFonts w:ascii="Arial" w:eastAsia="Arial" w:hAnsi="Arial" w:cs="Arial"/>
          <w:sz w:val="24"/>
          <w:szCs w:val="24"/>
        </w:rPr>
        <w:t>191)</w:t>
      </w:r>
      <w:r w:rsidRPr="537EE739">
        <w:rPr>
          <w:rFonts w:ascii="Arial" w:eastAsia="Arial" w:hAnsi="Arial" w:cs="Arial"/>
          <w:sz w:val="24"/>
          <w:szCs w:val="24"/>
        </w:rPr>
        <w:t xml:space="preserve"> which allows those who </w:t>
      </w:r>
      <w:r w:rsidRPr="537EE739">
        <w:rPr>
          <w:rFonts w:ascii="Arial" w:eastAsia="Arial" w:hAnsi="Arial" w:cs="Arial"/>
          <w:sz w:val="24"/>
          <w:szCs w:val="24"/>
        </w:rPr>
        <w:lastRenderedPageBreak/>
        <w:t>have always felt outcast to be able to feel more connected to the environment, sharing experiencing and developing new social relationships and peers through programmes, training and shared experiences.</w:t>
      </w:r>
    </w:p>
    <w:p w14:paraId="26EF52B8" w14:textId="57EA5614" w:rsidR="537EE739" w:rsidRDefault="537EE739" w:rsidP="537EE739">
      <w:pPr>
        <w:spacing w:line="480" w:lineRule="auto"/>
        <w:rPr>
          <w:rFonts w:ascii="Arial" w:eastAsia="Arial" w:hAnsi="Arial" w:cs="Arial"/>
          <w:sz w:val="24"/>
          <w:szCs w:val="24"/>
        </w:rPr>
      </w:pPr>
    </w:p>
    <w:p w14:paraId="0E04D9D0" w14:textId="7DB1DD5A" w:rsidR="537EE739" w:rsidRDefault="537EE739" w:rsidP="537EE739">
      <w:pPr>
        <w:spacing w:line="480" w:lineRule="auto"/>
        <w:rPr>
          <w:rFonts w:ascii="Arial" w:eastAsia="Arial" w:hAnsi="Arial" w:cs="Arial"/>
          <w:sz w:val="24"/>
          <w:szCs w:val="24"/>
        </w:rPr>
      </w:pPr>
      <w:r w:rsidRPr="537EE739">
        <w:rPr>
          <w:rFonts w:ascii="Arial" w:eastAsia="Arial" w:hAnsi="Arial" w:cs="Arial"/>
          <w:sz w:val="24"/>
          <w:szCs w:val="24"/>
        </w:rPr>
        <w:t xml:space="preserve">The princes trust (The Princes Trust.ORG.UK 2019) is a charity based organisation  where youth work can help to support and empower young people to take control of their lives, and get involved with a larger support network of peers who may be facing adversity, developing social skills whilst engaging in an active community and outdoor programmes as well as being able to be involved in educational training that can increase employability. These are four of the ways that are mentioned in the Five ways to wellbeing (Mind.Org,2019) that can have a positive impact on the overall wellbeing. </w:t>
      </w:r>
    </w:p>
    <w:p w14:paraId="26F43037" w14:textId="168164D4" w:rsidR="537EE739" w:rsidRDefault="537EE739" w:rsidP="537EE739">
      <w:pPr>
        <w:spacing w:line="480" w:lineRule="auto"/>
        <w:rPr>
          <w:rFonts w:ascii="Arial" w:eastAsia="Arial" w:hAnsi="Arial" w:cs="Arial"/>
          <w:sz w:val="24"/>
          <w:szCs w:val="24"/>
        </w:rPr>
      </w:pPr>
    </w:p>
    <w:p w14:paraId="451F41C5" w14:textId="1A11F12E" w:rsidR="17AFAE1D" w:rsidRDefault="17AFAE1D" w:rsidP="17AFAE1D">
      <w:pPr>
        <w:spacing w:line="480" w:lineRule="auto"/>
      </w:pPr>
      <w:r w:rsidRPr="17AFAE1D">
        <w:rPr>
          <w:rFonts w:ascii="Arial" w:eastAsia="Arial" w:hAnsi="Arial" w:cs="Arial"/>
          <w:sz w:val="24"/>
          <w:szCs w:val="24"/>
        </w:rPr>
        <w:t xml:space="preserve"> </w:t>
      </w:r>
    </w:p>
    <w:p w14:paraId="71F2E33D" w14:textId="47543570" w:rsidR="17AFAE1D" w:rsidRDefault="17AFAE1D" w:rsidP="17AFAE1D">
      <w:pPr>
        <w:spacing w:line="480" w:lineRule="auto"/>
        <w:rPr>
          <w:rFonts w:ascii="Arial" w:eastAsia="Arial" w:hAnsi="Arial" w:cs="Arial"/>
          <w:sz w:val="24"/>
          <w:szCs w:val="24"/>
        </w:rPr>
      </w:pPr>
      <w:r w:rsidRPr="17AFAE1D">
        <w:rPr>
          <w:rFonts w:ascii="Arial" w:eastAsia="Arial" w:hAnsi="Arial" w:cs="Arial"/>
          <w:sz w:val="24"/>
          <w:szCs w:val="24"/>
        </w:rPr>
        <w:t>To conclude we have looked at the different structures that constitutes a family, and we have seen that the meaning of family goes beyond being blood related, and is more about the caregiver being a positive, and caring role model, that can meet the child's basic needs. Events such as divorce can indirectly impact on many areas of the child’s overall development and wellbeing. We have also looked at the number of factors that can emanate from poverty, such as unemployment, as well as what youth workers can do to identify and support these factors, working to prevent further issues from escalating.</w:t>
      </w:r>
    </w:p>
    <w:p w14:paraId="0492D5BE" w14:textId="101E9B84" w:rsidR="00621E7D" w:rsidRDefault="00621E7D" w:rsidP="17AFAE1D">
      <w:pPr>
        <w:spacing w:line="480" w:lineRule="auto"/>
        <w:rPr>
          <w:rFonts w:ascii="Arial" w:eastAsia="Arial" w:hAnsi="Arial" w:cs="Arial"/>
          <w:sz w:val="24"/>
          <w:szCs w:val="24"/>
        </w:rPr>
      </w:pPr>
    </w:p>
    <w:p w14:paraId="1210A7B8" w14:textId="77777777" w:rsidR="00621E7D" w:rsidRDefault="00621E7D" w:rsidP="00621E7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aps/>
          <w:u w:val="single"/>
        </w:rPr>
        <w:lastRenderedPageBreak/>
        <w:t>REFERENCE LIST</w:t>
      </w:r>
      <w:r>
        <w:rPr>
          <w:rStyle w:val="eop"/>
          <w:rFonts w:ascii="Arial" w:hAnsi="Arial" w:cs="Arial"/>
        </w:rPr>
        <w:t> </w:t>
      </w:r>
    </w:p>
    <w:p w14:paraId="23FEE615" w14:textId="77777777" w:rsidR="00621E7D" w:rsidRDefault="00621E7D" w:rsidP="00621E7D">
      <w:pPr>
        <w:pStyle w:val="paragraph"/>
        <w:spacing w:before="0" w:beforeAutospacing="0" w:after="0" w:afterAutospacing="0"/>
        <w:ind w:left="120"/>
        <w:textAlignment w:val="baseline"/>
        <w:rPr>
          <w:rFonts w:ascii="Segoe UI" w:hAnsi="Segoe UI" w:cs="Segoe UI"/>
          <w:color w:val="1F3763"/>
          <w:sz w:val="18"/>
          <w:szCs w:val="18"/>
        </w:rPr>
      </w:pPr>
      <w:r>
        <w:rPr>
          <w:rStyle w:val="eop"/>
          <w:rFonts w:ascii="Arial" w:hAnsi="Arial" w:cs="Arial"/>
          <w:color w:val="1F3763"/>
        </w:rPr>
        <w:t> </w:t>
      </w:r>
    </w:p>
    <w:p w14:paraId="04CD7BDD"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r>
        <w:rPr>
          <w:rStyle w:val="normaltextrun"/>
          <w:rFonts w:ascii="Arial" w:hAnsi="Arial" w:cs="Arial"/>
          <w:caps/>
          <w:sz w:val="22"/>
          <w:szCs w:val="22"/>
        </w:rPr>
        <w:t>ADAMS, G. R. AND BERZONSKY</w:t>
      </w:r>
      <w:r>
        <w:rPr>
          <w:rStyle w:val="normaltextrun"/>
          <w:rFonts w:ascii="Arial" w:hAnsi="Arial" w:cs="Arial"/>
          <w:caps/>
        </w:rPr>
        <w:t>, M. D. </w:t>
      </w:r>
      <w:r>
        <w:rPr>
          <w:rStyle w:val="normaltextrun"/>
          <w:rFonts w:ascii="Arial" w:hAnsi="Arial" w:cs="Arial"/>
        </w:rPr>
        <w:t>Blackwell Handbook of Adolescence</w:t>
      </w:r>
      <w:r>
        <w:rPr>
          <w:rStyle w:val="eop"/>
          <w:rFonts w:ascii="Arial" w:hAnsi="Arial" w:cs="Arial"/>
          <w:color w:val="1F3763"/>
        </w:rPr>
        <w:t> </w:t>
      </w:r>
    </w:p>
    <w:p w14:paraId="5A1584A8" w14:textId="54611404" w:rsidR="00621E7D" w:rsidRDefault="00621E7D" w:rsidP="000C521C">
      <w:pPr>
        <w:pStyle w:val="paragraph"/>
        <w:spacing w:before="0" w:beforeAutospacing="0" w:after="0" w:afterAutospacing="0" w:line="480" w:lineRule="auto"/>
        <w:ind w:left="120" w:hanging="120"/>
        <w:textAlignment w:val="baseline"/>
        <w:rPr>
          <w:rStyle w:val="eop"/>
          <w:rFonts w:ascii="Arial" w:hAnsi="Arial" w:cs="Arial"/>
        </w:rPr>
      </w:pPr>
      <w:r>
        <w:rPr>
          <w:rStyle w:val="normaltextrun"/>
          <w:rFonts w:ascii="Arial" w:hAnsi="Arial" w:cs="Arial"/>
        </w:rPr>
        <w:t xml:space="preserve">Adams, G. and </w:t>
      </w:r>
      <w:proofErr w:type="spellStart"/>
      <w:r>
        <w:rPr>
          <w:rStyle w:val="normaltextrun"/>
          <w:rFonts w:ascii="Arial" w:hAnsi="Arial" w:cs="Arial"/>
        </w:rPr>
        <w:t>Berzonsky</w:t>
      </w:r>
      <w:bookmarkStart w:id="0" w:name="_GoBack"/>
      <w:bookmarkEnd w:id="0"/>
      <w:proofErr w:type="spellEnd"/>
      <w:r>
        <w:rPr>
          <w:rStyle w:val="normaltextrun"/>
          <w:rFonts w:ascii="Arial" w:hAnsi="Arial" w:cs="Arial"/>
        </w:rPr>
        <w:t>, M. (2003). </w:t>
      </w:r>
      <w:r>
        <w:rPr>
          <w:rStyle w:val="normaltextrun"/>
          <w:rFonts w:ascii="Arial" w:hAnsi="Arial" w:cs="Arial"/>
          <w:i/>
          <w:iCs/>
        </w:rPr>
        <w:t>Blackwell Handbook of Adolescence</w:t>
      </w:r>
      <w:r>
        <w:rPr>
          <w:rStyle w:val="normaltextrun"/>
          <w:rFonts w:ascii="Arial" w:hAnsi="Arial" w:cs="Arial"/>
        </w:rPr>
        <w:t>. 1</w:t>
      </w:r>
      <w:r>
        <w:rPr>
          <w:rStyle w:val="normaltextrun"/>
          <w:rFonts w:ascii="Arial" w:hAnsi="Arial" w:cs="Arial"/>
          <w:sz w:val="19"/>
          <w:szCs w:val="19"/>
          <w:vertAlign w:val="superscript"/>
        </w:rPr>
        <w:t>st</w:t>
      </w:r>
      <w:r>
        <w:rPr>
          <w:rStyle w:val="normaltextrun"/>
          <w:rFonts w:ascii="Arial" w:hAnsi="Arial" w:cs="Arial"/>
        </w:rPr>
        <w:t> </w:t>
      </w:r>
      <w:r>
        <w:rPr>
          <w:rStyle w:val="spellingerror"/>
          <w:rFonts w:ascii="Arial" w:hAnsi="Arial" w:cs="Arial"/>
        </w:rPr>
        <w:t>ed.</w:t>
      </w:r>
      <w:r w:rsidR="000C521C">
        <w:rPr>
          <w:rStyle w:val="spellingerror"/>
          <w:rFonts w:ascii="Arial" w:hAnsi="Arial" w:cs="Arial"/>
        </w:rPr>
        <w:t xml:space="preserve"> </w:t>
      </w:r>
      <w:r>
        <w:rPr>
          <w:rStyle w:val="spellingerror"/>
          <w:rFonts w:ascii="Arial" w:hAnsi="Arial" w:cs="Arial"/>
        </w:rPr>
        <w:t>Oxford</w:t>
      </w:r>
      <w:r>
        <w:rPr>
          <w:rStyle w:val="normaltextrun"/>
          <w:rFonts w:ascii="Arial" w:hAnsi="Arial" w:cs="Arial"/>
        </w:rPr>
        <w:t> </w:t>
      </w:r>
      <w:r>
        <w:rPr>
          <w:rStyle w:val="spellingerror"/>
          <w:rFonts w:ascii="Arial" w:hAnsi="Arial" w:cs="Arial"/>
        </w:rPr>
        <w:t>U</w:t>
      </w:r>
      <w:r w:rsidR="000C521C">
        <w:rPr>
          <w:rStyle w:val="spellingerror"/>
          <w:rFonts w:ascii="Arial" w:hAnsi="Arial" w:cs="Arial"/>
        </w:rPr>
        <w:t>K</w:t>
      </w:r>
      <w:r>
        <w:rPr>
          <w:rStyle w:val="normaltextrun"/>
          <w:rFonts w:ascii="Arial" w:hAnsi="Arial" w:cs="Arial"/>
        </w:rPr>
        <w:t>: Blackwell Publishing, p.477.</w:t>
      </w:r>
      <w:r>
        <w:rPr>
          <w:rStyle w:val="eop"/>
          <w:rFonts w:ascii="Arial" w:hAnsi="Arial" w:cs="Arial"/>
        </w:rPr>
        <w:t> </w:t>
      </w:r>
    </w:p>
    <w:p w14:paraId="1BF9AA07"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p>
    <w:p w14:paraId="068F03CA"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r>
        <w:rPr>
          <w:rStyle w:val="eop"/>
          <w:rFonts w:ascii="Arial" w:hAnsi="Arial" w:cs="Arial"/>
        </w:rPr>
        <w:t> </w:t>
      </w:r>
    </w:p>
    <w:p w14:paraId="37911F4B" w14:textId="53FC993F" w:rsidR="00621E7D" w:rsidRDefault="00621E7D" w:rsidP="000C521C">
      <w:pPr>
        <w:pStyle w:val="paragraph"/>
        <w:spacing w:before="0" w:beforeAutospacing="0" w:after="0" w:afterAutospacing="0" w:line="480" w:lineRule="auto"/>
        <w:ind w:left="120" w:hanging="120"/>
        <w:textAlignment w:val="baseline"/>
        <w:rPr>
          <w:rStyle w:val="eop"/>
          <w:rFonts w:ascii="Arial" w:hAnsi="Arial" w:cs="Arial"/>
        </w:rPr>
      </w:pPr>
      <w:r>
        <w:rPr>
          <w:rStyle w:val="normaltextrun"/>
          <w:rFonts w:ascii="Arial" w:hAnsi="Arial" w:cs="Arial"/>
        </w:rPr>
        <w:t>BBCWALES (2000) Poverty’s Legacy on Learning. [video] Available at: </w:t>
      </w:r>
      <w:hyperlink r:id="rId6" w:tgtFrame="_blank" w:history="1">
        <w:r>
          <w:rPr>
            <w:rStyle w:val="normaltextrun"/>
            <w:rFonts w:ascii="Arial" w:hAnsi="Arial" w:cs="Arial"/>
          </w:rPr>
          <w:t>http://news.bbc.co.uk/1/hi/wales/7964044.stm</w:t>
        </w:r>
      </w:hyperlink>
      <w:r>
        <w:rPr>
          <w:rStyle w:val="normaltextrun"/>
          <w:rFonts w:ascii="Arial" w:hAnsi="Arial" w:cs="Arial"/>
        </w:rPr>
        <w:t> [Accessed 30 Nov. 2019].</w:t>
      </w:r>
      <w:r>
        <w:rPr>
          <w:rStyle w:val="eop"/>
          <w:rFonts w:ascii="Arial" w:hAnsi="Arial" w:cs="Arial"/>
        </w:rPr>
        <w:t> </w:t>
      </w:r>
    </w:p>
    <w:p w14:paraId="1C8FE366"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p>
    <w:p w14:paraId="556A61F4"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r>
        <w:rPr>
          <w:rStyle w:val="eop"/>
          <w:rFonts w:ascii="Arial" w:hAnsi="Arial" w:cs="Arial"/>
        </w:rPr>
        <w:t> </w:t>
      </w:r>
    </w:p>
    <w:p w14:paraId="6D3CA215" w14:textId="57138DE7" w:rsidR="00621E7D" w:rsidRDefault="00621E7D" w:rsidP="000C521C">
      <w:pPr>
        <w:pStyle w:val="paragraph"/>
        <w:spacing w:before="0" w:beforeAutospacing="0" w:after="0" w:afterAutospacing="0" w:line="480" w:lineRule="auto"/>
        <w:ind w:left="120" w:hanging="120"/>
        <w:textAlignment w:val="baseline"/>
        <w:rPr>
          <w:rStyle w:val="eop"/>
          <w:rFonts w:ascii="Arial" w:hAnsi="Arial" w:cs="Arial"/>
        </w:rPr>
      </w:pPr>
      <w:r>
        <w:rPr>
          <w:rStyle w:val="normaltextrun"/>
          <w:rFonts w:ascii="Arial" w:hAnsi="Arial" w:cs="Arial"/>
        </w:rPr>
        <w:t>GOV.UK (2019).5. Children and young people. [online] Available at: https://www.gov.uk/government/publications/better-mental-health-jsna-toolkit/5-children-and-young-people [Accessed 30 Nov. 2019].</w:t>
      </w:r>
      <w:r>
        <w:rPr>
          <w:rStyle w:val="eop"/>
          <w:rFonts w:ascii="Arial" w:hAnsi="Arial" w:cs="Arial"/>
        </w:rPr>
        <w:t> </w:t>
      </w:r>
    </w:p>
    <w:p w14:paraId="2437CC8F"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p>
    <w:p w14:paraId="4A22F4AB"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r>
        <w:rPr>
          <w:rStyle w:val="eop"/>
          <w:rFonts w:ascii="Arial" w:hAnsi="Arial" w:cs="Arial"/>
        </w:rPr>
        <w:t> </w:t>
      </w:r>
    </w:p>
    <w:p w14:paraId="3A111379" w14:textId="0BAF442C" w:rsidR="00621E7D" w:rsidRDefault="00621E7D" w:rsidP="000C521C">
      <w:pPr>
        <w:pStyle w:val="paragraph"/>
        <w:spacing w:before="0" w:beforeAutospacing="0" w:after="0" w:afterAutospacing="0" w:line="480" w:lineRule="auto"/>
        <w:ind w:left="120" w:hanging="120"/>
        <w:textAlignment w:val="baseline"/>
        <w:rPr>
          <w:rStyle w:val="eop"/>
          <w:rFonts w:ascii="Arial" w:hAnsi="Arial" w:cs="Arial"/>
        </w:rPr>
      </w:pPr>
      <w:r>
        <w:rPr>
          <w:rStyle w:val="normaltextrun"/>
          <w:rFonts w:ascii="Arial" w:hAnsi="Arial" w:cs="Arial"/>
        </w:rPr>
        <w:t>CHILDTRENDS (2015). Family structure, indicators on family and youth. [online] Childtrends.org. Available at </w:t>
      </w:r>
      <w:hyperlink r:id="rId7" w:tgtFrame="_blank" w:history="1">
        <w:r>
          <w:rPr>
            <w:rStyle w:val="normaltextrun"/>
            <w:rFonts w:ascii="Arial" w:hAnsi="Arial" w:cs="Arial"/>
          </w:rPr>
          <w:t>https://www.childtrends.org/wp-content/uploads/2015/03/59_Family_Structure.pdf</w:t>
        </w:r>
      </w:hyperlink>
      <w:r>
        <w:rPr>
          <w:rStyle w:val="normaltextrun"/>
          <w:rFonts w:ascii="Arial" w:hAnsi="Arial" w:cs="Arial"/>
        </w:rPr>
        <w:t> [Accessed30 Nov 2019].</w:t>
      </w:r>
      <w:r>
        <w:rPr>
          <w:rStyle w:val="eop"/>
          <w:rFonts w:ascii="Arial" w:hAnsi="Arial" w:cs="Arial"/>
        </w:rPr>
        <w:t> </w:t>
      </w:r>
    </w:p>
    <w:p w14:paraId="5DD704A1"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p>
    <w:p w14:paraId="3C24CA25"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r>
        <w:rPr>
          <w:rStyle w:val="eop"/>
          <w:rFonts w:ascii="Arial" w:hAnsi="Arial" w:cs="Arial"/>
        </w:rPr>
        <w:t> </w:t>
      </w:r>
    </w:p>
    <w:p w14:paraId="6A6BC854"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r>
        <w:rPr>
          <w:rStyle w:val="normaltextrun"/>
          <w:rFonts w:ascii="Arial" w:hAnsi="Arial" w:cs="Arial"/>
          <w:caps/>
          <w:sz w:val="22"/>
          <w:szCs w:val="22"/>
        </w:rPr>
        <w:t>BLANCHFLOWER, D. </w:t>
      </w:r>
      <w:r>
        <w:rPr>
          <w:rStyle w:val="normaltextrun"/>
          <w:rFonts w:ascii="Arial" w:hAnsi="Arial" w:cs="Arial"/>
        </w:rPr>
        <w:t>Something horrible may happen again</w:t>
      </w:r>
      <w:r>
        <w:rPr>
          <w:rStyle w:val="eop"/>
          <w:rFonts w:ascii="Arial" w:hAnsi="Arial" w:cs="Arial"/>
          <w:color w:val="1F3763"/>
        </w:rPr>
        <w:t> </w:t>
      </w:r>
    </w:p>
    <w:p w14:paraId="43F12505" w14:textId="1CD97A9E" w:rsidR="00621E7D" w:rsidRDefault="00621E7D" w:rsidP="000C521C">
      <w:pPr>
        <w:pStyle w:val="paragraph"/>
        <w:spacing w:before="0" w:beforeAutospacing="0" w:after="0" w:afterAutospacing="0" w:line="480" w:lineRule="auto"/>
        <w:ind w:left="120" w:hanging="120"/>
        <w:textAlignment w:val="baseline"/>
        <w:rPr>
          <w:rStyle w:val="eop"/>
          <w:rFonts w:ascii="Arial" w:hAnsi="Arial" w:cs="Arial"/>
        </w:rPr>
      </w:pPr>
      <w:r>
        <w:rPr>
          <w:rStyle w:val="normaltextrun"/>
          <w:rFonts w:ascii="Arial" w:hAnsi="Arial" w:cs="Arial"/>
        </w:rPr>
        <w:t>Your Bibliography: Blanchflower, D. (2019). </w:t>
      </w:r>
      <w:r>
        <w:rPr>
          <w:rStyle w:val="normaltextrun"/>
          <w:rFonts w:ascii="Arial" w:hAnsi="Arial" w:cs="Arial"/>
          <w:i/>
          <w:iCs/>
        </w:rPr>
        <w:t>Something horrible may happen again</w:t>
      </w:r>
      <w:r>
        <w:rPr>
          <w:rStyle w:val="normaltextrun"/>
          <w:rFonts w:ascii="Arial" w:hAnsi="Arial" w:cs="Arial"/>
        </w:rPr>
        <w:t>. [online] Newstatesman.com. Available at:  https://www.newstatesman.</w:t>
      </w:r>
      <w:hyperlink r:id="rId8" w:tgtFrame="_blank" w:history="1">
        <w:r>
          <w:rPr>
            <w:rStyle w:val="normaltextrun"/>
            <w:rFonts w:ascii="Arial" w:hAnsi="Arial" w:cs="Arial"/>
          </w:rPr>
          <w:t>inequality</w:t>
        </w:r>
      </w:hyperlink>
      <w:r>
        <w:rPr>
          <w:rStyle w:val="normaltextrun"/>
          <w:rFonts w:ascii="Arial" w:hAnsi="Arial" w:cs="Arial"/>
        </w:rPr>
        <w:t> com/economy/2010/08/growing-families- [Accessed 1 Dec. 2019].</w:t>
      </w:r>
      <w:r>
        <w:rPr>
          <w:rStyle w:val="eop"/>
          <w:rFonts w:ascii="Arial" w:hAnsi="Arial" w:cs="Arial"/>
        </w:rPr>
        <w:t> </w:t>
      </w:r>
    </w:p>
    <w:p w14:paraId="5E41C8FA"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p>
    <w:p w14:paraId="1525F6E1"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r>
        <w:rPr>
          <w:rStyle w:val="eop"/>
          <w:rFonts w:ascii="Arial" w:hAnsi="Arial" w:cs="Arial"/>
        </w:rPr>
        <w:lastRenderedPageBreak/>
        <w:t> </w:t>
      </w:r>
    </w:p>
    <w:p w14:paraId="6C7CC2D8" w14:textId="04DCEDC4"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caps/>
        </w:rPr>
        <w:t>COLEMAN, J. C. </w:t>
      </w:r>
      <w:r>
        <w:rPr>
          <w:rStyle w:val="normaltextrun"/>
          <w:rFonts w:ascii="Arial" w:hAnsi="Arial" w:cs="Arial"/>
        </w:rPr>
        <w:t>The nature of adolescence Coleman, J. (2011). </w:t>
      </w:r>
      <w:r>
        <w:rPr>
          <w:rStyle w:val="normaltextrun"/>
          <w:rFonts w:ascii="Arial" w:hAnsi="Arial" w:cs="Arial"/>
          <w:i/>
          <w:iCs/>
        </w:rPr>
        <w:t>The nature of adolescence</w:t>
      </w:r>
      <w:r>
        <w:rPr>
          <w:rStyle w:val="normaltextrun"/>
          <w:rFonts w:ascii="Arial" w:hAnsi="Arial" w:cs="Arial"/>
        </w:rPr>
        <w:t>. 4th ed. London: Routledge, pp.2, 212,97,98,99,215,122, 202,203</w:t>
      </w:r>
      <w:r>
        <w:rPr>
          <w:rStyle w:val="normaltextrun"/>
          <w:rFonts w:ascii="Arial" w:hAnsi="Arial" w:cs="Arial"/>
        </w:rPr>
        <w:t>.</w:t>
      </w:r>
    </w:p>
    <w:p w14:paraId="40BD647F"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p>
    <w:p w14:paraId="094BBFA6"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3A03FB6D" w14:textId="2A9A1DF8"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 </w:t>
      </w:r>
      <w:r>
        <w:rPr>
          <w:rStyle w:val="normaltextrun"/>
          <w:rFonts w:ascii="Arial" w:hAnsi="Arial" w:cs="Arial"/>
          <w:caps/>
          <w:sz w:val="22"/>
          <w:szCs w:val="22"/>
        </w:rPr>
        <w:t>COLLINS ONLINE DICTIONARY | DEFINITIONS, THESAURUS AND TRANSLATIONS</w:t>
      </w:r>
      <w:r>
        <w:rPr>
          <w:rStyle w:val="normaltextrun"/>
          <w:rFonts w:ascii="Arial" w:hAnsi="Arial" w:cs="Arial"/>
          <w:caps/>
        </w:rPr>
        <w:t> </w:t>
      </w:r>
      <w:r>
        <w:rPr>
          <w:rStyle w:val="spellingerror"/>
          <w:rFonts w:ascii="Arial" w:hAnsi="Arial" w:cs="Arial"/>
        </w:rPr>
        <w:t>Collinsdictionary</w:t>
      </w:r>
      <w:r>
        <w:rPr>
          <w:rStyle w:val="normaltextrun"/>
          <w:rFonts w:ascii="Arial" w:hAnsi="Arial" w:cs="Arial"/>
        </w:rPr>
        <w:t>.com. (2019). </w:t>
      </w:r>
      <w:r>
        <w:rPr>
          <w:rStyle w:val="normaltextrun"/>
          <w:rFonts w:ascii="Arial" w:hAnsi="Arial" w:cs="Arial"/>
          <w:i/>
          <w:iCs/>
        </w:rPr>
        <w:t>Collins Online Dictionary | Definitions, Thesaurus and Translations</w:t>
      </w:r>
      <w:r>
        <w:rPr>
          <w:rStyle w:val="normaltextrun"/>
          <w:rFonts w:ascii="Arial" w:hAnsi="Arial" w:cs="Arial"/>
        </w:rPr>
        <w:t>. [online] Available at: </w:t>
      </w:r>
      <w:hyperlink r:id="rId9" w:tgtFrame="_blank" w:history="1">
        <w:r>
          <w:rPr>
            <w:rStyle w:val="normaltextrun"/>
            <w:rFonts w:ascii="Arial" w:hAnsi="Arial" w:cs="Arial"/>
          </w:rPr>
          <w:t>https://www.collinsdictionary.com</w:t>
        </w:r>
        <w:r>
          <w:rPr>
            <w:rStyle w:val="normaltextrun"/>
            <w:rFonts w:ascii="Arial" w:hAnsi="Arial" w:cs="Arial"/>
            <w:u w:val="single"/>
          </w:rPr>
          <w:t>/</w:t>
        </w:r>
      </w:hyperlink>
      <w:r>
        <w:rPr>
          <w:rStyle w:val="normaltextrun"/>
          <w:rFonts w:ascii="Arial" w:hAnsi="Arial" w:cs="Arial"/>
        </w:rPr>
        <w:t> [Accessed 1 Dec. 2019].</w:t>
      </w:r>
      <w:r>
        <w:rPr>
          <w:rStyle w:val="eop"/>
          <w:rFonts w:ascii="Arial" w:hAnsi="Arial" w:cs="Arial"/>
        </w:rPr>
        <w:t> </w:t>
      </w:r>
    </w:p>
    <w:p w14:paraId="757C7B8C"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p>
    <w:p w14:paraId="45D1604F"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0C689D21" w14:textId="7FE12CFD"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caps/>
          <w:sz w:val="22"/>
          <w:szCs w:val="22"/>
        </w:rPr>
        <w:t>FIVE WAYS TO WELLBEING | MIND, THE MENTAL HEALTH CHARITY - HELP FOR MENTAL HEALTH PROBLEMS </w:t>
      </w:r>
      <w:r>
        <w:rPr>
          <w:rStyle w:val="normaltextrun"/>
          <w:rFonts w:ascii="Arial" w:hAnsi="Arial" w:cs="Arial"/>
        </w:rPr>
        <w:t>Mind.org.uk. (2019). </w:t>
      </w:r>
      <w:r>
        <w:rPr>
          <w:rStyle w:val="normaltextrun"/>
          <w:rFonts w:ascii="Arial" w:hAnsi="Arial" w:cs="Arial"/>
          <w:i/>
          <w:iCs/>
        </w:rPr>
        <w:t>Five ways to wellbeing | Mind, the mental health charity - help for mental health problems</w:t>
      </w:r>
      <w:r>
        <w:rPr>
          <w:rStyle w:val="normaltextrun"/>
          <w:rFonts w:ascii="Arial" w:hAnsi="Arial" w:cs="Arial"/>
        </w:rPr>
        <w:t>. [online] Available at: </w:t>
      </w:r>
      <w:hyperlink r:id="rId10" w:tgtFrame="_blank" w:history="1">
        <w:r>
          <w:rPr>
            <w:rStyle w:val="normaltextrun"/>
            <w:rFonts w:ascii="Arial" w:hAnsi="Arial" w:cs="Arial"/>
          </w:rPr>
          <w:t>https://www.mind.org.uk/workplace/mental-health-at-work/taking-care-of-yourself/five-ways-to-wellbeing/</w:t>
        </w:r>
      </w:hyperlink>
      <w:r>
        <w:rPr>
          <w:rStyle w:val="normaltextrun"/>
          <w:rFonts w:ascii="Arial" w:hAnsi="Arial" w:cs="Arial"/>
        </w:rPr>
        <w:t> [Accessed 1 Dec. 2019].</w:t>
      </w:r>
      <w:r>
        <w:rPr>
          <w:rStyle w:val="eop"/>
          <w:rFonts w:ascii="Arial" w:hAnsi="Arial" w:cs="Arial"/>
        </w:rPr>
        <w:t> </w:t>
      </w:r>
    </w:p>
    <w:p w14:paraId="7C87F060"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p>
    <w:p w14:paraId="2460BA14"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DCF68DC"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r>
        <w:rPr>
          <w:rStyle w:val="normaltextrun"/>
          <w:rFonts w:ascii="Arial" w:hAnsi="Arial" w:cs="Arial"/>
        </w:rPr>
        <w:t>NATIONAL OCCUPATIONAL STANDARDS (2014) [Online] Available at </w:t>
      </w:r>
      <w:hyperlink r:id="rId11" w:tgtFrame="_blank" w:history="1">
        <w:r>
          <w:rPr>
            <w:rStyle w:val="normaltextrun"/>
            <w:rFonts w:ascii="Arial" w:hAnsi="Arial" w:cs="Arial"/>
          </w:rPr>
          <w:t>http://www.nya.org.uk/wp-content/uploads/2014/06/National-Occupation-Standards-for-Youth-Work.pdf</w:t>
        </w:r>
      </w:hyperlink>
      <w:r>
        <w:rPr>
          <w:rStyle w:val="normaltextrun"/>
          <w:rFonts w:ascii="Arial" w:hAnsi="Arial" w:cs="Arial"/>
        </w:rPr>
        <w:t> (2008). </w:t>
      </w:r>
      <w:r>
        <w:rPr>
          <w:rStyle w:val="normaltextrun"/>
          <w:rFonts w:ascii="Arial" w:hAnsi="Arial" w:cs="Arial"/>
          <w:i/>
          <w:iCs/>
        </w:rPr>
        <w:t>National Occupational Standards</w:t>
      </w:r>
      <w:r>
        <w:rPr>
          <w:rStyle w:val="normaltextrun"/>
          <w:rFonts w:ascii="Arial" w:hAnsi="Arial" w:cs="Arial"/>
        </w:rPr>
        <w:t>. National Occupational Standards.</w:t>
      </w:r>
      <w:r>
        <w:rPr>
          <w:rStyle w:val="eop"/>
          <w:rFonts w:ascii="Arial" w:hAnsi="Arial" w:cs="Arial"/>
          <w:color w:val="1F3763"/>
        </w:rPr>
        <w:t> </w:t>
      </w:r>
    </w:p>
    <w:p w14:paraId="08F6805D"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73A72B5A" w14:textId="7AE5683C" w:rsidR="00621E7D" w:rsidRDefault="00621E7D" w:rsidP="000C521C">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caps/>
        </w:rPr>
        <w:t>LERNER, R. M. AND STEINBERG, L. D </w:t>
      </w:r>
      <w:r>
        <w:rPr>
          <w:rStyle w:val="normaltextrun"/>
          <w:rFonts w:ascii="Arial" w:hAnsi="Arial" w:cs="Arial"/>
        </w:rPr>
        <w:t>Handbook of adolescent psychology Lerner, R. and Steinberg, L. (2009). </w:t>
      </w:r>
      <w:r>
        <w:rPr>
          <w:rStyle w:val="normaltextrun"/>
          <w:rFonts w:ascii="Arial" w:hAnsi="Arial" w:cs="Arial"/>
          <w:i/>
          <w:iCs/>
        </w:rPr>
        <w:t>Handbook of adolescent psychology</w:t>
      </w:r>
      <w:r>
        <w:rPr>
          <w:rStyle w:val="normaltextrun"/>
          <w:rFonts w:ascii="Arial" w:hAnsi="Arial" w:cs="Arial"/>
        </w:rPr>
        <w:t>. 3rd ed. Hoboken, NJ: John Wiley &amp; Sons, pp.32, 451</w:t>
      </w:r>
      <w:r>
        <w:rPr>
          <w:rStyle w:val="normaltextrun"/>
          <w:rFonts w:ascii="Arial" w:hAnsi="Arial" w:cs="Arial"/>
        </w:rPr>
        <w:t>.</w:t>
      </w:r>
    </w:p>
    <w:p w14:paraId="4DDCBD9B"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p>
    <w:p w14:paraId="6F37050B"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CC95FD3"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r>
        <w:rPr>
          <w:rStyle w:val="normaltextrun"/>
          <w:rFonts w:ascii="Arial" w:hAnsi="Arial" w:cs="Arial"/>
          <w:caps/>
        </w:rPr>
        <w:t>NOLLER, P. AND ATKIN, S. </w:t>
      </w:r>
      <w:r>
        <w:rPr>
          <w:rStyle w:val="normaltextrun"/>
          <w:rFonts w:ascii="Arial" w:hAnsi="Arial" w:cs="Arial"/>
        </w:rPr>
        <w:t>Family Environment and Adolescent Development</w:t>
      </w:r>
      <w:r>
        <w:rPr>
          <w:rStyle w:val="eop"/>
          <w:rFonts w:ascii="Arial" w:hAnsi="Arial" w:cs="Arial"/>
          <w:color w:val="1F3763"/>
        </w:rPr>
        <w:t> </w:t>
      </w:r>
    </w:p>
    <w:p w14:paraId="446DD9A0" w14:textId="2862CE3C" w:rsidR="00621E7D" w:rsidRDefault="00621E7D" w:rsidP="000C521C">
      <w:pPr>
        <w:pStyle w:val="paragraph"/>
        <w:spacing w:before="0" w:beforeAutospacing="0" w:after="0" w:afterAutospacing="0" w:line="480" w:lineRule="auto"/>
        <w:ind w:left="120" w:hanging="120"/>
        <w:textAlignment w:val="baseline"/>
        <w:rPr>
          <w:rStyle w:val="eop"/>
          <w:rFonts w:ascii="Arial" w:hAnsi="Arial" w:cs="Arial"/>
        </w:rPr>
      </w:pPr>
      <w:proofErr w:type="spellStart"/>
      <w:r>
        <w:rPr>
          <w:rStyle w:val="normaltextrun"/>
          <w:rFonts w:ascii="Arial" w:hAnsi="Arial" w:cs="Arial"/>
        </w:rPr>
        <w:t>Noller</w:t>
      </w:r>
      <w:proofErr w:type="spellEnd"/>
      <w:r>
        <w:rPr>
          <w:rStyle w:val="normaltextrun"/>
          <w:rFonts w:ascii="Arial" w:hAnsi="Arial" w:cs="Arial"/>
        </w:rPr>
        <w:t>, P. and Atkin, S. (2014). </w:t>
      </w:r>
      <w:r>
        <w:rPr>
          <w:rStyle w:val="normaltextrun"/>
          <w:rFonts w:ascii="Arial" w:hAnsi="Arial" w:cs="Arial"/>
          <w:i/>
          <w:iCs/>
        </w:rPr>
        <w:t>Family Environment and Adolescent Development</w:t>
      </w:r>
      <w:r>
        <w:rPr>
          <w:rStyle w:val="normaltextrun"/>
          <w:rFonts w:ascii="Arial" w:hAnsi="Arial" w:cs="Arial"/>
        </w:rPr>
        <w:t>. [online] Degruyter.com. Available at: </w:t>
      </w:r>
      <w:hyperlink r:id="rId12" w:tgtFrame="_blank" w:history="1">
        <w:r>
          <w:rPr>
            <w:rStyle w:val="normaltextrun"/>
            <w:rFonts w:ascii="Arial" w:hAnsi="Arial" w:cs="Arial"/>
          </w:rPr>
          <w:t>https://www.degruyter.com/downloadpdf/books/9783110402490/9783110402490.3/9783110402490.3.pdf</w:t>
        </w:r>
      </w:hyperlink>
      <w:r>
        <w:rPr>
          <w:rStyle w:val="normaltextrun"/>
          <w:rFonts w:ascii="Arial" w:hAnsi="Arial" w:cs="Arial"/>
        </w:rPr>
        <w:t> [Accessed 1 Dec. 2019].</w:t>
      </w:r>
      <w:r>
        <w:rPr>
          <w:rStyle w:val="eop"/>
          <w:rFonts w:ascii="Arial" w:hAnsi="Arial" w:cs="Arial"/>
        </w:rPr>
        <w:t> </w:t>
      </w:r>
    </w:p>
    <w:p w14:paraId="718E8EFD"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p>
    <w:p w14:paraId="45429CE7"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r>
        <w:rPr>
          <w:rStyle w:val="eop"/>
          <w:rFonts w:ascii="Arial" w:hAnsi="Arial" w:cs="Arial"/>
        </w:rPr>
        <w:t> </w:t>
      </w:r>
    </w:p>
    <w:p w14:paraId="278A123A" w14:textId="05106CC9" w:rsidR="00621E7D" w:rsidRDefault="00621E7D" w:rsidP="000C521C">
      <w:pPr>
        <w:pStyle w:val="paragraph"/>
        <w:spacing w:before="0" w:beforeAutospacing="0" w:after="0" w:afterAutospacing="0" w:line="480" w:lineRule="auto"/>
        <w:textAlignment w:val="baseline"/>
        <w:rPr>
          <w:rStyle w:val="eop"/>
          <w:rFonts w:ascii="Arial" w:hAnsi="Arial" w:cs="Arial"/>
          <w:color w:val="1F3763"/>
        </w:rPr>
      </w:pPr>
      <w:r>
        <w:rPr>
          <w:rStyle w:val="normaltextrun"/>
          <w:rFonts w:ascii="Arial" w:hAnsi="Arial" w:cs="Arial"/>
          <w:caps/>
        </w:rPr>
        <w:t>STRATEGIC COMMISSIONING- SUPPORT FOR YOUNG PEOPLE </w:t>
      </w:r>
      <w:r>
        <w:rPr>
          <w:rStyle w:val="normaltextrun"/>
          <w:rFonts w:ascii="Arial" w:hAnsi="Arial" w:cs="Arial"/>
        </w:rPr>
        <w:t>Valeofglamorgan.gov.uk. (2017). </w:t>
      </w:r>
      <w:r>
        <w:rPr>
          <w:rStyle w:val="normaltextrun"/>
          <w:rFonts w:ascii="Arial" w:hAnsi="Arial" w:cs="Arial"/>
          <w:i/>
          <w:iCs/>
        </w:rPr>
        <w:t>Strategic commissioning- support for young people</w:t>
      </w:r>
      <w:r>
        <w:rPr>
          <w:rStyle w:val="normaltextrun"/>
          <w:rFonts w:ascii="Arial" w:hAnsi="Arial" w:cs="Arial"/>
        </w:rPr>
        <w:t>. [online] Available at: </w:t>
      </w:r>
      <w:hyperlink r:id="rId13" w:tgtFrame="_blank" w:history="1">
        <w:r>
          <w:rPr>
            <w:rStyle w:val="normaltextrun"/>
            <w:rFonts w:ascii="Arial" w:hAnsi="Arial" w:cs="Arial"/>
          </w:rPr>
          <w:t>https://www.valeofglamorgan.gov.uk/Documents/Living/Social%20Care/Families-First-Programme-Guidance-April-2017-English.pdf</w:t>
        </w:r>
      </w:hyperlink>
      <w:r>
        <w:rPr>
          <w:rStyle w:val="normaltextrun"/>
          <w:rFonts w:ascii="Arial" w:hAnsi="Arial" w:cs="Arial"/>
        </w:rPr>
        <w:t> [Accessed 1 Dec. 2019].</w:t>
      </w:r>
      <w:r>
        <w:rPr>
          <w:rStyle w:val="eop"/>
          <w:rFonts w:ascii="Arial" w:hAnsi="Arial" w:cs="Arial"/>
          <w:color w:val="1F3763"/>
        </w:rPr>
        <w:t> </w:t>
      </w:r>
    </w:p>
    <w:p w14:paraId="622A0BA5"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p>
    <w:p w14:paraId="76E9F968"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09120FC8"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r>
        <w:rPr>
          <w:rStyle w:val="normaltextrun"/>
          <w:rFonts w:ascii="Arial" w:hAnsi="Arial" w:cs="Arial"/>
          <w:caps/>
        </w:rPr>
        <w:t>THE PRINCE'S TRUST | YOUTH CAN DO IT</w:t>
      </w:r>
      <w:r>
        <w:rPr>
          <w:rStyle w:val="eop"/>
          <w:rFonts w:ascii="Arial" w:hAnsi="Arial" w:cs="Arial"/>
          <w:color w:val="1F3763"/>
        </w:rPr>
        <w:t> </w:t>
      </w:r>
    </w:p>
    <w:p w14:paraId="14F42F05" w14:textId="020DB4BA" w:rsidR="00621E7D" w:rsidRDefault="00621E7D" w:rsidP="000C521C">
      <w:pPr>
        <w:pStyle w:val="paragraph"/>
        <w:spacing w:before="0" w:beforeAutospacing="0" w:after="0" w:afterAutospacing="0" w:line="480" w:lineRule="auto"/>
        <w:ind w:left="120" w:hanging="120"/>
        <w:textAlignment w:val="baseline"/>
        <w:rPr>
          <w:rStyle w:val="eop"/>
          <w:rFonts w:ascii="Arial" w:hAnsi="Arial" w:cs="Arial"/>
        </w:rPr>
      </w:pPr>
      <w:r>
        <w:rPr>
          <w:rStyle w:val="normaltextrun"/>
          <w:rFonts w:ascii="Arial" w:hAnsi="Arial" w:cs="Arial"/>
        </w:rPr>
        <w:t>In-text: (Princes-trust.org.UK, 2019) Princes-trust.org.uk. (2019). </w:t>
      </w:r>
      <w:r>
        <w:rPr>
          <w:rStyle w:val="normaltextrun"/>
          <w:rFonts w:ascii="Arial" w:hAnsi="Arial" w:cs="Arial"/>
          <w:i/>
          <w:iCs/>
        </w:rPr>
        <w:t>The Prince's Trust Youth Can Do It</w:t>
      </w:r>
      <w:r>
        <w:rPr>
          <w:rStyle w:val="normaltextrun"/>
          <w:rFonts w:ascii="Arial" w:hAnsi="Arial" w:cs="Arial"/>
        </w:rPr>
        <w:t>. [online] Available at: </w:t>
      </w:r>
      <w:hyperlink r:id="rId14" w:tgtFrame="_blank" w:history="1">
        <w:r>
          <w:rPr>
            <w:rStyle w:val="normaltextrun"/>
            <w:rFonts w:ascii="Arial" w:hAnsi="Arial" w:cs="Arial"/>
          </w:rPr>
          <w:t>https://www.princes-trust.org.uk/?gclid=EAIaIQobChMItZbB2bKU5gIVCLLtCh2MlAAdEAAYASAAEgJt-PD_BwE</w:t>
        </w:r>
      </w:hyperlink>
      <w:r>
        <w:rPr>
          <w:rStyle w:val="normaltextrun"/>
          <w:rFonts w:ascii="Arial" w:hAnsi="Arial" w:cs="Arial"/>
        </w:rPr>
        <w:t> [Accessed 1 Dec. 2019].</w:t>
      </w:r>
      <w:r>
        <w:rPr>
          <w:rStyle w:val="eop"/>
          <w:rFonts w:ascii="Arial" w:hAnsi="Arial" w:cs="Arial"/>
        </w:rPr>
        <w:t> </w:t>
      </w:r>
    </w:p>
    <w:p w14:paraId="62DAF9BE" w14:textId="77777777" w:rsidR="00621E7D" w:rsidRDefault="00621E7D" w:rsidP="000C521C">
      <w:pPr>
        <w:pStyle w:val="paragraph"/>
        <w:spacing w:before="0" w:beforeAutospacing="0" w:after="0" w:afterAutospacing="0" w:line="480" w:lineRule="auto"/>
        <w:ind w:left="120" w:hanging="120"/>
        <w:textAlignment w:val="baseline"/>
        <w:rPr>
          <w:rFonts w:ascii="Segoe UI" w:hAnsi="Segoe UI" w:cs="Segoe UI"/>
          <w:sz w:val="18"/>
          <w:szCs w:val="18"/>
        </w:rPr>
      </w:pPr>
    </w:p>
    <w:p w14:paraId="76BC919A"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B2AC964" w14:textId="05ABD462" w:rsidR="00621E7D" w:rsidRDefault="00621E7D" w:rsidP="000C521C">
      <w:pPr>
        <w:pStyle w:val="paragraph"/>
        <w:spacing w:before="0" w:beforeAutospacing="0" w:after="0" w:afterAutospacing="0" w:line="480" w:lineRule="auto"/>
        <w:textAlignment w:val="baseline"/>
        <w:rPr>
          <w:rStyle w:val="eop"/>
          <w:rFonts w:ascii="Arial" w:hAnsi="Arial" w:cs="Arial"/>
          <w:color w:val="1F3763"/>
        </w:rPr>
      </w:pPr>
      <w:r>
        <w:rPr>
          <w:rStyle w:val="normaltextrun"/>
          <w:rFonts w:ascii="Arial" w:hAnsi="Arial" w:cs="Arial"/>
          <w:caps/>
        </w:rPr>
        <w:t>WORKLESS HOUSEHOLDS AND EDUCATIONAL ATTAINMENT STATUTORY INDICATORS, 2018 </w:t>
      </w:r>
      <w:r>
        <w:rPr>
          <w:rStyle w:val="normaltextrun"/>
          <w:rFonts w:ascii="Arial" w:hAnsi="Arial" w:cs="Arial"/>
        </w:rPr>
        <w:t>GOV.UK. (2018). </w:t>
      </w:r>
      <w:r>
        <w:rPr>
          <w:rStyle w:val="normaltextrun"/>
          <w:rFonts w:ascii="Arial" w:hAnsi="Arial" w:cs="Arial"/>
          <w:i/>
          <w:iCs/>
        </w:rPr>
        <w:t>Workless households and educational attainment statutory indicators, 2018</w:t>
      </w:r>
      <w:r>
        <w:rPr>
          <w:rStyle w:val="normaltextrun"/>
          <w:rFonts w:ascii="Arial" w:hAnsi="Arial" w:cs="Arial"/>
        </w:rPr>
        <w:t xml:space="preserve">. [online] Available </w:t>
      </w:r>
      <w:r>
        <w:rPr>
          <w:rStyle w:val="normaltextrun"/>
          <w:rFonts w:ascii="Arial" w:hAnsi="Arial" w:cs="Arial"/>
        </w:rPr>
        <w:lastRenderedPageBreak/>
        <w:t>at: </w:t>
      </w:r>
      <w:hyperlink r:id="rId15" w:tgtFrame="_blank" w:history="1">
        <w:r>
          <w:rPr>
            <w:rStyle w:val="normaltextrun"/>
            <w:rFonts w:ascii="Arial" w:hAnsi="Arial" w:cs="Arial"/>
          </w:rPr>
          <w:t>https://www.gov.uk/government/publications/workless-households-and-educational-attainment-statutory-indicators-2018</w:t>
        </w:r>
      </w:hyperlink>
      <w:r>
        <w:rPr>
          <w:rStyle w:val="normaltextrun"/>
          <w:rFonts w:ascii="Arial" w:hAnsi="Arial" w:cs="Arial"/>
        </w:rPr>
        <w:t> [Accessed 1 Dec. 2019].</w:t>
      </w:r>
      <w:r>
        <w:rPr>
          <w:rStyle w:val="eop"/>
          <w:rFonts w:ascii="Arial" w:hAnsi="Arial" w:cs="Arial"/>
          <w:color w:val="1F3763"/>
        </w:rPr>
        <w:t> </w:t>
      </w:r>
    </w:p>
    <w:p w14:paraId="2BFF5C5D"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p>
    <w:p w14:paraId="737CD253"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169DA18E" w14:textId="7E872E6D" w:rsidR="00621E7D" w:rsidRDefault="00621E7D" w:rsidP="000C521C">
      <w:pPr>
        <w:pStyle w:val="paragraph"/>
        <w:spacing w:before="0" w:beforeAutospacing="0" w:after="0" w:afterAutospacing="0" w:line="480" w:lineRule="auto"/>
        <w:textAlignment w:val="baseline"/>
        <w:rPr>
          <w:rStyle w:val="eop"/>
          <w:rFonts w:ascii="Arial" w:hAnsi="Arial" w:cs="Arial"/>
          <w:color w:val="1F3763"/>
        </w:rPr>
      </w:pPr>
      <w:r>
        <w:rPr>
          <w:rStyle w:val="normaltextrun"/>
          <w:rFonts w:ascii="Arial" w:hAnsi="Arial" w:cs="Arial"/>
          <w:caps/>
        </w:rPr>
        <w:t>YOUNG PEOPLE NOT IN EDUCATION, EMPLOYMENT OR TRAINING (NEET) | GOV.WALES </w:t>
      </w:r>
      <w:r>
        <w:rPr>
          <w:rStyle w:val="normaltextrun"/>
          <w:rFonts w:ascii="Arial" w:hAnsi="Arial" w:cs="Arial"/>
        </w:rPr>
        <w:t>GOV. WALES. (2019). </w:t>
      </w:r>
      <w:r>
        <w:rPr>
          <w:rStyle w:val="normaltextrun"/>
          <w:rFonts w:ascii="Arial" w:hAnsi="Arial" w:cs="Arial"/>
          <w:i/>
          <w:iCs/>
        </w:rPr>
        <w:t>Young people not in education, employment or training (NEET) | GOV.WALES</w:t>
      </w:r>
      <w:r>
        <w:rPr>
          <w:rStyle w:val="normaltextrun"/>
          <w:rFonts w:ascii="Arial" w:hAnsi="Arial" w:cs="Arial"/>
        </w:rPr>
        <w:t>. [online] Available at: </w:t>
      </w:r>
      <w:hyperlink r:id="rId16" w:tgtFrame="_blank" w:history="1">
        <w:r>
          <w:rPr>
            <w:rStyle w:val="normaltextrun"/>
            <w:rFonts w:ascii="Arial" w:hAnsi="Arial" w:cs="Arial"/>
          </w:rPr>
          <w:t>https://gov.wales/young-people-not-education-employment-or-training-nee</w:t>
        </w:r>
        <w:r>
          <w:rPr>
            <w:rStyle w:val="normaltextrun"/>
            <w:rFonts w:ascii="Arial" w:hAnsi="Arial" w:cs="Arial"/>
            <w:u w:val="single"/>
          </w:rPr>
          <w:t>t</w:t>
        </w:r>
      </w:hyperlink>
      <w:r>
        <w:rPr>
          <w:rStyle w:val="normaltextrun"/>
          <w:rFonts w:ascii="Arial" w:hAnsi="Arial" w:cs="Arial"/>
        </w:rPr>
        <w:t> [Accessed 1 Dec. 2019].</w:t>
      </w:r>
      <w:r>
        <w:rPr>
          <w:rStyle w:val="eop"/>
          <w:rFonts w:ascii="Arial" w:hAnsi="Arial" w:cs="Arial"/>
          <w:color w:val="1F3763"/>
        </w:rPr>
        <w:t> </w:t>
      </w:r>
    </w:p>
    <w:p w14:paraId="230D1937"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p>
    <w:p w14:paraId="384B918A"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Calibri" w:hAnsi="Calibri" w:cs="Calibri"/>
          <w:sz w:val="22"/>
          <w:szCs w:val="22"/>
        </w:rPr>
        <w:t> </w:t>
      </w:r>
    </w:p>
    <w:p w14:paraId="461B2383" w14:textId="488D1225" w:rsidR="00621E7D" w:rsidRDefault="00621E7D" w:rsidP="000C521C">
      <w:pPr>
        <w:pStyle w:val="paragraph"/>
        <w:spacing w:before="0" w:beforeAutospacing="0" w:after="0" w:afterAutospacing="0" w:line="480" w:lineRule="auto"/>
        <w:textAlignment w:val="baseline"/>
        <w:rPr>
          <w:rStyle w:val="eop"/>
          <w:rFonts w:ascii="Arial" w:hAnsi="Arial" w:cs="Arial"/>
          <w:color w:val="1F3763"/>
        </w:rPr>
      </w:pPr>
      <w:r>
        <w:rPr>
          <w:rStyle w:val="normaltextrun"/>
          <w:rFonts w:ascii="Arial" w:hAnsi="Arial" w:cs="Arial"/>
          <w:caps/>
        </w:rPr>
        <w:t>YOUTH WORK IN WALES PRINCIPLES AND PURPOSES 2018 – CWVYS</w:t>
      </w:r>
      <w:r>
        <w:rPr>
          <w:rStyle w:val="normaltextrun"/>
          <w:rFonts w:ascii="Arial" w:hAnsi="Arial" w:cs="Arial"/>
        </w:rPr>
        <w:t>. (2018). </w:t>
      </w:r>
      <w:r>
        <w:rPr>
          <w:rStyle w:val="normaltextrun"/>
          <w:rFonts w:ascii="Arial" w:hAnsi="Arial" w:cs="Arial"/>
          <w:i/>
          <w:iCs/>
        </w:rPr>
        <w:t>Youth Work in Wales Principles and Purposes 2018 - CWVYS</w:t>
      </w:r>
      <w:r>
        <w:rPr>
          <w:rStyle w:val="normaltextrun"/>
          <w:rFonts w:ascii="Arial" w:hAnsi="Arial" w:cs="Arial"/>
        </w:rPr>
        <w:t>. [online] Available at: </w:t>
      </w:r>
      <w:hyperlink r:id="rId17" w:tgtFrame="_blank" w:history="1">
        <w:r>
          <w:rPr>
            <w:rStyle w:val="normaltextrun"/>
            <w:rFonts w:ascii="Arial" w:hAnsi="Arial" w:cs="Arial"/>
          </w:rPr>
          <w:t>http://www.cwvys.org.uk/policy-and-practice/youth-work-in-wales-principles-and-purposes-4/</w:t>
        </w:r>
      </w:hyperlink>
      <w:r>
        <w:rPr>
          <w:rStyle w:val="normaltextrun"/>
          <w:rFonts w:ascii="Arial" w:hAnsi="Arial" w:cs="Arial"/>
        </w:rPr>
        <w:t> [Accessed 1 Dec. 2019].</w:t>
      </w:r>
      <w:r>
        <w:rPr>
          <w:rStyle w:val="eop"/>
          <w:rFonts w:ascii="Arial" w:hAnsi="Arial" w:cs="Arial"/>
          <w:color w:val="1F3763"/>
        </w:rPr>
        <w:t> </w:t>
      </w:r>
    </w:p>
    <w:p w14:paraId="66FDF400" w14:textId="77777777" w:rsidR="00621E7D" w:rsidRDefault="00621E7D" w:rsidP="000C521C">
      <w:pPr>
        <w:pStyle w:val="paragraph"/>
        <w:spacing w:before="0" w:beforeAutospacing="0" w:after="0" w:afterAutospacing="0" w:line="480" w:lineRule="auto"/>
        <w:textAlignment w:val="baseline"/>
        <w:rPr>
          <w:rFonts w:ascii="Segoe UI" w:hAnsi="Segoe UI" w:cs="Segoe UI"/>
          <w:color w:val="1F3763"/>
          <w:sz w:val="18"/>
          <w:szCs w:val="18"/>
        </w:rPr>
      </w:pPr>
    </w:p>
    <w:p w14:paraId="1A2E4444"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Calibri" w:hAnsi="Calibri" w:cs="Calibri"/>
          <w:sz w:val="22"/>
          <w:szCs w:val="22"/>
        </w:rPr>
        <w:t> </w:t>
      </w:r>
    </w:p>
    <w:p w14:paraId="575E3CC8" w14:textId="64917B73" w:rsidR="00621E7D" w:rsidRDefault="00621E7D" w:rsidP="000C521C">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rPr>
        <w:t>HOLMES, J. (1993).</w:t>
      </w:r>
      <w:r>
        <w:rPr>
          <w:rStyle w:val="normaltextrun"/>
          <w:rFonts w:ascii="Arial" w:hAnsi="Arial" w:cs="Arial"/>
          <w:i/>
          <w:iCs/>
        </w:rPr>
        <w:t> JOHN BOWLBY and attachment theory</w:t>
      </w:r>
      <w:r>
        <w:rPr>
          <w:rStyle w:val="normaltextrun"/>
          <w:rFonts w:ascii="Arial" w:hAnsi="Arial" w:cs="Arial"/>
        </w:rPr>
        <w:t>. [online] www-dawsonera-com.ezproxy.uwtsd.ac.uk. Available at </w:t>
      </w:r>
      <w:hyperlink r:id="rId18" w:tgtFrame="_blank" w:history="1">
        <w:r>
          <w:rPr>
            <w:rStyle w:val="normaltextrun"/>
            <w:rFonts w:ascii="Arial" w:hAnsi="Arial" w:cs="Arial"/>
            <w:color w:val="0563C1"/>
            <w:u w:val="single"/>
          </w:rPr>
          <w:t>https://www.dawsonera-com.ezproxy.uwtsd.ac.uk/abstract/9780203136805</w:t>
        </w:r>
      </w:hyperlink>
      <w:r>
        <w:rPr>
          <w:rStyle w:val="normaltextrun"/>
          <w:rFonts w:ascii="Arial" w:hAnsi="Arial" w:cs="Arial"/>
        </w:rPr>
        <w:t> [Accessed 30 Nov. 2019</w:t>
      </w:r>
      <w:r>
        <w:rPr>
          <w:rStyle w:val="normaltextrun"/>
          <w:rFonts w:ascii="Arial" w:hAnsi="Arial" w:cs="Arial"/>
        </w:rPr>
        <w:t xml:space="preserve">] </w:t>
      </w:r>
    </w:p>
    <w:p w14:paraId="3C39CF08" w14:textId="77777777" w:rsidR="00621E7D" w:rsidRPr="00621E7D" w:rsidRDefault="00621E7D" w:rsidP="000C521C">
      <w:pPr>
        <w:pStyle w:val="paragraph"/>
        <w:spacing w:before="0" w:beforeAutospacing="0" w:after="0" w:afterAutospacing="0" w:line="480" w:lineRule="auto"/>
        <w:textAlignment w:val="baseline"/>
        <w:rPr>
          <w:rFonts w:ascii="Arial" w:hAnsi="Arial" w:cs="Arial"/>
        </w:rPr>
      </w:pPr>
    </w:p>
    <w:p w14:paraId="4ADDCD38"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3A16B815" w14:textId="10C84119"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HQ.P. (2019). </w:t>
      </w:r>
      <w:r>
        <w:rPr>
          <w:rStyle w:val="normaltextrun"/>
          <w:rFonts w:ascii="Arial" w:hAnsi="Arial" w:cs="Arial"/>
          <w:i/>
          <w:iCs/>
        </w:rPr>
        <w:t>What is Bronfenbrenner's Ecological systems Theory? -The psychology Notes Headquarters</w:t>
      </w:r>
      <w:r>
        <w:rPr>
          <w:rStyle w:val="normaltextrun"/>
          <w:rFonts w:ascii="Arial" w:hAnsi="Arial" w:cs="Arial"/>
        </w:rPr>
        <w:t>. [online] The Psychology Notes Headquarters. Available at </w:t>
      </w:r>
      <w:hyperlink r:id="rId19" w:tgtFrame="_blank" w:history="1">
        <w:r>
          <w:rPr>
            <w:rStyle w:val="normaltextrun"/>
            <w:rFonts w:ascii="Arial" w:hAnsi="Arial" w:cs="Arial"/>
            <w:color w:val="0563C1"/>
            <w:u w:val="single"/>
          </w:rPr>
          <w:t>https://www.psychologynoteshq.com/bronfenbrenner-ecological-theory/</w:t>
        </w:r>
      </w:hyperlink>
      <w:r>
        <w:rPr>
          <w:rStyle w:val="normaltextrun"/>
          <w:rFonts w:ascii="Arial" w:hAnsi="Arial" w:cs="Arial"/>
        </w:rPr>
        <w:t> [Accessed30th Nov.2019].</w:t>
      </w:r>
      <w:r>
        <w:rPr>
          <w:rStyle w:val="eop"/>
          <w:rFonts w:ascii="Arial" w:hAnsi="Arial" w:cs="Arial"/>
        </w:rPr>
        <w:t> </w:t>
      </w:r>
    </w:p>
    <w:p w14:paraId="6D7611BA"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p>
    <w:p w14:paraId="14A0D632"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lastRenderedPageBreak/>
        <w:t> </w:t>
      </w:r>
    </w:p>
    <w:p w14:paraId="79460A76" w14:textId="72785C71"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CWVYS. (2014). </w:t>
      </w:r>
      <w:r>
        <w:rPr>
          <w:rStyle w:val="normaltextrun"/>
          <w:rFonts w:ascii="Arial" w:hAnsi="Arial" w:cs="Arial"/>
          <w:i/>
          <w:iCs/>
        </w:rPr>
        <w:t>Planning Evaluation. </w:t>
      </w:r>
      <w:r>
        <w:rPr>
          <w:rStyle w:val="normaltextrun"/>
          <w:rFonts w:ascii="Arial" w:hAnsi="Arial" w:cs="Arial"/>
        </w:rPr>
        <w:t>[online] Available at: </w:t>
      </w:r>
      <w:hyperlink r:id="rId20" w:tgtFrame="_blank" w:history="1">
        <w:r>
          <w:rPr>
            <w:rStyle w:val="normaltextrun"/>
            <w:rFonts w:ascii="Arial" w:hAnsi="Arial" w:cs="Arial"/>
            <w:color w:val="0563C1"/>
            <w:u w:val="single"/>
          </w:rPr>
          <w:t>http://wwwcwvys.org.uk/wp-content/uploads/2014/06/HB-planning-Evaluation.PDF</w:t>
        </w:r>
      </w:hyperlink>
      <w:r>
        <w:rPr>
          <w:rStyle w:val="normaltextrun"/>
          <w:rFonts w:ascii="Arial" w:hAnsi="Arial" w:cs="Arial"/>
        </w:rPr>
        <w:t> [Accessed30 Nov.2019)</w:t>
      </w:r>
      <w:r>
        <w:rPr>
          <w:rStyle w:val="eop"/>
          <w:rFonts w:ascii="Arial" w:hAnsi="Arial" w:cs="Arial"/>
        </w:rPr>
        <w:t> </w:t>
      </w:r>
    </w:p>
    <w:p w14:paraId="0E7F62AD" w14:textId="77777777" w:rsidR="000C521C" w:rsidRDefault="000C521C" w:rsidP="000C521C">
      <w:pPr>
        <w:pStyle w:val="paragraph"/>
        <w:spacing w:before="0" w:beforeAutospacing="0" w:after="0" w:afterAutospacing="0" w:line="480" w:lineRule="auto"/>
        <w:textAlignment w:val="baseline"/>
        <w:rPr>
          <w:rFonts w:ascii="Segoe UI" w:hAnsi="Segoe UI" w:cs="Segoe UI"/>
          <w:sz w:val="18"/>
          <w:szCs w:val="18"/>
        </w:rPr>
      </w:pPr>
    </w:p>
    <w:p w14:paraId="0F0C49F4"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657DDD7F"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proofErr w:type="gramStart"/>
      <w:r>
        <w:rPr>
          <w:rStyle w:val="contextualspellingandgrammarerror"/>
          <w:rFonts w:ascii="Arial" w:hAnsi="Arial" w:cs="Arial"/>
        </w:rPr>
        <w:t>MCLEOD,S.</w:t>
      </w:r>
      <w:proofErr w:type="gramEnd"/>
      <w:r>
        <w:rPr>
          <w:rStyle w:val="normaltextrun"/>
          <w:rFonts w:ascii="Arial" w:hAnsi="Arial" w:cs="Arial"/>
        </w:rPr>
        <w:t> (2018) </w:t>
      </w:r>
      <w:r>
        <w:rPr>
          <w:rStyle w:val="normaltextrun"/>
          <w:rFonts w:ascii="Arial" w:hAnsi="Arial" w:cs="Arial"/>
          <w:i/>
          <w:iCs/>
        </w:rPr>
        <w:t>Maslow’s Hierarchy of Needs. </w:t>
      </w:r>
      <w:r>
        <w:rPr>
          <w:rStyle w:val="normaltextrun"/>
          <w:rFonts w:ascii="Arial" w:hAnsi="Arial" w:cs="Arial"/>
        </w:rPr>
        <w:t>[online] Simply Psychology. Available at: </w:t>
      </w:r>
      <w:hyperlink r:id="rId21" w:tgtFrame="_blank" w:history="1">
        <w:r>
          <w:rPr>
            <w:rStyle w:val="normaltextrun"/>
            <w:rFonts w:ascii="Arial" w:hAnsi="Arial" w:cs="Arial"/>
            <w:color w:val="0563C1"/>
            <w:u w:val="single"/>
          </w:rPr>
          <w:t>https://www.simplypsychology.org/maslow.html</w:t>
        </w:r>
      </w:hyperlink>
      <w:r>
        <w:rPr>
          <w:rStyle w:val="normaltextrun"/>
          <w:rFonts w:ascii="Arial" w:hAnsi="Arial" w:cs="Arial"/>
        </w:rPr>
        <w:t> [Accessed 30 Nov. 2019].</w:t>
      </w:r>
      <w:r>
        <w:rPr>
          <w:rStyle w:val="eop"/>
          <w:rFonts w:ascii="Arial" w:hAnsi="Arial" w:cs="Arial"/>
        </w:rPr>
        <w:t> </w:t>
      </w:r>
    </w:p>
    <w:p w14:paraId="28A73265" w14:textId="52620F52"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NASON, M. (2017) </w:t>
      </w:r>
      <w:r>
        <w:rPr>
          <w:rStyle w:val="normaltextrun"/>
          <w:rFonts w:ascii="Arial" w:hAnsi="Arial" w:cs="Arial"/>
          <w:i/>
          <w:iCs/>
        </w:rPr>
        <w:t>How do you define family? - Charis counselling </w:t>
      </w:r>
      <w:proofErr w:type="spellStart"/>
      <w:r>
        <w:rPr>
          <w:rStyle w:val="spellingerror"/>
          <w:rFonts w:ascii="Arial" w:hAnsi="Arial" w:cs="Arial"/>
          <w:i/>
          <w:iCs/>
        </w:rPr>
        <w:t>Center</w:t>
      </w:r>
      <w:proofErr w:type="spellEnd"/>
      <w:r>
        <w:rPr>
          <w:rStyle w:val="normaltextrun"/>
          <w:rFonts w:ascii="Arial" w:hAnsi="Arial" w:cs="Arial"/>
          <w:i/>
          <w:iCs/>
        </w:rPr>
        <w:t>. </w:t>
      </w:r>
      <w:r>
        <w:rPr>
          <w:rStyle w:val="normaltextrun"/>
          <w:rFonts w:ascii="Arial" w:hAnsi="Arial" w:cs="Arial"/>
        </w:rPr>
        <w:t>[online] </w:t>
      </w:r>
      <w:r>
        <w:rPr>
          <w:rStyle w:val="eop"/>
          <w:rFonts w:ascii="Arial" w:hAnsi="Arial" w:cs="Arial"/>
        </w:rPr>
        <w:t> </w:t>
      </w:r>
    </w:p>
    <w:p w14:paraId="16F28F83" w14:textId="77777777" w:rsidR="000C521C" w:rsidRDefault="000C521C" w:rsidP="000C521C">
      <w:pPr>
        <w:pStyle w:val="paragraph"/>
        <w:spacing w:before="0" w:beforeAutospacing="0" w:after="0" w:afterAutospacing="0" w:line="480" w:lineRule="auto"/>
        <w:textAlignment w:val="baseline"/>
        <w:rPr>
          <w:rFonts w:ascii="Segoe UI" w:hAnsi="Segoe UI" w:cs="Segoe UI"/>
          <w:sz w:val="18"/>
          <w:szCs w:val="18"/>
        </w:rPr>
      </w:pPr>
    </w:p>
    <w:p w14:paraId="31451DB1"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4390D057" w14:textId="47F931A2"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Chariscounselingcenter.com. Available at: </w:t>
      </w:r>
      <w:hyperlink r:id="rId22" w:tgtFrame="_blank" w:history="1">
        <w:r>
          <w:rPr>
            <w:rStyle w:val="normaltextrun"/>
            <w:rFonts w:ascii="Arial" w:hAnsi="Arial" w:cs="Arial"/>
            <w:color w:val="0563C1"/>
            <w:u w:val="single"/>
          </w:rPr>
          <w:t>https://www.chariscounselingcenter.com/blog/how-do-you-define-family/</w:t>
        </w:r>
      </w:hyperlink>
      <w:r>
        <w:rPr>
          <w:rStyle w:val="normaltextrun"/>
          <w:rFonts w:ascii="Arial" w:hAnsi="Arial" w:cs="Arial"/>
        </w:rPr>
        <w:t> [Accessed 30 Nov 2019). </w:t>
      </w:r>
      <w:r>
        <w:rPr>
          <w:rStyle w:val="eop"/>
          <w:rFonts w:ascii="Arial" w:hAnsi="Arial" w:cs="Arial"/>
        </w:rPr>
        <w:t> </w:t>
      </w:r>
    </w:p>
    <w:p w14:paraId="3DF1E2D4" w14:textId="77777777" w:rsidR="000C521C" w:rsidRDefault="000C521C" w:rsidP="000C521C">
      <w:pPr>
        <w:pStyle w:val="paragraph"/>
        <w:spacing w:before="0" w:beforeAutospacing="0" w:after="0" w:afterAutospacing="0" w:line="480" w:lineRule="auto"/>
        <w:textAlignment w:val="baseline"/>
        <w:rPr>
          <w:rFonts w:ascii="Segoe UI" w:hAnsi="Segoe UI" w:cs="Segoe UI"/>
          <w:sz w:val="18"/>
          <w:szCs w:val="18"/>
        </w:rPr>
      </w:pPr>
    </w:p>
    <w:p w14:paraId="2595668F" w14:textId="77777777" w:rsidR="00621E7D" w:rsidRDefault="00621E7D" w:rsidP="000C521C">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6F8C4454" w14:textId="0397A3BB" w:rsidR="00621E7D" w:rsidRDefault="00621E7D" w:rsidP="000C521C">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GOV.WALES. (2019) </w:t>
      </w:r>
      <w:r>
        <w:rPr>
          <w:rStyle w:val="normaltextrun"/>
          <w:rFonts w:ascii="Arial" w:hAnsi="Arial" w:cs="Arial"/>
          <w:i/>
          <w:iCs/>
        </w:rPr>
        <w:t>National youth work strategy for wales. </w:t>
      </w:r>
      <w:r>
        <w:rPr>
          <w:rStyle w:val="normaltextrun"/>
          <w:rFonts w:ascii="Arial" w:hAnsi="Arial" w:cs="Arial"/>
        </w:rPr>
        <w:t>[online] Available at: </w:t>
      </w:r>
      <w:hyperlink r:id="rId23" w:tgtFrame="_blank" w:history="1">
        <w:r>
          <w:rPr>
            <w:rStyle w:val="normaltextrun"/>
            <w:rFonts w:ascii="Arial" w:hAnsi="Arial" w:cs="Arial"/>
            <w:color w:val="0563C1"/>
            <w:u w:val="single"/>
          </w:rPr>
          <w:t>https://gov.wales/sites/default/files/publications/2019-06/youth-work-strategy-for-wales.pdf</w:t>
        </w:r>
      </w:hyperlink>
      <w:r>
        <w:rPr>
          <w:rStyle w:val="normaltextrun"/>
          <w:rFonts w:ascii="Arial" w:hAnsi="Arial" w:cs="Arial"/>
        </w:rPr>
        <w:t> [Accessed 30 Nov.2019]</w:t>
      </w:r>
      <w:r>
        <w:rPr>
          <w:rStyle w:val="eop"/>
          <w:rFonts w:ascii="Arial" w:hAnsi="Arial" w:cs="Arial"/>
        </w:rPr>
        <w:t> </w:t>
      </w:r>
    </w:p>
    <w:p w14:paraId="6B70DFB3" w14:textId="77777777" w:rsidR="000C521C" w:rsidRDefault="000C521C" w:rsidP="00621E7D">
      <w:pPr>
        <w:pStyle w:val="paragraph"/>
        <w:spacing w:before="0" w:beforeAutospacing="0" w:after="0" w:afterAutospacing="0"/>
        <w:textAlignment w:val="baseline"/>
        <w:rPr>
          <w:rFonts w:ascii="Segoe UI" w:hAnsi="Segoe UI" w:cs="Segoe UI"/>
          <w:sz w:val="18"/>
          <w:szCs w:val="18"/>
        </w:rPr>
      </w:pPr>
    </w:p>
    <w:p w14:paraId="3D5E4964" w14:textId="62EE2171" w:rsidR="17AFAE1D" w:rsidRDefault="17AFAE1D" w:rsidP="17AFAE1D"/>
    <w:sectPr w:rsidR="17AFAE1D">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3A5DE" w14:textId="77777777" w:rsidR="00DB7272" w:rsidRDefault="00DB7272">
      <w:pPr>
        <w:spacing w:after="0" w:line="240" w:lineRule="auto"/>
      </w:pPr>
      <w:r>
        <w:separator/>
      </w:r>
    </w:p>
  </w:endnote>
  <w:endnote w:type="continuationSeparator" w:id="0">
    <w:p w14:paraId="0E657356" w14:textId="77777777" w:rsidR="00DB7272" w:rsidRDefault="00DB7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7AFAE1D" w14:paraId="2BD64622" w14:textId="77777777" w:rsidTr="17AFAE1D">
      <w:tc>
        <w:tcPr>
          <w:tcW w:w="3009" w:type="dxa"/>
        </w:tcPr>
        <w:p w14:paraId="2AF5F9A1" w14:textId="39ED9E72" w:rsidR="17AFAE1D" w:rsidRDefault="17AFAE1D" w:rsidP="17AFAE1D">
          <w:pPr>
            <w:pStyle w:val="Header"/>
            <w:ind w:left="-115"/>
          </w:pPr>
        </w:p>
      </w:tc>
      <w:tc>
        <w:tcPr>
          <w:tcW w:w="3009" w:type="dxa"/>
        </w:tcPr>
        <w:p w14:paraId="2573E620" w14:textId="1711D743" w:rsidR="17AFAE1D" w:rsidRDefault="17AFAE1D" w:rsidP="17AFAE1D">
          <w:pPr>
            <w:pStyle w:val="Header"/>
            <w:jc w:val="center"/>
          </w:pPr>
        </w:p>
      </w:tc>
      <w:tc>
        <w:tcPr>
          <w:tcW w:w="3009" w:type="dxa"/>
        </w:tcPr>
        <w:p w14:paraId="08B7C3E2" w14:textId="1D34A6BA" w:rsidR="17AFAE1D" w:rsidRDefault="17AFAE1D" w:rsidP="17AFAE1D">
          <w:pPr>
            <w:pStyle w:val="Header"/>
            <w:ind w:right="-115"/>
            <w:jc w:val="right"/>
          </w:pPr>
        </w:p>
      </w:tc>
    </w:tr>
  </w:tbl>
  <w:p w14:paraId="4B141137" w14:textId="2FCFB5A0" w:rsidR="17AFAE1D" w:rsidRDefault="17AFAE1D" w:rsidP="17AFA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B38C48" w14:textId="77777777" w:rsidR="00DB7272" w:rsidRDefault="00DB7272">
      <w:pPr>
        <w:spacing w:after="0" w:line="240" w:lineRule="auto"/>
      </w:pPr>
      <w:r>
        <w:separator/>
      </w:r>
    </w:p>
  </w:footnote>
  <w:footnote w:type="continuationSeparator" w:id="0">
    <w:p w14:paraId="7A8CB419" w14:textId="77777777" w:rsidR="00DB7272" w:rsidRDefault="00DB72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tblGrid>
    <w:tr w:rsidR="17AFAE1D" w14:paraId="3CB88A84" w14:textId="77777777" w:rsidTr="17AFAE1D">
      <w:tc>
        <w:tcPr>
          <w:tcW w:w="3009" w:type="dxa"/>
        </w:tcPr>
        <w:p w14:paraId="23579FCD" w14:textId="613AB8BE" w:rsidR="17AFAE1D" w:rsidRDefault="17AFAE1D" w:rsidP="17AFAE1D">
          <w:pPr>
            <w:pStyle w:val="Header"/>
            <w:jc w:val="center"/>
          </w:pPr>
          <w:r>
            <w:t>SJYW4011</w:t>
          </w:r>
        </w:p>
      </w:tc>
      <w:tc>
        <w:tcPr>
          <w:tcW w:w="3009" w:type="dxa"/>
        </w:tcPr>
        <w:p w14:paraId="469B397B" w14:textId="56ABF0AD" w:rsidR="17AFAE1D" w:rsidRDefault="17AFAE1D" w:rsidP="17AFAE1D">
          <w:pPr>
            <w:pStyle w:val="Header"/>
            <w:ind w:right="-115"/>
            <w:jc w:val="right"/>
          </w:pPr>
          <w:r>
            <w:t>1904214</w:t>
          </w:r>
        </w:p>
      </w:tc>
    </w:tr>
  </w:tbl>
  <w:p w14:paraId="42935BFA" w14:textId="6A6341A8" w:rsidR="17AFAE1D" w:rsidRDefault="17AFAE1D" w:rsidP="17AFAE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653683"/>
    <w:rsid w:val="00031D65"/>
    <w:rsid w:val="000323CE"/>
    <w:rsid w:val="000636D4"/>
    <w:rsid w:val="000B026C"/>
    <w:rsid w:val="000C521C"/>
    <w:rsid w:val="003668C2"/>
    <w:rsid w:val="00434665"/>
    <w:rsid w:val="004B2639"/>
    <w:rsid w:val="00510426"/>
    <w:rsid w:val="005266F7"/>
    <w:rsid w:val="005D3093"/>
    <w:rsid w:val="00621E7D"/>
    <w:rsid w:val="0069270A"/>
    <w:rsid w:val="006A790C"/>
    <w:rsid w:val="006D7147"/>
    <w:rsid w:val="007C2A5F"/>
    <w:rsid w:val="00804537"/>
    <w:rsid w:val="00811FCF"/>
    <w:rsid w:val="00A370D3"/>
    <w:rsid w:val="00A96757"/>
    <w:rsid w:val="00B253E7"/>
    <w:rsid w:val="00C14776"/>
    <w:rsid w:val="00C17186"/>
    <w:rsid w:val="00C378BC"/>
    <w:rsid w:val="00D40335"/>
    <w:rsid w:val="00D84CE9"/>
    <w:rsid w:val="00DB7272"/>
    <w:rsid w:val="00F04831"/>
    <w:rsid w:val="00FA422A"/>
    <w:rsid w:val="08653683"/>
    <w:rsid w:val="0A534157"/>
    <w:rsid w:val="0D74A59C"/>
    <w:rsid w:val="17AFAE1D"/>
    <w:rsid w:val="537EE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53683"/>
  <w15:chartTrackingRefBased/>
  <w15:docId w15:val="{ED289EC3-52C0-44E5-9CAC-033E1F9C8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621E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21E7D"/>
  </w:style>
  <w:style w:type="character" w:customStyle="1" w:styleId="eop">
    <w:name w:val="eop"/>
    <w:basedOn w:val="DefaultParagraphFont"/>
    <w:rsid w:val="00621E7D"/>
  </w:style>
  <w:style w:type="character" w:customStyle="1" w:styleId="spellingerror">
    <w:name w:val="spellingerror"/>
    <w:basedOn w:val="DefaultParagraphFont"/>
    <w:rsid w:val="00621E7D"/>
  </w:style>
  <w:style w:type="character" w:customStyle="1" w:styleId="contextualspellingandgrammarerror">
    <w:name w:val="contextualspellingandgrammarerror"/>
    <w:basedOn w:val="DefaultParagraphFont"/>
    <w:rsid w:val="00621E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438237">
      <w:bodyDiv w:val="1"/>
      <w:marLeft w:val="0"/>
      <w:marRight w:val="0"/>
      <w:marTop w:val="0"/>
      <w:marBottom w:val="0"/>
      <w:divBdr>
        <w:top w:val="none" w:sz="0" w:space="0" w:color="auto"/>
        <w:left w:val="none" w:sz="0" w:space="0" w:color="auto"/>
        <w:bottom w:val="none" w:sz="0" w:space="0" w:color="auto"/>
        <w:right w:val="none" w:sz="0" w:space="0" w:color="auto"/>
      </w:divBdr>
      <w:divsChild>
        <w:div w:id="507671307">
          <w:marLeft w:val="0"/>
          <w:marRight w:val="0"/>
          <w:marTop w:val="0"/>
          <w:marBottom w:val="0"/>
          <w:divBdr>
            <w:top w:val="none" w:sz="0" w:space="0" w:color="auto"/>
            <w:left w:val="none" w:sz="0" w:space="0" w:color="auto"/>
            <w:bottom w:val="none" w:sz="0" w:space="0" w:color="auto"/>
            <w:right w:val="none" w:sz="0" w:space="0" w:color="auto"/>
          </w:divBdr>
        </w:div>
        <w:div w:id="495876849">
          <w:marLeft w:val="0"/>
          <w:marRight w:val="0"/>
          <w:marTop w:val="0"/>
          <w:marBottom w:val="0"/>
          <w:divBdr>
            <w:top w:val="none" w:sz="0" w:space="0" w:color="auto"/>
            <w:left w:val="none" w:sz="0" w:space="0" w:color="auto"/>
            <w:bottom w:val="none" w:sz="0" w:space="0" w:color="auto"/>
            <w:right w:val="none" w:sz="0" w:space="0" w:color="auto"/>
          </w:divBdr>
        </w:div>
        <w:div w:id="399448747">
          <w:marLeft w:val="0"/>
          <w:marRight w:val="0"/>
          <w:marTop w:val="0"/>
          <w:marBottom w:val="0"/>
          <w:divBdr>
            <w:top w:val="none" w:sz="0" w:space="0" w:color="auto"/>
            <w:left w:val="none" w:sz="0" w:space="0" w:color="auto"/>
            <w:bottom w:val="none" w:sz="0" w:space="0" w:color="auto"/>
            <w:right w:val="none" w:sz="0" w:space="0" w:color="auto"/>
          </w:divBdr>
        </w:div>
        <w:div w:id="425923173">
          <w:marLeft w:val="0"/>
          <w:marRight w:val="0"/>
          <w:marTop w:val="0"/>
          <w:marBottom w:val="0"/>
          <w:divBdr>
            <w:top w:val="none" w:sz="0" w:space="0" w:color="auto"/>
            <w:left w:val="none" w:sz="0" w:space="0" w:color="auto"/>
            <w:bottom w:val="none" w:sz="0" w:space="0" w:color="auto"/>
            <w:right w:val="none" w:sz="0" w:space="0" w:color="auto"/>
          </w:divBdr>
        </w:div>
        <w:div w:id="1105269794">
          <w:marLeft w:val="0"/>
          <w:marRight w:val="0"/>
          <w:marTop w:val="0"/>
          <w:marBottom w:val="0"/>
          <w:divBdr>
            <w:top w:val="none" w:sz="0" w:space="0" w:color="auto"/>
            <w:left w:val="none" w:sz="0" w:space="0" w:color="auto"/>
            <w:bottom w:val="none" w:sz="0" w:space="0" w:color="auto"/>
            <w:right w:val="none" w:sz="0" w:space="0" w:color="auto"/>
          </w:divBdr>
        </w:div>
        <w:div w:id="2049331668">
          <w:marLeft w:val="0"/>
          <w:marRight w:val="0"/>
          <w:marTop w:val="0"/>
          <w:marBottom w:val="0"/>
          <w:divBdr>
            <w:top w:val="none" w:sz="0" w:space="0" w:color="auto"/>
            <w:left w:val="none" w:sz="0" w:space="0" w:color="auto"/>
            <w:bottom w:val="none" w:sz="0" w:space="0" w:color="auto"/>
            <w:right w:val="none" w:sz="0" w:space="0" w:color="auto"/>
          </w:divBdr>
        </w:div>
        <w:div w:id="1337882176">
          <w:marLeft w:val="0"/>
          <w:marRight w:val="0"/>
          <w:marTop w:val="0"/>
          <w:marBottom w:val="0"/>
          <w:divBdr>
            <w:top w:val="none" w:sz="0" w:space="0" w:color="auto"/>
            <w:left w:val="none" w:sz="0" w:space="0" w:color="auto"/>
            <w:bottom w:val="none" w:sz="0" w:space="0" w:color="auto"/>
            <w:right w:val="none" w:sz="0" w:space="0" w:color="auto"/>
          </w:divBdr>
        </w:div>
        <w:div w:id="230771206">
          <w:marLeft w:val="0"/>
          <w:marRight w:val="0"/>
          <w:marTop w:val="0"/>
          <w:marBottom w:val="0"/>
          <w:divBdr>
            <w:top w:val="none" w:sz="0" w:space="0" w:color="auto"/>
            <w:left w:val="none" w:sz="0" w:space="0" w:color="auto"/>
            <w:bottom w:val="none" w:sz="0" w:space="0" w:color="auto"/>
            <w:right w:val="none" w:sz="0" w:space="0" w:color="auto"/>
          </w:divBdr>
        </w:div>
        <w:div w:id="1676686867">
          <w:marLeft w:val="0"/>
          <w:marRight w:val="0"/>
          <w:marTop w:val="0"/>
          <w:marBottom w:val="0"/>
          <w:divBdr>
            <w:top w:val="none" w:sz="0" w:space="0" w:color="auto"/>
            <w:left w:val="none" w:sz="0" w:space="0" w:color="auto"/>
            <w:bottom w:val="none" w:sz="0" w:space="0" w:color="auto"/>
            <w:right w:val="none" w:sz="0" w:space="0" w:color="auto"/>
          </w:divBdr>
        </w:div>
        <w:div w:id="182479244">
          <w:marLeft w:val="0"/>
          <w:marRight w:val="0"/>
          <w:marTop w:val="0"/>
          <w:marBottom w:val="0"/>
          <w:divBdr>
            <w:top w:val="none" w:sz="0" w:space="0" w:color="auto"/>
            <w:left w:val="none" w:sz="0" w:space="0" w:color="auto"/>
            <w:bottom w:val="none" w:sz="0" w:space="0" w:color="auto"/>
            <w:right w:val="none" w:sz="0" w:space="0" w:color="auto"/>
          </w:divBdr>
        </w:div>
        <w:div w:id="1162816356">
          <w:marLeft w:val="0"/>
          <w:marRight w:val="0"/>
          <w:marTop w:val="0"/>
          <w:marBottom w:val="0"/>
          <w:divBdr>
            <w:top w:val="none" w:sz="0" w:space="0" w:color="auto"/>
            <w:left w:val="none" w:sz="0" w:space="0" w:color="auto"/>
            <w:bottom w:val="none" w:sz="0" w:space="0" w:color="auto"/>
            <w:right w:val="none" w:sz="0" w:space="0" w:color="auto"/>
          </w:divBdr>
        </w:div>
        <w:div w:id="1111705740">
          <w:marLeft w:val="0"/>
          <w:marRight w:val="0"/>
          <w:marTop w:val="0"/>
          <w:marBottom w:val="0"/>
          <w:divBdr>
            <w:top w:val="none" w:sz="0" w:space="0" w:color="auto"/>
            <w:left w:val="none" w:sz="0" w:space="0" w:color="auto"/>
            <w:bottom w:val="none" w:sz="0" w:space="0" w:color="auto"/>
            <w:right w:val="none" w:sz="0" w:space="0" w:color="auto"/>
          </w:divBdr>
        </w:div>
        <w:div w:id="1140614568">
          <w:marLeft w:val="0"/>
          <w:marRight w:val="0"/>
          <w:marTop w:val="0"/>
          <w:marBottom w:val="0"/>
          <w:divBdr>
            <w:top w:val="none" w:sz="0" w:space="0" w:color="auto"/>
            <w:left w:val="none" w:sz="0" w:space="0" w:color="auto"/>
            <w:bottom w:val="none" w:sz="0" w:space="0" w:color="auto"/>
            <w:right w:val="none" w:sz="0" w:space="0" w:color="auto"/>
          </w:divBdr>
        </w:div>
        <w:div w:id="2129809965">
          <w:marLeft w:val="0"/>
          <w:marRight w:val="0"/>
          <w:marTop w:val="0"/>
          <w:marBottom w:val="0"/>
          <w:divBdr>
            <w:top w:val="none" w:sz="0" w:space="0" w:color="auto"/>
            <w:left w:val="none" w:sz="0" w:space="0" w:color="auto"/>
            <w:bottom w:val="none" w:sz="0" w:space="0" w:color="auto"/>
            <w:right w:val="none" w:sz="0" w:space="0" w:color="auto"/>
          </w:divBdr>
        </w:div>
        <w:div w:id="744959564">
          <w:marLeft w:val="0"/>
          <w:marRight w:val="0"/>
          <w:marTop w:val="0"/>
          <w:marBottom w:val="0"/>
          <w:divBdr>
            <w:top w:val="none" w:sz="0" w:space="0" w:color="auto"/>
            <w:left w:val="none" w:sz="0" w:space="0" w:color="auto"/>
            <w:bottom w:val="none" w:sz="0" w:space="0" w:color="auto"/>
            <w:right w:val="none" w:sz="0" w:space="0" w:color="auto"/>
          </w:divBdr>
        </w:div>
        <w:div w:id="498471264">
          <w:marLeft w:val="0"/>
          <w:marRight w:val="0"/>
          <w:marTop w:val="0"/>
          <w:marBottom w:val="0"/>
          <w:divBdr>
            <w:top w:val="none" w:sz="0" w:space="0" w:color="auto"/>
            <w:left w:val="none" w:sz="0" w:space="0" w:color="auto"/>
            <w:bottom w:val="none" w:sz="0" w:space="0" w:color="auto"/>
            <w:right w:val="none" w:sz="0" w:space="0" w:color="auto"/>
          </w:divBdr>
        </w:div>
        <w:div w:id="605231721">
          <w:marLeft w:val="0"/>
          <w:marRight w:val="0"/>
          <w:marTop w:val="0"/>
          <w:marBottom w:val="0"/>
          <w:divBdr>
            <w:top w:val="none" w:sz="0" w:space="0" w:color="auto"/>
            <w:left w:val="none" w:sz="0" w:space="0" w:color="auto"/>
            <w:bottom w:val="none" w:sz="0" w:space="0" w:color="auto"/>
            <w:right w:val="none" w:sz="0" w:space="0" w:color="auto"/>
          </w:divBdr>
        </w:div>
        <w:div w:id="1020933958">
          <w:marLeft w:val="0"/>
          <w:marRight w:val="0"/>
          <w:marTop w:val="0"/>
          <w:marBottom w:val="0"/>
          <w:divBdr>
            <w:top w:val="none" w:sz="0" w:space="0" w:color="auto"/>
            <w:left w:val="none" w:sz="0" w:space="0" w:color="auto"/>
            <w:bottom w:val="none" w:sz="0" w:space="0" w:color="auto"/>
            <w:right w:val="none" w:sz="0" w:space="0" w:color="auto"/>
          </w:divBdr>
        </w:div>
        <w:div w:id="546995343">
          <w:marLeft w:val="0"/>
          <w:marRight w:val="0"/>
          <w:marTop w:val="0"/>
          <w:marBottom w:val="0"/>
          <w:divBdr>
            <w:top w:val="none" w:sz="0" w:space="0" w:color="auto"/>
            <w:left w:val="none" w:sz="0" w:space="0" w:color="auto"/>
            <w:bottom w:val="none" w:sz="0" w:space="0" w:color="auto"/>
            <w:right w:val="none" w:sz="0" w:space="0" w:color="auto"/>
          </w:divBdr>
        </w:div>
        <w:div w:id="960259276">
          <w:marLeft w:val="0"/>
          <w:marRight w:val="0"/>
          <w:marTop w:val="0"/>
          <w:marBottom w:val="0"/>
          <w:divBdr>
            <w:top w:val="none" w:sz="0" w:space="0" w:color="auto"/>
            <w:left w:val="none" w:sz="0" w:space="0" w:color="auto"/>
            <w:bottom w:val="none" w:sz="0" w:space="0" w:color="auto"/>
            <w:right w:val="none" w:sz="0" w:space="0" w:color="auto"/>
          </w:divBdr>
        </w:div>
        <w:div w:id="18242748">
          <w:marLeft w:val="0"/>
          <w:marRight w:val="0"/>
          <w:marTop w:val="0"/>
          <w:marBottom w:val="0"/>
          <w:divBdr>
            <w:top w:val="none" w:sz="0" w:space="0" w:color="auto"/>
            <w:left w:val="none" w:sz="0" w:space="0" w:color="auto"/>
            <w:bottom w:val="none" w:sz="0" w:space="0" w:color="auto"/>
            <w:right w:val="none" w:sz="0" w:space="0" w:color="auto"/>
          </w:divBdr>
        </w:div>
        <w:div w:id="971405705">
          <w:marLeft w:val="0"/>
          <w:marRight w:val="0"/>
          <w:marTop w:val="0"/>
          <w:marBottom w:val="0"/>
          <w:divBdr>
            <w:top w:val="none" w:sz="0" w:space="0" w:color="auto"/>
            <w:left w:val="none" w:sz="0" w:space="0" w:color="auto"/>
            <w:bottom w:val="none" w:sz="0" w:space="0" w:color="auto"/>
            <w:right w:val="none" w:sz="0" w:space="0" w:color="auto"/>
          </w:divBdr>
        </w:div>
        <w:div w:id="748500547">
          <w:marLeft w:val="0"/>
          <w:marRight w:val="0"/>
          <w:marTop w:val="0"/>
          <w:marBottom w:val="0"/>
          <w:divBdr>
            <w:top w:val="none" w:sz="0" w:space="0" w:color="auto"/>
            <w:left w:val="none" w:sz="0" w:space="0" w:color="auto"/>
            <w:bottom w:val="none" w:sz="0" w:space="0" w:color="auto"/>
            <w:right w:val="none" w:sz="0" w:space="0" w:color="auto"/>
          </w:divBdr>
        </w:div>
        <w:div w:id="1003435606">
          <w:marLeft w:val="0"/>
          <w:marRight w:val="0"/>
          <w:marTop w:val="0"/>
          <w:marBottom w:val="0"/>
          <w:divBdr>
            <w:top w:val="none" w:sz="0" w:space="0" w:color="auto"/>
            <w:left w:val="none" w:sz="0" w:space="0" w:color="auto"/>
            <w:bottom w:val="none" w:sz="0" w:space="0" w:color="auto"/>
            <w:right w:val="none" w:sz="0" w:space="0" w:color="auto"/>
          </w:divBdr>
        </w:div>
        <w:div w:id="401486769">
          <w:marLeft w:val="0"/>
          <w:marRight w:val="0"/>
          <w:marTop w:val="0"/>
          <w:marBottom w:val="0"/>
          <w:divBdr>
            <w:top w:val="none" w:sz="0" w:space="0" w:color="auto"/>
            <w:left w:val="none" w:sz="0" w:space="0" w:color="auto"/>
            <w:bottom w:val="none" w:sz="0" w:space="0" w:color="auto"/>
            <w:right w:val="none" w:sz="0" w:space="0" w:color="auto"/>
          </w:divBdr>
        </w:div>
        <w:div w:id="877550837">
          <w:marLeft w:val="0"/>
          <w:marRight w:val="0"/>
          <w:marTop w:val="0"/>
          <w:marBottom w:val="0"/>
          <w:divBdr>
            <w:top w:val="none" w:sz="0" w:space="0" w:color="auto"/>
            <w:left w:val="none" w:sz="0" w:space="0" w:color="auto"/>
            <w:bottom w:val="none" w:sz="0" w:space="0" w:color="auto"/>
            <w:right w:val="none" w:sz="0" w:space="0" w:color="auto"/>
          </w:divBdr>
        </w:div>
        <w:div w:id="1293288820">
          <w:marLeft w:val="0"/>
          <w:marRight w:val="0"/>
          <w:marTop w:val="0"/>
          <w:marBottom w:val="0"/>
          <w:divBdr>
            <w:top w:val="none" w:sz="0" w:space="0" w:color="auto"/>
            <w:left w:val="none" w:sz="0" w:space="0" w:color="auto"/>
            <w:bottom w:val="none" w:sz="0" w:space="0" w:color="auto"/>
            <w:right w:val="none" w:sz="0" w:space="0" w:color="auto"/>
          </w:divBdr>
        </w:div>
        <w:div w:id="941647098">
          <w:marLeft w:val="0"/>
          <w:marRight w:val="0"/>
          <w:marTop w:val="0"/>
          <w:marBottom w:val="0"/>
          <w:divBdr>
            <w:top w:val="none" w:sz="0" w:space="0" w:color="auto"/>
            <w:left w:val="none" w:sz="0" w:space="0" w:color="auto"/>
            <w:bottom w:val="none" w:sz="0" w:space="0" w:color="auto"/>
            <w:right w:val="none" w:sz="0" w:space="0" w:color="auto"/>
          </w:divBdr>
        </w:div>
        <w:div w:id="1652562049">
          <w:marLeft w:val="0"/>
          <w:marRight w:val="0"/>
          <w:marTop w:val="0"/>
          <w:marBottom w:val="0"/>
          <w:divBdr>
            <w:top w:val="none" w:sz="0" w:space="0" w:color="auto"/>
            <w:left w:val="none" w:sz="0" w:space="0" w:color="auto"/>
            <w:bottom w:val="none" w:sz="0" w:space="0" w:color="auto"/>
            <w:right w:val="none" w:sz="0" w:space="0" w:color="auto"/>
          </w:divBdr>
        </w:div>
        <w:div w:id="276720751">
          <w:marLeft w:val="0"/>
          <w:marRight w:val="0"/>
          <w:marTop w:val="0"/>
          <w:marBottom w:val="0"/>
          <w:divBdr>
            <w:top w:val="none" w:sz="0" w:space="0" w:color="auto"/>
            <w:left w:val="none" w:sz="0" w:space="0" w:color="auto"/>
            <w:bottom w:val="none" w:sz="0" w:space="0" w:color="auto"/>
            <w:right w:val="none" w:sz="0" w:space="0" w:color="auto"/>
          </w:divBdr>
        </w:div>
        <w:div w:id="296641904">
          <w:marLeft w:val="0"/>
          <w:marRight w:val="0"/>
          <w:marTop w:val="0"/>
          <w:marBottom w:val="0"/>
          <w:divBdr>
            <w:top w:val="none" w:sz="0" w:space="0" w:color="auto"/>
            <w:left w:val="none" w:sz="0" w:space="0" w:color="auto"/>
            <w:bottom w:val="none" w:sz="0" w:space="0" w:color="auto"/>
            <w:right w:val="none" w:sz="0" w:space="0" w:color="auto"/>
          </w:divBdr>
        </w:div>
        <w:div w:id="436566339">
          <w:marLeft w:val="0"/>
          <w:marRight w:val="0"/>
          <w:marTop w:val="0"/>
          <w:marBottom w:val="0"/>
          <w:divBdr>
            <w:top w:val="none" w:sz="0" w:space="0" w:color="auto"/>
            <w:left w:val="none" w:sz="0" w:space="0" w:color="auto"/>
            <w:bottom w:val="none" w:sz="0" w:space="0" w:color="auto"/>
            <w:right w:val="none" w:sz="0" w:space="0" w:color="auto"/>
          </w:divBdr>
        </w:div>
        <w:div w:id="889850562">
          <w:marLeft w:val="0"/>
          <w:marRight w:val="0"/>
          <w:marTop w:val="0"/>
          <w:marBottom w:val="0"/>
          <w:divBdr>
            <w:top w:val="none" w:sz="0" w:space="0" w:color="auto"/>
            <w:left w:val="none" w:sz="0" w:space="0" w:color="auto"/>
            <w:bottom w:val="none" w:sz="0" w:space="0" w:color="auto"/>
            <w:right w:val="none" w:sz="0" w:space="0" w:color="auto"/>
          </w:divBdr>
        </w:div>
        <w:div w:id="774324725">
          <w:marLeft w:val="0"/>
          <w:marRight w:val="0"/>
          <w:marTop w:val="0"/>
          <w:marBottom w:val="0"/>
          <w:divBdr>
            <w:top w:val="none" w:sz="0" w:space="0" w:color="auto"/>
            <w:left w:val="none" w:sz="0" w:space="0" w:color="auto"/>
            <w:bottom w:val="none" w:sz="0" w:space="0" w:color="auto"/>
            <w:right w:val="none" w:sz="0" w:space="0" w:color="auto"/>
          </w:divBdr>
        </w:div>
        <w:div w:id="1559971990">
          <w:marLeft w:val="0"/>
          <w:marRight w:val="0"/>
          <w:marTop w:val="0"/>
          <w:marBottom w:val="0"/>
          <w:divBdr>
            <w:top w:val="none" w:sz="0" w:space="0" w:color="auto"/>
            <w:left w:val="none" w:sz="0" w:space="0" w:color="auto"/>
            <w:bottom w:val="none" w:sz="0" w:space="0" w:color="auto"/>
            <w:right w:val="none" w:sz="0" w:space="0" w:color="auto"/>
          </w:divBdr>
        </w:div>
        <w:div w:id="1053508657">
          <w:marLeft w:val="0"/>
          <w:marRight w:val="0"/>
          <w:marTop w:val="0"/>
          <w:marBottom w:val="0"/>
          <w:divBdr>
            <w:top w:val="none" w:sz="0" w:space="0" w:color="auto"/>
            <w:left w:val="none" w:sz="0" w:space="0" w:color="auto"/>
            <w:bottom w:val="none" w:sz="0" w:space="0" w:color="auto"/>
            <w:right w:val="none" w:sz="0" w:space="0" w:color="auto"/>
          </w:divBdr>
        </w:div>
        <w:div w:id="926621396">
          <w:marLeft w:val="0"/>
          <w:marRight w:val="0"/>
          <w:marTop w:val="0"/>
          <w:marBottom w:val="0"/>
          <w:divBdr>
            <w:top w:val="none" w:sz="0" w:space="0" w:color="auto"/>
            <w:left w:val="none" w:sz="0" w:space="0" w:color="auto"/>
            <w:bottom w:val="none" w:sz="0" w:space="0" w:color="auto"/>
            <w:right w:val="none" w:sz="0" w:space="0" w:color="auto"/>
          </w:divBdr>
        </w:div>
        <w:div w:id="962808049">
          <w:marLeft w:val="0"/>
          <w:marRight w:val="0"/>
          <w:marTop w:val="0"/>
          <w:marBottom w:val="0"/>
          <w:divBdr>
            <w:top w:val="none" w:sz="0" w:space="0" w:color="auto"/>
            <w:left w:val="none" w:sz="0" w:space="0" w:color="auto"/>
            <w:bottom w:val="none" w:sz="0" w:space="0" w:color="auto"/>
            <w:right w:val="none" w:sz="0" w:space="0" w:color="auto"/>
          </w:divBdr>
        </w:div>
        <w:div w:id="1458063974">
          <w:marLeft w:val="0"/>
          <w:marRight w:val="0"/>
          <w:marTop w:val="0"/>
          <w:marBottom w:val="0"/>
          <w:divBdr>
            <w:top w:val="none" w:sz="0" w:space="0" w:color="auto"/>
            <w:left w:val="none" w:sz="0" w:space="0" w:color="auto"/>
            <w:bottom w:val="none" w:sz="0" w:space="0" w:color="auto"/>
            <w:right w:val="none" w:sz="0" w:space="0" w:color="auto"/>
          </w:divBdr>
        </w:div>
        <w:div w:id="1421100155">
          <w:marLeft w:val="0"/>
          <w:marRight w:val="0"/>
          <w:marTop w:val="0"/>
          <w:marBottom w:val="0"/>
          <w:divBdr>
            <w:top w:val="none" w:sz="0" w:space="0" w:color="auto"/>
            <w:left w:val="none" w:sz="0" w:space="0" w:color="auto"/>
            <w:bottom w:val="none" w:sz="0" w:space="0" w:color="auto"/>
            <w:right w:val="none" w:sz="0" w:space="0" w:color="auto"/>
          </w:divBdr>
        </w:div>
        <w:div w:id="1172141446">
          <w:marLeft w:val="0"/>
          <w:marRight w:val="0"/>
          <w:marTop w:val="0"/>
          <w:marBottom w:val="0"/>
          <w:divBdr>
            <w:top w:val="none" w:sz="0" w:space="0" w:color="auto"/>
            <w:left w:val="none" w:sz="0" w:space="0" w:color="auto"/>
            <w:bottom w:val="none" w:sz="0" w:space="0" w:color="auto"/>
            <w:right w:val="none" w:sz="0" w:space="0" w:color="auto"/>
          </w:divBdr>
        </w:div>
        <w:div w:id="977494223">
          <w:marLeft w:val="0"/>
          <w:marRight w:val="0"/>
          <w:marTop w:val="0"/>
          <w:marBottom w:val="0"/>
          <w:divBdr>
            <w:top w:val="none" w:sz="0" w:space="0" w:color="auto"/>
            <w:left w:val="none" w:sz="0" w:space="0" w:color="auto"/>
            <w:bottom w:val="none" w:sz="0" w:space="0" w:color="auto"/>
            <w:right w:val="none" w:sz="0" w:space="0" w:color="auto"/>
          </w:divBdr>
        </w:div>
        <w:div w:id="291450701">
          <w:marLeft w:val="0"/>
          <w:marRight w:val="0"/>
          <w:marTop w:val="0"/>
          <w:marBottom w:val="0"/>
          <w:divBdr>
            <w:top w:val="none" w:sz="0" w:space="0" w:color="auto"/>
            <w:left w:val="none" w:sz="0" w:space="0" w:color="auto"/>
            <w:bottom w:val="none" w:sz="0" w:space="0" w:color="auto"/>
            <w:right w:val="none" w:sz="0" w:space="0" w:color="auto"/>
          </w:divBdr>
        </w:div>
        <w:div w:id="1118524077">
          <w:marLeft w:val="0"/>
          <w:marRight w:val="0"/>
          <w:marTop w:val="0"/>
          <w:marBottom w:val="0"/>
          <w:divBdr>
            <w:top w:val="none" w:sz="0" w:space="0" w:color="auto"/>
            <w:left w:val="none" w:sz="0" w:space="0" w:color="auto"/>
            <w:bottom w:val="none" w:sz="0" w:space="0" w:color="auto"/>
            <w:right w:val="none" w:sz="0" w:space="0" w:color="auto"/>
          </w:divBdr>
        </w:div>
        <w:div w:id="1581983993">
          <w:marLeft w:val="0"/>
          <w:marRight w:val="0"/>
          <w:marTop w:val="0"/>
          <w:marBottom w:val="0"/>
          <w:divBdr>
            <w:top w:val="none" w:sz="0" w:space="0" w:color="auto"/>
            <w:left w:val="none" w:sz="0" w:space="0" w:color="auto"/>
            <w:bottom w:val="none" w:sz="0" w:space="0" w:color="auto"/>
            <w:right w:val="none" w:sz="0" w:space="0" w:color="auto"/>
          </w:divBdr>
        </w:div>
        <w:div w:id="2088847121">
          <w:marLeft w:val="0"/>
          <w:marRight w:val="0"/>
          <w:marTop w:val="0"/>
          <w:marBottom w:val="0"/>
          <w:divBdr>
            <w:top w:val="none" w:sz="0" w:space="0" w:color="auto"/>
            <w:left w:val="none" w:sz="0" w:space="0" w:color="auto"/>
            <w:bottom w:val="none" w:sz="0" w:space="0" w:color="auto"/>
            <w:right w:val="none" w:sz="0" w:space="0" w:color="auto"/>
          </w:divBdr>
        </w:div>
        <w:div w:id="2006122968">
          <w:marLeft w:val="0"/>
          <w:marRight w:val="0"/>
          <w:marTop w:val="0"/>
          <w:marBottom w:val="0"/>
          <w:divBdr>
            <w:top w:val="none" w:sz="0" w:space="0" w:color="auto"/>
            <w:left w:val="none" w:sz="0" w:space="0" w:color="auto"/>
            <w:bottom w:val="none" w:sz="0" w:space="0" w:color="auto"/>
            <w:right w:val="none" w:sz="0" w:space="0" w:color="auto"/>
          </w:divBdr>
        </w:div>
        <w:div w:id="1186406105">
          <w:marLeft w:val="0"/>
          <w:marRight w:val="0"/>
          <w:marTop w:val="0"/>
          <w:marBottom w:val="0"/>
          <w:divBdr>
            <w:top w:val="none" w:sz="0" w:space="0" w:color="auto"/>
            <w:left w:val="none" w:sz="0" w:space="0" w:color="auto"/>
            <w:bottom w:val="none" w:sz="0" w:space="0" w:color="auto"/>
            <w:right w:val="none" w:sz="0" w:space="0" w:color="auto"/>
          </w:divBdr>
        </w:div>
        <w:div w:id="183054656">
          <w:marLeft w:val="0"/>
          <w:marRight w:val="0"/>
          <w:marTop w:val="0"/>
          <w:marBottom w:val="0"/>
          <w:divBdr>
            <w:top w:val="none" w:sz="0" w:space="0" w:color="auto"/>
            <w:left w:val="none" w:sz="0" w:space="0" w:color="auto"/>
            <w:bottom w:val="none" w:sz="0" w:space="0" w:color="auto"/>
            <w:right w:val="none" w:sz="0" w:space="0" w:color="auto"/>
          </w:divBdr>
        </w:div>
        <w:div w:id="118233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tatesman.com/economy/2010/08/growing-families-inequality" TargetMode="External"/><Relationship Id="rId13" Type="http://schemas.openxmlformats.org/officeDocument/2006/relationships/hyperlink" Target="https://www.valeofglamorgan.gov.uk/Documents/Living/Social%20Care/Families-First-Programme-Guidance-April-2017-English.pdf" TargetMode="External"/><Relationship Id="rId18" Type="http://schemas.openxmlformats.org/officeDocument/2006/relationships/hyperlink" Target="https://www.dawsonera-com.ezproxy.uwtsd.ac.uk/abstract/9780203136805"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implypsychology.org/maslow.html" TargetMode="External"/><Relationship Id="rId7" Type="http://schemas.openxmlformats.org/officeDocument/2006/relationships/hyperlink" Target="https://www.childtrends.org/wp-content/uploads/2015/03/59_Family_Structure.pdf" TargetMode="External"/><Relationship Id="rId12" Type="http://schemas.openxmlformats.org/officeDocument/2006/relationships/hyperlink" Target="https://www.degruyter.com/downloadpdf/books/9783110402490/9783110402490.3/9783110402490.3.pdf" TargetMode="External"/><Relationship Id="rId17" Type="http://schemas.openxmlformats.org/officeDocument/2006/relationships/hyperlink" Target="http://www.cwvys.org.uk/policy-and-practice/youth-work-in-wales-principles-and-purposes-4/"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gov.wales/young-people-not-education-employment-or-training-neet" TargetMode="External"/><Relationship Id="rId20" Type="http://schemas.openxmlformats.org/officeDocument/2006/relationships/hyperlink" Target="http://wwwcwvys.org.uk/wp-content/uploads/2014/06/HB-planning-Evaluation.PDF" TargetMode="External"/><Relationship Id="rId1" Type="http://schemas.openxmlformats.org/officeDocument/2006/relationships/styles" Target="styles.xml"/><Relationship Id="rId6" Type="http://schemas.openxmlformats.org/officeDocument/2006/relationships/hyperlink" Target="http://news.bbc.co.uk/1/hi/wales/7964044.stm" TargetMode="External"/><Relationship Id="rId11" Type="http://schemas.openxmlformats.org/officeDocument/2006/relationships/hyperlink" Target="http://www.nya.org.uk/wp-content/uploads/2014/06/National-Occupation-Standards-for-Youth-Work.pdf"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gov.uk/government/publications/workless-households-and-educational-attainment-statutory-indicators-2018" TargetMode="External"/><Relationship Id="rId23" Type="http://schemas.openxmlformats.org/officeDocument/2006/relationships/hyperlink" Target="https://gov.wales/sites/default/files/publications/2019-06/youth-work-strategy-for-wales.pdf" TargetMode="External"/><Relationship Id="rId10" Type="http://schemas.openxmlformats.org/officeDocument/2006/relationships/hyperlink" Target="https://www.mind.org.uk/workplace/mental-health-at-work/taking-care-of-yourself/five-ways-to-wellbeing/" TargetMode="External"/><Relationship Id="rId19" Type="http://schemas.openxmlformats.org/officeDocument/2006/relationships/hyperlink" Target="https://www.psychologynoteshq.com/bronfenbrenner-ecological-theory/" TargetMode="External"/><Relationship Id="rId4" Type="http://schemas.openxmlformats.org/officeDocument/2006/relationships/footnotes" Target="footnotes.xml"/><Relationship Id="rId9" Type="http://schemas.openxmlformats.org/officeDocument/2006/relationships/hyperlink" Target="https://www.collinsdictionary.com/" TargetMode="External"/><Relationship Id="rId14" Type="http://schemas.openxmlformats.org/officeDocument/2006/relationships/hyperlink" Target="https://www.princes-trust.org.uk/?gclid=EAIaIQobChMItZbB2bKU5gIVCLLtCh2MlAAdEAAYASAAEgJt-PD_BwE" TargetMode="External"/><Relationship Id="rId22" Type="http://schemas.openxmlformats.org/officeDocument/2006/relationships/hyperlink" Target="https://www.chariscounselingcenter.com/blog/how-do-you-define-famil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2571</Words>
  <Characters>14658</Characters>
  <Application>Microsoft Office Word</Application>
  <DocSecurity>0</DocSecurity>
  <Lines>122</Lines>
  <Paragraphs>34</Paragraphs>
  <ScaleCrop>false</ScaleCrop>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 (1904214)</dc:creator>
  <cp:keywords/>
  <dc:description/>
  <cp:lastModifiedBy>laura morrissey john</cp:lastModifiedBy>
  <cp:revision>2</cp:revision>
  <dcterms:created xsi:type="dcterms:W3CDTF">2019-12-01T14:06:00Z</dcterms:created>
  <dcterms:modified xsi:type="dcterms:W3CDTF">2019-12-01T14:06:00Z</dcterms:modified>
</cp:coreProperties>
</file>