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76FC3" w:rsidRPr="000F55F6" w:rsidRDefault="00576FC3">
      <w:pPr>
        <w:spacing w:line="360" w:lineRule="auto"/>
        <w:jc w:val="center"/>
        <w:rPr>
          <w:rFonts w:ascii="Times New Roman" w:eastAsia="Times New Roman" w:hAnsi="Times New Roman" w:cs="Times New Roman"/>
          <w:b/>
          <w:color w:val="000000" w:themeColor="text1"/>
          <w:sz w:val="40"/>
          <w:szCs w:val="40"/>
        </w:rPr>
      </w:pPr>
    </w:p>
    <w:p w14:paraId="00000002" w14:textId="77777777" w:rsidR="00576FC3" w:rsidRPr="000F55F6" w:rsidRDefault="00576FC3">
      <w:pPr>
        <w:spacing w:line="360" w:lineRule="auto"/>
        <w:jc w:val="center"/>
        <w:rPr>
          <w:rFonts w:ascii="Times New Roman" w:eastAsia="Times New Roman" w:hAnsi="Times New Roman" w:cs="Times New Roman"/>
          <w:b/>
          <w:color w:val="000000" w:themeColor="text1"/>
          <w:sz w:val="40"/>
          <w:szCs w:val="40"/>
        </w:rPr>
      </w:pPr>
    </w:p>
    <w:p w14:paraId="00000003" w14:textId="77777777" w:rsidR="00576FC3" w:rsidRPr="000F55F6" w:rsidRDefault="00576FC3">
      <w:pPr>
        <w:spacing w:line="360" w:lineRule="auto"/>
        <w:jc w:val="center"/>
        <w:rPr>
          <w:rFonts w:ascii="Times New Roman" w:eastAsia="Times New Roman" w:hAnsi="Times New Roman" w:cs="Times New Roman"/>
          <w:b/>
          <w:color w:val="000000" w:themeColor="text1"/>
          <w:sz w:val="40"/>
          <w:szCs w:val="40"/>
        </w:rPr>
      </w:pPr>
    </w:p>
    <w:p w14:paraId="00000004" w14:textId="77777777" w:rsidR="00576FC3" w:rsidRPr="000F55F6" w:rsidRDefault="00576FC3">
      <w:pPr>
        <w:spacing w:line="360" w:lineRule="auto"/>
        <w:jc w:val="center"/>
        <w:rPr>
          <w:rFonts w:ascii="Times New Roman" w:eastAsia="Times New Roman" w:hAnsi="Times New Roman" w:cs="Times New Roman"/>
          <w:b/>
          <w:color w:val="000000" w:themeColor="text1"/>
          <w:sz w:val="40"/>
          <w:szCs w:val="40"/>
        </w:rPr>
      </w:pPr>
    </w:p>
    <w:p w14:paraId="00000007" w14:textId="6F0B0864" w:rsidR="00576FC3" w:rsidRPr="005F0451" w:rsidRDefault="005F0451">
      <w:pPr>
        <w:spacing w:line="360" w:lineRule="auto"/>
        <w:jc w:val="center"/>
        <w:rPr>
          <w:rFonts w:ascii="Times New Roman" w:eastAsia="Times New Roman" w:hAnsi="Times New Roman" w:cs="Times New Roman"/>
          <w:b/>
          <w:color w:val="000000" w:themeColor="text1"/>
          <w:sz w:val="48"/>
          <w:szCs w:val="48"/>
        </w:rPr>
      </w:pPr>
      <w:r w:rsidRPr="005F0451">
        <w:rPr>
          <w:rFonts w:ascii="Times New Roman" w:eastAsia="Times New Roman" w:hAnsi="Times New Roman" w:cs="Times New Roman"/>
          <w:b/>
          <w:color w:val="000000" w:themeColor="text1"/>
          <w:sz w:val="48"/>
          <w:szCs w:val="48"/>
        </w:rPr>
        <w:t>HILTON HOTEL GROUP</w:t>
      </w:r>
    </w:p>
    <w:p w14:paraId="159B4873" w14:textId="77777777" w:rsidR="005F0451" w:rsidRDefault="005F0451">
      <w:pPr>
        <w:spacing w:line="360" w:lineRule="auto"/>
        <w:jc w:val="center"/>
        <w:rPr>
          <w:rFonts w:ascii="Times New Roman" w:hAnsi="Times New Roman" w:cs="Times New Roman"/>
          <w:color w:val="000000" w:themeColor="text1"/>
        </w:rPr>
      </w:pPr>
    </w:p>
    <w:p w14:paraId="3C94A6FB" w14:textId="77777777" w:rsidR="005F0451" w:rsidRDefault="005F0451">
      <w:pPr>
        <w:spacing w:line="360" w:lineRule="auto"/>
        <w:jc w:val="center"/>
        <w:rPr>
          <w:rFonts w:ascii="Times New Roman" w:hAnsi="Times New Roman" w:cs="Times New Roman"/>
          <w:color w:val="000000" w:themeColor="text1"/>
        </w:rPr>
      </w:pPr>
    </w:p>
    <w:p w14:paraId="7C86E9B6" w14:textId="77777777" w:rsidR="005F0451" w:rsidRPr="005F0451" w:rsidRDefault="005F0451" w:rsidP="005F0451">
      <w:pPr>
        <w:spacing w:line="360" w:lineRule="auto"/>
        <w:rPr>
          <w:rFonts w:ascii="Times New Roman" w:eastAsia="Times New Roman" w:hAnsi="Times New Roman" w:cs="Times New Roman"/>
          <w:color w:val="000000"/>
          <w:sz w:val="36"/>
          <w:szCs w:val="36"/>
          <w:lang w:eastAsia="en-GB"/>
        </w:rPr>
      </w:pPr>
    </w:p>
    <w:p w14:paraId="6468B1DF" w14:textId="77777777" w:rsidR="005F0451" w:rsidRDefault="005F0451" w:rsidP="005F0451">
      <w:pPr>
        <w:spacing w:line="360" w:lineRule="auto"/>
        <w:jc w:val="both"/>
        <w:rPr>
          <w:rFonts w:ascii="Times New Roman" w:eastAsia="Times New Roman" w:hAnsi="Times New Roman" w:cs="Times New Roman"/>
          <w:b/>
          <w:bCs/>
          <w:color w:val="000000"/>
          <w:sz w:val="36"/>
          <w:szCs w:val="36"/>
          <w:lang w:eastAsia="en-GB"/>
        </w:rPr>
      </w:pPr>
    </w:p>
    <w:p w14:paraId="0BABCA93" w14:textId="77777777" w:rsidR="005F0451" w:rsidRDefault="005F0451" w:rsidP="005F0451">
      <w:pPr>
        <w:spacing w:line="360" w:lineRule="auto"/>
        <w:jc w:val="both"/>
        <w:rPr>
          <w:rFonts w:ascii="Times New Roman" w:eastAsia="Times New Roman" w:hAnsi="Times New Roman" w:cs="Times New Roman"/>
          <w:b/>
          <w:bCs/>
          <w:color w:val="000000"/>
          <w:sz w:val="36"/>
          <w:szCs w:val="36"/>
          <w:lang w:eastAsia="en-GB"/>
        </w:rPr>
      </w:pPr>
    </w:p>
    <w:p w14:paraId="5EC0DAE9" w14:textId="1F7CA3FC" w:rsidR="005F0451" w:rsidRPr="005F0451" w:rsidRDefault="005F0451" w:rsidP="005F0451">
      <w:pPr>
        <w:spacing w:line="360" w:lineRule="auto"/>
        <w:jc w:val="both"/>
        <w:rPr>
          <w:rFonts w:ascii="Times New Roman" w:eastAsia="Times New Roman" w:hAnsi="Times New Roman" w:cs="Times New Roman"/>
          <w:color w:val="000000"/>
          <w:sz w:val="36"/>
          <w:szCs w:val="36"/>
          <w:lang w:eastAsia="en-GB"/>
        </w:rPr>
      </w:pPr>
      <w:r w:rsidRPr="005F0451">
        <w:rPr>
          <w:rFonts w:ascii="Times New Roman" w:eastAsia="Times New Roman" w:hAnsi="Times New Roman" w:cs="Times New Roman"/>
          <w:b/>
          <w:bCs/>
          <w:color w:val="000000"/>
          <w:sz w:val="36"/>
          <w:szCs w:val="36"/>
          <w:lang w:eastAsia="en-GB"/>
        </w:rPr>
        <w:t>Student name</w:t>
      </w:r>
      <w:r w:rsidRPr="005F0451">
        <w:rPr>
          <w:rFonts w:ascii="Times New Roman" w:eastAsia="Times New Roman" w:hAnsi="Times New Roman" w:cs="Times New Roman"/>
          <w:color w:val="000000"/>
          <w:sz w:val="36"/>
          <w:szCs w:val="36"/>
          <w:lang w:eastAsia="en-GB"/>
        </w:rPr>
        <w:t>: Elena Gianina Iftimoae</w:t>
      </w:r>
    </w:p>
    <w:p w14:paraId="279AF6C9" w14:textId="77777777" w:rsidR="005F0451" w:rsidRPr="005F0451" w:rsidRDefault="005F0451" w:rsidP="005F0451">
      <w:pPr>
        <w:spacing w:line="360" w:lineRule="auto"/>
        <w:jc w:val="both"/>
        <w:rPr>
          <w:rFonts w:ascii="Times New Roman" w:eastAsia="Times New Roman" w:hAnsi="Times New Roman" w:cs="Times New Roman"/>
          <w:color w:val="000000"/>
          <w:sz w:val="36"/>
          <w:szCs w:val="36"/>
          <w:lang w:eastAsia="en-GB"/>
        </w:rPr>
      </w:pPr>
      <w:r w:rsidRPr="005F0451">
        <w:rPr>
          <w:rFonts w:ascii="Times New Roman" w:eastAsia="Times New Roman" w:hAnsi="Times New Roman" w:cs="Times New Roman"/>
          <w:b/>
          <w:bCs/>
          <w:color w:val="000000"/>
          <w:sz w:val="36"/>
          <w:szCs w:val="36"/>
          <w:lang w:eastAsia="en-GB"/>
        </w:rPr>
        <w:t>Student number</w:t>
      </w:r>
      <w:r w:rsidRPr="005F0451">
        <w:rPr>
          <w:rFonts w:ascii="Times New Roman" w:eastAsia="Times New Roman" w:hAnsi="Times New Roman" w:cs="Times New Roman"/>
          <w:color w:val="000000"/>
          <w:sz w:val="36"/>
          <w:szCs w:val="36"/>
          <w:lang w:eastAsia="en-GB"/>
        </w:rPr>
        <w:t>: 2114228</w:t>
      </w:r>
    </w:p>
    <w:p w14:paraId="7EFA4433" w14:textId="77777777" w:rsidR="005F0451" w:rsidRPr="005F0451" w:rsidRDefault="005F0451" w:rsidP="005F0451">
      <w:pPr>
        <w:spacing w:line="360" w:lineRule="auto"/>
        <w:jc w:val="both"/>
        <w:rPr>
          <w:rFonts w:ascii="Times New Roman" w:eastAsia="Times New Roman" w:hAnsi="Times New Roman" w:cs="Times New Roman"/>
          <w:color w:val="000000"/>
          <w:sz w:val="36"/>
          <w:szCs w:val="36"/>
          <w:lang w:eastAsia="en-GB"/>
        </w:rPr>
      </w:pPr>
      <w:r w:rsidRPr="005F0451">
        <w:rPr>
          <w:rFonts w:ascii="Times New Roman" w:eastAsia="Times New Roman" w:hAnsi="Times New Roman" w:cs="Times New Roman"/>
          <w:b/>
          <w:bCs/>
          <w:color w:val="000000"/>
          <w:sz w:val="36"/>
          <w:szCs w:val="36"/>
          <w:lang w:eastAsia="en-GB"/>
        </w:rPr>
        <w:t>Module name</w:t>
      </w:r>
      <w:r w:rsidRPr="005F0451">
        <w:rPr>
          <w:rFonts w:ascii="Times New Roman" w:eastAsia="Times New Roman" w:hAnsi="Times New Roman" w:cs="Times New Roman"/>
          <w:color w:val="000000"/>
          <w:sz w:val="36"/>
          <w:szCs w:val="36"/>
          <w:lang w:eastAsia="en-GB"/>
        </w:rPr>
        <w:t>: Management &amp; Organisational Behaviour</w:t>
      </w:r>
    </w:p>
    <w:p w14:paraId="621747CB" w14:textId="77777777" w:rsidR="005F0451" w:rsidRPr="005F0451" w:rsidRDefault="005F0451" w:rsidP="005F0451">
      <w:pPr>
        <w:spacing w:line="360" w:lineRule="auto"/>
        <w:jc w:val="both"/>
        <w:rPr>
          <w:rFonts w:ascii="Times New Roman" w:eastAsia="Times New Roman" w:hAnsi="Times New Roman" w:cs="Times New Roman"/>
          <w:color w:val="000000"/>
          <w:sz w:val="36"/>
          <w:szCs w:val="36"/>
          <w:lang w:eastAsia="en-GB"/>
        </w:rPr>
      </w:pPr>
      <w:r w:rsidRPr="005F0451">
        <w:rPr>
          <w:rFonts w:ascii="Times New Roman" w:eastAsia="Times New Roman" w:hAnsi="Times New Roman" w:cs="Times New Roman"/>
          <w:b/>
          <w:bCs/>
          <w:color w:val="000000"/>
          <w:sz w:val="36"/>
          <w:szCs w:val="36"/>
          <w:lang w:eastAsia="en-GB"/>
        </w:rPr>
        <w:t>Module code</w:t>
      </w:r>
      <w:r w:rsidRPr="005F0451">
        <w:rPr>
          <w:rFonts w:ascii="Times New Roman" w:eastAsia="Times New Roman" w:hAnsi="Times New Roman" w:cs="Times New Roman"/>
          <w:color w:val="000000"/>
          <w:sz w:val="36"/>
          <w:szCs w:val="36"/>
          <w:lang w:eastAsia="en-GB"/>
        </w:rPr>
        <w:t>: BMIH5004</w:t>
      </w:r>
    </w:p>
    <w:p w14:paraId="322A2CE9" w14:textId="77777777" w:rsidR="005F0451" w:rsidRPr="005F0451" w:rsidRDefault="005F0451" w:rsidP="005F0451">
      <w:pPr>
        <w:spacing w:line="360" w:lineRule="auto"/>
        <w:jc w:val="both"/>
        <w:rPr>
          <w:rFonts w:ascii="Times New Roman" w:eastAsia="Times New Roman" w:hAnsi="Times New Roman" w:cs="Times New Roman"/>
          <w:color w:val="000000"/>
          <w:sz w:val="36"/>
          <w:szCs w:val="36"/>
          <w:lang w:eastAsia="en-GB"/>
        </w:rPr>
      </w:pPr>
      <w:r w:rsidRPr="005F0451">
        <w:rPr>
          <w:rFonts w:ascii="Times New Roman" w:eastAsia="Times New Roman" w:hAnsi="Times New Roman" w:cs="Times New Roman"/>
          <w:b/>
          <w:bCs/>
          <w:color w:val="000000"/>
          <w:sz w:val="36"/>
          <w:szCs w:val="36"/>
          <w:lang w:eastAsia="en-GB"/>
        </w:rPr>
        <w:t>Module lecturer</w:t>
      </w:r>
      <w:r w:rsidRPr="005F0451">
        <w:rPr>
          <w:rFonts w:ascii="Times New Roman" w:eastAsia="Times New Roman" w:hAnsi="Times New Roman" w:cs="Times New Roman"/>
          <w:color w:val="000000"/>
          <w:sz w:val="36"/>
          <w:szCs w:val="36"/>
          <w:lang w:eastAsia="en-GB"/>
        </w:rPr>
        <w:t>: Dale Clarke</w:t>
      </w:r>
    </w:p>
    <w:p w14:paraId="00000009" w14:textId="01372BB6" w:rsidR="00576FC3" w:rsidRPr="000F55F6" w:rsidRDefault="00000000">
      <w:pPr>
        <w:spacing w:line="360" w:lineRule="auto"/>
        <w:jc w:val="center"/>
        <w:rPr>
          <w:rFonts w:ascii="Times New Roman" w:eastAsia="Times New Roman" w:hAnsi="Times New Roman" w:cs="Times New Roman"/>
          <w:b/>
          <w:color w:val="000000" w:themeColor="text1"/>
          <w:sz w:val="24"/>
          <w:szCs w:val="24"/>
        </w:rPr>
      </w:pPr>
      <w:r w:rsidRPr="000F55F6">
        <w:rPr>
          <w:rFonts w:ascii="Times New Roman" w:hAnsi="Times New Roman" w:cs="Times New Roman"/>
          <w:color w:val="000000" w:themeColor="text1"/>
        </w:rPr>
        <w:br w:type="page"/>
      </w:r>
    </w:p>
    <w:p w14:paraId="0000000A" w14:textId="77777777" w:rsidR="00576FC3" w:rsidRPr="006D58D7" w:rsidRDefault="00000000" w:rsidP="006D58D7">
      <w:pPr>
        <w:keepNext/>
        <w:keepLines/>
        <w:pBdr>
          <w:top w:val="nil"/>
          <w:left w:val="nil"/>
          <w:bottom w:val="nil"/>
          <w:right w:val="nil"/>
          <w:between w:val="nil"/>
        </w:pBdr>
        <w:spacing w:before="240" w:after="0" w:line="480" w:lineRule="auto"/>
        <w:jc w:val="both"/>
        <w:rPr>
          <w:rFonts w:ascii="Times New Roman" w:eastAsia="Times New Roman" w:hAnsi="Times New Roman" w:cs="Times New Roman"/>
          <w:b/>
          <w:color w:val="000000" w:themeColor="text1"/>
          <w:sz w:val="24"/>
          <w:szCs w:val="24"/>
        </w:rPr>
      </w:pPr>
      <w:r w:rsidRPr="006D58D7">
        <w:rPr>
          <w:rFonts w:ascii="Times New Roman" w:eastAsia="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sz w:val="24"/>
          <w:szCs w:val="24"/>
        </w:rPr>
        <w:id w:val="-945461736"/>
        <w:docPartObj>
          <w:docPartGallery w:val="Table of Contents"/>
          <w:docPartUnique/>
        </w:docPartObj>
      </w:sdtPr>
      <w:sdtContent>
        <w:p w14:paraId="01F2CD29" w14:textId="14861F50"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r w:rsidRPr="006D58D7">
            <w:rPr>
              <w:rFonts w:ascii="Times New Roman" w:hAnsi="Times New Roman" w:cs="Times New Roman"/>
              <w:color w:val="000000" w:themeColor="text1"/>
              <w:sz w:val="24"/>
              <w:szCs w:val="24"/>
            </w:rPr>
            <w:fldChar w:fldCharType="begin"/>
          </w:r>
          <w:r w:rsidRPr="006D58D7">
            <w:rPr>
              <w:rFonts w:ascii="Times New Roman" w:hAnsi="Times New Roman" w:cs="Times New Roman"/>
              <w:color w:val="000000" w:themeColor="text1"/>
              <w:sz w:val="24"/>
              <w:szCs w:val="24"/>
            </w:rPr>
            <w:instrText xml:space="preserve"> TOC \h \u \z \t "Heading 1,1,Heading 2,2,Heading 3,3,"</w:instrText>
          </w:r>
          <w:r w:rsidRPr="006D58D7">
            <w:rPr>
              <w:rFonts w:ascii="Times New Roman" w:hAnsi="Times New Roman" w:cs="Times New Roman"/>
              <w:color w:val="000000" w:themeColor="text1"/>
              <w:sz w:val="24"/>
              <w:szCs w:val="24"/>
            </w:rPr>
            <w:fldChar w:fldCharType="separate"/>
          </w:r>
          <w:hyperlink w:anchor="_Toc149986822" w:history="1">
            <w:r w:rsidRPr="006D58D7">
              <w:rPr>
                <w:rStyle w:val="Hyperlink"/>
                <w:rFonts w:ascii="Times New Roman" w:hAnsi="Times New Roman" w:cs="Times New Roman"/>
                <w:noProof/>
                <w:color w:val="000000" w:themeColor="text1"/>
                <w:sz w:val="24"/>
                <w:szCs w:val="24"/>
              </w:rPr>
              <w:t>Introduction</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_Toc149986822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4</w:t>
            </w:r>
            <w:r w:rsidRPr="006D58D7">
              <w:rPr>
                <w:rFonts w:ascii="Times New Roman" w:hAnsi="Times New Roman" w:cs="Times New Roman"/>
                <w:noProof/>
                <w:webHidden/>
                <w:color w:val="000000" w:themeColor="text1"/>
                <w:sz w:val="24"/>
                <w:szCs w:val="24"/>
              </w:rPr>
              <w:fldChar w:fldCharType="end"/>
            </w:r>
          </w:hyperlink>
        </w:p>
        <w:p w14:paraId="5AB543BB" w14:textId="432B4B4A"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3" w:history="1">
            <w:r w:rsidRPr="006D58D7">
              <w:rPr>
                <w:rStyle w:val="Hyperlink"/>
                <w:rFonts w:ascii="Times New Roman" w:hAnsi="Times New Roman" w:cs="Times New Roman"/>
                <w:noProof/>
                <w:color w:val="000000" w:themeColor="text1"/>
                <w:sz w:val="24"/>
                <w:szCs w:val="24"/>
              </w:rPr>
              <w:t>Organization Structure, Culture, and Goals</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_Toc149986823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4</w:t>
            </w:r>
            <w:r w:rsidRPr="006D58D7">
              <w:rPr>
                <w:rFonts w:ascii="Times New Roman" w:hAnsi="Times New Roman" w:cs="Times New Roman"/>
                <w:noProof/>
                <w:webHidden/>
                <w:color w:val="000000" w:themeColor="text1"/>
                <w:sz w:val="24"/>
                <w:szCs w:val="24"/>
              </w:rPr>
              <w:fldChar w:fldCharType="end"/>
            </w:r>
          </w:hyperlink>
        </w:p>
        <w:p w14:paraId="76F452B8" w14:textId="13A6C78A" w:rsidR="004F7579" w:rsidRPr="006D58D7" w:rsidRDefault="00000000" w:rsidP="006D58D7">
          <w:pPr>
            <w:pStyle w:val="TOC2"/>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4" w:history="1">
            <w:r w:rsidRPr="006D58D7">
              <w:rPr>
                <w:rStyle w:val="Hyperlink"/>
                <w:rFonts w:ascii="Times New Roman" w:hAnsi="Times New Roman" w:cs="Times New Roman"/>
                <w:noProof/>
                <w:color w:val="000000" w:themeColor="text1"/>
                <w:sz w:val="24"/>
                <w:szCs w:val="24"/>
              </w:rPr>
              <w:t>Organization Structure</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_Toc149986824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4</w:t>
            </w:r>
            <w:r w:rsidRPr="006D58D7">
              <w:rPr>
                <w:rFonts w:ascii="Times New Roman" w:hAnsi="Times New Roman" w:cs="Times New Roman"/>
                <w:noProof/>
                <w:webHidden/>
                <w:color w:val="000000" w:themeColor="text1"/>
                <w:sz w:val="24"/>
                <w:szCs w:val="24"/>
              </w:rPr>
              <w:fldChar w:fldCharType="end"/>
            </w:r>
          </w:hyperlink>
        </w:p>
        <w:p w14:paraId="1616625E" w14:textId="63111217" w:rsidR="004F7579" w:rsidRPr="006D58D7" w:rsidRDefault="00000000" w:rsidP="006D58D7">
          <w:pPr>
            <w:pStyle w:val="TOC2"/>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5" w:history="1">
            <w:r w:rsidRPr="006D58D7">
              <w:rPr>
                <w:rStyle w:val="Hyperlink"/>
                <w:rFonts w:ascii="Times New Roman" w:hAnsi="Times New Roman" w:cs="Times New Roman"/>
                <w:noProof/>
                <w:color w:val="000000" w:themeColor="text1"/>
                <w:sz w:val="24"/>
                <w:szCs w:val="24"/>
              </w:rPr>
              <w:t>Corporate Culture</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_Toc149986825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5</w:t>
            </w:r>
            <w:r w:rsidRPr="006D58D7">
              <w:rPr>
                <w:rFonts w:ascii="Times New Roman" w:hAnsi="Times New Roman" w:cs="Times New Roman"/>
                <w:noProof/>
                <w:webHidden/>
                <w:color w:val="000000" w:themeColor="text1"/>
                <w:sz w:val="24"/>
                <w:szCs w:val="24"/>
              </w:rPr>
              <w:fldChar w:fldCharType="end"/>
            </w:r>
          </w:hyperlink>
        </w:p>
        <w:p w14:paraId="73C87DFF" w14:textId="3DDBB2F3" w:rsidR="004F7579" w:rsidRPr="006D58D7" w:rsidRDefault="00000000" w:rsidP="006D58D7">
          <w:pPr>
            <w:pStyle w:val="TOC2"/>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6" w:history="1">
            <w:r w:rsidRPr="006D58D7">
              <w:rPr>
                <w:rStyle w:val="Hyperlink"/>
                <w:rFonts w:ascii="Times New Roman" w:hAnsi="Times New Roman" w:cs="Times New Roman"/>
                <w:noProof/>
                <w:color w:val="000000" w:themeColor="text1"/>
                <w:sz w:val="24"/>
                <w:szCs w:val="24"/>
              </w:rPr>
              <w:t>Corporate and Strategic Goals</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_Toc149986826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5</w:t>
            </w:r>
            <w:r w:rsidRPr="006D58D7">
              <w:rPr>
                <w:rFonts w:ascii="Times New Roman" w:hAnsi="Times New Roman" w:cs="Times New Roman"/>
                <w:noProof/>
                <w:webHidden/>
                <w:color w:val="000000" w:themeColor="text1"/>
                <w:sz w:val="24"/>
                <w:szCs w:val="24"/>
              </w:rPr>
              <w:fldChar w:fldCharType="end"/>
            </w:r>
          </w:hyperlink>
        </w:p>
        <w:p w14:paraId="6D969546" w14:textId="6E7948D0"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7" w:history="1">
            <w:r w:rsidRPr="006D58D7">
              <w:rPr>
                <w:rStyle w:val="Hyperlink"/>
                <w:rFonts w:ascii="Times New Roman" w:hAnsi="Times New Roman" w:cs="Times New Roman"/>
                <w:noProof/>
                <w:color w:val="000000" w:themeColor="text1"/>
                <w:sz w:val="24"/>
                <w:szCs w:val="24"/>
              </w:rPr>
              <w:t>Recent Change Initiatives</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_Toc149986827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6</w:t>
            </w:r>
            <w:r w:rsidRPr="006D58D7">
              <w:rPr>
                <w:rFonts w:ascii="Times New Roman" w:hAnsi="Times New Roman" w:cs="Times New Roman"/>
                <w:noProof/>
                <w:webHidden/>
                <w:color w:val="000000" w:themeColor="text1"/>
                <w:sz w:val="24"/>
                <w:szCs w:val="24"/>
              </w:rPr>
              <w:fldChar w:fldCharType="end"/>
            </w:r>
          </w:hyperlink>
        </w:p>
        <w:p w14:paraId="44E97F2A" w14:textId="75C7F849"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8" w:history="1">
            <w:r w:rsidRPr="006D58D7">
              <w:rPr>
                <w:rStyle w:val="Hyperlink"/>
                <w:rFonts w:ascii="Times New Roman" w:hAnsi="Times New Roman" w:cs="Times New Roman"/>
                <w:noProof/>
                <w:color w:val="000000" w:themeColor="text1"/>
                <w:sz w:val="24"/>
                <w:szCs w:val="24"/>
              </w:rPr>
              <w:t>Strategic Direction and Business Performance</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_Toc149986828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7</w:t>
            </w:r>
            <w:r w:rsidRPr="006D58D7">
              <w:rPr>
                <w:rFonts w:ascii="Times New Roman" w:hAnsi="Times New Roman" w:cs="Times New Roman"/>
                <w:noProof/>
                <w:webHidden/>
                <w:color w:val="000000" w:themeColor="text1"/>
                <w:sz w:val="24"/>
                <w:szCs w:val="24"/>
              </w:rPr>
              <w:fldChar w:fldCharType="end"/>
            </w:r>
          </w:hyperlink>
        </w:p>
        <w:p w14:paraId="4CC034EA" w14:textId="60A849E7"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29" w:history="1">
            <w:r w:rsidRPr="006D58D7">
              <w:rPr>
                <w:rStyle w:val="Hyperlink"/>
                <w:rFonts w:ascii="Times New Roman" w:hAnsi="Times New Roman" w:cs="Times New Roman"/>
                <w:noProof/>
                <w:color w:val="000000" w:themeColor="text1"/>
                <w:sz w:val="24"/>
                <w:szCs w:val="24"/>
              </w:rPr>
              <w:t>Critical Evaluation</w:t>
            </w:r>
            <w:r w:rsidRPr="006D58D7">
              <w:rPr>
                <w:rFonts w:ascii="Times New Roman" w:hAnsi="Times New Roman" w:cs="Times New Roman"/>
                <w:noProof/>
                <w:webHidden/>
                <w:color w:val="000000" w:themeColor="text1"/>
                <w:sz w:val="24"/>
                <w:szCs w:val="24"/>
              </w:rPr>
              <w:tab/>
            </w:r>
            <w:r w:rsidR="00D0703A">
              <w:rPr>
                <w:rFonts w:ascii="Times New Roman" w:hAnsi="Times New Roman" w:cs="Times New Roman"/>
                <w:noProof/>
                <w:webHidden/>
                <w:color w:val="000000" w:themeColor="text1"/>
                <w:sz w:val="24"/>
                <w:szCs w:val="24"/>
              </w:rPr>
              <w:t>9</w:t>
            </w:r>
          </w:hyperlink>
        </w:p>
        <w:p w14:paraId="04BAD9DE" w14:textId="2436793E"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30" w:history="1">
            <w:r w:rsidRPr="006D58D7">
              <w:rPr>
                <w:rStyle w:val="Hyperlink"/>
                <w:rFonts w:ascii="Times New Roman" w:hAnsi="Times New Roman" w:cs="Times New Roman"/>
                <w:noProof/>
                <w:color w:val="000000" w:themeColor="text1"/>
                <w:sz w:val="24"/>
                <w:szCs w:val="24"/>
              </w:rPr>
              <w:t>Recommendations</w:t>
            </w:r>
            <w:r w:rsidRPr="006D58D7">
              <w:rPr>
                <w:rFonts w:ascii="Times New Roman" w:hAnsi="Times New Roman" w:cs="Times New Roman"/>
                <w:noProof/>
                <w:webHidden/>
                <w:color w:val="000000" w:themeColor="text1"/>
                <w:sz w:val="24"/>
                <w:szCs w:val="24"/>
              </w:rPr>
              <w:tab/>
            </w:r>
            <w:r w:rsidR="00D0703A">
              <w:rPr>
                <w:rFonts w:ascii="Times New Roman" w:hAnsi="Times New Roman" w:cs="Times New Roman"/>
                <w:noProof/>
                <w:webHidden/>
                <w:color w:val="000000" w:themeColor="text1"/>
                <w:sz w:val="24"/>
                <w:szCs w:val="24"/>
              </w:rPr>
              <w:t>10</w:t>
            </w:r>
          </w:hyperlink>
        </w:p>
        <w:p w14:paraId="0F44B97F" w14:textId="0860971C"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31" w:history="1">
            <w:r w:rsidRPr="006D58D7">
              <w:rPr>
                <w:rStyle w:val="Hyperlink"/>
                <w:rFonts w:ascii="Times New Roman" w:hAnsi="Times New Roman" w:cs="Times New Roman"/>
                <w:noProof/>
                <w:color w:val="000000" w:themeColor="text1"/>
                <w:sz w:val="24"/>
                <w:szCs w:val="24"/>
              </w:rPr>
              <w:t>Conclusion</w:t>
            </w:r>
            <w:r w:rsidRPr="006D58D7">
              <w:rPr>
                <w:rFonts w:ascii="Times New Roman" w:hAnsi="Times New Roman" w:cs="Times New Roman"/>
                <w:noProof/>
                <w:webHidden/>
                <w:color w:val="000000" w:themeColor="text1"/>
                <w:sz w:val="24"/>
                <w:szCs w:val="24"/>
              </w:rPr>
              <w:tab/>
            </w:r>
            <w:r w:rsidR="00D0703A">
              <w:rPr>
                <w:rFonts w:ascii="Times New Roman" w:hAnsi="Times New Roman" w:cs="Times New Roman"/>
                <w:noProof/>
                <w:webHidden/>
                <w:color w:val="000000" w:themeColor="text1"/>
                <w:sz w:val="24"/>
                <w:szCs w:val="24"/>
              </w:rPr>
              <w:t>11</w:t>
            </w:r>
          </w:hyperlink>
        </w:p>
        <w:p w14:paraId="5A8CF82E" w14:textId="7D705F4B" w:rsidR="004F7579" w:rsidRPr="006D58D7" w:rsidRDefault="00000000"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hyperlink w:anchor="_Toc149986832" w:history="1">
            <w:r w:rsidRPr="006D58D7">
              <w:rPr>
                <w:rStyle w:val="Hyperlink"/>
                <w:rFonts w:ascii="Times New Roman" w:hAnsi="Times New Roman" w:cs="Times New Roman"/>
                <w:noProof/>
                <w:color w:val="000000" w:themeColor="text1"/>
                <w:sz w:val="24"/>
                <w:szCs w:val="24"/>
              </w:rPr>
              <w:t>References</w:t>
            </w:r>
            <w:r w:rsidRPr="006D58D7">
              <w:rPr>
                <w:rFonts w:ascii="Times New Roman" w:hAnsi="Times New Roman" w:cs="Times New Roman"/>
                <w:noProof/>
                <w:webHidden/>
                <w:color w:val="000000" w:themeColor="text1"/>
                <w:sz w:val="24"/>
                <w:szCs w:val="24"/>
              </w:rPr>
              <w:tab/>
            </w:r>
            <w:r w:rsidRPr="006D58D7">
              <w:rPr>
                <w:rFonts w:ascii="Times New Roman" w:hAnsi="Times New Roman" w:cs="Times New Roman"/>
                <w:noProof/>
                <w:webHidden/>
                <w:color w:val="000000" w:themeColor="text1"/>
                <w:sz w:val="24"/>
                <w:szCs w:val="24"/>
              </w:rPr>
              <w:fldChar w:fldCharType="begin"/>
            </w:r>
            <w:r w:rsidRPr="006D58D7">
              <w:rPr>
                <w:rFonts w:ascii="Times New Roman" w:hAnsi="Times New Roman" w:cs="Times New Roman"/>
                <w:noProof/>
                <w:webHidden/>
                <w:color w:val="000000" w:themeColor="text1"/>
                <w:sz w:val="24"/>
                <w:szCs w:val="24"/>
              </w:rPr>
              <w:instrText xml:space="preserve"> PAGEREF _Toc149986832 \h </w:instrText>
            </w:r>
            <w:r w:rsidRPr="006D58D7">
              <w:rPr>
                <w:rFonts w:ascii="Times New Roman" w:hAnsi="Times New Roman" w:cs="Times New Roman"/>
                <w:noProof/>
                <w:webHidden/>
                <w:color w:val="000000" w:themeColor="text1"/>
                <w:sz w:val="24"/>
                <w:szCs w:val="24"/>
              </w:rPr>
            </w:r>
            <w:r w:rsidRPr="006D58D7">
              <w:rPr>
                <w:rFonts w:ascii="Times New Roman" w:hAnsi="Times New Roman" w:cs="Times New Roman"/>
                <w:noProof/>
                <w:webHidden/>
                <w:color w:val="000000" w:themeColor="text1"/>
                <w:sz w:val="24"/>
                <w:szCs w:val="24"/>
              </w:rPr>
              <w:fldChar w:fldCharType="separate"/>
            </w:r>
            <w:r w:rsidRPr="006D58D7">
              <w:rPr>
                <w:rFonts w:ascii="Times New Roman" w:hAnsi="Times New Roman" w:cs="Times New Roman"/>
                <w:noProof/>
                <w:webHidden/>
                <w:color w:val="000000" w:themeColor="text1"/>
                <w:sz w:val="24"/>
                <w:szCs w:val="24"/>
              </w:rPr>
              <w:t>1</w:t>
            </w:r>
            <w:r w:rsidR="00D0703A">
              <w:rPr>
                <w:rFonts w:ascii="Times New Roman" w:hAnsi="Times New Roman" w:cs="Times New Roman"/>
                <w:noProof/>
                <w:webHidden/>
                <w:color w:val="000000" w:themeColor="text1"/>
                <w:sz w:val="24"/>
                <w:szCs w:val="24"/>
              </w:rPr>
              <w:t>2</w:t>
            </w:r>
            <w:r w:rsidRPr="006D58D7">
              <w:rPr>
                <w:rFonts w:ascii="Times New Roman" w:hAnsi="Times New Roman" w:cs="Times New Roman"/>
                <w:noProof/>
                <w:webHidden/>
                <w:color w:val="000000" w:themeColor="text1"/>
                <w:sz w:val="24"/>
                <w:szCs w:val="24"/>
              </w:rPr>
              <w:fldChar w:fldCharType="end"/>
            </w:r>
          </w:hyperlink>
        </w:p>
        <w:p w14:paraId="6D19DBA5" w14:textId="1B8F01BC" w:rsidR="004F7579" w:rsidRPr="006D58D7" w:rsidRDefault="004F7579" w:rsidP="006D58D7">
          <w:pPr>
            <w:pStyle w:val="TOC1"/>
            <w:tabs>
              <w:tab w:val="right" w:leader="dot" w:pos="9350"/>
            </w:tabs>
            <w:spacing w:line="480" w:lineRule="auto"/>
            <w:jc w:val="both"/>
            <w:rPr>
              <w:rFonts w:ascii="Times New Roman" w:eastAsiaTheme="minorEastAsia" w:hAnsi="Times New Roman" w:cs="Times New Roman"/>
              <w:noProof/>
              <w:color w:val="000000" w:themeColor="text1"/>
              <w:sz w:val="24"/>
              <w:szCs w:val="24"/>
              <w:lang w:val="en-IN"/>
            </w:rPr>
          </w:pPr>
        </w:p>
        <w:p w14:paraId="00000016" w14:textId="135A1560" w:rsidR="00576FC3" w:rsidRPr="006D58D7" w:rsidRDefault="00000000" w:rsidP="006D58D7">
          <w:pPr>
            <w:spacing w:line="480" w:lineRule="auto"/>
            <w:jc w:val="both"/>
            <w:rPr>
              <w:rFonts w:ascii="Times New Roman" w:hAnsi="Times New Roman" w:cs="Times New Roman"/>
              <w:color w:val="000000" w:themeColor="text1"/>
              <w:sz w:val="24"/>
              <w:szCs w:val="24"/>
            </w:rPr>
          </w:pPr>
          <w:r w:rsidRPr="006D58D7">
            <w:rPr>
              <w:rFonts w:ascii="Times New Roman" w:hAnsi="Times New Roman" w:cs="Times New Roman"/>
              <w:color w:val="000000" w:themeColor="text1"/>
              <w:sz w:val="24"/>
              <w:szCs w:val="24"/>
            </w:rPr>
            <w:fldChar w:fldCharType="end"/>
          </w:r>
        </w:p>
      </w:sdtContent>
    </w:sdt>
    <w:p w14:paraId="00000017" w14:textId="77777777" w:rsidR="00576FC3" w:rsidRPr="006D58D7" w:rsidRDefault="00000000" w:rsidP="006D58D7">
      <w:pPr>
        <w:spacing w:line="480" w:lineRule="auto"/>
        <w:jc w:val="both"/>
        <w:rPr>
          <w:rFonts w:ascii="Times New Roman" w:eastAsia="Times New Roman" w:hAnsi="Times New Roman" w:cs="Times New Roman"/>
          <w:b/>
          <w:color w:val="000000" w:themeColor="text1"/>
          <w:sz w:val="24"/>
          <w:szCs w:val="24"/>
        </w:rPr>
      </w:pPr>
      <w:r w:rsidRPr="006D58D7">
        <w:rPr>
          <w:rFonts w:ascii="Times New Roman" w:hAnsi="Times New Roman" w:cs="Times New Roman"/>
          <w:color w:val="000000" w:themeColor="text1"/>
          <w:sz w:val="24"/>
          <w:szCs w:val="24"/>
        </w:rPr>
        <w:br w:type="page"/>
      </w:r>
    </w:p>
    <w:p w14:paraId="00000018"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b/>
          <w:color w:val="000000" w:themeColor="text1"/>
          <w:sz w:val="24"/>
          <w:szCs w:val="24"/>
        </w:rPr>
        <w:lastRenderedPageBreak/>
        <w:t>Executive Summary</w:t>
      </w:r>
    </w:p>
    <w:p w14:paraId="00000019"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This report is an audit of the Hilton Hotel Group, assessing its organisational structure, culture, strategic initiatives, and business performance. Hilton's organizational framework has facilitated global expansion while preserving brand integrity, and its culture emphasizes service excellence. Recent change initiatives, particularly digital innovation, and response to health crises, demonstrate Hilton's adaptability and commitment to guest experience. Strategically, Hilton has pursued growth through technological investment and a focus on sustainability, reflecting in a strong competitive position and robust financial outcomes. However, the audit identifies areas for continuous improvement, including deepening predictive analytics use, fostering an innovation-driven culture, enhancing sustainability practices, fortifying crisis management, and further developing employee competencies. The implementation of these recommendations is crucial for Hilton to navigate future challenges and maintain its industry. Hilton's ability to adapt to evolving market conditions while staying true to its core values will be paramount in its ongoing success.</w:t>
      </w:r>
    </w:p>
    <w:p w14:paraId="0000001A" w14:textId="77777777" w:rsidR="00576FC3" w:rsidRPr="006D58D7" w:rsidRDefault="00000000" w:rsidP="006D58D7">
      <w:pPr>
        <w:spacing w:line="480" w:lineRule="auto"/>
        <w:jc w:val="both"/>
        <w:rPr>
          <w:rFonts w:ascii="Times New Roman" w:eastAsia="Times New Roman" w:hAnsi="Times New Roman" w:cs="Times New Roman"/>
          <w:b/>
          <w:color w:val="000000" w:themeColor="text1"/>
          <w:sz w:val="24"/>
          <w:szCs w:val="24"/>
        </w:rPr>
      </w:pPr>
      <w:r w:rsidRPr="006D58D7">
        <w:rPr>
          <w:rFonts w:ascii="Times New Roman" w:hAnsi="Times New Roman" w:cs="Times New Roman"/>
          <w:color w:val="000000" w:themeColor="text1"/>
          <w:sz w:val="24"/>
          <w:szCs w:val="24"/>
        </w:rPr>
        <w:br w:type="page"/>
      </w:r>
    </w:p>
    <w:p w14:paraId="0000001B" w14:textId="77777777" w:rsidR="00576FC3" w:rsidRPr="006D58D7" w:rsidRDefault="00000000" w:rsidP="006D58D7">
      <w:pPr>
        <w:pStyle w:val="Heading1"/>
        <w:spacing w:line="480" w:lineRule="auto"/>
        <w:jc w:val="both"/>
        <w:rPr>
          <w:rFonts w:cs="Times New Roman"/>
          <w:color w:val="000000" w:themeColor="text1"/>
          <w:sz w:val="24"/>
          <w:szCs w:val="24"/>
        </w:rPr>
      </w:pPr>
      <w:bookmarkStart w:id="0" w:name="_Toc149986822"/>
      <w:r w:rsidRPr="006D58D7">
        <w:rPr>
          <w:rFonts w:cs="Times New Roman"/>
          <w:color w:val="000000" w:themeColor="text1"/>
          <w:sz w:val="24"/>
          <w:szCs w:val="24"/>
        </w:rPr>
        <w:lastRenderedPageBreak/>
        <w:t>Introduction</w:t>
      </w:r>
      <w:bookmarkEnd w:id="0"/>
      <w:r w:rsidRPr="006D58D7">
        <w:rPr>
          <w:rFonts w:cs="Times New Roman"/>
          <w:color w:val="000000" w:themeColor="text1"/>
          <w:sz w:val="24"/>
          <w:szCs w:val="24"/>
        </w:rPr>
        <w:t> </w:t>
      </w:r>
    </w:p>
    <w:p w14:paraId="0000001C"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The hospitality industry epitomizes dynamic change, competitive innovation, and customer-centric evolution, with the Hilton Hotel Group standing as a paragon within this sector. As a globally recognized significant of hospitality excellence, Hilton Hotel Group serves a wide-ranging client base worldwide. This audit report analyses the intricate architecture of Hilton's organizational framework examines the foundational cultural and strategic principles guiding its operations and assesses the impact and management of its recent change endeavours. The goal is to analyse Hilton's strategic path and operational outcomes, comparing them against industry benchmarks and rival firms. The analysis tries to provide a definitive profile of Hilton's corporate configuration and its competitive stance in the marketplace.</w:t>
      </w:r>
    </w:p>
    <w:p w14:paraId="0000001D" w14:textId="77777777" w:rsidR="00576FC3" w:rsidRPr="006D58D7" w:rsidRDefault="00000000" w:rsidP="006D58D7">
      <w:pPr>
        <w:pStyle w:val="Heading1"/>
        <w:spacing w:line="480" w:lineRule="auto"/>
        <w:jc w:val="both"/>
        <w:rPr>
          <w:rFonts w:cs="Times New Roman"/>
          <w:color w:val="000000" w:themeColor="text1"/>
          <w:sz w:val="24"/>
          <w:szCs w:val="24"/>
        </w:rPr>
      </w:pPr>
      <w:bookmarkStart w:id="1" w:name="_Toc149986823"/>
      <w:r w:rsidRPr="006D58D7">
        <w:rPr>
          <w:rFonts w:cs="Times New Roman"/>
          <w:color w:val="000000" w:themeColor="text1"/>
          <w:sz w:val="24"/>
          <w:szCs w:val="24"/>
        </w:rPr>
        <w:t>Organization Structure, Culture, and Goals</w:t>
      </w:r>
      <w:bookmarkEnd w:id="1"/>
      <w:r w:rsidRPr="006D58D7">
        <w:rPr>
          <w:rFonts w:cs="Times New Roman"/>
          <w:color w:val="000000" w:themeColor="text1"/>
          <w:sz w:val="24"/>
          <w:szCs w:val="24"/>
        </w:rPr>
        <w:t> </w:t>
      </w:r>
    </w:p>
    <w:p w14:paraId="0000001E" w14:textId="77777777" w:rsidR="00576FC3" w:rsidRPr="006D58D7" w:rsidRDefault="00000000" w:rsidP="006D58D7">
      <w:pPr>
        <w:pStyle w:val="Heading2"/>
        <w:spacing w:line="480" w:lineRule="auto"/>
        <w:jc w:val="both"/>
        <w:rPr>
          <w:rFonts w:cs="Times New Roman"/>
          <w:color w:val="000000" w:themeColor="text1"/>
          <w:sz w:val="24"/>
          <w:szCs w:val="24"/>
        </w:rPr>
      </w:pPr>
      <w:bookmarkStart w:id="2" w:name="_Toc149986824"/>
      <w:r w:rsidRPr="006D58D7">
        <w:rPr>
          <w:rFonts w:cs="Times New Roman"/>
          <w:color w:val="000000" w:themeColor="text1"/>
          <w:sz w:val="24"/>
          <w:szCs w:val="24"/>
        </w:rPr>
        <w:t>Organization Structure</w:t>
      </w:r>
      <w:bookmarkEnd w:id="2"/>
    </w:p>
    <w:p w14:paraId="0000001F" w14:textId="7BDF6F3E"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The organizational structure of the Hilton Hotel Group is characterized by a synergistic blend of functional centralization and geographic decentralization</w:t>
      </w:r>
      <w:r w:rsidR="000F55F6" w:rsidRPr="006D58D7">
        <w:rPr>
          <w:rFonts w:ascii="Times New Roman" w:eastAsia="Times New Roman" w:hAnsi="Times New Roman" w:cs="Times New Roman"/>
          <w:color w:val="000000" w:themeColor="text1"/>
          <w:sz w:val="24"/>
          <w:szCs w:val="24"/>
        </w:rPr>
        <w:t xml:space="preserve"> (</w:t>
      </w:r>
      <w:r w:rsidRPr="006D58D7">
        <w:rPr>
          <w:rFonts w:ascii="Times New Roman" w:eastAsia="Times New Roman" w:hAnsi="Times New Roman" w:cs="Times New Roman"/>
          <w:color w:val="000000" w:themeColor="text1"/>
          <w:sz w:val="24"/>
          <w:szCs w:val="24"/>
        </w:rPr>
        <w:t>Adair</w:t>
      </w:r>
      <w:r w:rsidR="000F55F6" w:rsidRPr="006D58D7">
        <w:rPr>
          <w:rFonts w:ascii="Times New Roman" w:eastAsia="Times New Roman" w:hAnsi="Times New Roman" w:cs="Times New Roman"/>
          <w:color w:val="000000" w:themeColor="text1"/>
          <w:sz w:val="24"/>
          <w:szCs w:val="24"/>
        </w:rPr>
        <w:t xml:space="preserve">, </w:t>
      </w:r>
      <w:r w:rsidRPr="006D58D7">
        <w:rPr>
          <w:rFonts w:ascii="Times New Roman" w:eastAsia="Times New Roman" w:hAnsi="Times New Roman" w:cs="Times New Roman"/>
          <w:color w:val="000000" w:themeColor="text1"/>
          <w:sz w:val="24"/>
          <w:szCs w:val="24"/>
        </w:rPr>
        <w:t xml:space="preserve">2009). The organizational pyramid is the Board of Directors alongside the Chief Executive Officer (CEO), who governs the worldwide operations. Subordinate to this top tier, the structure fans out into regional segments, each under the control of an executive team that commands the localized administration of hotel properties (Inkson, and Minnaert, 2022). This decentralization grants Hilton the agility to adapt to the varieties of local markets while maintaining a centralized guard of global functions like spanning marketing, brand stewardship, and strategic development (Cooper, 2021). It helps to uphold Hilton's brand integrity universally. Such a configuration ensures a dynamic interplay between the corporate hub and the individual hotel operations, engendering a collaborative dynamic that is indispensable in the realm of global hospitality (Haski-Leventhal, 2018). </w:t>
      </w:r>
      <w:r w:rsidRPr="006D58D7">
        <w:rPr>
          <w:rFonts w:ascii="Times New Roman" w:eastAsia="Times New Roman" w:hAnsi="Times New Roman" w:cs="Times New Roman"/>
          <w:color w:val="000000" w:themeColor="text1"/>
          <w:sz w:val="24"/>
          <w:szCs w:val="24"/>
        </w:rPr>
        <w:lastRenderedPageBreak/>
        <w:t>According to Mullins and Dosser (2013), the organization's structure is designed to capitalize on the scale of Hilton's global presence while maintaining the flexibility needed to adapt to local markets. It effectively empowers hotel managers to act as 'entrepreneurs' or 'intrapreneurs' within the larger corporate framework, driving innovation and a focus on operational excellence at the unit level.</w:t>
      </w:r>
    </w:p>
    <w:p w14:paraId="00000020" w14:textId="77777777" w:rsidR="00576FC3" w:rsidRPr="006D58D7" w:rsidRDefault="00000000" w:rsidP="006D58D7">
      <w:pPr>
        <w:pStyle w:val="Heading2"/>
        <w:spacing w:line="480" w:lineRule="auto"/>
        <w:jc w:val="both"/>
        <w:rPr>
          <w:rFonts w:cs="Times New Roman"/>
          <w:color w:val="000000" w:themeColor="text1"/>
          <w:sz w:val="24"/>
          <w:szCs w:val="24"/>
        </w:rPr>
      </w:pPr>
      <w:bookmarkStart w:id="3" w:name="_Toc149986825"/>
      <w:r w:rsidRPr="006D58D7">
        <w:rPr>
          <w:rFonts w:cs="Times New Roman"/>
          <w:color w:val="000000" w:themeColor="text1"/>
          <w:sz w:val="24"/>
          <w:szCs w:val="24"/>
        </w:rPr>
        <w:t>Corporate Culture</w:t>
      </w:r>
      <w:bookmarkEnd w:id="3"/>
    </w:p>
    <w:p w14:paraId="00000021"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According to Sloan, Legrand, and Chen, (2017), the cultural framework within Hilton is best described as a 'Service Culture,' which is deeply ingrained in the company's DNA. Hilton's culture is built upon the foundational principle of hospitality, which is to provide exceptional experiences to guests. This principle permeates through every level of the organization, cultivating a work environment that values individual contribution while emphasizing the importance of teamwork and service excellence. Underpinning this culture is a commitment to what Hilton refers to as the 'Hilton Effect', the positive, profound impact the brand aims to have on guests, team members, and the broader community (Xiang and Ma, 2020). The company fosters a sense of belonging and purpose among employees through extensive training programs, internal career development opportunities, and the celebration of diversity and inclusion. Hilton’s culture thrives on empowering employees, encouraging innovation, and recognizing individual efforts, which contributes to high levels of job satisfaction and loyalty.</w:t>
      </w:r>
    </w:p>
    <w:p w14:paraId="00000022" w14:textId="77777777" w:rsidR="00576FC3" w:rsidRPr="006D58D7" w:rsidRDefault="00000000" w:rsidP="006D58D7">
      <w:pPr>
        <w:pStyle w:val="Heading2"/>
        <w:spacing w:line="480" w:lineRule="auto"/>
        <w:jc w:val="both"/>
        <w:rPr>
          <w:rFonts w:cs="Times New Roman"/>
          <w:color w:val="000000" w:themeColor="text1"/>
          <w:sz w:val="24"/>
          <w:szCs w:val="24"/>
        </w:rPr>
      </w:pPr>
      <w:bookmarkStart w:id="4" w:name="_Toc149986826"/>
      <w:r w:rsidRPr="006D58D7">
        <w:rPr>
          <w:rFonts w:cs="Times New Roman"/>
          <w:color w:val="000000" w:themeColor="text1"/>
          <w:sz w:val="24"/>
          <w:szCs w:val="24"/>
        </w:rPr>
        <w:t>Corporate and Strategic Goals</w:t>
      </w:r>
      <w:bookmarkEnd w:id="4"/>
    </w:p>
    <w:p w14:paraId="00000023"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 xml:space="preserve">Hilton's corporate goals are reflective of an ambition to be the preeminent global hospitality company. The strategic goals are multifaceted, focusing not only on growth and profitability but also on sustainability and social responsibility. Hilton has embraced the significance of sustainable practices through initiatives aimed at reducing environmental impact. A goal that aligns with </w:t>
      </w:r>
      <w:r w:rsidRPr="006D58D7">
        <w:rPr>
          <w:rFonts w:ascii="Times New Roman" w:eastAsia="Times New Roman" w:hAnsi="Times New Roman" w:cs="Times New Roman"/>
          <w:color w:val="000000" w:themeColor="text1"/>
          <w:sz w:val="24"/>
          <w:szCs w:val="24"/>
        </w:rPr>
        <w:lastRenderedPageBreak/>
        <w:t>global trends towards ecological consciousness and is increasingly valued by consumers (Gibson and Qian, 2019). Strategically, Hilton aims to expand its portfolio by increasing its presence in key markets and tapping into emerging destinations. The company seeks to diversify its portfolio with a varied mix of property types and service levels, from luxury to economy, thereby catering to a wide spectrum of customer needs and preferences. The digital transformation strategy is also a component of Hilton's forward-looking goals, focusing on leveraging technology to enhance the guest experience, improve operational efficiency, and increase direct bookings (Singh and Shrivastava, 2020). Moreover, the group places considerable emphasis on innovation in customer service like digital check-in and room selection, anticipating and shaping the future of hospitality. The strategic intent is clear to lead the industry not just in size but in the value delivered to stakeholders, including guests, employees, and shareholders.</w:t>
      </w:r>
    </w:p>
    <w:p w14:paraId="00000024" w14:textId="77777777" w:rsidR="00576FC3" w:rsidRPr="006D58D7" w:rsidRDefault="00000000" w:rsidP="006D58D7">
      <w:pPr>
        <w:pStyle w:val="Heading1"/>
        <w:spacing w:line="480" w:lineRule="auto"/>
        <w:jc w:val="both"/>
        <w:rPr>
          <w:rFonts w:cs="Times New Roman"/>
          <w:color w:val="000000" w:themeColor="text1"/>
          <w:sz w:val="24"/>
          <w:szCs w:val="24"/>
        </w:rPr>
      </w:pPr>
      <w:bookmarkStart w:id="5" w:name="_Toc149986827"/>
      <w:r w:rsidRPr="006D58D7">
        <w:rPr>
          <w:rFonts w:cs="Times New Roman"/>
          <w:color w:val="000000" w:themeColor="text1"/>
          <w:sz w:val="24"/>
          <w:szCs w:val="24"/>
        </w:rPr>
        <w:t>Recent Change Initiatives</w:t>
      </w:r>
      <w:bookmarkEnd w:id="5"/>
      <w:r w:rsidRPr="006D58D7">
        <w:rPr>
          <w:rFonts w:cs="Times New Roman"/>
          <w:color w:val="000000" w:themeColor="text1"/>
          <w:sz w:val="24"/>
          <w:szCs w:val="24"/>
        </w:rPr>
        <w:t> </w:t>
      </w:r>
    </w:p>
    <w:p w14:paraId="00000025"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 xml:space="preserve">One of Hilton's most noteworthy initiatives is the acceleration of digital innovation. Recognizing the shift towards a more technology-driven experience in the hospitality industry, Hilton introduced features like the Digital Key, which allows guests to use their smartphones as room keys, and Contactless Check-in, catering to the rising demand for a seamless, personalized guest experience (Guchait, Paşamehmetoğlu, and Dawson, 2019). Such digital enhancements have not only improved customer satisfaction but have also increased operational efficiency by reducing check-in times and freeing up staff to attend to other customer service duties. In response to the global health crisis that emerged in 2020, Hilton launched the ‘Hilton CleanStay’ program in partnership with Reckitt Benckiser, the makers of Lysol and Dettol, to develop a new standard of hotel cleanliness and disinfection (Kim, Kim, and Choi, 2019). This program was critical in </w:t>
      </w:r>
      <w:r w:rsidRPr="006D58D7">
        <w:rPr>
          <w:rFonts w:ascii="Times New Roman" w:eastAsia="Times New Roman" w:hAnsi="Times New Roman" w:cs="Times New Roman"/>
          <w:color w:val="000000" w:themeColor="text1"/>
          <w:sz w:val="24"/>
          <w:szCs w:val="24"/>
        </w:rPr>
        <w:lastRenderedPageBreak/>
        <w:t>rebuilding guest confidence during a period of widespread health concerns. The initiative has been exemplary of Hilton's agility in managing change and addressing consumer needs proactively. </w:t>
      </w:r>
    </w:p>
    <w:p w14:paraId="00000026"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The Hilton Honors loyalty scheme recently underwent a notable service, designed to augment its value proposition to members. This refurbishment includes an updated points mechanism, enhancing flexibility for patrons to accumulate and utilize points, alongside the provision of more customized rewards. Hilton's efforts to revamp its loyalty program are expected to solidify customer relationships in a sector where competitive edges are frequently subtle. In addition to loyalty program improvements, Hilton has earnestly embraced sustainability, setting concrete environmental goals (Jiang, and Wen, 2020). These goals encompass halving carbon emissions and waste by the year 2030 and doubling the investment in social impact initiatives. Hilton's sustainability campaign, 'Travel with Purpose,' is embedded deeply within the company's core values, serving not just as a programmatic change but as a cornerstone of its identity, with the goal of instigating beneficial social and environmental outcomes.</w:t>
      </w:r>
    </w:p>
    <w:p w14:paraId="00000027"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Hilton is equally committed to nurturing its workforce, with a notable emphasis on diversity and inclusion (Zopiatis, Constanti, and Theocharous, 2019). The company has initiated programs to foster gender equality, including specialized leadership development for women, and has committed to broader diversity efforts by participating in the 'CEO Action for Diversity &amp; Inclusion' pledge. These organizational developments reflect Hilton's dedication to fostering a work environment that celebrates diversity, a factor increasingly acknowledged as a catalyst for innovation and a competitive edge.</w:t>
      </w:r>
    </w:p>
    <w:p w14:paraId="00000028" w14:textId="77777777" w:rsidR="00576FC3" w:rsidRPr="006D58D7" w:rsidRDefault="00000000" w:rsidP="006D58D7">
      <w:pPr>
        <w:pStyle w:val="Heading1"/>
        <w:spacing w:line="480" w:lineRule="auto"/>
        <w:jc w:val="both"/>
        <w:rPr>
          <w:rFonts w:cs="Times New Roman"/>
          <w:color w:val="000000" w:themeColor="text1"/>
          <w:sz w:val="24"/>
          <w:szCs w:val="24"/>
        </w:rPr>
      </w:pPr>
      <w:bookmarkStart w:id="6" w:name="_Toc149986828"/>
      <w:r w:rsidRPr="006D58D7">
        <w:rPr>
          <w:rFonts w:cs="Times New Roman"/>
          <w:color w:val="000000" w:themeColor="text1"/>
          <w:sz w:val="24"/>
          <w:szCs w:val="24"/>
        </w:rPr>
        <w:t>Strategic Direction and Business Performance</w:t>
      </w:r>
      <w:bookmarkEnd w:id="6"/>
      <w:r w:rsidRPr="006D58D7">
        <w:rPr>
          <w:rFonts w:cs="Times New Roman"/>
          <w:color w:val="000000" w:themeColor="text1"/>
          <w:sz w:val="24"/>
          <w:szCs w:val="24"/>
        </w:rPr>
        <w:t> </w:t>
      </w:r>
    </w:p>
    <w:p w14:paraId="00000029"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 xml:space="preserve">Hilton's expansion strategy is distinguished by a careful combination of strategic alliances, partnerships, and organic development that enable a broader global presence while maintaining </w:t>
      </w:r>
      <w:r w:rsidRPr="006D58D7">
        <w:rPr>
          <w:rFonts w:ascii="Times New Roman" w:eastAsia="Times New Roman" w:hAnsi="Times New Roman" w:cs="Times New Roman"/>
          <w:color w:val="000000" w:themeColor="text1"/>
          <w:sz w:val="24"/>
          <w:szCs w:val="24"/>
        </w:rPr>
        <w:lastRenderedPageBreak/>
        <w:t xml:space="preserve">strong brand equity. Hilton is taking advantage of the growing demand for travel and the possibility of local partnerships in high-growth regions like China and Africa, where its expansionary techniques are most evident. To improve the visitor experience, the business is also investing heavily in digital and technology innovation (Ribeiro </w:t>
      </w:r>
      <w:r w:rsidRPr="006D58D7">
        <w:rPr>
          <w:rFonts w:ascii="Times New Roman" w:eastAsia="Times New Roman" w:hAnsi="Times New Roman" w:cs="Times New Roman"/>
          <w:i/>
          <w:color w:val="000000" w:themeColor="text1"/>
          <w:sz w:val="24"/>
          <w:szCs w:val="24"/>
        </w:rPr>
        <w:t>et al</w:t>
      </w:r>
      <w:r w:rsidRPr="006D58D7">
        <w:rPr>
          <w:rFonts w:ascii="Times New Roman" w:eastAsia="Times New Roman" w:hAnsi="Times New Roman" w:cs="Times New Roman"/>
          <w:color w:val="000000" w:themeColor="text1"/>
          <w:sz w:val="24"/>
          <w:szCs w:val="24"/>
        </w:rPr>
        <w:t>., 2020). These expenditures, which raise Hilton's operational efficacy and correspond with modern traveller expectations, span from the customization of guest rooms to the expansion of reward programs. The company's 'Travel with Purpose' project embodies its dedication to sustainability (Deery and Jago, 2019). Hilton recognizes that social responsibility, environmental stewardship, and economic vitality are essential to business success and industry leadership and aims to lead the way in establishing a new standard for sustainable tourism.</w:t>
      </w:r>
    </w:p>
    <w:p w14:paraId="0000002A"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Hilton's strong business KPIs demonstrate the effective implementation of its strategic strategy. Hilton's consistent sales growth and profitability are proof of its exceptional durability and adaptation in the face of industry adversities. To increase client loyalty, encourage direct reservations, and reduce reliance on third-party booking channels, the Hilton Honors reward program is essential. Hilton has enhanced its revenue management skills via its technological and digital solutions investment, leading to higher room prices and occupancy rates (Lee and Jang, 2020). Hilton's diverse range of hotel experiences, ranging from luxury offerings to targeted service alternatives, enables it to appeal to a range of clientele, including affluent business travellers and budget-conscious visitors, therefore mitigating market volatility. Hilton maintains a strong competitive position in the global hospitality business by standing strong against rivals like as Marriott and Accor. Hilton has an advantage over these rivals because of its strategic emphasis on loyalty programs and brand innovation. However, to maintain its competitive edge, the business must constantly adjust to shifting customer and market trends.</w:t>
      </w:r>
    </w:p>
    <w:p w14:paraId="0000002B" w14:textId="77777777" w:rsidR="00576FC3" w:rsidRPr="006D58D7" w:rsidRDefault="00000000" w:rsidP="006D58D7">
      <w:pPr>
        <w:pStyle w:val="Heading1"/>
        <w:spacing w:line="480" w:lineRule="auto"/>
        <w:jc w:val="both"/>
        <w:rPr>
          <w:rFonts w:cs="Times New Roman"/>
          <w:color w:val="000000" w:themeColor="text1"/>
          <w:sz w:val="24"/>
          <w:szCs w:val="24"/>
        </w:rPr>
      </w:pPr>
      <w:bookmarkStart w:id="7" w:name="_Toc149986829"/>
      <w:r w:rsidRPr="006D58D7">
        <w:rPr>
          <w:rFonts w:cs="Times New Roman"/>
          <w:color w:val="000000" w:themeColor="text1"/>
          <w:sz w:val="24"/>
          <w:szCs w:val="24"/>
        </w:rPr>
        <w:lastRenderedPageBreak/>
        <w:t>Critical Evaluation</w:t>
      </w:r>
      <w:bookmarkEnd w:id="7"/>
      <w:r w:rsidRPr="006D58D7">
        <w:rPr>
          <w:rFonts w:cs="Times New Roman"/>
          <w:color w:val="000000" w:themeColor="text1"/>
          <w:sz w:val="24"/>
          <w:szCs w:val="24"/>
        </w:rPr>
        <w:t> </w:t>
      </w:r>
    </w:p>
    <w:p w14:paraId="0000002C"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Hilton’s hybrid organizational structure serves as a robust framework for balancing global standardization with local responsiveness. Nonetheless, the challenge lies in maintaining consistency in brand experience across diverse markets, a task that demands not only structural agility but also cultural adaptability. While Hilton's service culture is a key differentiator, instilling this across a global workforce is an ongoing challenge that necessitates constant reinforcement of corporate values and service standards. Hilton's proactive change initiatives, particularly its response to the global health crisis and its digital innovation, highlight strategic foresight (Solnet, Baum, and Robinson, 2020). Yet, the pace at which these changes are implemented can strain resources and may lead to operational oversights. The success of such initiatives depends on the company's ability to manage change without disrupting the core attributes of guest experience that define the Hilton brand.</w:t>
      </w:r>
    </w:p>
    <w:p w14:paraId="0000002D"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Hilton’s strategic pursuit of growth through technological advancements and sustainability is forward-thinking. However, in a world increasingly conscious of environmental issues and social impact, Hilton’s sustainability efforts, while significant, must go beyond current commitments to industry-leading practices. As consumers increasingly align their patronage with their values, Hilton's environmental strategies will not only be a matter of corporate responsibility but also a competitive imperative. Financially, Hilton has demonstrated resilience, but the metrics of business performance extend beyond financial gains. Customer satisfaction, employee engagement, and brand reputation are equally critical indicators. With its customer-centric innovations and loyalty programs, Hilton is well-positioned, yet it must remain vigilant to ensure these programs adapt to emerging consumer behaviours and expectations.</w:t>
      </w:r>
    </w:p>
    <w:p w14:paraId="0000002E" w14:textId="77777777" w:rsidR="00576FC3" w:rsidRPr="006D58D7" w:rsidRDefault="00000000" w:rsidP="006D58D7">
      <w:pPr>
        <w:pStyle w:val="Heading1"/>
        <w:spacing w:line="480" w:lineRule="auto"/>
        <w:jc w:val="both"/>
        <w:rPr>
          <w:rFonts w:cs="Times New Roman"/>
          <w:color w:val="000000" w:themeColor="text1"/>
          <w:sz w:val="24"/>
          <w:szCs w:val="24"/>
        </w:rPr>
      </w:pPr>
      <w:bookmarkStart w:id="8" w:name="_Toc149986830"/>
      <w:r w:rsidRPr="006D58D7">
        <w:rPr>
          <w:rFonts w:cs="Times New Roman"/>
          <w:color w:val="000000" w:themeColor="text1"/>
          <w:sz w:val="24"/>
          <w:szCs w:val="24"/>
        </w:rPr>
        <w:lastRenderedPageBreak/>
        <w:t>Recommendations</w:t>
      </w:r>
      <w:bookmarkEnd w:id="8"/>
      <w:r w:rsidRPr="006D58D7">
        <w:rPr>
          <w:rFonts w:cs="Times New Roman"/>
          <w:color w:val="000000" w:themeColor="text1"/>
          <w:sz w:val="24"/>
          <w:szCs w:val="24"/>
        </w:rPr>
        <w:t> </w:t>
      </w:r>
    </w:p>
    <w:p w14:paraId="0000002F"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Hilton should enhance its use of predictive analytics to tailor guest experiences and anticipate market trends. By leveraging big data, the company can gain deeper insights into consumer behaviour, optimize pricing strategies, and personalize services at scale, thereby enhancing guest satisfaction and driving revenue growth. While Hilton has a strong culture of service, it should further cultivate a culture of innovation at all organizational levels. Initiatives could include employee innovation programs, where staff at all levels are encouraged to contribute ideas for operational improvements and guest services (Chen, Shih, and Shyue, 2020). This could stimulate grassroots innovation and lead to significant enhancements in service delivery. Hilton could elevate its environmental sustainability by establishing more ambitious benchmarks, aspiring to achieve carbon neutrality and complete waste elimination. Collaborations with pioneers in sustainable practices could lead to breakthroughs in green technologies pertinent to energy, water, and waste management, potentially positioning Hilton as an exemplar of ecological responsibility within the hospitality industry.</w:t>
      </w:r>
    </w:p>
    <w:p w14:paraId="00000030"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In anticipation of potential disruptions to the hospitality sector, such as global events, it would be prudent for Hilton to fortify its crisis management frameworks. This should encompass comprehensive risk mitigation, robust business continuity strategies, and investments in both supply chain resilience and workforce adaptability to ensure swift and effective responses to fluctuating circumstances. Moreover, Hilton can invest in extensive training programs that nurture digital competencies, leadership acumen, and understanding of diversity and inclusion. </w:t>
      </w:r>
    </w:p>
    <w:p w14:paraId="023331CF" w14:textId="77777777" w:rsidR="00D0703A" w:rsidRDefault="00D0703A" w:rsidP="006D58D7">
      <w:pPr>
        <w:pStyle w:val="Heading1"/>
        <w:spacing w:line="480" w:lineRule="auto"/>
        <w:jc w:val="both"/>
        <w:rPr>
          <w:rFonts w:cs="Times New Roman"/>
          <w:color w:val="000000" w:themeColor="text1"/>
          <w:sz w:val="24"/>
          <w:szCs w:val="24"/>
        </w:rPr>
      </w:pPr>
      <w:bookmarkStart w:id="9" w:name="_Toc149986831"/>
    </w:p>
    <w:p w14:paraId="00000031" w14:textId="58424A8F" w:rsidR="00576FC3" w:rsidRPr="006D58D7" w:rsidRDefault="00000000" w:rsidP="006D58D7">
      <w:pPr>
        <w:pStyle w:val="Heading1"/>
        <w:spacing w:line="480" w:lineRule="auto"/>
        <w:jc w:val="both"/>
        <w:rPr>
          <w:rFonts w:cs="Times New Roman"/>
          <w:color w:val="000000" w:themeColor="text1"/>
          <w:sz w:val="24"/>
          <w:szCs w:val="24"/>
        </w:rPr>
      </w:pPr>
      <w:r w:rsidRPr="006D58D7">
        <w:rPr>
          <w:rFonts w:cs="Times New Roman"/>
          <w:color w:val="000000" w:themeColor="text1"/>
          <w:sz w:val="24"/>
          <w:szCs w:val="24"/>
        </w:rPr>
        <w:t>Conclusion</w:t>
      </w:r>
      <w:bookmarkEnd w:id="9"/>
      <w:r w:rsidRPr="006D58D7">
        <w:rPr>
          <w:rFonts w:cs="Times New Roman"/>
          <w:color w:val="000000" w:themeColor="text1"/>
          <w:sz w:val="24"/>
          <w:szCs w:val="24"/>
        </w:rPr>
        <w:t> </w:t>
      </w:r>
    </w:p>
    <w:p w14:paraId="00000032" w14:textId="77777777" w:rsidR="00576FC3" w:rsidRPr="006D58D7" w:rsidRDefault="00000000" w:rsidP="006D58D7">
      <w:pPr>
        <w:spacing w:after="0" w:line="480" w:lineRule="auto"/>
        <w:jc w:val="both"/>
        <w:rPr>
          <w:rFonts w:ascii="Times New Roman" w:eastAsia="Times New Roman" w:hAnsi="Times New Roman" w:cs="Times New Roman"/>
          <w:color w:val="000000" w:themeColor="text1"/>
          <w:sz w:val="24"/>
          <w:szCs w:val="24"/>
        </w:rPr>
      </w:pPr>
      <w:r w:rsidRPr="006D58D7">
        <w:rPr>
          <w:rFonts w:ascii="Times New Roman" w:eastAsia="Times New Roman" w:hAnsi="Times New Roman" w:cs="Times New Roman"/>
          <w:color w:val="000000" w:themeColor="text1"/>
          <w:sz w:val="24"/>
          <w:szCs w:val="24"/>
        </w:rPr>
        <w:t>It has been seen that effective innovation as well as teamwork plays a vital role in the development of an organisation. The findings of the most recent audit reveal that Hilton can successfully traverse the complexity of the global market thanks to its exceptional business performance and strategic flexibility. Hilton must, however, continue to try to anticipate customer preferences, use cutting-edge technology, and promote an environment that encourages diversity and innovation given how swiftly the company is growing. The suggestions put out are meant to enhance Hilton's current strategic goals, guaranteeing that the company not only stays ahead of upcoming market shifts but also establishes new standards for growth, sustainability, and customer service in the hospitality sector. Hilton will combine development and consolidation in the future as it looks to build on its legacy and go into new areas of the hospitality sector.</w:t>
      </w:r>
    </w:p>
    <w:p w14:paraId="00000033" w14:textId="77777777" w:rsidR="00576FC3" w:rsidRPr="006D58D7" w:rsidRDefault="00576FC3" w:rsidP="006D58D7">
      <w:pPr>
        <w:spacing w:after="0" w:line="480" w:lineRule="auto"/>
        <w:jc w:val="both"/>
        <w:rPr>
          <w:rFonts w:ascii="Times New Roman" w:eastAsia="Times New Roman" w:hAnsi="Times New Roman" w:cs="Times New Roman"/>
          <w:color w:val="000000" w:themeColor="text1"/>
          <w:sz w:val="24"/>
          <w:szCs w:val="24"/>
        </w:rPr>
      </w:pPr>
    </w:p>
    <w:p w14:paraId="00000034" w14:textId="77777777" w:rsidR="00576FC3" w:rsidRPr="006D58D7" w:rsidRDefault="00000000" w:rsidP="006D58D7">
      <w:pPr>
        <w:spacing w:line="480" w:lineRule="auto"/>
        <w:jc w:val="both"/>
        <w:rPr>
          <w:rFonts w:ascii="Times New Roman" w:eastAsia="Times New Roman" w:hAnsi="Times New Roman" w:cs="Times New Roman"/>
          <w:b/>
          <w:color w:val="000000" w:themeColor="text1"/>
          <w:sz w:val="24"/>
          <w:szCs w:val="24"/>
        </w:rPr>
      </w:pPr>
      <w:r w:rsidRPr="006D58D7">
        <w:rPr>
          <w:rFonts w:ascii="Times New Roman" w:hAnsi="Times New Roman" w:cs="Times New Roman"/>
          <w:color w:val="000000" w:themeColor="text1"/>
          <w:sz w:val="24"/>
          <w:szCs w:val="24"/>
        </w:rPr>
        <w:br w:type="page"/>
      </w:r>
    </w:p>
    <w:p w14:paraId="00000035" w14:textId="77777777" w:rsidR="00576FC3" w:rsidRPr="006D58D7" w:rsidRDefault="00000000" w:rsidP="006D58D7">
      <w:pPr>
        <w:pStyle w:val="Heading1"/>
        <w:spacing w:line="480" w:lineRule="auto"/>
        <w:jc w:val="both"/>
        <w:rPr>
          <w:rFonts w:cs="Times New Roman"/>
          <w:color w:val="000000" w:themeColor="text1"/>
          <w:sz w:val="24"/>
          <w:szCs w:val="24"/>
        </w:rPr>
      </w:pPr>
      <w:bookmarkStart w:id="10" w:name="_Toc149986832"/>
      <w:r w:rsidRPr="006D58D7">
        <w:rPr>
          <w:rFonts w:cs="Times New Roman"/>
          <w:color w:val="000000" w:themeColor="text1"/>
          <w:sz w:val="24"/>
          <w:szCs w:val="24"/>
        </w:rPr>
        <w:lastRenderedPageBreak/>
        <w:t>References</w:t>
      </w:r>
      <w:bookmarkEnd w:id="10"/>
    </w:p>
    <w:p w14:paraId="570D252C" w14:textId="69D0CAAD"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hAnsi="Times New Roman" w:cs="Times New Roman"/>
          <w:color w:val="000000" w:themeColor="text1"/>
          <w:sz w:val="24"/>
          <w:szCs w:val="24"/>
        </w:rPr>
        <w:t>‌</w:t>
      </w:r>
      <w:r w:rsidRPr="00D42B7D">
        <w:rPr>
          <w:rFonts w:ascii="Times New Roman" w:eastAsia="Times" w:hAnsi="Times New Roman" w:cs="Times New Roman"/>
          <w:color w:val="000000" w:themeColor="text1"/>
          <w:sz w:val="24"/>
          <w:szCs w:val="24"/>
          <w:highlight w:val="white"/>
        </w:rPr>
        <w:t xml:space="preserve">Adair, J., </w:t>
      </w:r>
      <w:r w:rsidR="006D58D7" w:rsidRPr="00D42B7D">
        <w:rPr>
          <w:rFonts w:ascii="Times New Roman" w:eastAsia="Times" w:hAnsi="Times New Roman" w:cs="Times New Roman"/>
          <w:color w:val="000000" w:themeColor="text1"/>
          <w:sz w:val="24"/>
          <w:szCs w:val="24"/>
          <w:highlight w:val="white"/>
        </w:rPr>
        <w:t>(</w:t>
      </w:r>
      <w:r w:rsidRPr="00D42B7D">
        <w:rPr>
          <w:rFonts w:ascii="Times New Roman" w:eastAsia="Times" w:hAnsi="Times New Roman" w:cs="Times New Roman"/>
          <w:color w:val="000000" w:themeColor="text1"/>
          <w:sz w:val="24"/>
          <w:szCs w:val="24"/>
          <w:highlight w:val="white"/>
        </w:rPr>
        <w:t>2009</w:t>
      </w:r>
      <w:r w:rsidR="006D58D7" w:rsidRPr="00D42B7D">
        <w:rPr>
          <w:rFonts w:ascii="Times New Roman" w:eastAsia="Times" w:hAnsi="Times New Roman" w:cs="Times New Roman"/>
          <w:color w:val="000000" w:themeColor="text1"/>
          <w:sz w:val="24"/>
          <w:szCs w:val="24"/>
          <w:highlight w:val="white"/>
        </w:rPr>
        <w:t>)</w:t>
      </w:r>
      <w:r w:rsidRPr="00D42B7D">
        <w:rPr>
          <w:rFonts w:ascii="Times New Roman" w:eastAsia="Times" w:hAnsi="Times New Roman" w:cs="Times New Roman"/>
          <w:color w:val="000000" w:themeColor="text1"/>
          <w:sz w:val="24"/>
          <w:szCs w:val="24"/>
          <w:highlight w:val="white"/>
        </w:rPr>
        <w:t xml:space="preserve">. </w:t>
      </w:r>
      <w:r w:rsidRPr="00D42B7D">
        <w:rPr>
          <w:rFonts w:ascii="Times New Roman" w:eastAsia="Times" w:hAnsi="Times New Roman" w:cs="Times New Roman"/>
          <w:i/>
          <w:color w:val="000000" w:themeColor="text1"/>
          <w:sz w:val="24"/>
          <w:szCs w:val="24"/>
          <w:highlight w:val="white"/>
        </w:rPr>
        <w:t>The inspirational leader: How to motivate, encourage and achieve success</w:t>
      </w:r>
      <w:r w:rsidRPr="00D42B7D">
        <w:rPr>
          <w:rFonts w:ascii="Times New Roman" w:eastAsia="Times" w:hAnsi="Times New Roman" w:cs="Times New Roman"/>
          <w:color w:val="000000" w:themeColor="text1"/>
          <w:sz w:val="24"/>
          <w:szCs w:val="24"/>
          <w:highlight w:val="white"/>
        </w:rPr>
        <w:t>. Kogan Page Publishers.</w:t>
      </w:r>
    </w:p>
    <w:p w14:paraId="1F3D9B46" w14:textId="2C833926"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Chen, C.C., Shih, H.C. and </w:t>
      </w:r>
      <w:proofErr w:type="spellStart"/>
      <w:r w:rsidRPr="00D42B7D">
        <w:rPr>
          <w:rFonts w:ascii="Times New Roman" w:eastAsia="Times New Roman" w:hAnsi="Times New Roman" w:cs="Times New Roman"/>
          <w:color w:val="000000" w:themeColor="text1"/>
          <w:sz w:val="24"/>
          <w:szCs w:val="24"/>
        </w:rPr>
        <w:t>Shyue</w:t>
      </w:r>
      <w:proofErr w:type="spellEnd"/>
      <w:r w:rsidRPr="00D42B7D">
        <w:rPr>
          <w:rFonts w:ascii="Times New Roman" w:eastAsia="Times New Roman" w:hAnsi="Times New Roman" w:cs="Times New Roman"/>
          <w:color w:val="000000" w:themeColor="text1"/>
          <w:sz w:val="24"/>
          <w:szCs w:val="24"/>
        </w:rPr>
        <w:t xml:space="preserve">, S.W.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The study of career needs, career development programmes and job satisfaction levels of R&amp;D personnel: evidence from Taiwanese high-tech companies. Total Quality Management &amp; Business Excellence</w:t>
      </w:r>
      <w:r w:rsidRPr="00D42B7D">
        <w:rPr>
          <w:rFonts w:ascii="Times New Roman" w:eastAsia="Times New Roman" w:hAnsi="Times New Roman" w:cs="Times New Roman"/>
          <w:color w:val="000000" w:themeColor="text1"/>
          <w:sz w:val="24"/>
          <w:szCs w:val="24"/>
        </w:rPr>
        <w:t>, 31(3-4), pp.295-310.</w:t>
      </w:r>
    </w:p>
    <w:p w14:paraId="6228A3AB" w14:textId="0CC629EF"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Cooper, C.,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2021</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Essentials of tourism</w:t>
      </w:r>
      <w:r w:rsidRPr="00D42B7D">
        <w:rPr>
          <w:rFonts w:ascii="Times New Roman" w:eastAsia="Times New Roman" w:hAnsi="Times New Roman" w:cs="Times New Roman"/>
          <w:color w:val="000000" w:themeColor="text1"/>
          <w:sz w:val="24"/>
          <w:szCs w:val="24"/>
        </w:rPr>
        <w:t>. Third edition. London: SAGE.</w:t>
      </w:r>
    </w:p>
    <w:p w14:paraId="2AC18F1E" w14:textId="1D927976"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Deery, M. and Jago, L.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2019</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A framework for work-life balance practices: Addressing the needs of the tourism industry</w:t>
      </w:r>
      <w:r w:rsidRPr="00D42B7D">
        <w:rPr>
          <w:rFonts w:ascii="Times New Roman" w:eastAsia="Times New Roman" w:hAnsi="Times New Roman" w:cs="Times New Roman"/>
          <w:color w:val="000000" w:themeColor="text1"/>
          <w:sz w:val="24"/>
          <w:szCs w:val="24"/>
        </w:rPr>
        <w:t>. Tourism Management Perspectives, 31, pp.125-134.</w:t>
      </w:r>
    </w:p>
    <w:p w14:paraId="4BF7B667" w14:textId="1C8C5F8B"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Gibson, P. and Qian, C.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2019</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Corporate social responsibility in the hospitality sector</w:t>
      </w:r>
      <w:r w:rsidRPr="00D42B7D">
        <w:rPr>
          <w:rFonts w:ascii="Times New Roman" w:eastAsia="Times New Roman" w:hAnsi="Times New Roman" w:cs="Times New Roman"/>
          <w:color w:val="000000" w:themeColor="text1"/>
          <w:sz w:val="24"/>
          <w:szCs w:val="24"/>
        </w:rPr>
        <w:t>. Annals of Tourism Research, 75, pp.347-360.</w:t>
      </w:r>
    </w:p>
    <w:p w14:paraId="00E6CE2B" w14:textId="62782DF1"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Guchait, P., Paşamehmetoğlu, A. and Dawson, M.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2019</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Perceived supervisor and co-worker support for error management: Impact on perceived psychological safety and service recovery performance</w:t>
      </w:r>
      <w:r w:rsidRPr="00D42B7D">
        <w:rPr>
          <w:rFonts w:ascii="Times New Roman" w:eastAsia="Times New Roman" w:hAnsi="Times New Roman" w:cs="Times New Roman"/>
          <w:color w:val="000000" w:themeColor="text1"/>
          <w:sz w:val="24"/>
          <w:szCs w:val="24"/>
        </w:rPr>
        <w:t>. International Journal of Hospitality Management, 81, pp.21-32.</w:t>
      </w:r>
    </w:p>
    <w:p w14:paraId="630B2610" w14:textId="5D043F6C" w:rsidR="000F55F6" w:rsidRPr="00D42B7D" w:rsidRDefault="00000000" w:rsidP="00D42B7D">
      <w:pPr>
        <w:spacing w:before="240" w:after="240" w:line="276" w:lineRule="auto"/>
        <w:jc w:val="both"/>
        <w:rPr>
          <w:rFonts w:ascii="Times New Roman" w:eastAsia="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Haski-Leventhal, D.,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2018</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Strategic corporate social responsibility</w:t>
      </w:r>
      <w:r w:rsidRPr="00D42B7D">
        <w:rPr>
          <w:rFonts w:ascii="Times New Roman" w:eastAsia="Times New Roman" w:hAnsi="Times New Roman" w:cs="Times New Roman"/>
          <w:color w:val="000000" w:themeColor="text1"/>
          <w:sz w:val="24"/>
          <w:szCs w:val="24"/>
        </w:rPr>
        <w:t>: Tools &amp; Theories for responsible management. London: SAGE.</w:t>
      </w:r>
    </w:p>
    <w:p w14:paraId="035C27E7" w14:textId="1AB63FEF" w:rsidR="0084171C" w:rsidRPr="00D42B7D" w:rsidRDefault="0084171C" w:rsidP="00D42B7D">
      <w:pPr>
        <w:spacing w:before="240" w:after="240" w:line="276" w:lineRule="auto"/>
        <w:jc w:val="both"/>
        <w:rPr>
          <w:rFonts w:ascii="Times New Roman" w:hAnsi="Times New Roman" w:cs="Times New Roman"/>
          <w:color w:val="05103E"/>
          <w:sz w:val="24"/>
          <w:szCs w:val="24"/>
        </w:rPr>
      </w:pPr>
      <w:r w:rsidRPr="00D42B7D">
        <w:rPr>
          <w:rFonts w:ascii="Times New Roman" w:hAnsi="Times New Roman" w:cs="Times New Roman"/>
          <w:color w:val="05103E"/>
          <w:sz w:val="24"/>
          <w:szCs w:val="24"/>
          <w:bdr w:val="single" w:sz="2" w:space="0" w:color="ECEDEE" w:frame="1"/>
        </w:rPr>
        <w:t>Hilton Hotels &amp; Resorts</w:t>
      </w:r>
      <w:r w:rsidRPr="00D42B7D">
        <w:rPr>
          <w:rFonts w:ascii="Times New Roman" w:hAnsi="Times New Roman" w:cs="Times New Roman"/>
          <w:color w:val="05103E"/>
          <w:sz w:val="24"/>
          <w:szCs w:val="24"/>
        </w:rPr>
        <w:t> (2020). </w:t>
      </w:r>
      <w:hyperlink r:id="rId8" w:history="1">
        <w:r w:rsidR="00D42B7D" w:rsidRPr="00D42B7D">
          <w:rPr>
            <w:rStyle w:val="Hyperlink"/>
            <w:rFonts w:ascii="Times New Roman" w:hAnsi="Times New Roman" w:cs="Times New Roman"/>
            <w:sz w:val="24"/>
            <w:szCs w:val="24"/>
            <w:bdr w:val="single" w:sz="2" w:space="0" w:color="ECEDEE" w:frame="1"/>
          </w:rPr>
          <w:t>https://research-methodology.net/hilton-hotels-resorts/</w:t>
        </w:r>
      </w:hyperlink>
      <w:r w:rsidRPr="00D42B7D">
        <w:rPr>
          <w:rFonts w:ascii="Times New Roman" w:hAnsi="Times New Roman" w:cs="Times New Roman"/>
          <w:color w:val="05103E"/>
          <w:sz w:val="24"/>
          <w:szCs w:val="24"/>
        </w:rPr>
        <w:t>.</w:t>
      </w:r>
    </w:p>
    <w:p w14:paraId="14B3BE8E" w14:textId="681156FA" w:rsidR="00D42B7D" w:rsidRPr="00D42B7D" w:rsidRDefault="00D42B7D"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hAnsi="Times New Roman" w:cs="Times New Roman"/>
          <w:i/>
          <w:iCs/>
          <w:color w:val="000000" w:themeColor="text1"/>
          <w:sz w:val="24"/>
          <w:szCs w:val="24"/>
        </w:rPr>
        <w:t>Hilton Celebrates Growth and Development Milestones as Company Prepares for a New, Reinvigorated Era of Travel</w:t>
      </w:r>
      <w:r w:rsidRPr="00D42B7D">
        <w:rPr>
          <w:rFonts w:ascii="Times New Roman" w:hAnsi="Times New Roman" w:cs="Times New Roman"/>
          <w:color w:val="000000" w:themeColor="text1"/>
          <w:sz w:val="24"/>
          <w:szCs w:val="24"/>
        </w:rPr>
        <w:t> (2022). https://www.businesswire.com/news/home/20220121005394/en/Hilton-Celebrates-Growth-and-Development-Milestones-as-Company-Prepares-for-a-New-Reinvigorated-Era-of-Travel.</w:t>
      </w:r>
    </w:p>
    <w:p w14:paraId="66BC62F2" w14:textId="70C47B52"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Inkson, C. and Minnaert, L.,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2022</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Tourism management: an introduction</w:t>
      </w:r>
      <w:r w:rsidRPr="00D42B7D">
        <w:rPr>
          <w:rFonts w:ascii="Times New Roman" w:eastAsia="Times New Roman" w:hAnsi="Times New Roman" w:cs="Times New Roman"/>
          <w:color w:val="000000" w:themeColor="text1"/>
          <w:sz w:val="24"/>
          <w:szCs w:val="24"/>
        </w:rPr>
        <w:t>. Sage.</w:t>
      </w:r>
    </w:p>
    <w:p w14:paraId="6653FDC5" w14:textId="103DF19D"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Jiang, Y. and Wen, J.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Effects of COVID-19 on hotel marketing and management: A perspective article</w:t>
      </w:r>
      <w:r w:rsidRPr="00D42B7D">
        <w:rPr>
          <w:rFonts w:ascii="Times New Roman" w:eastAsia="Times New Roman" w:hAnsi="Times New Roman" w:cs="Times New Roman"/>
          <w:color w:val="000000" w:themeColor="text1"/>
          <w:sz w:val="24"/>
          <w:szCs w:val="24"/>
        </w:rPr>
        <w:t>. International Journal of Contemporary Hospitality Management, 32(8), pp.2563-2587.</w:t>
      </w:r>
    </w:p>
    <w:p w14:paraId="2F70744A" w14:textId="262C3375"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Kim, Y.J., Kim, W.G. and Choi, H.M.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2019</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Organizational culture and organizational effectiveness in the hotel industry: the mediating role of transformational leadership</w:t>
      </w:r>
      <w:r w:rsidRPr="00D42B7D">
        <w:rPr>
          <w:rFonts w:ascii="Times New Roman" w:eastAsia="Times New Roman" w:hAnsi="Times New Roman" w:cs="Times New Roman"/>
          <w:color w:val="000000" w:themeColor="text1"/>
          <w:sz w:val="24"/>
          <w:szCs w:val="24"/>
        </w:rPr>
        <w:t>. Journal of Hospitality Marketing &amp; Management, 28(7), pp.811-832.</w:t>
      </w:r>
    </w:p>
    <w:p w14:paraId="6EF916D4" w14:textId="1BC62C47"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lastRenderedPageBreak/>
        <w:t xml:space="preserve">Lee, S. and Jang, S.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Understanding the impact of luxury hotel social responsibility on employee’s organizational pride and job satisfaction</w:t>
      </w:r>
      <w:r w:rsidRPr="00D42B7D">
        <w:rPr>
          <w:rFonts w:ascii="Times New Roman" w:eastAsia="Times New Roman" w:hAnsi="Times New Roman" w:cs="Times New Roman"/>
          <w:color w:val="000000" w:themeColor="text1"/>
          <w:sz w:val="24"/>
          <w:szCs w:val="24"/>
        </w:rPr>
        <w:t>. International Journal of Hospitality Management, 87, 102472.</w:t>
      </w:r>
    </w:p>
    <w:p w14:paraId="52AD5D2E" w14:textId="02A3BB9F"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w:hAnsi="Times New Roman" w:cs="Times New Roman"/>
          <w:color w:val="000000" w:themeColor="text1"/>
          <w:sz w:val="24"/>
          <w:szCs w:val="24"/>
        </w:rPr>
        <w:t xml:space="preserve">Mullins, L. and Dosser, P. (2013). </w:t>
      </w:r>
      <w:r w:rsidRPr="00D42B7D">
        <w:rPr>
          <w:rFonts w:ascii="Times New Roman" w:eastAsia="Times" w:hAnsi="Times New Roman" w:cs="Times New Roman"/>
          <w:i/>
          <w:color w:val="000000" w:themeColor="text1"/>
          <w:sz w:val="24"/>
          <w:szCs w:val="24"/>
        </w:rPr>
        <w:t>Hospitality Management and Organisational Behaviour, 5th edition</w:t>
      </w:r>
      <w:r w:rsidRPr="00D42B7D">
        <w:rPr>
          <w:rFonts w:ascii="Times New Roman" w:eastAsia="Times" w:hAnsi="Times New Roman" w:cs="Times New Roman"/>
          <w:color w:val="000000" w:themeColor="text1"/>
          <w:sz w:val="24"/>
          <w:szCs w:val="24"/>
        </w:rPr>
        <w:t xml:space="preserve">. [online] pearson.com. Available at: </w:t>
      </w:r>
      <w:hyperlink r:id="rId9">
        <w:r w:rsidRPr="00D42B7D">
          <w:rPr>
            <w:rFonts w:ascii="Times New Roman" w:eastAsia="Times" w:hAnsi="Times New Roman" w:cs="Times New Roman"/>
            <w:color w:val="000000" w:themeColor="text1"/>
            <w:sz w:val="24"/>
            <w:szCs w:val="24"/>
            <w:u w:val="single"/>
          </w:rPr>
          <w:t>https://www.pearson.com/en-gb/subject-catalog/p/hospitality-management-and-organisational-behaviour/P200000005088/9780273758419</w:t>
        </w:r>
      </w:hyperlink>
      <w:r w:rsidRPr="00D42B7D">
        <w:rPr>
          <w:rFonts w:ascii="Times New Roman" w:eastAsia="Times" w:hAnsi="Times New Roman" w:cs="Times New Roman"/>
          <w:color w:val="000000" w:themeColor="text1"/>
          <w:sz w:val="24"/>
          <w:szCs w:val="24"/>
        </w:rPr>
        <w:t xml:space="preserve">  </w:t>
      </w:r>
    </w:p>
    <w:p w14:paraId="338E95E5" w14:textId="5BFD5F50"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Ribeiro, M.A., Woosnam, K.M., Pinto, P. and Silva, J.A.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Examining the predictive validity of SUS-TAS with hotel employee's pro-environmental behavio</w:t>
      </w:r>
      <w:r w:rsidRPr="00D42B7D">
        <w:rPr>
          <w:rFonts w:ascii="Times New Roman" w:eastAsia="Times New Roman" w:hAnsi="Times New Roman" w:cs="Times New Roman"/>
          <w:color w:val="000000" w:themeColor="text1"/>
          <w:sz w:val="24"/>
          <w:szCs w:val="24"/>
        </w:rPr>
        <w:t>r. Journal of Hospitality and Tourism Management, 43, pp.184-194.</w:t>
      </w:r>
    </w:p>
    <w:p w14:paraId="33AC95AD" w14:textId="4F088DB3"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Singh, A. and Shrivastava, S.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Effect of organizational culture on employee commitment in the Indian IT services sourcing industry.</w:t>
      </w:r>
      <w:r w:rsidRPr="00D42B7D">
        <w:rPr>
          <w:rFonts w:ascii="Times New Roman" w:eastAsia="Times New Roman" w:hAnsi="Times New Roman" w:cs="Times New Roman"/>
          <w:color w:val="000000" w:themeColor="text1"/>
          <w:sz w:val="24"/>
          <w:szCs w:val="24"/>
        </w:rPr>
        <w:t xml:space="preserve"> Journal of Organizational Change Management, 33(1), pp.91-111.</w:t>
      </w:r>
    </w:p>
    <w:p w14:paraId="560DF1D6" w14:textId="6CC9E900"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Sloan, P., Legrand, </w:t>
      </w:r>
      <w:proofErr w:type="gramStart"/>
      <w:r w:rsidRPr="00D42B7D">
        <w:rPr>
          <w:rFonts w:ascii="Times New Roman" w:eastAsia="Times New Roman" w:hAnsi="Times New Roman" w:cs="Times New Roman"/>
          <w:color w:val="000000" w:themeColor="text1"/>
          <w:sz w:val="24"/>
          <w:szCs w:val="24"/>
        </w:rPr>
        <w:t>W.</w:t>
      </w:r>
      <w:proofErr w:type="gramEnd"/>
      <w:r w:rsidRPr="00D42B7D">
        <w:rPr>
          <w:rFonts w:ascii="Times New Roman" w:eastAsia="Times New Roman" w:hAnsi="Times New Roman" w:cs="Times New Roman"/>
          <w:color w:val="000000" w:themeColor="text1"/>
          <w:sz w:val="24"/>
          <w:szCs w:val="24"/>
        </w:rPr>
        <w:t xml:space="preserve"> and Chen, J.S.,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2017</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Sustainability in the hospitality industry: principles of sustainable operations</w:t>
      </w:r>
      <w:r w:rsidRPr="00D42B7D">
        <w:rPr>
          <w:rFonts w:ascii="Times New Roman" w:eastAsia="Times New Roman" w:hAnsi="Times New Roman" w:cs="Times New Roman"/>
          <w:color w:val="000000" w:themeColor="text1"/>
          <w:sz w:val="24"/>
          <w:szCs w:val="24"/>
        </w:rPr>
        <w:t>. 3rd edn. London: Butterworth-Heinemann.</w:t>
      </w:r>
    </w:p>
    <w:p w14:paraId="3A48C7AE" w14:textId="3F2265BF" w:rsidR="000F55F6"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Solnet, D., Baum, </w:t>
      </w:r>
      <w:proofErr w:type="gramStart"/>
      <w:r w:rsidRPr="00D42B7D">
        <w:rPr>
          <w:rFonts w:ascii="Times New Roman" w:eastAsia="Times New Roman" w:hAnsi="Times New Roman" w:cs="Times New Roman"/>
          <w:color w:val="000000" w:themeColor="text1"/>
          <w:sz w:val="24"/>
          <w:szCs w:val="24"/>
        </w:rPr>
        <w:t>T.</w:t>
      </w:r>
      <w:proofErr w:type="gramEnd"/>
      <w:r w:rsidRPr="00D42B7D">
        <w:rPr>
          <w:rFonts w:ascii="Times New Roman" w:eastAsia="Times New Roman" w:hAnsi="Times New Roman" w:cs="Times New Roman"/>
          <w:color w:val="000000" w:themeColor="text1"/>
          <w:sz w:val="24"/>
          <w:szCs w:val="24"/>
        </w:rPr>
        <w:t xml:space="preserve"> and Robinson, R.N.S.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A three-domain approach to understanding senior tourism employment</w:t>
      </w:r>
      <w:r w:rsidRPr="00D42B7D">
        <w:rPr>
          <w:rFonts w:ascii="Times New Roman" w:eastAsia="Times New Roman" w:hAnsi="Times New Roman" w:cs="Times New Roman"/>
          <w:color w:val="000000" w:themeColor="text1"/>
          <w:sz w:val="24"/>
          <w:szCs w:val="24"/>
        </w:rPr>
        <w:t>. Annals of Tourism Research, 83, 102929.</w:t>
      </w:r>
    </w:p>
    <w:p w14:paraId="3EF8B289" w14:textId="7016C29D" w:rsidR="000F55F6" w:rsidRPr="00D42B7D" w:rsidRDefault="00000000" w:rsidP="00D42B7D">
      <w:pPr>
        <w:spacing w:before="240" w:after="240" w:line="276" w:lineRule="auto"/>
        <w:jc w:val="both"/>
        <w:rPr>
          <w:rFonts w:ascii="Times New Roman" w:eastAsia="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Xiang, L. and Ma, E.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2020</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Leadership style and employee job satisfaction in the hospitality industry: A systematic review</w:t>
      </w:r>
      <w:r w:rsidRPr="00D42B7D">
        <w:rPr>
          <w:rFonts w:ascii="Times New Roman" w:eastAsia="Times New Roman" w:hAnsi="Times New Roman" w:cs="Times New Roman"/>
          <w:color w:val="000000" w:themeColor="text1"/>
          <w:sz w:val="24"/>
          <w:szCs w:val="24"/>
        </w:rPr>
        <w:t>. International Journal of Contemporary Hospitality Management, 32(3), pp.1231-1250.</w:t>
      </w:r>
    </w:p>
    <w:p w14:paraId="7144ACCD" w14:textId="77D82A9B" w:rsidR="0084171C" w:rsidRPr="00D42B7D" w:rsidRDefault="0084171C"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hAnsi="Times New Roman" w:cs="Times New Roman"/>
          <w:color w:val="000000" w:themeColor="text1"/>
          <w:sz w:val="24"/>
          <w:szCs w:val="24"/>
        </w:rPr>
        <w:t>Zhang, J. (2023) 'Analysis of Strategic human resource management practices,' </w:t>
      </w:r>
      <w:r w:rsidRPr="00D42B7D">
        <w:rPr>
          <w:rFonts w:ascii="Times New Roman" w:hAnsi="Times New Roman" w:cs="Times New Roman"/>
          <w:i/>
          <w:iCs/>
          <w:color w:val="000000" w:themeColor="text1"/>
          <w:sz w:val="24"/>
          <w:szCs w:val="24"/>
        </w:rPr>
        <w:t>Frontiers in Business, Economics and Management</w:t>
      </w:r>
      <w:r w:rsidRPr="00D42B7D">
        <w:rPr>
          <w:rFonts w:ascii="Times New Roman" w:hAnsi="Times New Roman" w:cs="Times New Roman"/>
          <w:color w:val="000000" w:themeColor="text1"/>
          <w:sz w:val="24"/>
          <w:szCs w:val="24"/>
        </w:rPr>
        <w:t>, 8(3), pp. 215–222. https://doi.org/10.54097/fbem.v8i3.7872.</w:t>
      </w:r>
    </w:p>
    <w:p w14:paraId="1B545C56" w14:textId="6F5B000B" w:rsidR="00256990" w:rsidRPr="00D42B7D" w:rsidRDefault="00000000" w:rsidP="00D42B7D">
      <w:pPr>
        <w:spacing w:before="240" w:after="240" w:line="276" w:lineRule="auto"/>
        <w:jc w:val="both"/>
        <w:rPr>
          <w:rFonts w:ascii="Times New Roman" w:hAnsi="Times New Roman" w:cs="Times New Roman"/>
          <w:color w:val="000000" w:themeColor="text1"/>
          <w:sz w:val="24"/>
          <w:szCs w:val="24"/>
        </w:rPr>
      </w:pPr>
      <w:r w:rsidRPr="00D42B7D">
        <w:rPr>
          <w:rFonts w:ascii="Times New Roman" w:eastAsia="Times New Roman" w:hAnsi="Times New Roman" w:cs="Times New Roman"/>
          <w:color w:val="000000" w:themeColor="text1"/>
          <w:sz w:val="24"/>
          <w:szCs w:val="24"/>
        </w:rPr>
        <w:t xml:space="preserve">Zopiatis, A., Constanti, P. and Theocharous, A.L. </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2019</w:t>
      </w:r>
      <w:r w:rsidR="006D58D7" w:rsidRPr="00D42B7D">
        <w:rPr>
          <w:rFonts w:ascii="Times New Roman" w:eastAsia="Times New Roman" w:hAnsi="Times New Roman" w:cs="Times New Roman"/>
          <w:color w:val="000000" w:themeColor="text1"/>
          <w:sz w:val="24"/>
          <w:szCs w:val="24"/>
        </w:rPr>
        <w:t>)</w:t>
      </w:r>
      <w:r w:rsidRPr="00D42B7D">
        <w:rPr>
          <w:rFonts w:ascii="Times New Roman" w:eastAsia="Times New Roman" w:hAnsi="Times New Roman" w:cs="Times New Roman"/>
          <w:color w:val="000000" w:themeColor="text1"/>
          <w:sz w:val="24"/>
          <w:szCs w:val="24"/>
        </w:rPr>
        <w:t xml:space="preserve">. </w:t>
      </w:r>
      <w:r w:rsidRPr="00D42B7D">
        <w:rPr>
          <w:rFonts w:ascii="Times New Roman" w:eastAsia="Times New Roman" w:hAnsi="Times New Roman" w:cs="Times New Roman"/>
          <w:i/>
          <w:iCs/>
          <w:color w:val="000000" w:themeColor="text1"/>
          <w:sz w:val="24"/>
          <w:szCs w:val="24"/>
        </w:rPr>
        <w:t>Leadership styles and burnout: is there an association</w:t>
      </w:r>
      <w:r w:rsidRPr="00D42B7D">
        <w:rPr>
          <w:rFonts w:ascii="Times New Roman" w:eastAsia="Times New Roman" w:hAnsi="Times New Roman" w:cs="Times New Roman"/>
          <w:color w:val="000000" w:themeColor="text1"/>
          <w:sz w:val="24"/>
          <w:szCs w:val="24"/>
        </w:rPr>
        <w:t>? International Journal of Contemporary Hospitality Management, 31(6), pp.2545-2563.</w:t>
      </w:r>
    </w:p>
    <w:p w14:paraId="2F26507A" w14:textId="77777777" w:rsidR="00256990" w:rsidRPr="00D42B7D" w:rsidRDefault="00000000" w:rsidP="00D42B7D">
      <w:pPr>
        <w:spacing w:line="276" w:lineRule="auto"/>
        <w:jc w:val="both"/>
        <w:rPr>
          <w:rFonts w:ascii="Times New Roman" w:eastAsia="Times" w:hAnsi="Times New Roman" w:cs="Times New Roman"/>
          <w:b/>
          <w:color w:val="000000" w:themeColor="text1"/>
          <w:sz w:val="24"/>
          <w:szCs w:val="24"/>
        </w:rPr>
      </w:pPr>
      <w:bookmarkStart w:id="11" w:name="_heading=h.oxs8lht8f47h" w:colFirst="0" w:colLast="0"/>
      <w:bookmarkStart w:id="12" w:name="_Toc149986833"/>
      <w:bookmarkEnd w:id="11"/>
      <w:r w:rsidRPr="00D42B7D">
        <w:rPr>
          <w:rFonts w:ascii="Times New Roman" w:eastAsia="Times" w:hAnsi="Times New Roman" w:cs="Times New Roman"/>
          <w:color w:val="000000" w:themeColor="text1"/>
          <w:sz w:val="24"/>
          <w:szCs w:val="24"/>
        </w:rPr>
        <w:br w:type="page"/>
      </w:r>
    </w:p>
    <w:bookmarkEnd w:id="12"/>
    <w:p w14:paraId="0000004D" w14:textId="6422B051" w:rsidR="00576FC3" w:rsidRPr="000F55F6" w:rsidRDefault="00576FC3">
      <w:pPr>
        <w:spacing w:line="360" w:lineRule="auto"/>
        <w:jc w:val="both"/>
        <w:rPr>
          <w:rFonts w:ascii="Times New Roman" w:eastAsia="Times" w:hAnsi="Times New Roman" w:cs="Times New Roman"/>
          <w:color w:val="000000" w:themeColor="text1"/>
          <w:sz w:val="24"/>
          <w:szCs w:val="24"/>
          <w:highlight w:val="white"/>
        </w:rPr>
      </w:pPr>
    </w:p>
    <w:sectPr w:rsidR="00576FC3" w:rsidRPr="000F55F6" w:rsidSect="004F7579">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EFF4B" w14:textId="77777777" w:rsidR="00D33211" w:rsidRDefault="00D33211">
      <w:pPr>
        <w:spacing w:after="0" w:line="240" w:lineRule="auto"/>
      </w:pPr>
      <w:r>
        <w:separator/>
      </w:r>
    </w:p>
  </w:endnote>
  <w:endnote w:type="continuationSeparator" w:id="0">
    <w:p w14:paraId="74C78A30" w14:textId="77777777" w:rsidR="00D33211" w:rsidRDefault="00D33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E" w14:textId="579D7F13" w:rsidR="00576FC3" w:rsidRDefault="00000000">
    <w:pPr>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256990">
      <w:rPr>
        <w:rFonts w:ascii="Times New Roman" w:eastAsia="Times New Roman" w:hAnsi="Times New Roman" w:cs="Times New Roman"/>
        <w:b/>
        <w:noProof/>
        <w:color w:val="000000"/>
        <w:sz w:val="24"/>
        <w:szCs w:val="24"/>
      </w:rPr>
      <w:t>12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256990">
      <w:rPr>
        <w:rFonts w:ascii="Times New Roman" w:eastAsia="Times New Roman" w:hAnsi="Times New Roman" w:cs="Times New Roman"/>
        <w:b/>
        <w:noProof/>
        <w:color w:val="000000"/>
        <w:sz w:val="24"/>
        <w:szCs w:val="24"/>
      </w:rPr>
      <w:t>12</w:t>
    </w:r>
    <w:r>
      <w:rPr>
        <w:rFonts w:ascii="Times New Roman" w:eastAsia="Times New Roman" w:hAnsi="Times New Roman" w:cs="Times New Roman"/>
        <w:b/>
        <w:color w:val="000000"/>
        <w:sz w:val="24"/>
        <w:szCs w:val="24"/>
      </w:rPr>
      <w:fldChar w:fldCharType="end"/>
    </w:r>
  </w:p>
  <w:p w14:paraId="0000004F" w14:textId="77777777" w:rsidR="00576FC3" w:rsidRDefault="00576FC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F0EEE" w14:textId="77777777" w:rsidR="00D33211" w:rsidRDefault="00D33211">
      <w:pPr>
        <w:spacing w:after="0" w:line="240" w:lineRule="auto"/>
      </w:pPr>
      <w:r>
        <w:separator/>
      </w:r>
    </w:p>
  </w:footnote>
  <w:footnote w:type="continuationSeparator" w:id="0">
    <w:p w14:paraId="10688FDD" w14:textId="77777777" w:rsidR="00D33211" w:rsidRDefault="00D332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FC3"/>
    <w:rsid w:val="000F55F6"/>
    <w:rsid w:val="001F344B"/>
    <w:rsid w:val="00256990"/>
    <w:rsid w:val="00297B50"/>
    <w:rsid w:val="004F7579"/>
    <w:rsid w:val="0056716C"/>
    <w:rsid w:val="00576FC3"/>
    <w:rsid w:val="005F0451"/>
    <w:rsid w:val="006D58D7"/>
    <w:rsid w:val="0084171C"/>
    <w:rsid w:val="00AF7205"/>
    <w:rsid w:val="00CE10BF"/>
    <w:rsid w:val="00D0703A"/>
    <w:rsid w:val="00D33211"/>
    <w:rsid w:val="00D4110F"/>
    <w:rsid w:val="00D42B7D"/>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EF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285"/>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2D2285"/>
    <w:pPr>
      <w:keepNext/>
      <w:keepLines/>
      <w:spacing w:before="40" w:after="0"/>
      <w:outlineLvl w:val="1"/>
    </w:pPr>
    <w:rPr>
      <w:rFonts w:ascii="Times New Roman" w:eastAsiaTheme="majorEastAsia" w:hAnsi="Times New Roman" w:cstheme="majorBidi"/>
      <w:b/>
      <w:i/>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2D22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D228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2285"/>
    <w:rPr>
      <w:rFonts w:ascii="Times New Roman" w:eastAsiaTheme="majorEastAsia" w:hAnsi="Times New Roman" w:cstheme="majorBidi"/>
      <w:b/>
      <w:i/>
      <w:sz w:val="26"/>
      <w:szCs w:val="26"/>
    </w:rPr>
  </w:style>
  <w:style w:type="paragraph" w:styleId="Header">
    <w:name w:val="header"/>
    <w:basedOn w:val="Normal"/>
    <w:link w:val="HeaderChar"/>
    <w:uiPriority w:val="99"/>
    <w:unhideWhenUsed/>
    <w:rsid w:val="002D2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285"/>
  </w:style>
  <w:style w:type="paragraph" w:styleId="Footer">
    <w:name w:val="footer"/>
    <w:basedOn w:val="Normal"/>
    <w:link w:val="FooterChar"/>
    <w:uiPriority w:val="99"/>
    <w:unhideWhenUsed/>
    <w:rsid w:val="002D2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285"/>
  </w:style>
  <w:style w:type="paragraph" w:styleId="TOCHeading">
    <w:name w:val="TOC Heading"/>
    <w:basedOn w:val="Heading1"/>
    <w:next w:val="Normal"/>
    <w:uiPriority w:val="39"/>
    <w:unhideWhenUsed/>
    <w:qFormat/>
    <w:rsid w:val="002D2285"/>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2D2285"/>
    <w:pPr>
      <w:spacing w:after="100"/>
    </w:pPr>
  </w:style>
  <w:style w:type="paragraph" w:styleId="TOC2">
    <w:name w:val="toc 2"/>
    <w:basedOn w:val="Normal"/>
    <w:next w:val="Normal"/>
    <w:autoRedefine/>
    <w:uiPriority w:val="39"/>
    <w:unhideWhenUsed/>
    <w:rsid w:val="002D2285"/>
    <w:pPr>
      <w:spacing w:after="100"/>
      <w:ind w:left="220"/>
    </w:pPr>
  </w:style>
  <w:style w:type="character" w:styleId="Hyperlink">
    <w:name w:val="Hyperlink"/>
    <w:basedOn w:val="DefaultParagraphFont"/>
    <w:uiPriority w:val="99"/>
    <w:unhideWhenUsed/>
    <w:rsid w:val="002D2285"/>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D42B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search-methodology.net/hilton-hotels-resor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earson.com/en-gb/subject-catalog/p/hospitality-management-and-organisational-behaviour/P200000005088/97802737584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AeE0flZ5+r/vFnfGehwQYFvq3g==">CgMxLjAyCGguZ2pkZ3hzMgloLjMwajB6bGwyCWguMWZvYjl0ZTIJaC4zem55c2g3MgloLjJldDkycDAyCGgudHlqY3d0MgloLjNkeTZ2a20yCWguMXQzaDVzZjIJaC40ZDM0b2c4MgloLjJzOGV5bzEyCWguMTdkcDh2dTIOaC5veHM4bGh0OGY0N2g4AHIhMVJKSUFpZGQ1aUN6YldyR01lY01xOVNxRjhISW1nTzlX</go:docsCustomData>
</go:gDocsCustomXmlDataStorage>
</file>

<file path=customXml/itemProps1.xml><?xml version="1.0" encoding="utf-8"?>
<ds:datastoreItem xmlns:ds="http://schemas.openxmlformats.org/officeDocument/2006/customXml" ds:itemID="{3D17C9F0-554E-473A-AD97-0B292AC53EC6}">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3148</Words>
  <Characters>17946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2023-11-15T13:12:00Z</dcterms:created>
  <dcterms:modified xsi:type="dcterms:W3CDTF">2023-11-15T13:12:00Z</dcterms:modified>
</cp:coreProperties>
</file>