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E4602" w:rsidRPr="0092176A" w:rsidRDefault="002E4602" w:rsidP="002E4602">
      <w:pPr>
        <w:pStyle w:val="StandardWeb"/>
        <w:spacing w:before="0" w:beforeAutospacing="0" w:after="0" w:afterAutospacing="0"/>
        <w:ind w:left="-180" w:right="-334"/>
      </w:pPr>
      <w:r w:rsidRPr="0092176A">
        <w:rPr>
          <w:noProof/>
        </w:rPr>
        <w:drawing>
          <wp:inline distT="0" distB="0" distL="0" distR="0" wp14:anchorId="3926D3AE" wp14:editId="21938DAF">
            <wp:extent cx="1906270" cy="631190"/>
            <wp:effectExtent l="25400" t="25400" r="11430" b="16510"/>
            <wp:docPr id="1" name="Bild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1190"/>
                    </a:xfrm>
                    <a:prstGeom prst="rect">
                      <a:avLst/>
                    </a:prstGeom>
                    <a:noFill/>
                    <a:ln w="19050" cmpd="sng">
                      <a:solidFill>
                        <a:srgbClr val="000000"/>
                      </a:solidFill>
                      <a:miter lim="800000"/>
                      <a:headEnd/>
                      <a:tailEnd/>
                    </a:ln>
                    <a:effectLst/>
                  </pic:spPr>
                </pic:pic>
              </a:graphicData>
            </a:graphic>
          </wp:inline>
        </w:drawing>
      </w:r>
    </w:p>
    <w:p w:rsidR="002E4602" w:rsidRPr="0092176A" w:rsidRDefault="002E4602" w:rsidP="002E4602">
      <w:pPr>
        <w:pStyle w:val="StandardWeb"/>
        <w:spacing w:before="0" w:beforeAutospacing="0" w:after="0" w:afterAutospacing="0"/>
        <w:ind w:left="-180" w:right="-334"/>
      </w:pPr>
    </w:p>
    <w:p w:rsidR="002E4602" w:rsidRPr="0092176A" w:rsidRDefault="002E4602" w:rsidP="002E4602">
      <w:pPr>
        <w:pStyle w:val="StandardWeb"/>
        <w:spacing w:before="0" w:beforeAutospacing="0" w:after="0" w:afterAutospacing="0"/>
        <w:ind w:left="-180" w:right="-334"/>
      </w:pPr>
    </w:p>
    <w:p w:rsidR="002E4602" w:rsidRPr="0092176A" w:rsidRDefault="002E4602" w:rsidP="002E4602">
      <w:pPr>
        <w:pStyle w:val="StandardWeb"/>
        <w:spacing w:before="0" w:beforeAutospacing="0" w:after="0" w:afterAutospacing="0"/>
        <w:ind w:left="-180" w:right="-334"/>
        <w:jc w:val="center"/>
        <w:rPr>
          <w:rFonts w:ascii="Arial" w:hAnsi="Arial" w:cs="Arial"/>
          <w:b/>
          <w:sz w:val="28"/>
          <w:szCs w:val="28"/>
        </w:rPr>
      </w:pPr>
      <w:r w:rsidRPr="0092176A">
        <w:rPr>
          <w:rFonts w:ascii="Arial" w:hAnsi="Arial" w:cs="Arial"/>
          <w:b/>
          <w:sz w:val="28"/>
          <w:szCs w:val="28"/>
        </w:rPr>
        <w:t xml:space="preserve">Postgraduate/Distance Learning </w:t>
      </w:r>
    </w:p>
    <w:p w:rsidR="002E4602" w:rsidRPr="0092176A" w:rsidRDefault="002E4602" w:rsidP="002E4602">
      <w:pPr>
        <w:pStyle w:val="StandardWeb"/>
        <w:spacing w:before="0" w:beforeAutospacing="0" w:after="0" w:afterAutospacing="0"/>
        <w:ind w:left="-180" w:right="-334"/>
        <w:jc w:val="center"/>
        <w:rPr>
          <w:rFonts w:ascii="Arial" w:hAnsi="Arial" w:cs="Arial"/>
          <w:b/>
          <w:sz w:val="28"/>
          <w:szCs w:val="28"/>
        </w:rPr>
      </w:pPr>
      <w:r w:rsidRPr="0092176A">
        <w:rPr>
          <w:rFonts w:ascii="Arial" w:hAnsi="Arial" w:cs="Arial"/>
          <w:b/>
          <w:sz w:val="28"/>
          <w:szCs w:val="28"/>
        </w:rPr>
        <w:t>Assignment coversheet &amp; feedback form</w:t>
      </w:r>
    </w:p>
    <w:p w:rsidR="002E4602" w:rsidRPr="0092176A" w:rsidRDefault="002E4602" w:rsidP="002E4602">
      <w:pPr>
        <w:rPr>
          <w:rFonts w:ascii="Arial" w:hAnsi="Arial" w:cs="Arial"/>
          <w:sz w:val="28"/>
          <w:szCs w:val="28"/>
          <w:lang w:val="en-GB"/>
        </w:rPr>
      </w:pPr>
    </w:p>
    <w:p w:rsidR="002E4602" w:rsidRPr="0092176A" w:rsidRDefault="002E4602" w:rsidP="002E4602">
      <w:pPr>
        <w:pStyle w:val="berschrift3"/>
        <w:jc w:val="center"/>
      </w:pPr>
      <w:r w:rsidRPr="0092176A">
        <w:t xml:space="preserve">THIS SHEET MUST BE THE FIRST PAGE OF THE ASSIGNMENT YOU ARE </w:t>
      </w:r>
      <w:proofErr w:type="gramStart"/>
      <w:r w:rsidRPr="0092176A">
        <w:t>SUBMITTING  (</w:t>
      </w:r>
      <w:proofErr w:type="gramEnd"/>
      <w:r w:rsidRPr="0092176A">
        <w:t>DO NOT SEND AS A SEPARATE FILE)</w:t>
      </w:r>
    </w:p>
    <w:p w:rsidR="002E4602" w:rsidRPr="0092176A" w:rsidRDefault="002E4602" w:rsidP="002E4602">
      <w:pPr>
        <w:pStyle w:val="berschrift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E4602" w:rsidRPr="00554A33" w:rsidTr="005C6C36">
        <w:trPr>
          <w:trHeight w:val="614"/>
        </w:trPr>
        <w:tc>
          <w:tcPr>
            <w:tcW w:w="8856" w:type="dxa"/>
            <w:gridSpan w:val="5"/>
          </w:tcPr>
          <w:p w:rsidR="002E4602" w:rsidRPr="0092176A" w:rsidRDefault="002E4602" w:rsidP="005C6C36">
            <w:pPr>
              <w:pStyle w:val="StandardWeb"/>
              <w:spacing w:before="0" w:beforeAutospacing="0" w:after="0" w:afterAutospacing="0"/>
              <w:ind w:right="34"/>
              <w:rPr>
                <w:rFonts w:ascii="Arial" w:hAnsi="Arial" w:cs="Arial"/>
                <w:sz w:val="22"/>
                <w:szCs w:val="22"/>
              </w:rPr>
            </w:pPr>
            <w:r w:rsidRPr="0092176A">
              <w:rPr>
                <w:rFonts w:ascii="Arial" w:hAnsi="Arial" w:cs="Arial"/>
                <w:b/>
                <w:sz w:val="22"/>
                <w:szCs w:val="22"/>
              </w:rPr>
              <w:t>For completion by the student</w:t>
            </w:r>
            <w:r w:rsidRPr="0092176A">
              <w:rPr>
                <w:rFonts w:ascii="Arial" w:hAnsi="Arial" w:cs="Arial"/>
                <w:sz w:val="22"/>
                <w:szCs w:val="22"/>
              </w:rPr>
              <w:t>:</w:t>
            </w:r>
          </w:p>
        </w:tc>
      </w:tr>
      <w:tr w:rsidR="002E4602" w:rsidRPr="00554A33" w:rsidTr="005C6C36">
        <w:trPr>
          <w:trHeight w:val="718"/>
        </w:trPr>
        <w:tc>
          <w:tcPr>
            <w:tcW w:w="8856" w:type="dxa"/>
            <w:gridSpan w:val="5"/>
          </w:tcPr>
          <w:p w:rsidR="002E4602" w:rsidRPr="0092176A" w:rsidRDefault="002E4602" w:rsidP="005C6C36">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Student Name: Fabio Nagele</w:t>
            </w:r>
          </w:p>
          <w:p w:rsidR="002E4602" w:rsidRPr="0092176A" w:rsidRDefault="002E4602" w:rsidP="005C6C36">
            <w:pPr>
              <w:pStyle w:val="StandardWeb"/>
              <w:spacing w:before="0" w:beforeAutospacing="0" w:after="0" w:afterAutospacing="0"/>
              <w:ind w:right="34"/>
              <w:rPr>
                <w:rFonts w:ascii="Arial" w:hAnsi="Arial" w:cs="Arial"/>
                <w:sz w:val="22"/>
                <w:szCs w:val="22"/>
              </w:rPr>
            </w:pPr>
          </w:p>
          <w:p w:rsidR="002E4602" w:rsidRPr="0092176A" w:rsidRDefault="002E4602" w:rsidP="005C6C36">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 xml:space="preserve">Student </w:t>
            </w:r>
            <w:r w:rsidRPr="0092176A">
              <w:rPr>
                <w:rFonts w:ascii="Arial" w:hAnsi="Arial" w:cs="Arial"/>
                <w:b/>
                <w:bCs/>
                <w:sz w:val="22"/>
                <w:szCs w:val="22"/>
                <w:u w:val="single"/>
              </w:rPr>
              <w:t>University</w:t>
            </w:r>
            <w:r w:rsidRPr="0092176A">
              <w:rPr>
                <w:rFonts w:ascii="Arial" w:hAnsi="Arial" w:cs="Arial"/>
                <w:sz w:val="22"/>
                <w:szCs w:val="22"/>
                <w:u w:val="single"/>
              </w:rPr>
              <w:t xml:space="preserve"> </w:t>
            </w:r>
            <w:r w:rsidRPr="0092176A">
              <w:rPr>
                <w:rFonts w:ascii="Arial" w:hAnsi="Arial" w:cs="Arial"/>
                <w:sz w:val="22"/>
                <w:szCs w:val="22"/>
              </w:rPr>
              <w:t xml:space="preserve">Email: </w:t>
            </w:r>
            <w:r w:rsidR="00A13190" w:rsidRPr="0092176A">
              <w:rPr>
                <w:rFonts w:ascii="Arial" w:hAnsi="Arial" w:cs="Arial"/>
                <w:sz w:val="22"/>
                <w:szCs w:val="22"/>
              </w:rPr>
              <w:t>1806911@student.uwtsd.ac.uk</w:t>
            </w:r>
          </w:p>
        </w:tc>
      </w:tr>
      <w:tr w:rsidR="002E4602" w:rsidRPr="0092176A" w:rsidTr="005C6C36">
        <w:trPr>
          <w:trHeight w:val="849"/>
        </w:trPr>
        <w:tc>
          <w:tcPr>
            <w:tcW w:w="4788" w:type="dxa"/>
          </w:tcPr>
          <w:p w:rsidR="002E4602" w:rsidRPr="0092176A" w:rsidRDefault="002E4602" w:rsidP="005C6C36">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Module code:</w:t>
            </w:r>
            <w:r w:rsidR="00A13190" w:rsidRPr="0092176A">
              <w:rPr>
                <w:rFonts w:ascii="Arial" w:hAnsi="Arial" w:cs="Arial"/>
                <w:sz w:val="22"/>
                <w:szCs w:val="22"/>
              </w:rPr>
              <w:t xml:space="preserve"> </w:t>
            </w:r>
            <w:r w:rsidR="00A52EBF" w:rsidRPr="00A52EBF">
              <w:rPr>
                <w:rFonts w:ascii="Arial" w:hAnsi="Arial" w:cs="Arial"/>
                <w:sz w:val="22"/>
                <w:szCs w:val="22"/>
              </w:rPr>
              <w:t>HPCA7002</w:t>
            </w:r>
          </w:p>
          <w:p w:rsidR="002E4602" w:rsidRPr="0092176A" w:rsidRDefault="002E4602" w:rsidP="005C6C36">
            <w:pPr>
              <w:pStyle w:val="StandardWeb"/>
              <w:spacing w:before="0" w:beforeAutospacing="0" w:after="0" w:afterAutospacing="0"/>
              <w:ind w:right="34"/>
              <w:rPr>
                <w:rFonts w:ascii="Arial" w:hAnsi="Arial" w:cs="Arial"/>
                <w:sz w:val="22"/>
                <w:szCs w:val="22"/>
              </w:rPr>
            </w:pPr>
          </w:p>
          <w:p w:rsidR="002E4602" w:rsidRPr="0092176A" w:rsidRDefault="002E4602" w:rsidP="005C6C36">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Module title</w:t>
            </w:r>
            <w:r w:rsidR="00A52EBF">
              <w:rPr>
                <w:rFonts w:ascii="Arial" w:hAnsi="Arial" w:cs="Arial"/>
                <w:sz w:val="22"/>
                <w:szCs w:val="22"/>
              </w:rPr>
              <w:t>: Researching Contemporary Cosmologies</w:t>
            </w:r>
          </w:p>
          <w:p w:rsidR="002E4602" w:rsidRPr="0092176A" w:rsidRDefault="002E4602" w:rsidP="005C6C36">
            <w:pPr>
              <w:pStyle w:val="StandardWeb"/>
              <w:spacing w:before="0" w:beforeAutospacing="0" w:after="0" w:afterAutospacing="0"/>
              <w:ind w:right="34"/>
              <w:rPr>
                <w:rFonts w:ascii="Arial" w:hAnsi="Arial" w:cs="Arial"/>
                <w:sz w:val="22"/>
                <w:szCs w:val="22"/>
              </w:rPr>
            </w:pPr>
          </w:p>
        </w:tc>
        <w:tc>
          <w:tcPr>
            <w:tcW w:w="2266" w:type="dxa"/>
            <w:gridSpan w:val="3"/>
          </w:tcPr>
          <w:p w:rsidR="002E4602" w:rsidRPr="0092176A" w:rsidRDefault="002E4602" w:rsidP="005C6C36">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Student ID number:</w:t>
            </w:r>
          </w:p>
          <w:p w:rsidR="00A13190" w:rsidRPr="0092176A" w:rsidRDefault="00A13190" w:rsidP="005C6C36">
            <w:pPr>
              <w:pStyle w:val="StandardWeb"/>
              <w:spacing w:before="0" w:beforeAutospacing="0" w:after="0" w:afterAutospacing="0"/>
              <w:ind w:right="34"/>
              <w:rPr>
                <w:rFonts w:ascii="Arial" w:hAnsi="Arial" w:cs="Arial"/>
                <w:sz w:val="22"/>
                <w:szCs w:val="22"/>
              </w:rPr>
            </w:pPr>
          </w:p>
          <w:p w:rsidR="00A13190" w:rsidRPr="0092176A" w:rsidRDefault="00A13190" w:rsidP="005C6C36">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1806911</w:t>
            </w:r>
          </w:p>
        </w:tc>
        <w:tc>
          <w:tcPr>
            <w:tcW w:w="1802" w:type="dxa"/>
          </w:tcPr>
          <w:p w:rsidR="002E4602" w:rsidRPr="0092176A" w:rsidRDefault="002E4602" w:rsidP="005C6C36">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Educational support needs:</w:t>
            </w:r>
          </w:p>
          <w:p w:rsidR="002E4602" w:rsidRPr="0092176A" w:rsidRDefault="002E4602" w:rsidP="005C6C36">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No</w:t>
            </w:r>
          </w:p>
        </w:tc>
      </w:tr>
      <w:tr w:rsidR="002E4602" w:rsidRPr="00554A33" w:rsidTr="005C6C36">
        <w:trPr>
          <w:trHeight w:val="1139"/>
        </w:trPr>
        <w:tc>
          <w:tcPr>
            <w:tcW w:w="8856" w:type="dxa"/>
            <w:gridSpan w:val="5"/>
          </w:tcPr>
          <w:p w:rsidR="002E4602" w:rsidRPr="0092176A" w:rsidRDefault="002E4602" w:rsidP="005C6C36">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Assignment title:</w:t>
            </w:r>
            <w:r w:rsidR="00A13190" w:rsidRPr="0092176A">
              <w:rPr>
                <w:rFonts w:ascii="Arial" w:hAnsi="Arial" w:cs="Arial"/>
                <w:sz w:val="22"/>
                <w:szCs w:val="22"/>
              </w:rPr>
              <w:t xml:space="preserve"> </w:t>
            </w:r>
            <w:r w:rsidR="00A52EBF" w:rsidRPr="00A52EBF">
              <w:rPr>
                <w:rFonts w:ascii="Arial" w:hAnsi="Arial" w:cs="Arial"/>
                <w:sz w:val="22"/>
                <w:szCs w:val="22"/>
              </w:rPr>
              <w:t>Compar</w:t>
            </w:r>
            <w:r w:rsidR="00A52EBF">
              <w:rPr>
                <w:rFonts w:ascii="Arial" w:hAnsi="Arial" w:cs="Arial"/>
                <w:sz w:val="22"/>
                <w:szCs w:val="22"/>
              </w:rPr>
              <w:t>ison of</w:t>
            </w:r>
            <w:r w:rsidR="00A52EBF" w:rsidRPr="00A52EBF">
              <w:rPr>
                <w:rFonts w:ascii="Arial" w:hAnsi="Arial" w:cs="Arial"/>
                <w:sz w:val="22"/>
                <w:szCs w:val="22"/>
              </w:rPr>
              <w:t xml:space="preserve"> the methodologies used in two research papers, discussing the position of the researchers in relation to their fields of research</w:t>
            </w:r>
          </w:p>
          <w:p w:rsidR="002E4602" w:rsidRPr="0092176A" w:rsidRDefault="002E4602" w:rsidP="005C6C36">
            <w:pPr>
              <w:pStyle w:val="StandardWeb"/>
              <w:spacing w:before="0" w:beforeAutospacing="0" w:after="0" w:afterAutospacing="0"/>
              <w:ind w:right="34"/>
              <w:rPr>
                <w:rFonts w:ascii="Arial" w:hAnsi="Arial" w:cs="Arial"/>
                <w:sz w:val="22"/>
                <w:szCs w:val="22"/>
              </w:rPr>
            </w:pPr>
          </w:p>
          <w:p w:rsidR="002E4602" w:rsidRPr="0092176A" w:rsidRDefault="002E4602" w:rsidP="005C6C36">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Assignment due date:</w:t>
            </w:r>
            <w:r w:rsidR="004C38BC" w:rsidRPr="0092176A">
              <w:rPr>
                <w:rFonts w:ascii="Arial" w:hAnsi="Arial" w:cs="Arial"/>
                <w:sz w:val="22"/>
                <w:szCs w:val="22"/>
              </w:rPr>
              <w:t xml:space="preserve"> 1</w:t>
            </w:r>
            <w:r w:rsidR="00A52EBF">
              <w:rPr>
                <w:rFonts w:ascii="Arial" w:hAnsi="Arial" w:cs="Arial"/>
                <w:sz w:val="22"/>
                <w:szCs w:val="22"/>
              </w:rPr>
              <w:t>8</w:t>
            </w:r>
            <w:r w:rsidR="004C38BC" w:rsidRPr="0092176A">
              <w:rPr>
                <w:rFonts w:ascii="Arial" w:hAnsi="Arial" w:cs="Arial"/>
                <w:sz w:val="22"/>
                <w:szCs w:val="22"/>
                <w:vertAlign w:val="superscript"/>
              </w:rPr>
              <w:t>th</w:t>
            </w:r>
            <w:r w:rsidR="004C38BC" w:rsidRPr="0092176A">
              <w:rPr>
                <w:rFonts w:ascii="Arial" w:hAnsi="Arial" w:cs="Arial"/>
                <w:sz w:val="22"/>
                <w:szCs w:val="22"/>
              </w:rPr>
              <w:t xml:space="preserve"> of </w:t>
            </w:r>
            <w:r w:rsidR="00A52EBF">
              <w:rPr>
                <w:rFonts w:ascii="Arial" w:hAnsi="Arial" w:cs="Arial"/>
                <w:sz w:val="22"/>
                <w:szCs w:val="22"/>
              </w:rPr>
              <w:t>March 2019</w:t>
            </w:r>
          </w:p>
        </w:tc>
      </w:tr>
      <w:tr w:rsidR="002E4602" w:rsidRPr="00554A33" w:rsidTr="005C6C36">
        <w:trPr>
          <w:trHeight w:val="978"/>
        </w:trPr>
        <w:tc>
          <w:tcPr>
            <w:tcW w:w="8856" w:type="dxa"/>
            <w:gridSpan w:val="5"/>
            <w:tcBorders>
              <w:bottom w:val="single" w:sz="4" w:space="0" w:color="000000"/>
            </w:tcBorders>
          </w:tcPr>
          <w:p w:rsidR="002E4602" w:rsidRPr="0092176A" w:rsidRDefault="002E4602" w:rsidP="005C6C36">
            <w:pPr>
              <w:rPr>
                <w:rFonts w:ascii="Arial" w:hAnsi="Arial" w:cs="Arial"/>
                <w:sz w:val="22"/>
                <w:szCs w:val="22"/>
                <w:lang w:val="en-GB"/>
              </w:rPr>
            </w:pPr>
            <w:r w:rsidRPr="0092176A">
              <w:rPr>
                <w:rFonts w:ascii="Arial" w:hAnsi="Arial" w:cs="Arial"/>
                <w:sz w:val="22"/>
                <w:szCs w:val="22"/>
                <w:lang w:val="en-GB"/>
              </w:rPr>
              <w:t>This assignment is for the       1</w:t>
            </w:r>
            <w:r w:rsidRPr="0092176A">
              <w:rPr>
                <w:rFonts w:ascii="Arial" w:hAnsi="Arial" w:cs="Arial"/>
                <w:sz w:val="22"/>
                <w:szCs w:val="22"/>
                <w:vertAlign w:val="superscript"/>
                <w:lang w:val="en-GB"/>
              </w:rPr>
              <w:t xml:space="preserve">st </w:t>
            </w:r>
            <w:r w:rsidR="00EC17C1">
              <w:rPr>
                <w:rFonts w:ascii="Arial" w:hAnsi="Arial" w:cs="Arial"/>
                <w:sz w:val="22"/>
                <w:szCs w:val="22"/>
                <w:lang w:val="en-GB"/>
              </w:rPr>
              <w:fldChar w:fldCharType="begin">
                <w:ffData>
                  <w:name w:val="Check13"/>
                  <w:enabled/>
                  <w:calcOnExit w:val="0"/>
                  <w:checkBox>
                    <w:sizeAuto/>
                    <w:default w:val="0"/>
                  </w:checkBox>
                </w:ffData>
              </w:fldChar>
            </w:r>
            <w:bookmarkStart w:id="0" w:name="Check13"/>
            <w:r w:rsidR="00EC17C1">
              <w:rPr>
                <w:rFonts w:ascii="Arial" w:hAnsi="Arial" w:cs="Arial"/>
                <w:sz w:val="22"/>
                <w:szCs w:val="22"/>
                <w:lang w:val="en-GB"/>
              </w:rPr>
              <w:instrText xml:space="preserve"> FORMCHECKBOX </w:instrText>
            </w:r>
            <w:r w:rsidR="00EE4202">
              <w:rPr>
                <w:rFonts w:ascii="Arial" w:hAnsi="Arial" w:cs="Arial"/>
                <w:sz w:val="22"/>
                <w:szCs w:val="22"/>
                <w:lang w:val="en-GB"/>
              </w:rPr>
            </w:r>
            <w:r w:rsidR="00EE4202">
              <w:rPr>
                <w:rFonts w:ascii="Arial" w:hAnsi="Arial" w:cs="Arial"/>
                <w:sz w:val="22"/>
                <w:szCs w:val="22"/>
                <w:lang w:val="en-GB"/>
              </w:rPr>
              <w:fldChar w:fldCharType="separate"/>
            </w:r>
            <w:r w:rsidR="00EC17C1">
              <w:rPr>
                <w:rFonts w:ascii="Arial" w:hAnsi="Arial" w:cs="Arial"/>
                <w:sz w:val="22"/>
                <w:szCs w:val="22"/>
                <w:lang w:val="en-GB"/>
              </w:rPr>
              <w:fldChar w:fldCharType="end"/>
            </w:r>
            <w:bookmarkEnd w:id="0"/>
            <w:r w:rsidRPr="0092176A">
              <w:rPr>
                <w:rFonts w:ascii="Arial" w:hAnsi="Arial" w:cs="Arial"/>
                <w:sz w:val="22"/>
                <w:szCs w:val="22"/>
                <w:lang w:val="en-GB"/>
              </w:rPr>
              <w:t xml:space="preserve">    2</w:t>
            </w:r>
            <w:r w:rsidRPr="0092176A">
              <w:rPr>
                <w:rFonts w:ascii="Arial" w:hAnsi="Arial" w:cs="Arial"/>
                <w:sz w:val="22"/>
                <w:szCs w:val="22"/>
                <w:vertAlign w:val="superscript"/>
                <w:lang w:val="en-GB"/>
              </w:rPr>
              <w:t>nd</w:t>
            </w:r>
            <w:r w:rsidRPr="0092176A">
              <w:rPr>
                <w:rFonts w:ascii="Arial" w:hAnsi="Arial" w:cs="Arial"/>
                <w:sz w:val="22"/>
                <w:szCs w:val="22"/>
                <w:lang w:val="en-GB"/>
              </w:rPr>
              <w:t xml:space="preserve">  </w:t>
            </w:r>
            <w:r w:rsidR="00EC17C1">
              <w:rPr>
                <w:rFonts w:ascii="Arial" w:hAnsi="Arial" w:cs="Arial"/>
                <w:sz w:val="22"/>
                <w:szCs w:val="22"/>
                <w:lang w:val="en-GB"/>
              </w:rPr>
              <w:fldChar w:fldCharType="begin">
                <w:ffData>
                  <w:name w:val="Check14"/>
                  <w:enabled/>
                  <w:calcOnExit w:val="0"/>
                  <w:checkBox>
                    <w:sizeAuto/>
                    <w:default w:val="1"/>
                  </w:checkBox>
                </w:ffData>
              </w:fldChar>
            </w:r>
            <w:bookmarkStart w:id="1" w:name="Check14"/>
            <w:r w:rsidR="00EC17C1">
              <w:rPr>
                <w:rFonts w:ascii="Arial" w:hAnsi="Arial" w:cs="Arial"/>
                <w:sz w:val="22"/>
                <w:szCs w:val="22"/>
                <w:lang w:val="en-GB"/>
              </w:rPr>
              <w:instrText xml:space="preserve"> FORMCHECKBOX </w:instrText>
            </w:r>
            <w:r w:rsidR="00EE4202">
              <w:rPr>
                <w:rFonts w:ascii="Arial" w:hAnsi="Arial" w:cs="Arial"/>
                <w:sz w:val="22"/>
                <w:szCs w:val="22"/>
                <w:lang w:val="en-GB"/>
              </w:rPr>
            </w:r>
            <w:r w:rsidR="00EE4202">
              <w:rPr>
                <w:rFonts w:ascii="Arial" w:hAnsi="Arial" w:cs="Arial"/>
                <w:sz w:val="22"/>
                <w:szCs w:val="22"/>
                <w:lang w:val="en-GB"/>
              </w:rPr>
              <w:fldChar w:fldCharType="separate"/>
            </w:r>
            <w:r w:rsidR="00EC17C1">
              <w:rPr>
                <w:rFonts w:ascii="Arial" w:hAnsi="Arial" w:cs="Arial"/>
                <w:sz w:val="22"/>
                <w:szCs w:val="22"/>
                <w:lang w:val="en-GB"/>
              </w:rPr>
              <w:fldChar w:fldCharType="end"/>
            </w:r>
            <w:bookmarkEnd w:id="1"/>
            <w:r w:rsidRPr="0092176A">
              <w:rPr>
                <w:rFonts w:ascii="Arial" w:hAnsi="Arial" w:cs="Arial"/>
                <w:sz w:val="22"/>
                <w:szCs w:val="22"/>
                <w:lang w:val="en-GB"/>
              </w:rPr>
              <w:t xml:space="preserve">     3</w:t>
            </w:r>
            <w:r w:rsidRPr="0092176A">
              <w:rPr>
                <w:rFonts w:ascii="Arial" w:hAnsi="Arial" w:cs="Arial"/>
                <w:sz w:val="22"/>
                <w:szCs w:val="22"/>
                <w:vertAlign w:val="superscript"/>
                <w:lang w:val="en-GB"/>
              </w:rPr>
              <w:t>rd</w:t>
            </w:r>
            <w:r w:rsidRPr="0092176A">
              <w:rPr>
                <w:rFonts w:ascii="Arial" w:hAnsi="Arial" w:cs="Arial"/>
                <w:sz w:val="22"/>
                <w:szCs w:val="22"/>
                <w:lang w:val="en-GB"/>
              </w:rPr>
              <w:t xml:space="preserve">  </w:t>
            </w:r>
            <w:r w:rsidRPr="0092176A">
              <w:rPr>
                <w:rFonts w:ascii="Arial" w:hAnsi="Arial" w:cs="Arial"/>
                <w:sz w:val="22"/>
                <w:szCs w:val="22"/>
                <w:lang w:val="en-GB"/>
              </w:rPr>
              <w:fldChar w:fldCharType="begin">
                <w:ffData>
                  <w:name w:val="Check15"/>
                  <w:enabled/>
                  <w:calcOnExit w:val="0"/>
                  <w:checkBox>
                    <w:sizeAuto/>
                    <w:default w:val="0"/>
                  </w:checkBox>
                </w:ffData>
              </w:fldChar>
            </w:r>
            <w:bookmarkStart w:id="2" w:name="Check15"/>
            <w:r w:rsidRPr="0092176A">
              <w:rPr>
                <w:rFonts w:ascii="Arial" w:hAnsi="Arial" w:cs="Arial"/>
                <w:sz w:val="22"/>
                <w:szCs w:val="22"/>
                <w:lang w:val="en-GB"/>
              </w:rPr>
              <w:instrText xml:space="preserve"> FORMCHECKBOX </w:instrText>
            </w:r>
            <w:r w:rsidR="00EE4202">
              <w:rPr>
                <w:rFonts w:ascii="Arial" w:hAnsi="Arial" w:cs="Arial"/>
                <w:sz w:val="22"/>
                <w:szCs w:val="22"/>
                <w:lang w:val="en-GB"/>
              </w:rPr>
            </w:r>
            <w:r w:rsidR="00EE4202">
              <w:rPr>
                <w:rFonts w:ascii="Arial" w:hAnsi="Arial" w:cs="Arial"/>
                <w:sz w:val="22"/>
                <w:szCs w:val="22"/>
                <w:lang w:val="en-GB"/>
              </w:rPr>
              <w:fldChar w:fldCharType="separate"/>
            </w:r>
            <w:r w:rsidRPr="0092176A">
              <w:rPr>
                <w:rFonts w:ascii="Arial" w:hAnsi="Arial" w:cs="Arial"/>
                <w:sz w:val="22"/>
                <w:szCs w:val="22"/>
                <w:lang w:val="en-GB"/>
              </w:rPr>
              <w:fldChar w:fldCharType="end"/>
            </w:r>
            <w:bookmarkEnd w:id="2"/>
            <w:r w:rsidRPr="0092176A">
              <w:rPr>
                <w:rFonts w:ascii="Arial" w:hAnsi="Arial" w:cs="Arial"/>
                <w:sz w:val="22"/>
                <w:szCs w:val="22"/>
                <w:lang w:val="en-GB"/>
              </w:rPr>
              <w:t xml:space="preserve">      4</w:t>
            </w:r>
            <w:r w:rsidRPr="0092176A">
              <w:rPr>
                <w:rFonts w:ascii="Arial" w:hAnsi="Arial" w:cs="Arial"/>
                <w:sz w:val="22"/>
                <w:szCs w:val="22"/>
                <w:vertAlign w:val="superscript"/>
                <w:lang w:val="en-GB"/>
              </w:rPr>
              <w:t>th</w:t>
            </w:r>
            <w:r w:rsidRPr="0092176A">
              <w:rPr>
                <w:rFonts w:ascii="Arial" w:hAnsi="Arial" w:cs="Arial"/>
                <w:sz w:val="22"/>
                <w:szCs w:val="22"/>
                <w:lang w:val="en-GB"/>
              </w:rPr>
              <w:t xml:space="preserve"> </w:t>
            </w:r>
            <w:r w:rsidRPr="0092176A">
              <w:rPr>
                <w:rFonts w:ascii="Arial" w:hAnsi="Arial" w:cs="Arial"/>
                <w:sz w:val="22"/>
                <w:szCs w:val="22"/>
                <w:lang w:val="en-GB"/>
              </w:rPr>
              <w:fldChar w:fldCharType="begin">
                <w:ffData>
                  <w:name w:val="Check16"/>
                  <w:enabled/>
                  <w:calcOnExit w:val="0"/>
                  <w:checkBox>
                    <w:sizeAuto/>
                    <w:default w:val="0"/>
                  </w:checkBox>
                </w:ffData>
              </w:fldChar>
            </w:r>
            <w:bookmarkStart w:id="3" w:name="Check16"/>
            <w:r w:rsidRPr="0092176A">
              <w:rPr>
                <w:rFonts w:ascii="Arial" w:hAnsi="Arial" w:cs="Arial"/>
                <w:sz w:val="22"/>
                <w:szCs w:val="22"/>
                <w:lang w:val="en-GB"/>
              </w:rPr>
              <w:instrText xml:space="preserve"> FORMCHECKBOX </w:instrText>
            </w:r>
            <w:r w:rsidR="00EE4202">
              <w:rPr>
                <w:rFonts w:ascii="Arial" w:hAnsi="Arial" w:cs="Arial"/>
                <w:sz w:val="22"/>
                <w:szCs w:val="22"/>
                <w:lang w:val="en-GB"/>
              </w:rPr>
            </w:r>
            <w:r w:rsidR="00EE4202">
              <w:rPr>
                <w:rFonts w:ascii="Arial" w:hAnsi="Arial" w:cs="Arial"/>
                <w:sz w:val="22"/>
                <w:szCs w:val="22"/>
                <w:lang w:val="en-GB"/>
              </w:rPr>
              <w:fldChar w:fldCharType="separate"/>
            </w:r>
            <w:r w:rsidRPr="0092176A">
              <w:rPr>
                <w:rFonts w:ascii="Arial" w:hAnsi="Arial" w:cs="Arial"/>
                <w:sz w:val="22"/>
                <w:szCs w:val="22"/>
                <w:lang w:val="en-GB"/>
              </w:rPr>
              <w:fldChar w:fldCharType="end"/>
            </w:r>
            <w:bookmarkEnd w:id="3"/>
            <w:r w:rsidRPr="0092176A">
              <w:rPr>
                <w:rFonts w:ascii="Arial" w:hAnsi="Arial" w:cs="Arial"/>
                <w:sz w:val="22"/>
                <w:szCs w:val="22"/>
                <w:lang w:val="en-GB"/>
              </w:rPr>
              <w:t xml:space="preserve">      5</w:t>
            </w:r>
            <w:r w:rsidRPr="0092176A">
              <w:rPr>
                <w:rFonts w:ascii="Arial" w:hAnsi="Arial" w:cs="Arial"/>
                <w:sz w:val="22"/>
                <w:szCs w:val="22"/>
                <w:vertAlign w:val="superscript"/>
                <w:lang w:val="en-GB"/>
              </w:rPr>
              <w:t>th</w:t>
            </w:r>
            <w:r w:rsidRPr="0092176A">
              <w:rPr>
                <w:rFonts w:ascii="Arial" w:hAnsi="Arial" w:cs="Arial"/>
                <w:sz w:val="22"/>
                <w:szCs w:val="22"/>
                <w:lang w:val="en-GB"/>
              </w:rPr>
              <w:t xml:space="preserve"> </w:t>
            </w:r>
            <w:r w:rsidRPr="0092176A">
              <w:rPr>
                <w:rFonts w:ascii="Arial" w:hAnsi="Arial" w:cs="Arial"/>
                <w:sz w:val="22"/>
                <w:szCs w:val="22"/>
                <w:lang w:val="en-GB"/>
              </w:rPr>
              <w:fldChar w:fldCharType="begin">
                <w:ffData>
                  <w:name w:val="Check17"/>
                  <w:enabled/>
                  <w:calcOnExit w:val="0"/>
                  <w:checkBox>
                    <w:sizeAuto/>
                    <w:default w:val="0"/>
                  </w:checkBox>
                </w:ffData>
              </w:fldChar>
            </w:r>
            <w:bookmarkStart w:id="4" w:name="Check17"/>
            <w:r w:rsidRPr="0092176A">
              <w:rPr>
                <w:rFonts w:ascii="Arial" w:hAnsi="Arial" w:cs="Arial"/>
                <w:sz w:val="22"/>
                <w:szCs w:val="22"/>
                <w:lang w:val="en-GB"/>
              </w:rPr>
              <w:instrText xml:space="preserve"> FORMCHECKBOX </w:instrText>
            </w:r>
            <w:r w:rsidR="00EE4202">
              <w:rPr>
                <w:rFonts w:ascii="Arial" w:hAnsi="Arial" w:cs="Arial"/>
                <w:sz w:val="22"/>
                <w:szCs w:val="22"/>
                <w:lang w:val="en-GB"/>
              </w:rPr>
            </w:r>
            <w:r w:rsidR="00EE4202">
              <w:rPr>
                <w:rFonts w:ascii="Arial" w:hAnsi="Arial" w:cs="Arial"/>
                <w:sz w:val="22"/>
                <w:szCs w:val="22"/>
                <w:lang w:val="en-GB"/>
              </w:rPr>
              <w:fldChar w:fldCharType="separate"/>
            </w:r>
            <w:r w:rsidRPr="0092176A">
              <w:rPr>
                <w:rFonts w:ascii="Arial" w:hAnsi="Arial" w:cs="Arial"/>
                <w:sz w:val="22"/>
                <w:szCs w:val="22"/>
                <w:lang w:val="en-GB"/>
              </w:rPr>
              <w:fldChar w:fldCharType="end"/>
            </w:r>
            <w:bookmarkEnd w:id="4"/>
            <w:r w:rsidRPr="0092176A">
              <w:rPr>
                <w:rFonts w:ascii="Arial" w:hAnsi="Arial" w:cs="Arial"/>
                <w:sz w:val="22"/>
                <w:szCs w:val="22"/>
                <w:lang w:val="en-GB"/>
              </w:rPr>
              <w:t xml:space="preserve">      6</w:t>
            </w:r>
            <w:r w:rsidRPr="0092176A">
              <w:rPr>
                <w:rFonts w:ascii="Arial" w:hAnsi="Arial" w:cs="Arial"/>
                <w:sz w:val="22"/>
                <w:szCs w:val="22"/>
                <w:vertAlign w:val="superscript"/>
                <w:lang w:val="en-GB"/>
              </w:rPr>
              <w:t>th</w:t>
            </w:r>
            <w:r w:rsidRPr="0092176A">
              <w:rPr>
                <w:rFonts w:ascii="Arial" w:hAnsi="Arial" w:cs="Arial"/>
                <w:sz w:val="22"/>
                <w:szCs w:val="22"/>
                <w:lang w:val="en-GB"/>
              </w:rPr>
              <w:t xml:space="preserve"> </w:t>
            </w:r>
            <w:r w:rsidRPr="0092176A">
              <w:rPr>
                <w:rFonts w:ascii="Arial" w:hAnsi="Arial" w:cs="Arial"/>
                <w:sz w:val="22"/>
                <w:szCs w:val="22"/>
                <w:lang w:val="en-GB"/>
              </w:rPr>
              <w:fldChar w:fldCharType="begin">
                <w:ffData>
                  <w:name w:val="Check18"/>
                  <w:enabled/>
                  <w:calcOnExit w:val="0"/>
                  <w:checkBox>
                    <w:sizeAuto/>
                    <w:default w:val="0"/>
                  </w:checkBox>
                </w:ffData>
              </w:fldChar>
            </w:r>
            <w:bookmarkStart w:id="5" w:name="Check18"/>
            <w:r w:rsidRPr="0092176A">
              <w:rPr>
                <w:rFonts w:ascii="Arial" w:hAnsi="Arial" w:cs="Arial"/>
                <w:sz w:val="22"/>
                <w:szCs w:val="22"/>
                <w:lang w:val="en-GB"/>
              </w:rPr>
              <w:instrText xml:space="preserve"> FORMCHECKBOX </w:instrText>
            </w:r>
            <w:r w:rsidR="00EE4202">
              <w:rPr>
                <w:rFonts w:ascii="Arial" w:hAnsi="Arial" w:cs="Arial"/>
                <w:sz w:val="22"/>
                <w:szCs w:val="22"/>
                <w:lang w:val="en-GB"/>
              </w:rPr>
            </w:r>
            <w:r w:rsidR="00EE4202">
              <w:rPr>
                <w:rFonts w:ascii="Arial" w:hAnsi="Arial" w:cs="Arial"/>
                <w:sz w:val="22"/>
                <w:szCs w:val="22"/>
                <w:lang w:val="en-GB"/>
              </w:rPr>
              <w:fldChar w:fldCharType="separate"/>
            </w:r>
            <w:r w:rsidRPr="0092176A">
              <w:rPr>
                <w:rFonts w:ascii="Arial" w:hAnsi="Arial" w:cs="Arial"/>
                <w:sz w:val="22"/>
                <w:szCs w:val="22"/>
                <w:lang w:val="en-GB"/>
              </w:rPr>
              <w:fldChar w:fldCharType="end"/>
            </w:r>
            <w:bookmarkEnd w:id="5"/>
            <w:r w:rsidRPr="0092176A">
              <w:rPr>
                <w:rFonts w:ascii="Arial" w:hAnsi="Arial" w:cs="Arial"/>
                <w:b/>
                <w:sz w:val="22"/>
                <w:szCs w:val="22"/>
                <w:lang w:val="en-GB"/>
              </w:rPr>
              <w:t xml:space="preserve">   </w:t>
            </w:r>
            <w:r w:rsidRPr="0092176A">
              <w:rPr>
                <w:rFonts w:ascii="Arial" w:hAnsi="Arial" w:cs="Arial"/>
                <w:sz w:val="22"/>
                <w:szCs w:val="22"/>
                <w:lang w:val="en-GB"/>
              </w:rPr>
              <w:t>module of the degree</w:t>
            </w:r>
          </w:p>
        </w:tc>
      </w:tr>
      <w:tr w:rsidR="002E4602" w:rsidRPr="00554A33" w:rsidTr="005C6C36">
        <w:trPr>
          <w:trHeight w:val="978"/>
        </w:trPr>
        <w:tc>
          <w:tcPr>
            <w:tcW w:w="8856" w:type="dxa"/>
            <w:gridSpan w:val="5"/>
            <w:shd w:val="clear" w:color="auto" w:fill="D9D9D9"/>
          </w:tcPr>
          <w:p w:rsidR="002E4602" w:rsidRPr="0092176A" w:rsidRDefault="002E4602" w:rsidP="005C6C36">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I confirm that this is my original work and that I have adhered to the University policy on plagiarism.</w:t>
            </w:r>
          </w:p>
          <w:p w:rsidR="002E4602" w:rsidRPr="0092176A" w:rsidRDefault="002E4602" w:rsidP="005C6C36">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Signed ……………………………………………………………</w:t>
            </w:r>
          </w:p>
          <w:p w:rsidR="002E4602" w:rsidRPr="0092176A" w:rsidRDefault="002E4602" w:rsidP="005C6C36">
            <w:pPr>
              <w:pStyle w:val="StandardWeb"/>
              <w:spacing w:before="0" w:beforeAutospacing="0" w:after="0" w:afterAutospacing="0"/>
              <w:ind w:right="34"/>
              <w:rPr>
                <w:rFonts w:ascii="Calibri" w:hAnsi="Calibri" w:cs="Calibri"/>
                <w:b/>
                <w:sz w:val="44"/>
                <w:szCs w:val="44"/>
              </w:rPr>
            </w:pPr>
            <w:r w:rsidRPr="0092176A">
              <w:rPr>
                <w:rFonts w:ascii="Calibri" w:hAnsi="Calibri" w:cs="Tahoma"/>
                <w:b/>
                <w:sz w:val="24"/>
                <w:szCs w:val="24"/>
              </w:rPr>
              <w:t xml:space="preserve">Email </w:t>
            </w:r>
            <w:proofErr w:type="spellStart"/>
            <w:proofErr w:type="gramStart"/>
            <w:r w:rsidRPr="0092176A">
              <w:rPr>
                <w:rFonts w:ascii="Calibri" w:hAnsi="Calibri" w:cs="Tahoma"/>
                <w:b/>
                <w:sz w:val="24"/>
                <w:szCs w:val="24"/>
              </w:rPr>
              <w:t>submission:if</w:t>
            </w:r>
            <w:proofErr w:type="spellEnd"/>
            <w:proofErr w:type="gramEnd"/>
            <w:r w:rsidRPr="0092176A">
              <w:rPr>
                <w:rFonts w:ascii="Calibri" w:hAnsi="Calibri" w:cs="Tahoma"/>
                <w:b/>
                <w:sz w:val="24"/>
                <w:szCs w:val="24"/>
              </w:rPr>
              <w:t xml:space="preserve"> you are submitting this form via email, please tick this box </w:t>
            </w:r>
            <w:r w:rsidR="004C38BC" w:rsidRPr="0092176A">
              <w:rPr>
                <w:rFonts w:ascii="Arial" w:hAnsi="Arial" w:cs="Arial"/>
                <w:sz w:val="22"/>
                <w:szCs w:val="22"/>
              </w:rPr>
              <w:fldChar w:fldCharType="begin">
                <w:ffData>
                  <w:name w:val="Check13"/>
                  <w:enabled/>
                  <w:calcOnExit w:val="0"/>
                  <w:checkBox>
                    <w:sizeAuto/>
                    <w:default w:val="1"/>
                  </w:checkBox>
                </w:ffData>
              </w:fldChar>
            </w:r>
            <w:r w:rsidR="004C38BC" w:rsidRPr="0092176A">
              <w:rPr>
                <w:rFonts w:ascii="Arial" w:hAnsi="Arial" w:cs="Arial"/>
                <w:sz w:val="22"/>
                <w:szCs w:val="22"/>
              </w:rPr>
              <w:instrText xml:space="preserve"> FORMCHECKBOX </w:instrText>
            </w:r>
            <w:r w:rsidR="00EE4202">
              <w:rPr>
                <w:rFonts w:ascii="Arial" w:hAnsi="Arial" w:cs="Arial"/>
                <w:sz w:val="22"/>
                <w:szCs w:val="22"/>
              </w:rPr>
            </w:r>
            <w:r w:rsidR="00EE4202">
              <w:rPr>
                <w:rFonts w:ascii="Arial" w:hAnsi="Arial" w:cs="Arial"/>
                <w:sz w:val="22"/>
                <w:szCs w:val="22"/>
              </w:rPr>
              <w:fldChar w:fldCharType="separate"/>
            </w:r>
            <w:r w:rsidR="004C38BC" w:rsidRPr="0092176A">
              <w:rPr>
                <w:rFonts w:ascii="Arial" w:hAnsi="Arial" w:cs="Arial"/>
                <w:sz w:val="22"/>
                <w:szCs w:val="22"/>
              </w:rPr>
              <w:fldChar w:fldCharType="end"/>
            </w:r>
          </w:p>
          <w:p w:rsidR="002E4602" w:rsidRPr="0092176A" w:rsidRDefault="002E4602" w:rsidP="005C6C36">
            <w:pPr>
              <w:pStyle w:val="StandardWeb"/>
              <w:spacing w:before="0" w:beforeAutospacing="0" w:after="0" w:afterAutospacing="0"/>
              <w:ind w:right="34"/>
              <w:rPr>
                <w:rFonts w:ascii="Arial" w:hAnsi="Arial" w:cs="Arial"/>
                <w:sz w:val="22"/>
                <w:szCs w:val="22"/>
              </w:rPr>
            </w:pPr>
            <w:r w:rsidRPr="0092176A">
              <w:rPr>
                <w:rFonts w:ascii="Calibri" w:hAnsi="Calibri" w:cs="Tahoma"/>
                <w:b/>
                <w:sz w:val="24"/>
                <w:szCs w:val="24"/>
              </w:rPr>
              <w:t>(as a substitute for your signature) to confirm that you agree to the above declaration.</w:t>
            </w:r>
          </w:p>
        </w:tc>
      </w:tr>
      <w:tr w:rsidR="002E4602" w:rsidRPr="00554A33" w:rsidTr="005C6C36">
        <w:trPr>
          <w:trHeight w:val="3972"/>
        </w:trPr>
        <w:tc>
          <w:tcPr>
            <w:tcW w:w="8856" w:type="dxa"/>
            <w:gridSpan w:val="5"/>
          </w:tcPr>
          <w:p w:rsidR="002E4602" w:rsidRPr="0092176A" w:rsidRDefault="002E4602" w:rsidP="005C6C36">
            <w:pPr>
              <w:rPr>
                <w:rFonts w:ascii="Arial" w:hAnsi="Arial"/>
                <w:b/>
                <w:lang w:val="en-GB"/>
              </w:rPr>
            </w:pPr>
          </w:p>
          <w:p w:rsidR="002E4602" w:rsidRPr="0092176A" w:rsidRDefault="002E4602" w:rsidP="005C6C36">
            <w:pPr>
              <w:rPr>
                <w:rFonts w:ascii="Arial" w:hAnsi="Arial"/>
                <w:lang w:val="en-GB"/>
              </w:rPr>
            </w:pPr>
            <w:r w:rsidRPr="0092176A">
              <w:rPr>
                <w:rFonts w:ascii="Arial" w:hAnsi="Arial"/>
                <w:b/>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E4602" w:rsidRPr="0092176A" w:rsidTr="005C6C36">
              <w:tc>
                <w:tcPr>
                  <w:tcW w:w="6970" w:type="dxa"/>
                </w:tcPr>
                <w:p w:rsidR="002E4602" w:rsidRPr="0092176A" w:rsidRDefault="002E4602" w:rsidP="005C6C36">
                  <w:pPr>
                    <w:rPr>
                      <w:rFonts w:ascii="Arial" w:hAnsi="Arial"/>
                      <w:sz w:val="20"/>
                      <w:szCs w:val="20"/>
                      <w:lang w:val="en-GB"/>
                    </w:rPr>
                  </w:pPr>
                </w:p>
                <w:p w:rsidR="002E4602" w:rsidRPr="0092176A" w:rsidRDefault="002E4602" w:rsidP="005C6C36">
                  <w:pPr>
                    <w:rPr>
                      <w:rFonts w:ascii="Arial" w:hAnsi="Arial"/>
                      <w:sz w:val="20"/>
                      <w:szCs w:val="20"/>
                      <w:lang w:val="en-GB"/>
                    </w:rPr>
                  </w:pPr>
                  <w:r w:rsidRPr="0092176A">
                    <w:rPr>
                      <w:rFonts w:ascii="Arial" w:hAnsi="Arial"/>
                      <w:sz w:val="20"/>
                      <w:szCs w:val="20"/>
                      <w:lang w:val="en-GB"/>
                    </w:rPr>
                    <w:t>1</w:t>
                  </w:r>
                  <w:r w:rsidRPr="0092176A">
                    <w:rPr>
                      <w:rFonts w:ascii="Arial" w:hAnsi="Arial"/>
                      <w:sz w:val="20"/>
                      <w:szCs w:val="20"/>
                      <w:vertAlign w:val="superscript"/>
                      <w:lang w:val="en-GB"/>
                    </w:rPr>
                    <w:t>st</w:t>
                  </w:r>
                  <w:r w:rsidRPr="0092176A">
                    <w:rPr>
                      <w:rFonts w:ascii="Arial" w:hAnsi="Arial"/>
                      <w:sz w:val="20"/>
                      <w:szCs w:val="20"/>
                      <w:lang w:val="en-GB"/>
                    </w:rPr>
                    <w:t xml:space="preserve"> Marker’s Provisional mark</w:t>
                  </w:r>
                </w:p>
              </w:tc>
              <w:tc>
                <w:tcPr>
                  <w:tcW w:w="1660" w:type="dxa"/>
                </w:tcPr>
                <w:p w:rsidR="002E4602" w:rsidRPr="0092176A" w:rsidRDefault="002E4602" w:rsidP="005C6C36">
                  <w:pPr>
                    <w:rPr>
                      <w:rFonts w:ascii="Arial" w:hAnsi="Arial"/>
                      <w:sz w:val="20"/>
                      <w:szCs w:val="20"/>
                      <w:lang w:val="en-GB"/>
                    </w:rPr>
                  </w:pPr>
                </w:p>
              </w:tc>
            </w:tr>
            <w:tr w:rsidR="002E4602" w:rsidRPr="0092176A" w:rsidTr="005C6C36">
              <w:tc>
                <w:tcPr>
                  <w:tcW w:w="6970" w:type="dxa"/>
                </w:tcPr>
                <w:p w:rsidR="002E4602" w:rsidRPr="0092176A" w:rsidRDefault="002E4602" w:rsidP="005C6C36">
                  <w:pPr>
                    <w:rPr>
                      <w:rFonts w:ascii="Arial" w:hAnsi="Arial"/>
                      <w:sz w:val="20"/>
                      <w:szCs w:val="20"/>
                      <w:lang w:val="en-GB"/>
                    </w:rPr>
                  </w:pPr>
                </w:p>
                <w:p w:rsidR="002E4602" w:rsidRPr="0092176A" w:rsidRDefault="002E4602" w:rsidP="005C6C36">
                  <w:pPr>
                    <w:rPr>
                      <w:rFonts w:ascii="Arial" w:hAnsi="Arial"/>
                      <w:sz w:val="20"/>
                      <w:szCs w:val="20"/>
                      <w:lang w:val="en-GB"/>
                    </w:rPr>
                  </w:pPr>
                  <w:r w:rsidRPr="0092176A">
                    <w:rPr>
                      <w:rFonts w:ascii="Arial" w:hAnsi="Arial"/>
                      <w:sz w:val="20"/>
                      <w:szCs w:val="20"/>
                      <w:lang w:val="en-GB"/>
                    </w:rPr>
                    <w:t>2</w:t>
                  </w:r>
                  <w:r w:rsidRPr="0092176A">
                    <w:rPr>
                      <w:rFonts w:ascii="Arial" w:hAnsi="Arial"/>
                      <w:sz w:val="20"/>
                      <w:szCs w:val="20"/>
                      <w:vertAlign w:val="superscript"/>
                      <w:lang w:val="en-GB"/>
                    </w:rPr>
                    <w:t>nd</w:t>
                  </w:r>
                  <w:r w:rsidRPr="0092176A">
                    <w:rPr>
                      <w:rFonts w:ascii="Arial" w:hAnsi="Arial"/>
                      <w:sz w:val="20"/>
                      <w:szCs w:val="20"/>
                      <w:lang w:val="en-GB"/>
                    </w:rPr>
                    <w:t xml:space="preserve"> Marker’s/Moderator’s provisional mark</w:t>
                  </w:r>
                </w:p>
              </w:tc>
              <w:tc>
                <w:tcPr>
                  <w:tcW w:w="1660" w:type="dxa"/>
                </w:tcPr>
                <w:p w:rsidR="002E4602" w:rsidRPr="0092176A" w:rsidRDefault="002E4602" w:rsidP="005C6C36">
                  <w:pPr>
                    <w:rPr>
                      <w:rFonts w:ascii="Arial" w:hAnsi="Arial"/>
                      <w:sz w:val="20"/>
                      <w:szCs w:val="20"/>
                      <w:lang w:val="en-GB"/>
                    </w:rPr>
                  </w:pPr>
                </w:p>
              </w:tc>
            </w:tr>
            <w:tr w:rsidR="002E4602" w:rsidRPr="00554A33" w:rsidTr="005C6C36">
              <w:tc>
                <w:tcPr>
                  <w:tcW w:w="6970" w:type="dxa"/>
                </w:tcPr>
                <w:p w:rsidR="002E4602" w:rsidRPr="0092176A" w:rsidRDefault="002E4602" w:rsidP="005C6C36">
                  <w:pPr>
                    <w:rPr>
                      <w:rFonts w:ascii="Arial" w:hAnsi="Arial"/>
                      <w:sz w:val="20"/>
                      <w:szCs w:val="20"/>
                      <w:lang w:val="en-GB"/>
                    </w:rPr>
                  </w:pPr>
                </w:p>
                <w:p w:rsidR="002E4602" w:rsidRPr="0092176A" w:rsidRDefault="002E4602" w:rsidP="005C6C36">
                  <w:pPr>
                    <w:rPr>
                      <w:rFonts w:ascii="Arial" w:hAnsi="Arial"/>
                      <w:sz w:val="20"/>
                      <w:szCs w:val="20"/>
                      <w:lang w:val="en-GB"/>
                    </w:rPr>
                  </w:pPr>
                  <w:r w:rsidRPr="0092176A">
                    <w:rPr>
                      <w:rFonts w:ascii="Arial" w:hAnsi="Arial"/>
                      <w:sz w:val="20"/>
                      <w:szCs w:val="20"/>
                      <w:lang w:val="en-GB"/>
                    </w:rPr>
                    <w:t>External Examiner’s mark (if relevant)</w:t>
                  </w:r>
                </w:p>
              </w:tc>
              <w:tc>
                <w:tcPr>
                  <w:tcW w:w="1660" w:type="dxa"/>
                </w:tcPr>
                <w:p w:rsidR="002E4602" w:rsidRPr="0092176A" w:rsidRDefault="002E4602" w:rsidP="005C6C36">
                  <w:pPr>
                    <w:rPr>
                      <w:rFonts w:ascii="Arial" w:hAnsi="Arial"/>
                      <w:sz w:val="20"/>
                      <w:szCs w:val="20"/>
                      <w:lang w:val="en-GB"/>
                    </w:rPr>
                  </w:pPr>
                </w:p>
              </w:tc>
            </w:tr>
            <w:tr w:rsidR="002E4602" w:rsidRPr="00554A33" w:rsidTr="005C6C36">
              <w:tc>
                <w:tcPr>
                  <w:tcW w:w="6970" w:type="dxa"/>
                </w:tcPr>
                <w:p w:rsidR="002E4602" w:rsidRPr="0092176A" w:rsidRDefault="002E4602" w:rsidP="005C6C36">
                  <w:pPr>
                    <w:rPr>
                      <w:rFonts w:ascii="Arial" w:hAnsi="Arial"/>
                      <w:sz w:val="20"/>
                      <w:szCs w:val="20"/>
                      <w:lang w:val="en-GB"/>
                    </w:rPr>
                  </w:pPr>
                </w:p>
                <w:p w:rsidR="00A52EBF" w:rsidRPr="0092176A" w:rsidRDefault="002E4602" w:rsidP="005C6C36">
                  <w:pPr>
                    <w:rPr>
                      <w:rFonts w:ascii="Arial" w:hAnsi="Arial"/>
                      <w:b/>
                      <w:sz w:val="20"/>
                      <w:szCs w:val="20"/>
                      <w:lang w:val="en-GB"/>
                    </w:rPr>
                  </w:pPr>
                  <w:r w:rsidRPr="0092176A">
                    <w:rPr>
                      <w:rFonts w:ascii="Arial" w:hAnsi="Arial"/>
                      <w:b/>
                      <w:sz w:val="20"/>
                      <w:szCs w:val="20"/>
                      <w:lang w:val="en-GB"/>
                    </w:rPr>
                    <w:t>Final Mark</w:t>
                  </w:r>
                </w:p>
                <w:p w:rsidR="002E4602" w:rsidRPr="0092176A" w:rsidRDefault="002E4602" w:rsidP="005C6C36">
                  <w:pPr>
                    <w:rPr>
                      <w:rFonts w:ascii="Arial" w:hAnsi="Arial"/>
                      <w:sz w:val="20"/>
                      <w:szCs w:val="20"/>
                      <w:lang w:val="en-GB"/>
                    </w:rPr>
                  </w:pPr>
                </w:p>
              </w:tc>
              <w:tc>
                <w:tcPr>
                  <w:tcW w:w="1660" w:type="dxa"/>
                </w:tcPr>
                <w:p w:rsidR="002E4602" w:rsidRPr="0092176A" w:rsidRDefault="002E4602" w:rsidP="005C6C36">
                  <w:pPr>
                    <w:rPr>
                      <w:rFonts w:ascii="Arial" w:hAnsi="Arial"/>
                      <w:sz w:val="20"/>
                      <w:szCs w:val="20"/>
                      <w:lang w:val="en-GB"/>
                    </w:rPr>
                  </w:pPr>
                </w:p>
              </w:tc>
            </w:tr>
          </w:tbl>
          <w:p w:rsidR="002E4602" w:rsidRPr="0092176A" w:rsidRDefault="002E4602" w:rsidP="005C6C36">
            <w:pPr>
              <w:pStyle w:val="StandardWeb"/>
              <w:spacing w:before="0" w:beforeAutospacing="0" w:after="0" w:afterAutospacing="0"/>
              <w:ind w:left="142" w:right="34"/>
              <w:rPr>
                <w:rFonts w:ascii="Arial" w:hAnsi="Arial" w:cs="Arial"/>
                <w:b/>
                <w:sz w:val="22"/>
                <w:szCs w:val="22"/>
              </w:rPr>
            </w:pPr>
          </w:p>
          <w:p w:rsidR="002E4602" w:rsidRPr="0092176A" w:rsidRDefault="002E4602" w:rsidP="005C6C36">
            <w:pPr>
              <w:pStyle w:val="StandardWeb"/>
              <w:spacing w:before="0" w:beforeAutospacing="0" w:after="0" w:afterAutospacing="0"/>
              <w:ind w:left="142" w:right="34"/>
              <w:rPr>
                <w:rFonts w:ascii="Arial" w:hAnsi="Arial" w:cs="Arial"/>
                <w:sz w:val="22"/>
                <w:szCs w:val="22"/>
              </w:rPr>
            </w:pPr>
            <w:r w:rsidRPr="0092176A">
              <w:rPr>
                <w:rFonts w:ascii="Arial" w:hAnsi="Arial" w:cs="Arial"/>
                <w:b/>
                <w:sz w:val="22"/>
                <w:szCs w:val="22"/>
              </w:rPr>
              <w:lastRenderedPageBreak/>
              <w:t>NB.</w:t>
            </w:r>
            <w:r w:rsidRPr="0092176A">
              <w:rPr>
                <w:rFonts w:ascii="Arial" w:hAnsi="Arial" w:cs="Arial"/>
                <w:sz w:val="22"/>
                <w:szCs w:val="22"/>
              </w:rPr>
              <w:t xml:space="preserve">  All marks are provisional until confirmed by the Final Examination Board.</w:t>
            </w:r>
          </w:p>
          <w:p w:rsidR="002E4602" w:rsidRPr="0092176A" w:rsidRDefault="002E4602" w:rsidP="005C6C36">
            <w:pPr>
              <w:pStyle w:val="StandardWeb"/>
              <w:spacing w:before="0" w:beforeAutospacing="0" w:after="0" w:afterAutospacing="0"/>
              <w:rPr>
                <w:rFonts w:ascii="Arial" w:hAnsi="Arial" w:cs="Arial"/>
                <w:b/>
                <w:sz w:val="22"/>
                <w:szCs w:val="22"/>
              </w:rPr>
            </w:pPr>
          </w:p>
          <w:p w:rsidR="002E4602" w:rsidRPr="0092176A" w:rsidRDefault="002E4602" w:rsidP="005C6C36">
            <w:pPr>
              <w:pStyle w:val="StandardWeb"/>
              <w:spacing w:before="0" w:beforeAutospacing="0" w:after="0" w:afterAutospacing="0"/>
              <w:rPr>
                <w:rFonts w:ascii="Arial" w:hAnsi="Arial" w:cs="Arial"/>
                <w:b/>
                <w:sz w:val="22"/>
                <w:szCs w:val="22"/>
              </w:rPr>
            </w:pPr>
          </w:p>
          <w:p w:rsidR="002E4602" w:rsidRPr="0092176A" w:rsidRDefault="002E4602" w:rsidP="005C6C36">
            <w:pPr>
              <w:pStyle w:val="StandardWeb"/>
              <w:spacing w:before="0" w:beforeAutospacing="0" w:after="0" w:afterAutospacing="0"/>
              <w:rPr>
                <w:rFonts w:ascii="Arial" w:hAnsi="Arial" w:cs="Arial"/>
                <w:b/>
                <w:sz w:val="22"/>
                <w:szCs w:val="22"/>
              </w:rPr>
            </w:pPr>
          </w:p>
          <w:p w:rsidR="002E4602" w:rsidRPr="0092176A" w:rsidRDefault="002E4602" w:rsidP="005C6C36">
            <w:pPr>
              <w:pStyle w:val="StandardWeb"/>
              <w:spacing w:before="0" w:beforeAutospacing="0" w:after="0" w:afterAutospacing="0"/>
              <w:rPr>
                <w:rFonts w:ascii="Arial" w:hAnsi="Arial" w:cs="Arial"/>
                <w:b/>
                <w:sz w:val="22"/>
                <w:szCs w:val="22"/>
              </w:rPr>
            </w:pPr>
          </w:p>
          <w:p w:rsidR="002E4602" w:rsidRPr="0092176A" w:rsidRDefault="002E4602" w:rsidP="005C6C36">
            <w:pPr>
              <w:pStyle w:val="StandardWeb"/>
              <w:spacing w:before="0" w:beforeAutospacing="0" w:after="0" w:afterAutospacing="0"/>
              <w:rPr>
                <w:rFonts w:ascii="Arial" w:hAnsi="Arial" w:cs="Arial"/>
                <w:b/>
                <w:sz w:val="22"/>
                <w:szCs w:val="22"/>
              </w:rPr>
            </w:pPr>
          </w:p>
          <w:p w:rsidR="002E4602" w:rsidRPr="0092176A" w:rsidRDefault="002E4602" w:rsidP="005C6C36">
            <w:pPr>
              <w:pStyle w:val="StandardWeb"/>
              <w:spacing w:before="0" w:beforeAutospacing="0" w:after="0" w:afterAutospacing="0"/>
              <w:rPr>
                <w:rFonts w:ascii="Arial" w:hAnsi="Arial" w:cs="Arial"/>
                <w:b/>
                <w:sz w:val="22"/>
                <w:szCs w:val="22"/>
              </w:rPr>
            </w:pPr>
            <w:r w:rsidRPr="0092176A">
              <w:rPr>
                <w:rFonts w:ascii="Arial" w:hAnsi="Arial" w:cs="Arial"/>
                <w:b/>
                <w:sz w:val="22"/>
                <w:szCs w:val="22"/>
              </w:rPr>
              <w:t xml:space="preserve">For completion by Marker </w:t>
            </w:r>
            <w:proofErr w:type="gramStart"/>
            <w:r w:rsidRPr="0092176A">
              <w:rPr>
                <w:rFonts w:ascii="Arial" w:hAnsi="Arial" w:cs="Arial"/>
                <w:b/>
                <w:sz w:val="22"/>
                <w:szCs w:val="22"/>
              </w:rPr>
              <w:t>1 :</w:t>
            </w:r>
            <w:proofErr w:type="gramEnd"/>
          </w:p>
          <w:p w:rsidR="002E4602" w:rsidRPr="0092176A" w:rsidRDefault="002E4602" w:rsidP="005C6C36">
            <w:pPr>
              <w:pStyle w:val="StandardWeb"/>
              <w:rPr>
                <w:rFonts w:ascii="Arial" w:hAnsi="Arial" w:cs="Arial"/>
                <w:sz w:val="22"/>
                <w:szCs w:val="22"/>
              </w:rPr>
            </w:pPr>
            <w:r w:rsidRPr="0092176A">
              <w:rPr>
                <w:rFonts w:ascii="Arial" w:hAnsi="Arial" w:cs="Arial"/>
                <w:sz w:val="22"/>
                <w:szCs w:val="22"/>
              </w:rPr>
              <w:t>Comments:</w:t>
            </w:r>
          </w:p>
          <w:p w:rsidR="002E4602" w:rsidRPr="0092176A" w:rsidRDefault="002E4602" w:rsidP="005C6C36">
            <w:pPr>
              <w:pStyle w:val="StandardWeb"/>
              <w:rPr>
                <w:rFonts w:ascii="Arial" w:hAnsi="Arial" w:cs="Arial"/>
                <w:sz w:val="22"/>
                <w:szCs w:val="22"/>
              </w:rPr>
            </w:pPr>
          </w:p>
        </w:tc>
      </w:tr>
      <w:tr w:rsidR="002E4602" w:rsidRPr="0092176A" w:rsidTr="005C6C36">
        <w:trPr>
          <w:trHeight w:val="492"/>
        </w:trPr>
        <w:tc>
          <w:tcPr>
            <w:tcW w:w="6768" w:type="dxa"/>
            <w:gridSpan w:val="3"/>
          </w:tcPr>
          <w:p w:rsidR="002E4602" w:rsidRPr="0092176A" w:rsidRDefault="002E4602" w:rsidP="005C6C36">
            <w:pPr>
              <w:pStyle w:val="StandardWeb"/>
              <w:ind w:left="142" w:right="34"/>
              <w:rPr>
                <w:rFonts w:ascii="Arial" w:hAnsi="Arial" w:cs="Arial"/>
                <w:sz w:val="22"/>
                <w:szCs w:val="22"/>
              </w:rPr>
            </w:pPr>
            <w:r w:rsidRPr="0092176A">
              <w:rPr>
                <w:rFonts w:ascii="Arial" w:hAnsi="Arial" w:cs="Arial"/>
                <w:sz w:val="22"/>
                <w:szCs w:val="22"/>
              </w:rPr>
              <w:lastRenderedPageBreak/>
              <w:t>Marker’s signature:</w:t>
            </w:r>
          </w:p>
        </w:tc>
        <w:tc>
          <w:tcPr>
            <w:tcW w:w="2088" w:type="dxa"/>
            <w:gridSpan w:val="2"/>
          </w:tcPr>
          <w:p w:rsidR="002E4602" w:rsidRPr="0092176A" w:rsidRDefault="002E4602" w:rsidP="005C6C36">
            <w:pPr>
              <w:pStyle w:val="StandardWeb"/>
              <w:spacing w:after="0"/>
              <w:ind w:left="142" w:right="34"/>
              <w:rPr>
                <w:rFonts w:ascii="Arial" w:hAnsi="Arial" w:cs="Arial"/>
                <w:sz w:val="22"/>
                <w:szCs w:val="22"/>
              </w:rPr>
            </w:pPr>
            <w:r w:rsidRPr="0092176A">
              <w:rPr>
                <w:rFonts w:ascii="Arial" w:hAnsi="Arial" w:cs="Arial"/>
                <w:sz w:val="22"/>
                <w:szCs w:val="22"/>
              </w:rPr>
              <w:t>Date:</w:t>
            </w:r>
          </w:p>
        </w:tc>
      </w:tr>
      <w:tr w:rsidR="002E4602" w:rsidRPr="0092176A" w:rsidTr="005C6C36">
        <w:tc>
          <w:tcPr>
            <w:tcW w:w="8856" w:type="dxa"/>
            <w:gridSpan w:val="5"/>
          </w:tcPr>
          <w:p w:rsidR="002E4602" w:rsidRPr="0092176A" w:rsidRDefault="002E4602" w:rsidP="005C6C36">
            <w:pPr>
              <w:pStyle w:val="StandardWeb"/>
              <w:spacing w:before="0" w:beforeAutospacing="0" w:after="0" w:afterAutospacing="0"/>
              <w:ind w:right="-334"/>
              <w:rPr>
                <w:rFonts w:ascii="Arial" w:hAnsi="Arial" w:cs="Arial"/>
                <w:bCs/>
                <w:i/>
                <w:sz w:val="22"/>
                <w:szCs w:val="22"/>
              </w:rPr>
            </w:pPr>
          </w:p>
          <w:p w:rsidR="002E4602" w:rsidRPr="0092176A" w:rsidRDefault="002E4602" w:rsidP="005C6C36">
            <w:pPr>
              <w:pStyle w:val="StandardWeb"/>
              <w:spacing w:before="0" w:beforeAutospacing="0" w:after="0" w:afterAutospacing="0"/>
              <w:ind w:right="-334"/>
              <w:rPr>
                <w:rFonts w:ascii="Arial" w:hAnsi="Arial" w:cs="Arial"/>
                <w:b/>
                <w:bCs/>
                <w:sz w:val="22"/>
                <w:szCs w:val="22"/>
              </w:rPr>
            </w:pPr>
            <w:r w:rsidRPr="0092176A">
              <w:rPr>
                <w:rFonts w:ascii="Arial" w:hAnsi="Arial" w:cs="Arial"/>
                <w:b/>
                <w:bCs/>
                <w:sz w:val="22"/>
                <w:szCs w:val="22"/>
              </w:rPr>
              <w:t>For completion by Marker 2/Moderator:</w:t>
            </w:r>
          </w:p>
          <w:p w:rsidR="002E4602" w:rsidRPr="0092176A" w:rsidRDefault="002E4602" w:rsidP="005C6C36">
            <w:pPr>
              <w:pStyle w:val="StandardWeb"/>
              <w:spacing w:before="0" w:beforeAutospacing="0" w:after="0" w:afterAutospacing="0"/>
              <w:ind w:right="-334"/>
              <w:rPr>
                <w:rFonts w:ascii="Arial" w:hAnsi="Arial" w:cs="Arial"/>
                <w:b/>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r w:rsidRPr="0092176A">
              <w:rPr>
                <w:rFonts w:ascii="Arial" w:hAnsi="Arial" w:cs="Arial"/>
                <w:bCs/>
                <w:sz w:val="22"/>
                <w:szCs w:val="22"/>
              </w:rPr>
              <w:t>Comments:</w:t>
            </w: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tc>
      </w:tr>
      <w:tr w:rsidR="002E4602" w:rsidRPr="0092176A" w:rsidTr="005C6C36">
        <w:trPr>
          <w:trHeight w:val="720"/>
        </w:trPr>
        <w:tc>
          <w:tcPr>
            <w:tcW w:w="5211" w:type="dxa"/>
            <w:gridSpan w:val="2"/>
          </w:tcPr>
          <w:p w:rsidR="002E4602" w:rsidRPr="0092176A" w:rsidRDefault="002E4602" w:rsidP="005C6C36">
            <w:pPr>
              <w:pStyle w:val="StandardWeb"/>
              <w:spacing w:before="0" w:beforeAutospacing="0" w:after="0" w:afterAutospacing="0"/>
              <w:ind w:right="-334"/>
              <w:rPr>
                <w:rFonts w:ascii="Arial" w:hAnsi="Arial" w:cs="Arial"/>
                <w:bCs/>
                <w:sz w:val="22"/>
                <w:szCs w:val="22"/>
              </w:rPr>
            </w:pPr>
            <w:r w:rsidRPr="0092176A">
              <w:rPr>
                <w:rFonts w:ascii="Arial" w:hAnsi="Arial" w:cs="Arial"/>
                <w:bCs/>
                <w:sz w:val="22"/>
                <w:szCs w:val="22"/>
              </w:rPr>
              <w:t>Marker’s Signature:</w:t>
            </w:r>
          </w:p>
        </w:tc>
        <w:tc>
          <w:tcPr>
            <w:tcW w:w="3645" w:type="dxa"/>
            <w:gridSpan w:val="3"/>
          </w:tcPr>
          <w:p w:rsidR="002E4602" w:rsidRPr="0092176A" w:rsidRDefault="002E4602" w:rsidP="005C6C36">
            <w:pPr>
              <w:pStyle w:val="StandardWeb"/>
              <w:spacing w:before="0" w:beforeAutospacing="0" w:after="0" w:afterAutospacing="0"/>
              <w:ind w:right="-334"/>
              <w:rPr>
                <w:rFonts w:ascii="Arial" w:hAnsi="Arial" w:cs="Arial"/>
                <w:bCs/>
                <w:sz w:val="22"/>
                <w:szCs w:val="22"/>
              </w:rPr>
            </w:pPr>
            <w:r w:rsidRPr="0092176A">
              <w:rPr>
                <w:rFonts w:ascii="Arial" w:hAnsi="Arial" w:cs="Arial"/>
                <w:bCs/>
                <w:sz w:val="22"/>
                <w:szCs w:val="22"/>
              </w:rPr>
              <w:t>Date:</w:t>
            </w:r>
          </w:p>
        </w:tc>
      </w:tr>
      <w:tr w:rsidR="002E4602" w:rsidRPr="00554A33" w:rsidTr="005C6C36">
        <w:trPr>
          <w:trHeight w:val="720"/>
        </w:trPr>
        <w:tc>
          <w:tcPr>
            <w:tcW w:w="8856" w:type="dxa"/>
            <w:gridSpan w:val="5"/>
          </w:tcPr>
          <w:p w:rsidR="002E4602" w:rsidRPr="0092176A" w:rsidRDefault="002E4602" w:rsidP="005C6C36">
            <w:pPr>
              <w:rPr>
                <w:rFonts w:ascii="Arial" w:hAnsi="Arial" w:cs="Arial"/>
                <w:b/>
                <w:sz w:val="22"/>
                <w:szCs w:val="22"/>
                <w:lang w:val="en-GB"/>
              </w:rPr>
            </w:pPr>
            <w:r w:rsidRPr="0092176A">
              <w:rPr>
                <w:rFonts w:ascii="Arial" w:hAnsi="Arial" w:cs="Arial"/>
                <w:b/>
                <w:sz w:val="22"/>
                <w:szCs w:val="22"/>
                <w:lang w:val="en-GB"/>
              </w:rPr>
              <w:t>External Examiner’s comments (if relevant)</w:t>
            </w: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p w:rsidR="002E4602" w:rsidRPr="0092176A" w:rsidRDefault="002E4602" w:rsidP="005C6C36">
            <w:pPr>
              <w:pStyle w:val="StandardWeb"/>
              <w:spacing w:before="0" w:beforeAutospacing="0" w:after="0" w:afterAutospacing="0"/>
              <w:ind w:right="-334"/>
              <w:rPr>
                <w:rFonts w:ascii="Arial" w:hAnsi="Arial" w:cs="Arial"/>
                <w:bCs/>
                <w:sz w:val="22"/>
                <w:szCs w:val="22"/>
              </w:rPr>
            </w:pPr>
          </w:p>
        </w:tc>
      </w:tr>
      <w:tr w:rsidR="002E4602" w:rsidRPr="0092176A" w:rsidTr="005C6C36">
        <w:trPr>
          <w:trHeight w:val="720"/>
        </w:trPr>
        <w:tc>
          <w:tcPr>
            <w:tcW w:w="5211" w:type="dxa"/>
            <w:gridSpan w:val="2"/>
          </w:tcPr>
          <w:p w:rsidR="002E4602" w:rsidRPr="0092176A" w:rsidRDefault="002E4602" w:rsidP="005C6C36">
            <w:pPr>
              <w:rPr>
                <w:rFonts w:ascii="Arial" w:hAnsi="Arial" w:cs="Arial"/>
                <w:sz w:val="22"/>
                <w:szCs w:val="22"/>
                <w:lang w:val="en-GB"/>
              </w:rPr>
            </w:pPr>
            <w:r w:rsidRPr="0092176A">
              <w:rPr>
                <w:rFonts w:ascii="Arial" w:hAnsi="Arial" w:cs="Arial"/>
                <w:sz w:val="22"/>
                <w:szCs w:val="22"/>
                <w:lang w:val="en-GB"/>
              </w:rPr>
              <w:t>External Examiner’s Signature:</w:t>
            </w:r>
          </w:p>
        </w:tc>
        <w:tc>
          <w:tcPr>
            <w:tcW w:w="3645" w:type="dxa"/>
            <w:gridSpan w:val="3"/>
          </w:tcPr>
          <w:p w:rsidR="002E4602" w:rsidRPr="0092176A" w:rsidRDefault="002E4602" w:rsidP="005C6C36">
            <w:pPr>
              <w:rPr>
                <w:rFonts w:ascii="Arial" w:hAnsi="Arial" w:cs="Arial"/>
                <w:sz w:val="22"/>
                <w:szCs w:val="22"/>
                <w:lang w:val="en-GB"/>
              </w:rPr>
            </w:pPr>
            <w:r w:rsidRPr="0092176A">
              <w:rPr>
                <w:rFonts w:ascii="Arial" w:hAnsi="Arial" w:cs="Arial"/>
                <w:sz w:val="22"/>
                <w:szCs w:val="22"/>
                <w:lang w:val="en-GB"/>
              </w:rPr>
              <w:t>Date:</w:t>
            </w:r>
          </w:p>
        </w:tc>
      </w:tr>
    </w:tbl>
    <w:p w:rsidR="004C38BC" w:rsidRPr="0092176A" w:rsidRDefault="004C38BC" w:rsidP="004C38BC">
      <w:pPr>
        <w:spacing w:line="276" w:lineRule="auto"/>
        <w:rPr>
          <w:b/>
          <w:sz w:val="28"/>
          <w:lang w:val="en-GB"/>
        </w:rPr>
        <w:sectPr w:rsidR="004C38BC" w:rsidRPr="0092176A" w:rsidSect="00FC2AF3">
          <w:headerReference w:type="even" r:id="rId9"/>
          <w:footerReference w:type="even" r:id="rId10"/>
          <w:pgSz w:w="11900" w:h="16840"/>
          <w:pgMar w:top="1417" w:right="1417" w:bottom="1134" w:left="1417" w:header="708" w:footer="708" w:gutter="0"/>
          <w:cols w:space="708"/>
          <w:docGrid w:linePitch="360"/>
        </w:sectPr>
      </w:pPr>
    </w:p>
    <w:p w:rsidR="00F903FB" w:rsidRDefault="00A52EBF" w:rsidP="00F903FB">
      <w:pPr>
        <w:spacing w:line="276" w:lineRule="auto"/>
        <w:jc w:val="left"/>
        <w:rPr>
          <w:b/>
          <w:lang w:val="en-GB"/>
        </w:rPr>
      </w:pPr>
      <w:r w:rsidRPr="00A52EBF">
        <w:rPr>
          <w:b/>
          <w:sz w:val="28"/>
          <w:lang w:val="en-US"/>
        </w:rPr>
        <w:lastRenderedPageBreak/>
        <w:t>Comparison of the methodologies used in two research papers, discussing the position of the researchers in relation to their fields of research</w:t>
      </w:r>
    </w:p>
    <w:p w:rsidR="00A52EBF" w:rsidRDefault="00A52EBF" w:rsidP="00F903FB">
      <w:pPr>
        <w:spacing w:line="276" w:lineRule="auto"/>
        <w:jc w:val="left"/>
        <w:rPr>
          <w:b/>
          <w:lang w:val="en-GB"/>
        </w:rPr>
      </w:pPr>
    </w:p>
    <w:p w:rsidR="00C54992" w:rsidRPr="00F903FB" w:rsidRDefault="00C54992" w:rsidP="00F903FB">
      <w:pPr>
        <w:spacing w:line="276" w:lineRule="auto"/>
        <w:jc w:val="left"/>
        <w:rPr>
          <w:b/>
          <w:lang w:val="en-GB"/>
        </w:rPr>
      </w:pPr>
      <w:r w:rsidRPr="00F903FB">
        <w:rPr>
          <w:b/>
          <w:lang w:val="en-GB"/>
        </w:rPr>
        <w:t xml:space="preserve">Word </w:t>
      </w:r>
      <w:r w:rsidR="00F130E5" w:rsidRPr="00F903FB">
        <w:rPr>
          <w:b/>
          <w:lang w:val="en-GB"/>
        </w:rPr>
        <w:t xml:space="preserve">Count: </w:t>
      </w:r>
      <w:r w:rsidR="00321751">
        <w:rPr>
          <w:b/>
          <w:lang w:val="en-GB"/>
        </w:rPr>
        <w:t>1000</w:t>
      </w:r>
    </w:p>
    <w:p w:rsidR="00FD4B33" w:rsidRDefault="00FD4B33" w:rsidP="00865EF2">
      <w:pPr>
        <w:spacing w:line="240" w:lineRule="auto"/>
        <w:rPr>
          <w:lang w:val="en-GB"/>
        </w:rPr>
      </w:pPr>
    </w:p>
    <w:p w:rsidR="00A239DA" w:rsidRDefault="00A239DA" w:rsidP="002A77CD">
      <w:pPr>
        <w:spacing w:line="276" w:lineRule="auto"/>
        <w:rPr>
          <w:lang w:val="en-GB"/>
        </w:rPr>
      </w:pPr>
    </w:p>
    <w:p w:rsidR="00865EF2" w:rsidRPr="00321751" w:rsidRDefault="00C871D1" w:rsidP="00321751">
      <w:pPr>
        <w:spacing w:line="276" w:lineRule="auto"/>
        <w:rPr>
          <w:rFonts w:cs="Times New Roman"/>
          <w:lang w:val="en-GB"/>
        </w:rPr>
      </w:pPr>
      <w:r w:rsidRPr="00321751">
        <w:rPr>
          <w:rFonts w:cs="Times New Roman"/>
          <w:lang w:val="en-GB"/>
        </w:rPr>
        <w:t>The following essay compare</w:t>
      </w:r>
      <w:r w:rsidR="00960B90" w:rsidRPr="00321751">
        <w:rPr>
          <w:rFonts w:cs="Times New Roman"/>
          <w:lang w:val="en-GB"/>
        </w:rPr>
        <w:t>s</w:t>
      </w:r>
      <w:r w:rsidRPr="00321751">
        <w:rPr>
          <w:rFonts w:cs="Times New Roman"/>
          <w:lang w:val="en-GB"/>
        </w:rPr>
        <w:t xml:space="preserve"> two </w:t>
      </w:r>
      <w:r w:rsidR="002A77CD" w:rsidRPr="00321751">
        <w:rPr>
          <w:rFonts w:cs="Times New Roman"/>
          <w:lang w:val="en-GB"/>
        </w:rPr>
        <w:t>research p</w:t>
      </w:r>
      <w:r w:rsidRPr="00321751">
        <w:rPr>
          <w:rFonts w:cs="Times New Roman"/>
          <w:lang w:val="en-GB"/>
        </w:rPr>
        <w:t xml:space="preserve">apers, </w:t>
      </w:r>
      <w:r w:rsidR="002A77CD" w:rsidRPr="00321751">
        <w:rPr>
          <w:rFonts w:cs="Times New Roman"/>
          <w:lang w:val="en-GB"/>
        </w:rPr>
        <w:t xml:space="preserve">addressing three major questions: (1) How valid has been the choice of methodology, given the remit of the </w:t>
      </w:r>
      <w:proofErr w:type="gramStart"/>
      <w:r w:rsidR="002A77CD" w:rsidRPr="00321751">
        <w:rPr>
          <w:rFonts w:cs="Times New Roman"/>
          <w:lang w:val="en-GB"/>
        </w:rPr>
        <w:t>project?,</w:t>
      </w:r>
      <w:proofErr w:type="gramEnd"/>
      <w:r w:rsidR="002A77CD" w:rsidRPr="00321751">
        <w:rPr>
          <w:rFonts w:cs="Times New Roman"/>
          <w:lang w:val="en-GB"/>
        </w:rPr>
        <w:t xml:space="preserve"> (2) How has the researchers position on the insider/outsider continuum shaped their project?, and (3) How effectively have the researchers related their fieldwork data to relevant literature? The two chosen research papers are T. L. Brink, ‘Inconsistency of Belief among Roman Catholic Girls: Concerning Religion, Astrology, Reincarnation’, </w:t>
      </w:r>
      <w:r w:rsidR="002A77CD" w:rsidRPr="00321751">
        <w:rPr>
          <w:rFonts w:cs="Times New Roman"/>
          <w:i/>
          <w:lang w:val="en-GB"/>
        </w:rPr>
        <w:t xml:space="preserve">Review of Religious Research, </w:t>
      </w:r>
      <w:r w:rsidR="002A77CD" w:rsidRPr="00321751">
        <w:rPr>
          <w:rFonts w:cs="Times New Roman"/>
          <w:lang w:val="en-GB"/>
        </w:rPr>
        <w:t xml:space="preserve">20 (1978), 82-85 and Tony Walter and Helen Waterhouse, ‘A Very Private Belief: Reincarnation in Contemporary England’, </w:t>
      </w:r>
      <w:r w:rsidR="002A77CD" w:rsidRPr="00321751">
        <w:rPr>
          <w:rFonts w:cs="Times New Roman"/>
          <w:i/>
          <w:lang w:val="en-GB"/>
        </w:rPr>
        <w:t xml:space="preserve">Sociology of Religion, </w:t>
      </w:r>
      <w:r w:rsidR="002A77CD" w:rsidRPr="00321751">
        <w:rPr>
          <w:rFonts w:cs="Times New Roman"/>
          <w:lang w:val="en-GB"/>
        </w:rPr>
        <w:t xml:space="preserve">60 (1999), 187-197. </w:t>
      </w:r>
    </w:p>
    <w:p w:rsidR="001B145D" w:rsidRPr="00321751" w:rsidRDefault="00057789" w:rsidP="00321751">
      <w:pPr>
        <w:spacing w:line="276" w:lineRule="auto"/>
        <w:ind w:firstLine="708"/>
        <w:rPr>
          <w:rFonts w:cs="Times New Roman"/>
          <w:lang w:val="en-GB"/>
        </w:rPr>
      </w:pPr>
      <w:r w:rsidRPr="00321751">
        <w:rPr>
          <w:rFonts w:cs="Times New Roman"/>
          <w:lang w:val="en-GB"/>
        </w:rPr>
        <w:t xml:space="preserve">Referring to the first question, the paper of Brink can be analysed two-sided. </w:t>
      </w:r>
      <w:r w:rsidR="00744FC6">
        <w:rPr>
          <w:rFonts w:cs="Times New Roman"/>
          <w:lang w:val="en-GB"/>
        </w:rPr>
        <w:t>Brink refers to social psychological theories in order to</w:t>
      </w:r>
      <w:r w:rsidRPr="00321751">
        <w:rPr>
          <w:rFonts w:cs="Times New Roman"/>
          <w:lang w:val="en-GB"/>
        </w:rPr>
        <w:t xml:space="preserve"> </w:t>
      </w:r>
      <w:r w:rsidR="00744FC6">
        <w:rPr>
          <w:rFonts w:cs="Times New Roman"/>
          <w:lang w:val="en-GB"/>
        </w:rPr>
        <w:t>claim a</w:t>
      </w:r>
      <w:r w:rsidRPr="00321751">
        <w:rPr>
          <w:rFonts w:cs="Times New Roman"/>
          <w:lang w:val="en-GB"/>
        </w:rPr>
        <w:t xml:space="preserve"> discriminability of three distinct belief-systems (Roman Catholic, astrology, reincarnation)</w:t>
      </w:r>
      <w:r w:rsidR="008F2666" w:rsidRPr="00321751">
        <w:rPr>
          <w:rFonts w:cs="Times New Roman"/>
          <w:lang w:val="en-GB"/>
        </w:rPr>
        <w:t xml:space="preserve"> and</w:t>
      </w:r>
      <w:r w:rsidRPr="00321751">
        <w:rPr>
          <w:rFonts w:cs="Times New Roman"/>
          <w:lang w:val="en-GB"/>
        </w:rPr>
        <w:t xml:space="preserve"> his</w:t>
      </w:r>
      <w:r w:rsidR="00744FC6">
        <w:rPr>
          <w:rFonts w:cs="Times New Roman"/>
          <w:lang w:val="en-GB"/>
        </w:rPr>
        <w:t xml:space="preserve"> subsequent</w:t>
      </w:r>
      <w:r w:rsidRPr="00321751">
        <w:rPr>
          <w:rFonts w:cs="Times New Roman"/>
          <w:lang w:val="en-GB"/>
        </w:rPr>
        <w:t xml:space="preserve"> use of a questionnaire that asks</w:t>
      </w:r>
      <w:r w:rsidR="00875692" w:rsidRPr="00321751">
        <w:rPr>
          <w:rFonts w:cs="Times New Roman"/>
          <w:lang w:val="en-GB"/>
        </w:rPr>
        <w:t xml:space="preserve"> for negation or confirmation of statements related to these three belief systems c</w:t>
      </w:r>
      <w:r w:rsidR="00744FC6">
        <w:rPr>
          <w:rFonts w:cs="Times New Roman"/>
          <w:lang w:val="en-GB"/>
        </w:rPr>
        <w:t>ould</w:t>
      </w:r>
      <w:r w:rsidR="00875692" w:rsidRPr="00321751">
        <w:rPr>
          <w:rFonts w:cs="Times New Roman"/>
          <w:lang w:val="en-GB"/>
        </w:rPr>
        <w:t xml:space="preserve"> be valued as correct.</w:t>
      </w:r>
      <w:r w:rsidR="00960B90" w:rsidRPr="00321751">
        <w:rPr>
          <w:rStyle w:val="Funotenzeichen"/>
          <w:rFonts w:cs="Times New Roman"/>
          <w:lang w:val="en-GB"/>
        </w:rPr>
        <w:footnoteReference w:id="1"/>
      </w:r>
      <w:r w:rsidR="00875692" w:rsidRPr="00321751">
        <w:rPr>
          <w:rFonts w:cs="Times New Roman"/>
          <w:lang w:val="en-GB"/>
        </w:rPr>
        <w:t xml:space="preserve"> Also, the use of a Chi-square test fits methodologically to such an assumption.</w:t>
      </w:r>
      <w:r w:rsidR="00960B90" w:rsidRPr="00321751">
        <w:rPr>
          <w:rStyle w:val="Funotenzeichen"/>
          <w:rFonts w:cs="Times New Roman"/>
          <w:lang w:val="en-GB"/>
        </w:rPr>
        <w:footnoteReference w:id="2"/>
      </w:r>
      <w:r w:rsidR="00875692" w:rsidRPr="00321751">
        <w:rPr>
          <w:rFonts w:cs="Times New Roman"/>
          <w:lang w:val="en-GB"/>
        </w:rPr>
        <w:t xml:space="preserve"> However, Brink did not reflect the fluidity and blurring of demarcations between and within these </w:t>
      </w:r>
      <w:r w:rsidR="008F2666" w:rsidRPr="00321751">
        <w:rPr>
          <w:rFonts w:cs="Times New Roman"/>
          <w:lang w:val="en-GB"/>
        </w:rPr>
        <w:t>beliefs</w:t>
      </w:r>
      <w:r w:rsidR="00875692" w:rsidRPr="00321751">
        <w:rPr>
          <w:rFonts w:cs="Times New Roman"/>
          <w:lang w:val="en-GB"/>
        </w:rPr>
        <w:t xml:space="preserve">, a circumstance that can also </w:t>
      </w:r>
      <w:r w:rsidR="00744FC6">
        <w:rPr>
          <w:rFonts w:cs="Times New Roman"/>
          <w:lang w:val="en-GB"/>
        </w:rPr>
        <w:t>be ascribed</w:t>
      </w:r>
      <w:r w:rsidR="00875692" w:rsidRPr="00321751">
        <w:rPr>
          <w:rFonts w:cs="Times New Roman"/>
          <w:lang w:val="en-GB"/>
        </w:rPr>
        <w:t xml:space="preserve"> to </w:t>
      </w:r>
      <w:r w:rsidR="005C6C36" w:rsidRPr="00321751">
        <w:rPr>
          <w:rFonts w:cs="Times New Roman"/>
          <w:lang w:val="en-GB"/>
        </w:rPr>
        <w:t>his</w:t>
      </w:r>
      <w:r w:rsidR="00875692" w:rsidRPr="00321751">
        <w:rPr>
          <w:rFonts w:cs="Times New Roman"/>
          <w:lang w:val="en-GB"/>
        </w:rPr>
        <w:t xml:space="preserve"> insufficient </w:t>
      </w:r>
      <w:r w:rsidR="00E55728" w:rsidRPr="00321751">
        <w:rPr>
          <w:rFonts w:cs="Times New Roman"/>
          <w:lang w:val="en-GB"/>
        </w:rPr>
        <w:t>in-depth</w:t>
      </w:r>
      <w:r w:rsidR="00875692" w:rsidRPr="00321751">
        <w:rPr>
          <w:rFonts w:cs="Times New Roman"/>
          <w:lang w:val="en-GB"/>
        </w:rPr>
        <w:t xml:space="preserve"> literature review.</w:t>
      </w:r>
      <w:r w:rsidR="00554A33">
        <w:rPr>
          <w:rStyle w:val="Funotenzeichen"/>
          <w:rFonts w:cs="Times New Roman"/>
          <w:lang w:val="en-GB"/>
        </w:rPr>
        <w:footnoteReference w:id="3"/>
      </w:r>
      <w:r w:rsidR="00E55728" w:rsidRPr="00321751">
        <w:rPr>
          <w:rFonts w:cs="Times New Roman"/>
          <w:lang w:val="en-GB"/>
        </w:rPr>
        <w:t xml:space="preserve"> </w:t>
      </w:r>
      <w:r w:rsidR="00E42E77" w:rsidRPr="00321751">
        <w:rPr>
          <w:rFonts w:cs="Times New Roman"/>
          <w:lang w:val="en-GB"/>
        </w:rPr>
        <w:t>Furthermore, he provides no detailed or sophisticated explanation why he investigated Roman Catholic girls in high school (except the girls’ obvious attribute of being Catholic).</w:t>
      </w:r>
      <w:r w:rsidR="00554A33">
        <w:rPr>
          <w:rStyle w:val="Funotenzeichen"/>
          <w:rFonts w:cs="Times New Roman"/>
          <w:lang w:val="en-GB"/>
        </w:rPr>
        <w:footnoteReference w:id="4"/>
      </w:r>
      <w:r w:rsidR="00E42E77" w:rsidRPr="00321751">
        <w:rPr>
          <w:rFonts w:cs="Times New Roman"/>
          <w:lang w:val="en-GB"/>
        </w:rPr>
        <w:t xml:space="preserve"> </w:t>
      </w:r>
    </w:p>
    <w:p w:rsidR="00A239DA" w:rsidRPr="00321751" w:rsidRDefault="00E55728" w:rsidP="00321751">
      <w:pPr>
        <w:spacing w:line="276" w:lineRule="auto"/>
        <w:ind w:firstLine="708"/>
        <w:rPr>
          <w:rFonts w:cs="Times New Roman"/>
          <w:lang w:val="en-GB"/>
        </w:rPr>
      </w:pPr>
      <w:r w:rsidRPr="00321751">
        <w:rPr>
          <w:rFonts w:cs="Times New Roman"/>
          <w:lang w:val="en-GB"/>
        </w:rPr>
        <w:t>In contrast, the paper of Walter and Waterhouse shows an awareness of the fluidity and complexity of belief</w:t>
      </w:r>
      <w:r w:rsidR="005C6C36" w:rsidRPr="00321751">
        <w:rPr>
          <w:rFonts w:cs="Times New Roman"/>
          <w:lang w:val="en-GB"/>
        </w:rPr>
        <w:t>s</w:t>
      </w:r>
      <w:r w:rsidRPr="00321751">
        <w:rPr>
          <w:rFonts w:cs="Times New Roman"/>
          <w:lang w:val="en-GB"/>
        </w:rPr>
        <w:t xml:space="preserve">. The authors </w:t>
      </w:r>
      <w:r w:rsidR="004776DC" w:rsidRPr="00321751">
        <w:rPr>
          <w:rFonts w:cs="Times New Roman"/>
          <w:lang w:val="en-GB"/>
        </w:rPr>
        <w:t>critically reflect</w:t>
      </w:r>
      <w:r w:rsidRPr="00321751">
        <w:rPr>
          <w:rFonts w:cs="Times New Roman"/>
          <w:lang w:val="en-GB"/>
        </w:rPr>
        <w:t xml:space="preserve"> the quantitative questionnaires used </w:t>
      </w:r>
      <w:r w:rsidR="004776DC" w:rsidRPr="00321751">
        <w:rPr>
          <w:rFonts w:cs="Times New Roman"/>
          <w:lang w:val="en-GB"/>
        </w:rPr>
        <w:t xml:space="preserve">in large surveys like the European Values Surveys (EVS) </w:t>
      </w:r>
      <w:r w:rsidR="00340907" w:rsidRPr="00321751">
        <w:rPr>
          <w:rFonts w:cs="Times New Roman"/>
          <w:lang w:val="en-GB"/>
        </w:rPr>
        <w:softHyphen/>
      </w:r>
      <w:r w:rsidR="00340907" w:rsidRPr="00321751">
        <w:rPr>
          <w:rFonts w:cs="Times New Roman"/>
          <w:lang w:val="en-GB"/>
        </w:rPr>
        <w:softHyphen/>
        <w:t xml:space="preserve">– </w:t>
      </w:r>
      <w:r w:rsidR="004776DC" w:rsidRPr="00321751">
        <w:rPr>
          <w:rFonts w:cs="Times New Roman"/>
          <w:lang w:val="en-GB"/>
        </w:rPr>
        <w:t xml:space="preserve">which </w:t>
      </w:r>
      <w:r w:rsidR="00340907" w:rsidRPr="00321751">
        <w:rPr>
          <w:rFonts w:cs="Times New Roman"/>
          <w:lang w:val="en-GB"/>
        </w:rPr>
        <w:t>revealed contradictions between</w:t>
      </w:r>
      <w:r w:rsidR="004776DC" w:rsidRPr="00321751">
        <w:rPr>
          <w:rFonts w:cs="Times New Roman"/>
          <w:lang w:val="en-GB"/>
        </w:rPr>
        <w:t xml:space="preserve"> the prevalence of the belief in reincarnation</w:t>
      </w:r>
      <w:r w:rsidR="005339AE" w:rsidRPr="00321751">
        <w:rPr>
          <w:rFonts w:cs="Times New Roman"/>
          <w:lang w:val="en-GB"/>
        </w:rPr>
        <w:t xml:space="preserve"> </w:t>
      </w:r>
      <w:r w:rsidR="00340907" w:rsidRPr="00321751">
        <w:rPr>
          <w:rFonts w:cs="Times New Roman"/>
          <w:lang w:val="en-GB"/>
        </w:rPr>
        <w:t xml:space="preserve">and </w:t>
      </w:r>
      <w:r w:rsidR="005339AE" w:rsidRPr="00321751">
        <w:rPr>
          <w:rFonts w:cs="Times New Roman"/>
          <w:lang w:val="en-GB"/>
        </w:rPr>
        <w:t>religious affiliations</w:t>
      </w:r>
      <w:r w:rsidR="00340907" w:rsidRPr="00321751">
        <w:rPr>
          <w:rFonts w:cs="Times New Roman"/>
          <w:lang w:val="en-GB"/>
        </w:rPr>
        <w:t xml:space="preserve"> – </w:t>
      </w:r>
      <w:r w:rsidR="004776DC" w:rsidRPr="00321751">
        <w:rPr>
          <w:rFonts w:cs="Times New Roman"/>
          <w:lang w:val="en-GB"/>
        </w:rPr>
        <w:t>by referring to the complexity of</w:t>
      </w:r>
      <w:r w:rsidR="005339AE" w:rsidRPr="00321751">
        <w:rPr>
          <w:rFonts w:cs="Times New Roman"/>
          <w:lang w:val="en-GB"/>
        </w:rPr>
        <w:t xml:space="preserve"> belief</w:t>
      </w:r>
      <w:r w:rsidR="00340907" w:rsidRPr="00321751">
        <w:rPr>
          <w:rFonts w:cs="Times New Roman"/>
          <w:lang w:val="en-GB"/>
        </w:rPr>
        <w:t>s</w:t>
      </w:r>
      <w:r w:rsidR="004776DC" w:rsidRPr="00321751">
        <w:rPr>
          <w:rFonts w:cs="Times New Roman"/>
          <w:lang w:val="en-GB"/>
        </w:rPr>
        <w:t>.</w:t>
      </w:r>
      <w:r w:rsidR="00960B90" w:rsidRPr="00321751">
        <w:rPr>
          <w:rStyle w:val="Funotenzeichen"/>
          <w:rFonts w:cs="Times New Roman"/>
          <w:lang w:val="en-GB"/>
        </w:rPr>
        <w:footnoteReference w:id="5"/>
      </w:r>
      <w:r w:rsidR="004776DC" w:rsidRPr="00321751">
        <w:rPr>
          <w:rFonts w:cs="Times New Roman"/>
          <w:lang w:val="en-GB"/>
        </w:rPr>
        <w:t xml:space="preserve"> Therefore, the authors </w:t>
      </w:r>
      <w:r w:rsidR="005339AE" w:rsidRPr="00321751">
        <w:rPr>
          <w:rFonts w:cs="Times New Roman"/>
          <w:lang w:val="en-GB"/>
        </w:rPr>
        <w:t>set up</w:t>
      </w:r>
      <w:r w:rsidR="004776DC" w:rsidRPr="00321751">
        <w:rPr>
          <w:rFonts w:cs="Times New Roman"/>
          <w:lang w:val="en-GB"/>
        </w:rPr>
        <w:t xml:space="preserve"> an interview study </w:t>
      </w:r>
      <w:r w:rsidR="00497910" w:rsidRPr="00321751">
        <w:rPr>
          <w:rFonts w:cs="Times New Roman"/>
          <w:lang w:val="en-GB"/>
        </w:rPr>
        <w:t>with regard to this</w:t>
      </w:r>
      <w:r w:rsidR="004776DC" w:rsidRPr="00321751">
        <w:rPr>
          <w:rFonts w:cs="Times New Roman"/>
          <w:lang w:val="en-GB"/>
        </w:rPr>
        <w:t xml:space="preserve"> complexity in order to </w:t>
      </w:r>
      <w:r w:rsidR="00497910" w:rsidRPr="00321751">
        <w:rPr>
          <w:rFonts w:cs="Times New Roman"/>
          <w:lang w:val="en-GB"/>
        </w:rPr>
        <w:t xml:space="preserve">reveal </w:t>
      </w:r>
      <w:r w:rsidR="00254D42" w:rsidRPr="00321751">
        <w:rPr>
          <w:rFonts w:cs="Times New Roman"/>
          <w:lang w:val="en-GB"/>
        </w:rPr>
        <w:t xml:space="preserve">why the quantitative studies on the belief in reincarnation show </w:t>
      </w:r>
      <w:r w:rsidR="00960B90" w:rsidRPr="00321751">
        <w:rPr>
          <w:rFonts w:cs="Times New Roman"/>
          <w:lang w:val="en-GB"/>
        </w:rPr>
        <w:t>these</w:t>
      </w:r>
      <w:r w:rsidR="00254D42" w:rsidRPr="00321751">
        <w:rPr>
          <w:rFonts w:cs="Times New Roman"/>
          <w:lang w:val="en-GB"/>
        </w:rPr>
        <w:t xml:space="preserve"> </w:t>
      </w:r>
      <w:r w:rsidR="008E4643" w:rsidRPr="00321751">
        <w:rPr>
          <w:rFonts w:cs="Times New Roman"/>
          <w:lang w:val="en-GB"/>
        </w:rPr>
        <w:t>contradictory</w:t>
      </w:r>
      <w:r w:rsidR="00254D42" w:rsidRPr="00321751">
        <w:rPr>
          <w:rFonts w:cs="Times New Roman"/>
          <w:lang w:val="en-GB"/>
        </w:rPr>
        <w:t xml:space="preserve"> findings.</w:t>
      </w:r>
      <w:r w:rsidR="00960B90" w:rsidRPr="00321751">
        <w:rPr>
          <w:rStyle w:val="Funotenzeichen"/>
          <w:rFonts w:cs="Times New Roman"/>
          <w:lang w:val="en-GB"/>
        </w:rPr>
        <w:footnoteReference w:id="6"/>
      </w:r>
      <w:r w:rsidR="008E4643" w:rsidRPr="00321751">
        <w:rPr>
          <w:rFonts w:cs="Times New Roman"/>
          <w:lang w:val="en-GB"/>
        </w:rPr>
        <w:t xml:space="preserve"> For this purp</w:t>
      </w:r>
      <w:r w:rsidR="00A1233C" w:rsidRPr="00321751">
        <w:rPr>
          <w:rFonts w:cs="Times New Roman"/>
          <w:lang w:val="en-GB"/>
        </w:rPr>
        <w:t xml:space="preserve">ose, the authors </w:t>
      </w:r>
      <w:proofErr w:type="spellStart"/>
      <w:r w:rsidR="00807ABB" w:rsidRPr="00321751">
        <w:rPr>
          <w:rFonts w:cs="Times New Roman"/>
          <w:lang w:val="en-GB"/>
        </w:rPr>
        <w:t>i</w:t>
      </w:r>
      <w:proofErr w:type="spellEnd"/>
      <w:r w:rsidR="00807ABB" w:rsidRPr="00321751">
        <w:rPr>
          <w:rFonts w:cs="Times New Roman"/>
          <w:lang w:val="en-GB"/>
        </w:rPr>
        <w:t xml:space="preserve">. a. </w:t>
      </w:r>
      <w:r w:rsidR="00A1233C" w:rsidRPr="00321751">
        <w:rPr>
          <w:rFonts w:cs="Times New Roman"/>
          <w:lang w:val="en-GB"/>
        </w:rPr>
        <w:t>conducted open-ended interviews</w:t>
      </w:r>
      <w:r w:rsidR="00807ABB" w:rsidRPr="00321751">
        <w:rPr>
          <w:rFonts w:cs="Times New Roman"/>
          <w:lang w:val="en-GB"/>
        </w:rPr>
        <w:t xml:space="preserve"> with thirty adults</w:t>
      </w:r>
      <w:r w:rsidR="00A1233C" w:rsidRPr="00321751">
        <w:rPr>
          <w:rFonts w:cs="Times New Roman"/>
          <w:lang w:val="en-GB"/>
        </w:rPr>
        <w:t>, avoiding leading questions which could prevent the interviewees to speak in their own terms.</w:t>
      </w:r>
      <w:r w:rsidR="00960B90" w:rsidRPr="00321751">
        <w:rPr>
          <w:rStyle w:val="Funotenzeichen"/>
          <w:rFonts w:cs="Times New Roman"/>
          <w:lang w:val="en-GB"/>
        </w:rPr>
        <w:footnoteReference w:id="7"/>
      </w:r>
      <w:r w:rsidR="00A1233C" w:rsidRPr="00321751">
        <w:rPr>
          <w:rFonts w:cs="Times New Roman"/>
          <w:lang w:val="en-GB"/>
        </w:rPr>
        <w:t xml:space="preserve"> Although the researchers tried to cover a broad range of different people, the method of gaining participants </w:t>
      </w:r>
      <w:r w:rsidR="00807ABB" w:rsidRPr="00321751">
        <w:rPr>
          <w:rFonts w:cs="Times New Roman"/>
          <w:lang w:val="en-GB"/>
        </w:rPr>
        <w:t>was</w:t>
      </w:r>
      <w:r w:rsidR="00A1233C" w:rsidRPr="00321751">
        <w:rPr>
          <w:rFonts w:cs="Times New Roman"/>
          <w:lang w:val="en-GB"/>
        </w:rPr>
        <w:t xml:space="preserve"> influenced </w:t>
      </w:r>
      <w:proofErr w:type="spellStart"/>
      <w:r w:rsidR="00200D00" w:rsidRPr="00321751">
        <w:rPr>
          <w:rFonts w:cs="Times New Roman"/>
          <w:lang w:val="en-GB"/>
        </w:rPr>
        <w:t>i.a</w:t>
      </w:r>
      <w:proofErr w:type="spellEnd"/>
      <w:r w:rsidR="00200D00" w:rsidRPr="00321751">
        <w:rPr>
          <w:rFonts w:cs="Times New Roman"/>
          <w:lang w:val="en-GB"/>
        </w:rPr>
        <w:t xml:space="preserve">. </w:t>
      </w:r>
      <w:r w:rsidR="00A1233C" w:rsidRPr="00321751">
        <w:rPr>
          <w:rFonts w:cs="Times New Roman"/>
          <w:lang w:val="en-GB"/>
        </w:rPr>
        <w:t>by personal contacts and a certain amount of snowballing</w:t>
      </w:r>
      <w:r w:rsidR="00807ABB" w:rsidRPr="00321751">
        <w:rPr>
          <w:rFonts w:cs="Times New Roman"/>
          <w:lang w:val="en-GB"/>
        </w:rPr>
        <w:t>, a circumstance that could have contributed to a rather homogenous sample</w:t>
      </w:r>
      <w:r w:rsidR="005339AE" w:rsidRPr="00321751">
        <w:rPr>
          <w:rFonts w:cs="Times New Roman"/>
          <w:lang w:val="en-GB"/>
        </w:rPr>
        <w:t>.</w:t>
      </w:r>
      <w:r w:rsidR="00960B90" w:rsidRPr="00321751">
        <w:rPr>
          <w:rStyle w:val="Funotenzeichen"/>
          <w:rFonts w:cs="Times New Roman"/>
          <w:lang w:val="en-GB"/>
        </w:rPr>
        <w:footnoteReference w:id="8"/>
      </w:r>
      <w:r w:rsidR="005339AE" w:rsidRPr="00321751">
        <w:rPr>
          <w:rFonts w:cs="Times New Roman"/>
          <w:lang w:val="en-GB"/>
        </w:rPr>
        <w:t xml:space="preserve"> </w:t>
      </w:r>
      <w:r w:rsidR="00296517" w:rsidRPr="00321751">
        <w:rPr>
          <w:rFonts w:cs="Times New Roman"/>
          <w:lang w:val="en-GB"/>
        </w:rPr>
        <w:t xml:space="preserve">Concluding the methodological comparison of both papers, they both show logical and inconsistent aspects </w:t>
      </w:r>
      <w:r w:rsidR="00296517" w:rsidRPr="00321751">
        <w:rPr>
          <w:rFonts w:cs="Times New Roman"/>
          <w:lang w:val="en-GB"/>
        </w:rPr>
        <w:lastRenderedPageBreak/>
        <w:t>at the same time, however, the methodology of Water and Waterhouse fits better to their research aims than Brink’s does to his ones</w:t>
      </w:r>
      <w:r w:rsidR="001B145D" w:rsidRPr="00321751">
        <w:rPr>
          <w:rFonts w:cs="Times New Roman"/>
          <w:lang w:val="en-GB"/>
        </w:rPr>
        <w:t xml:space="preserve"> due to </w:t>
      </w:r>
      <w:r w:rsidR="00FD15F5" w:rsidRPr="00321751">
        <w:rPr>
          <w:rFonts w:cs="Times New Roman"/>
          <w:lang w:val="en-GB"/>
        </w:rPr>
        <w:t>his</w:t>
      </w:r>
      <w:r w:rsidR="001B145D" w:rsidRPr="00321751">
        <w:rPr>
          <w:rFonts w:cs="Times New Roman"/>
          <w:lang w:val="en-GB"/>
        </w:rPr>
        <w:t xml:space="preserve"> lack of in-depth literature review.</w:t>
      </w:r>
    </w:p>
    <w:p w:rsidR="00230FE6" w:rsidRPr="00321751" w:rsidRDefault="00230FE6" w:rsidP="00321751">
      <w:pPr>
        <w:spacing w:line="276" w:lineRule="auto"/>
        <w:ind w:firstLine="708"/>
        <w:rPr>
          <w:rFonts w:cs="Times New Roman"/>
          <w:lang w:val="en-GB"/>
        </w:rPr>
      </w:pPr>
      <w:r w:rsidRPr="00321751">
        <w:rPr>
          <w:rFonts w:cs="Times New Roman"/>
          <w:lang w:val="en-GB"/>
        </w:rPr>
        <w:t xml:space="preserve">Concerning the second question, the paper of Brink </w:t>
      </w:r>
      <w:r w:rsidR="009130B2" w:rsidRPr="00321751">
        <w:rPr>
          <w:rFonts w:cs="Times New Roman"/>
          <w:lang w:val="en-GB"/>
        </w:rPr>
        <w:t>shows clear indicat</w:t>
      </w:r>
      <w:r w:rsidR="006037CD" w:rsidRPr="00321751">
        <w:rPr>
          <w:rFonts w:cs="Times New Roman"/>
          <w:lang w:val="en-GB"/>
        </w:rPr>
        <w:t xml:space="preserve">ions </w:t>
      </w:r>
      <w:r w:rsidR="009130B2" w:rsidRPr="00321751">
        <w:rPr>
          <w:rFonts w:cs="Times New Roman"/>
          <w:lang w:val="en-GB"/>
        </w:rPr>
        <w:t xml:space="preserve">for his outsider perspective. </w:t>
      </w:r>
      <w:r w:rsidR="006037CD" w:rsidRPr="00321751">
        <w:rPr>
          <w:rFonts w:cs="Times New Roman"/>
          <w:lang w:val="en-GB"/>
        </w:rPr>
        <w:t>His participants contain</w:t>
      </w:r>
      <w:r w:rsidR="00340907" w:rsidRPr="00321751">
        <w:rPr>
          <w:rFonts w:cs="Times New Roman"/>
          <w:lang w:val="en-GB"/>
        </w:rPr>
        <w:t>ed</w:t>
      </w:r>
      <w:r w:rsidR="006037CD" w:rsidRPr="00321751">
        <w:rPr>
          <w:rFonts w:cs="Times New Roman"/>
          <w:lang w:val="en-GB"/>
        </w:rPr>
        <w:t xml:space="preserve"> juniors and seniors at a Catholic girls’ high school in Chicago while he by himself </w:t>
      </w:r>
      <w:r w:rsidR="00F45BAD" w:rsidRPr="00321751">
        <w:rPr>
          <w:rFonts w:cs="Times New Roman"/>
          <w:lang w:val="en-GB"/>
        </w:rPr>
        <w:t xml:space="preserve">(a social-psychologist, dealing with religious beliefs) </w:t>
      </w:r>
      <w:r w:rsidR="006037CD" w:rsidRPr="00321751">
        <w:rPr>
          <w:rFonts w:cs="Times New Roman"/>
          <w:lang w:val="en-GB"/>
        </w:rPr>
        <w:t>was staff member at the College of Notre Dame.</w:t>
      </w:r>
      <w:r w:rsidR="00960B90" w:rsidRPr="00321751">
        <w:rPr>
          <w:rStyle w:val="Funotenzeichen"/>
          <w:rFonts w:cs="Times New Roman"/>
          <w:lang w:val="en-GB"/>
        </w:rPr>
        <w:footnoteReference w:id="9"/>
      </w:r>
      <w:r w:rsidR="006037CD" w:rsidRPr="00321751">
        <w:rPr>
          <w:rFonts w:cs="Times New Roman"/>
          <w:lang w:val="en-GB"/>
        </w:rPr>
        <w:t xml:space="preserve"> In his paper he does not provide any evidence of a possible personal relationship to the participants (e.g. through </w:t>
      </w:r>
      <w:r w:rsidR="006C40B0" w:rsidRPr="00321751">
        <w:rPr>
          <w:rFonts w:cs="Times New Roman"/>
          <w:lang w:val="en-GB"/>
        </w:rPr>
        <w:t xml:space="preserve">the </w:t>
      </w:r>
      <w:r w:rsidR="006037CD" w:rsidRPr="00321751">
        <w:rPr>
          <w:rFonts w:cs="Times New Roman"/>
          <w:lang w:val="en-GB"/>
        </w:rPr>
        <w:t xml:space="preserve">parents or </w:t>
      </w:r>
      <w:r w:rsidR="006C40B0" w:rsidRPr="00321751">
        <w:rPr>
          <w:rFonts w:cs="Times New Roman"/>
          <w:lang w:val="en-GB"/>
        </w:rPr>
        <w:t xml:space="preserve">the </w:t>
      </w:r>
      <w:r w:rsidR="006037CD" w:rsidRPr="00321751">
        <w:rPr>
          <w:rFonts w:cs="Times New Roman"/>
          <w:lang w:val="en-GB"/>
        </w:rPr>
        <w:t>teachers</w:t>
      </w:r>
      <w:r w:rsidR="00E75979">
        <w:rPr>
          <w:rFonts w:cs="Times New Roman"/>
          <w:lang w:val="en-GB"/>
        </w:rPr>
        <w:t xml:space="preserve"> in school</w:t>
      </w:r>
      <w:r w:rsidR="006037CD" w:rsidRPr="00321751">
        <w:rPr>
          <w:rFonts w:cs="Times New Roman"/>
          <w:lang w:val="en-GB"/>
        </w:rPr>
        <w:t xml:space="preserve">). </w:t>
      </w:r>
      <w:r w:rsidR="000B6696" w:rsidRPr="00321751">
        <w:rPr>
          <w:rFonts w:cs="Times New Roman"/>
          <w:lang w:val="en-GB"/>
        </w:rPr>
        <w:t xml:space="preserve">This affects his </w:t>
      </w:r>
      <w:r w:rsidR="00402683" w:rsidRPr="00321751">
        <w:rPr>
          <w:rFonts w:cs="Times New Roman"/>
          <w:lang w:val="en-GB"/>
        </w:rPr>
        <w:t>research</w:t>
      </w:r>
      <w:r w:rsidR="00402683">
        <w:rPr>
          <w:rFonts w:cs="Times New Roman"/>
          <w:lang w:val="en-GB"/>
        </w:rPr>
        <w:t xml:space="preserve"> design</w:t>
      </w:r>
      <w:r w:rsidR="000B6696" w:rsidRPr="00321751">
        <w:rPr>
          <w:rFonts w:cs="Times New Roman"/>
          <w:lang w:val="en-GB"/>
        </w:rPr>
        <w:t xml:space="preserve"> insofar as he </w:t>
      </w:r>
      <w:r w:rsidR="00960B90" w:rsidRPr="00321751">
        <w:rPr>
          <w:rFonts w:cs="Times New Roman"/>
          <w:lang w:val="en-GB"/>
        </w:rPr>
        <w:t>can solely</w:t>
      </w:r>
      <w:r w:rsidR="000B6696" w:rsidRPr="00321751">
        <w:rPr>
          <w:rFonts w:cs="Times New Roman"/>
          <w:lang w:val="en-GB"/>
        </w:rPr>
        <w:t xml:space="preserve"> rely on </w:t>
      </w:r>
      <w:r w:rsidR="00340907" w:rsidRPr="00321751">
        <w:rPr>
          <w:rFonts w:cs="Times New Roman"/>
          <w:lang w:val="en-GB"/>
        </w:rPr>
        <w:t>further literature</w:t>
      </w:r>
      <w:r w:rsidR="00DC103F" w:rsidRPr="00321751">
        <w:rPr>
          <w:rFonts w:cs="Times New Roman"/>
          <w:lang w:val="en-GB"/>
        </w:rPr>
        <w:t xml:space="preserve"> in</w:t>
      </w:r>
      <w:r w:rsidR="00F45BAD" w:rsidRPr="00321751">
        <w:rPr>
          <w:rFonts w:cs="Times New Roman"/>
          <w:lang w:val="en-GB"/>
        </w:rPr>
        <w:t xml:space="preserve"> order to explain the inconsistencies in his findings which do not support his claim of a mutual exclusion </w:t>
      </w:r>
      <w:r w:rsidR="00340907" w:rsidRPr="00321751">
        <w:rPr>
          <w:rFonts w:cs="Times New Roman"/>
          <w:lang w:val="en-GB"/>
        </w:rPr>
        <w:t>of</w:t>
      </w:r>
      <w:r w:rsidR="00F45BAD" w:rsidRPr="00321751">
        <w:rPr>
          <w:rFonts w:cs="Times New Roman"/>
          <w:lang w:val="en-GB"/>
        </w:rPr>
        <w:t xml:space="preserve"> the belief in Roman </w:t>
      </w:r>
      <w:r w:rsidR="00E75979" w:rsidRPr="00321751">
        <w:rPr>
          <w:rFonts w:cs="Times New Roman"/>
          <w:lang w:val="en-GB"/>
        </w:rPr>
        <w:t>Catholicism</w:t>
      </w:r>
      <w:r w:rsidR="00F45BAD" w:rsidRPr="00321751">
        <w:rPr>
          <w:rFonts w:cs="Times New Roman"/>
          <w:lang w:val="en-GB"/>
        </w:rPr>
        <w:t>, astrology and reincarnation.</w:t>
      </w:r>
      <w:r w:rsidR="00960B90" w:rsidRPr="00321751">
        <w:rPr>
          <w:rStyle w:val="Funotenzeichen"/>
          <w:rFonts w:cs="Times New Roman"/>
          <w:lang w:val="en-GB"/>
        </w:rPr>
        <w:footnoteReference w:id="10"/>
      </w:r>
      <w:r w:rsidR="00F45BAD" w:rsidRPr="00321751">
        <w:rPr>
          <w:rFonts w:cs="Times New Roman"/>
          <w:lang w:val="en-GB"/>
        </w:rPr>
        <w:t xml:space="preserve"> </w:t>
      </w:r>
    </w:p>
    <w:p w:rsidR="00BD7F61" w:rsidRPr="00321751" w:rsidRDefault="00F31CDE" w:rsidP="00321751">
      <w:pPr>
        <w:spacing w:line="276" w:lineRule="auto"/>
        <w:rPr>
          <w:rFonts w:cs="Times New Roman"/>
          <w:lang w:val="en-GB"/>
        </w:rPr>
      </w:pPr>
      <w:r w:rsidRPr="00321751">
        <w:rPr>
          <w:rFonts w:cs="Times New Roman"/>
          <w:lang w:val="en-GB"/>
        </w:rPr>
        <w:tab/>
        <w:t>The paper of Water and Waterhouse</w:t>
      </w:r>
      <w:r w:rsidR="00340907" w:rsidRPr="00321751">
        <w:rPr>
          <w:rFonts w:cs="Times New Roman"/>
          <w:lang w:val="en-GB"/>
        </w:rPr>
        <w:t xml:space="preserve"> </w:t>
      </w:r>
      <w:r w:rsidRPr="00321751">
        <w:rPr>
          <w:rFonts w:cs="Times New Roman"/>
          <w:lang w:val="en-GB"/>
        </w:rPr>
        <w:t>shows a</w:t>
      </w:r>
      <w:r w:rsidR="00402683">
        <w:rPr>
          <w:rFonts w:cs="Times New Roman"/>
          <w:lang w:val="en-GB"/>
        </w:rPr>
        <w:t>n</w:t>
      </w:r>
      <w:r w:rsidRPr="00321751">
        <w:rPr>
          <w:rFonts w:cs="Times New Roman"/>
          <w:lang w:val="en-GB"/>
        </w:rPr>
        <w:t xml:space="preserve"> ambiguous pattern. While, like in Brink’s research, both are</w:t>
      </w:r>
      <w:r w:rsidR="00F5336A" w:rsidRPr="00321751">
        <w:rPr>
          <w:rFonts w:cs="Times New Roman"/>
          <w:lang w:val="en-GB"/>
        </w:rPr>
        <w:t xml:space="preserve"> outsiders due to their role as social researchers from university </w:t>
      </w:r>
      <w:r w:rsidR="005A224D" w:rsidRPr="00321751">
        <w:rPr>
          <w:rFonts w:cs="Times New Roman"/>
          <w:lang w:val="en-GB"/>
        </w:rPr>
        <w:t xml:space="preserve">conducting an interview study </w:t>
      </w:r>
      <w:r w:rsidR="00F5336A" w:rsidRPr="00321751">
        <w:rPr>
          <w:rFonts w:cs="Times New Roman"/>
          <w:lang w:val="en-GB"/>
        </w:rPr>
        <w:t>(Walter from the sociological strand and Waterhouse</w:t>
      </w:r>
      <w:r w:rsidR="005A224D" w:rsidRPr="00321751">
        <w:rPr>
          <w:rFonts w:cs="Times New Roman"/>
          <w:lang w:val="en-GB"/>
        </w:rPr>
        <w:t xml:space="preserve"> coming</w:t>
      </w:r>
      <w:r w:rsidR="00F5336A" w:rsidRPr="00321751">
        <w:rPr>
          <w:rFonts w:cs="Times New Roman"/>
          <w:lang w:val="en-GB"/>
        </w:rPr>
        <w:t xml:space="preserve"> from </w:t>
      </w:r>
      <w:r w:rsidR="005A224D" w:rsidRPr="00321751">
        <w:rPr>
          <w:rFonts w:cs="Times New Roman"/>
          <w:lang w:val="en-GB"/>
        </w:rPr>
        <w:t>a</w:t>
      </w:r>
      <w:r w:rsidR="00F5336A" w:rsidRPr="00321751">
        <w:rPr>
          <w:rFonts w:cs="Times New Roman"/>
          <w:lang w:val="en-GB"/>
        </w:rPr>
        <w:t xml:space="preserve"> religious perspective), their method of sampling relied </w:t>
      </w:r>
      <w:proofErr w:type="spellStart"/>
      <w:r w:rsidR="00F5336A" w:rsidRPr="00321751">
        <w:rPr>
          <w:rFonts w:cs="Times New Roman"/>
          <w:lang w:val="en-GB"/>
        </w:rPr>
        <w:t>i</w:t>
      </w:r>
      <w:proofErr w:type="spellEnd"/>
      <w:r w:rsidR="00F5336A" w:rsidRPr="00321751">
        <w:rPr>
          <w:rFonts w:cs="Times New Roman"/>
          <w:lang w:val="en-GB"/>
        </w:rPr>
        <w:t>. a. on personal contacts.</w:t>
      </w:r>
      <w:r w:rsidR="00960B90" w:rsidRPr="00321751">
        <w:rPr>
          <w:rStyle w:val="Funotenzeichen"/>
          <w:rFonts w:cs="Times New Roman"/>
          <w:lang w:val="en-GB"/>
        </w:rPr>
        <w:footnoteReference w:id="11"/>
      </w:r>
      <w:r w:rsidR="00F5336A" w:rsidRPr="00321751">
        <w:rPr>
          <w:rFonts w:cs="Times New Roman"/>
          <w:lang w:val="en-GB"/>
        </w:rPr>
        <w:t xml:space="preserve"> </w:t>
      </w:r>
      <w:r w:rsidR="00340268" w:rsidRPr="00321751">
        <w:rPr>
          <w:rFonts w:cs="Times New Roman"/>
          <w:lang w:val="en-GB"/>
        </w:rPr>
        <w:t xml:space="preserve">At this point </w:t>
      </w:r>
      <w:r w:rsidR="00B07179" w:rsidRPr="00321751">
        <w:rPr>
          <w:rFonts w:cs="Times New Roman"/>
          <w:lang w:val="en-GB"/>
        </w:rPr>
        <w:t>it is unclear</w:t>
      </w:r>
      <w:r w:rsidR="00340268" w:rsidRPr="00321751">
        <w:rPr>
          <w:rFonts w:cs="Times New Roman"/>
          <w:lang w:val="en-GB"/>
        </w:rPr>
        <w:t xml:space="preserve"> for the reader</w:t>
      </w:r>
      <w:r w:rsidR="00B07179" w:rsidRPr="00321751">
        <w:rPr>
          <w:rFonts w:cs="Times New Roman"/>
          <w:lang w:val="en-GB"/>
        </w:rPr>
        <w:t xml:space="preserve">, whether Water and Waterhouse shared a common belief </w:t>
      </w:r>
      <w:r w:rsidR="00340268" w:rsidRPr="00321751">
        <w:rPr>
          <w:rFonts w:cs="Times New Roman"/>
          <w:lang w:val="en-GB"/>
        </w:rPr>
        <w:t xml:space="preserve">in reincarnation </w:t>
      </w:r>
      <w:r w:rsidR="00B07179" w:rsidRPr="00321751">
        <w:rPr>
          <w:rFonts w:cs="Times New Roman"/>
          <w:lang w:val="en-GB"/>
        </w:rPr>
        <w:t xml:space="preserve">with the </w:t>
      </w:r>
      <w:r w:rsidR="00F9354D" w:rsidRPr="00321751">
        <w:rPr>
          <w:rFonts w:cs="Times New Roman"/>
          <w:lang w:val="en-GB"/>
        </w:rPr>
        <w:t xml:space="preserve">adult </w:t>
      </w:r>
      <w:r w:rsidR="00B07179" w:rsidRPr="00321751">
        <w:rPr>
          <w:rFonts w:cs="Times New Roman"/>
          <w:lang w:val="en-GB"/>
        </w:rPr>
        <w:t xml:space="preserve">participants </w:t>
      </w:r>
      <w:r w:rsidR="005A224D" w:rsidRPr="00321751">
        <w:rPr>
          <w:rFonts w:cs="Times New Roman"/>
          <w:lang w:val="en-GB"/>
        </w:rPr>
        <w:t xml:space="preserve">that were </w:t>
      </w:r>
      <w:r w:rsidR="00B07179" w:rsidRPr="00321751">
        <w:rPr>
          <w:rFonts w:cs="Times New Roman"/>
          <w:lang w:val="en-GB"/>
        </w:rPr>
        <w:t>gained through personal contact or not</w:t>
      </w:r>
      <w:r w:rsidR="00340268" w:rsidRPr="00321751">
        <w:rPr>
          <w:rFonts w:cs="Times New Roman"/>
          <w:lang w:val="en-GB"/>
        </w:rPr>
        <w:t>.</w:t>
      </w:r>
      <w:r w:rsidR="00DD1D5F" w:rsidRPr="00321751">
        <w:rPr>
          <w:rFonts w:cs="Times New Roman"/>
          <w:lang w:val="en-GB"/>
        </w:rPr>
        <w:t xml:space="preserve"> Also, it is unclear if Water and Waterhouse by themselves were adherents of any religious belief or not, so it remains unclear to which extent they can be classified as ‘insiders’ or ‘</w:t>
      </w:r>
      <w:proofErr w:type="gramStart"/>
      <w:r w:rsidR="00DD1D5F" w:rsidRPr="00321751">
        <w:rPr>
          <w:rFonts w:cs="Times New Roman"/>
          <w:lang w:val="en-GB"/>
        </w:rPr>
        <w:t>outsiders’</w:t>
      </w:r>
      <w:proofErr w:type="gramEnd"/>
      <w:r w:rsidR="005A224D" w:rsidRPr="00321751">
        <w:rPr>
          <w:rFonts w:cs="Times New Roman"/>
          <w:lang w:val="en-GB"/>
        </w:rPr>
        <w:t xml:space="preserve">. </w:t>
      </w:r>
      <w:r w:rsidR="00F9354D" w:rsidRPr="00321751">
        <w:rPr>
          <w:rFonts w:cs="Times New Roman"/>
          <w:lang w:val="en-GB"/>
        </w:rPr>
        <w:t>To sum up, both research</w:t>
      </w:r>
      <w:r w:rsidR="00767940" w:rsidRPr="00321751">
        <w:rPr>
          <w:rFonts w:cs="Times New Roman"/>
          <w:lang w:val="en-GB"/>
        </w:rPr>
        <w:t>es</w:t>
      </w:r>
      <w:r w:rsidR="00F9354D" w:rsidRPr="00321751">
        <w:rPr>
          <w:rFonts w:cs="Times New Roman"/>
          <w:lang w:val="en-GB"/>
        </w:rPr>
        <w:t xml:space="preserve"> can be classified as being conducted from an outsider perspective, however, the paper of Water and Waterhouse provides more insight into the living world of their participants </w:t>
      </w:r>
      <w:r w:rsidR="00767940" w:rsidRPr="00321751">
        <w:rPr>
          <w:rFonts w:cs="Times New Roman"/>
          <w:lang w:val="en-GB"/>
        </w:rPr>
        <w:t xml:space="preserve">and their beliefs </w:t>
      </w:r>
      <w:r w:rsidR="00F9354D" w:rsidRPr="00321751">
        <w:rPr>
          <w:rFonts w:cs="Times New Roman"/>
          <w:lang w:val="en-GB"/>
        </w:rPr>
        <w:t>than the paper of Brink does.</w:t>
      </w:r>
    </w:p>
    <w:p w:rsidR="00BD7F61" w:rsidRPr="00321751" w:rsidRDefault="00037822" w:rsidP="00321751">
      <w:pPr>
        <w:spacing w:line="276" w:lineRule="auto"/>
        <w:rPr>
          <w:rFonts w:cs="Times New Roman"/>
          <w:lang w:val="en-GB"/>
        </w:rPr>
      </w:pPr>
      <w:r w:rsidRPr="00321751">
        <w:rPr>
          <w:rFonts w:cs="Times New Roman"/>
          <w:lang w:val="en-GB"/>
        </w:rPr>
        <w:tab/>
      </w:r>
      <w:r w:rsidR="008F2666" w:rsidRPr="00321751">
        <w:rPr>
          <w:rFonts w:cs="Times New Roman"/>
          <w:lang w:val="en-GB"/>
        </w:rPr>
        <w:t>With regard to the third question</w:t>
      </w:r>
      <w:r w:rsidR="00496D70" w:rsidRPr="00321751">
        <w:rPr>
          <w:rFonts w:cs="Times New Roman"/>
          <w:lang w:val="en-GB"/>
        </w:rPr>
        <w:t xml:space="preserve">, </w:t>
      </w:r>
      <w:r w:rsidR="006B0C74" w:rsidRPr="00321751">
        <w:rPr>
          <w:rFonts w:cs="Times New Roman"/>
          <w:lang w:val="en-GB"/>
        </w:rPr>
        <w:t>the paper of Brink shows clear deficits. First, Brink relies on social psychological theories of cognitive consistency which provide evidence of individuals attaining and maintaining consistent sets of attitudes.</w:t>
      </w:r>
      <w:r w:rsidR="00960B90" w:rsidRPr="00321751">
        <w:rPr>
          <w:rStyle w:val="Funotenzeichen"/>
          <w:rFonts w:cs="Times New Roman"/>
          <w:lang w:val="en-GB"/>
        </w:rPr>
        <w:footnoteReference w:id="12"/>
      </w:r>
      <w:r w:rsidR="006B0C74" w:rsidRPr="00321751">
        <w:rPr>
          <w:rFonts w:cs="Times New Roman"/>
          <w:lang w:val="en-GB"/>
        </w:rPr>
        <w:t xml:space="preserve"> However, the data Brink gained through his research were about beliefs in Roman Catholic religion, astrology and reincarnation</w:t>
      </w:r>
      <w:r w:rsidR="008F2666" w:rsidRPr="00321751">
        <w:rPr>
          <w:rFonts w:cs="Times New Roman"/>
          <w:lang w:val="en-GB"/>
        </w:rPr>
        <w:t xml:space="preserve">. Beliefs </w:t>
      </w:r>
      <w:r w:rsidR="006B0C74" w:rsidRPr="00321751">
        <w:rPr>
          <w:rFonts w:cs="Times New Roman"/>
          <w:lang w:val="en-GB"/>
        </w:rPr>
        <w:t>may follow other principals than social psychological attitudes</w:t>
      </w:r>
      <w:r w:rsidR="008F2666" w:rsidRPr="00321751">
        <w:rPr>
          <w:rFonts w:cs="Times New Roman"/>
          <w:lang w:val="en-GB"/>
        </w:rPr>
        <w:t xml:space="preserve">, however, </w:t>
      </w:r>
      <w:r w:rsidR="006B0C74" w:rsidRPr="00321751">
        <w:rPr>
          <w:rFonts w:cs="Times New Roman"/>
          <w:lang w:val="en-GB"/>
        </w:rPr>
        <w:t>Brink provide</w:t>
      </w:r>
      <w:r w:rsidR="00340907" w:rsidRPr="00321751">
        <w:rPr>
          <w:rFonts w:cs="Times New Roman"/>
          <w:lang w:val="en-GB"/>
        </w:rPr>
        <w:t>s</w:t>
      </w:r>
      <w:r w:rsidR="006B0C74" w:rsidRPr="00321751">
        <w:rPr>
          <w:rFonts w:cs="Times New Roman"/>
          <w:lang w:val="en-GB"/>
        </w:rPr>
        <w:t xml:space="preserve"> no arguments why ‘attitudes’ and ‘beliefs’ should </w:t>
      </w:r>
      <w:r w:rsidR="008F2666" w:rsidRPr="00321751">
        <w:rPr>
          <w:rFonts w:cs="Times New Roman"/>
          <w:lang w:val="en-GB"/>
        </w:rPr>
        <w:t>be treated equally</w:t>
      </w:r>
      <w:r w:rsidR="006B0C74" w:rsidRPr="00321751">
        <w:rPr>
          <w:rFonts w:cs="Times New Roman"/>
          <w:lang w:val="en-GB"/>
        </w:rPr>
        <w:t xml:space="preserve">. </w:t>
      </w:r>
      <w:r w:rsidR="00E36E8D" w:rsidRPr="00321751">
        <w:rPr>
          <w:rFonts w:cs="Times New Roman"/>
          <w:lang w:val="en-GB"/>
        </w:rPr>
        <w:t xml:space="preserve">Secondly, when </w:t>
      </w:r>
      <w:r w:rsidR="00026DD0">
        <w:rPr>
          <w:rFonts w:cs="Times New Roman"/>
          <w:lang w:val="en-GB"/>
        </w:rPr>
        <w:t>discussing</w:t>
      </w:r>
      <w:r w:rsidR="00E36E8D" w:rsidRPr="00321751">
        <w:rPr>
          <w:rFonts w:cs="Times New Roman"/>
          <w:lang w:val="en-GB"/>
        </w:rPr>
        <w:t xml:space="preserve"> the results of his study, Brink makes a shift to a broad range of theories, covering and merging </w:t>
      </w:r>
      <w:r w:rsidR="006E28B5" w:rsidRPr="00321751">
        <w:rPr>
          <w:rFonts w:cs="Times New Roman"/>
          <w:lang w:val="en-GB"/>
        </w:rPr>
        <w:t xml:space="preserve">different </w:t>
      </w:r>
      <w:r w:rsidR="00E36E8D" w:rsidRPr="00321751">
        <w:rPr>
          <w:rFonts w:cs="Times New Roman"/>
          <w:lang w:val="en-GB"/>
        </w:rPr>
        <w:t>psychological, psychoanalytical and cultural theories</w:t>
      </w:r>
      <w:r w:rsidR="00267245" w:rsidRPr="00321751">
        <w:rPr>
          <w:rFonts w:cs="Times New Roman"/>
          <w:lang w:val="en-GB"/>
        </w:rPr>
        <w:t>.</w:t>
      </w:r>
      <w:r w:rsidR="00960B90" w:rsidRPr="00321751">
        <w:rPr>
          <w:rStyle w:val="Funotenzeichen"/>
          <w:rFonts w:cs="Times New Roman"/>
          <w:lang w:val="en-GB"/>
        </w:rPr>
        <w:footnoteReference w:id="13"/>
      </w:r>
      <w:r w:rsidR="00267245" w:rsidRPr="00321751">
        <w:rPr>
          <w:rFonts w:cs="Times New Roman"/>
          <w:lang w:val="en-GB"/>
        </w:rPr>
        <w:t xml:space="preserve"> </w:t>
      </w:r>
    </w:p>
    <w:p w:rsidR="00865EF2" w:rsidRPr="00321751" w:rsidRDefault="00FD7108" w:rsidP="00321751">
      <w:pPr>
        <w:spacing w:line="276" w:lineRule="auto"/>
        <w:rPr>
          <w:rFonts w:cs="Times New Roman"/>
          <w:lang w:val="en-GB"/>
        </w:rPr>
      </w:pPr>
      <w:r w:rsidRPr="00321751">
        <w:rPr>
          <w:rFonts w:cs="Times New Roman"/>
          <w:lang w:val="en-GB"/>
        </w:rPr>
        <w:tab/>
        <w:t xml:space="preserve">In contrast, </w:t>
      </w:r>
      <w:r w:rsidR="006E28B5" w:rsidRPr="00321751">
        <w:rPr>
          <w:rFonts w:cs="Times New Roman"/>
          <w:lang w:val="en-GB"/>
        </w:rPr>
        <w:t xml:space="preserve">Water and Waterhouse set up a clear structure, summarising different </w:t>
      </w:r>
      <w:r w:rsidR="00633DF9" w:rsidRPr="00321751">
        <w:rPr>
          <w:rFonts w:cs="Times New Roman"/>
          <w:lang w:val="en-GB"/>
        </w:rPr>
        <w:t xml:space="preserve">figures of </w:t>
      </w:r>
      <w:r w:rsidR="004E6ADF" w:rsidRPr="00321751">
        <w:rPr>
          <w:rFonts w:cs="Times New Roman"/>
          <w:lang w:val="en-GB"/>
        </w:rPr>
        <w:t xml:space="preserve">previous </w:t>
      </w:r>
      <w:r w:rsidR="00633DF9" w:rsidRPr="00321751">
        <w:rPr>
          <w:rFonts w:cs="Times New Roman"/>
          <w:lang w:val="en-GB"/>
        </w:rPr>
        <w:t xml:space="preserve">quantitative </w:t>
      </w:r>
      <w:r w:rsidR="006E28B5" w:rsidRPr="00321751">
        <w:rPr>
          <w:rFonts w:cs="Times New Roman"/>
          <w:lang w:val="en-GB"/>
        </w:rPr>
        <w:t xml:space="preserve">Studies </w:t>
      </w:r>
      <w:r w:rsidR="00633DF9" w:rsidRPr="00321751">
        <w:rPr>
          <w:rFonts w:cs="Times New Roman"/>
          <w:lang w:val="en-GB"/>
        </w:rPr>
        <w:t xml:space="preserve">on the belief in reincarnation </w:t>
      </w:r>
      <w:r w:rsidR="006E28B5" w:rsidRPr="00321751">
        <w:rPr>
          <w:rFonts w:cs="Times New Roman"/>
          <w:lang w:val="en-GB"/>
        </w:rPr>
        <w:t xml:space="preserve">from </w:t>
      </w:r>
      <w:r w:rsidR="00633DF9" w:rsidRPr="00321751">
        <w:rPr>
          <w:rFonts w:cs="Times New Roman"/>
          <w:lang w:val="en-GB"/>
        </w:rPr>
        <w:t xml:space="preserve">1947 to 1995, working out the desiderata for </w:t>
      </w:r>
      <w:r w:rsidR="001B10C1" w:rsidRPr="00321751">
        <w:rPr>
          <w:rFonts w:cs="Times New Roman"/>
          <w:lang w:val="en-GB"/>
        </w:rPr>
        <w:t xml:space="preserve">the necessary </w:t>
      </w:r>
      <w:r w:rsidR="00633DF9" w:rsidRPr="00321751">
        <w:rPr>
          <w:rFonts w:cs="Times New Roman"/>
          <w:lang w:val="en-GB"/>
        </w:rPr>
        <w:t>qualitative research.</w:t>
      </w:r>
      <w:r w:rsidR="00960B90" w:rsidRPr="00321751">
        <w:rPr>
          <w:rStyle w:val="Funotenzeichen"/>
          <w:rFonts w:cs="Times New Roman"/>
          <w:lang w:val="en-GB"/>
        </w:rPr>
        <w:footnoteReference w:id="14"/>
      </w:r>
      <w:r w:rsidR="00633DF9" w:rsidRPr="00321751">
        <w:rPr>
          <w:rFonts w:cs="Times New Roman"/>
          <w:lang w:val="en-GB"/>
        </w:rPr>
        <w:t xml:space="preserve"> </w:t>
      </w:r>
      <w:r w:rsidR="001B10C1" w:rsidRPr="00321751">
        <w:rPr>
          <w:rFonts w:cs="Times New Roman"/>
          <w:lang w:val="en-GB"/>
        </w:rPr>
        <w:t>Therefore, the authors follow a mixed-method approach</w:t>
      </w:r>
      <w:r w:rsidR="008E6932" w:rsidRPr="00321751">
        <w:rPr>
          <w:rFonts w:cs="Times New Roman"/>
          <w:lang w:val="en-GB"/>
        </w:rPr>
        <w:t xml:space="preserve"> </w:t>
      </w:r>
      <w:r w:rsidR="004E6ADF" w:rsidRPr="00321751">
        <w:rPr>
          <w:rFonts w:cs="Times New Roman"/>
          <w:lang w:val="en-GB"/>
        </w:rPr>
        <w:t xml:space="preserve">by setting up a qualitative follow-up study </w:t>
      </w:r>
      <w:r w:rsidR="001B10C1" w:rsidRPr="00321751">
        <w:rPr>
          <w:rFonts w:cs="Times New Roman"/>
          <w:lang w:val="en-GB"/>
        </w:rPr>
        <w:t>that is informed b</w:t>
      </w:r>
      <w:r w:rsidR="004E6ADF" w:rsidRPr="00321751">
        <w:rPr>
          <w:rFonts w:cs="Times New Roman"/>
          <w:lang w:val="en-GB"/>
        </w:rPr>
        <w:t>y</w:t>
      </w:r>
      <w:r w:rsidR="001B10C1" w:rsidRPr="00321751">
        <w:rPr>
          <w:rFonts w:cs="Times New Roman"/>
          <w:lang w:val="en-GB"/>
        </w:rPr>
        <w:t xml:space="preserve"> the</w:t>
      </w:r>
      <w:r w:rsidR="004E6ADF" w:rsidRPr="00321751">
        <w:rPr>
          <w:rFonts w:cs="Times New Roman"/>
          <w:lang w:val="en-GB"/>
        </w:rPr>
        <w:t xml:space="preserve"> </w:t>
      </w:r>
      <w:r w:rsidR="008F2666" w:rsidRPr="00321751">
        <w:rPr>
          <w:rFonts w:cs="Times New Roman"/>
          <w:lang w:val="en-GB"/>
        </w:rPr>
        <w:t>contradictions</w:t>
      </w:r>
      <w:r w:rsidR="004E6ADF" w:rsidRPr="00321751">
        <w:rPr>
          <w:rFonts w:cs="Times New Roman"/>
          <w:lang w:val="en-GB"/>
        </w:rPr>
        <w:t xml:space="preserve"> of the</w:t>
      </w:r>
      <w:r w:rsidR="00FE4EB3">
        <w:rPr>
          <w:rFonts w:cs="Times New Roman"/>
          <w:lang w:val="en-GB"/>
        </w:rPr>
        <w:t>se</w:t>
      </w:r>
      <w:bookmarkStart w:id="6" w:name="_GoBack"/>
      <w:bookmarkEnd w:id="6"/>
      <w:r w:rsidR="00960B90" w:rsidRPr="00321751">
        <w:rPr>
          <w:rFonts w:cs="Times New Roman"/>
          <w:lang w:val="en-GB"/>
        </w:rPr>
        <w:t xml:space="preserve"> </w:t>
      </w:r>
      <w:r w:rsidR="00E75979">
        <w:rPr>
          <w:rFonts w:cs="Times New Roman"/>
          <w:lang w:val="en-GB"/>
        </w:rPr>
        <w:t>previous</w:t>
      </w:r>
      <w:r w:rsidR="00960B90" w:rsidRPr="00321751">
        <w:rPr>
          <w:rFonts w:cs="Times New Roman"/>
          <w:lang w:val="en-GB"/>
        </w:rPr>
        <w:t xml:space="preserve"> </w:t>
      </w:r>
      <w:r w:rsidR="004E6ADF" w:rsidRPr="00321751">
        <w:rPr>
          <w:rFonts w:cs="Times New Roman"/>
          <w:lang w:val="en-GB"/>
        </w:rPr>
        <w:t>quantitative studies.</w:t>
      </w:r>
      <w:r w:rsidR="00960B90" w:rsidRPr="00321751">
        <w:rPr>
          <w:rStyle w:val="Funotenzeichen"/>
          <w:rFonts w:cs="Times New Roman"/>
          <w:lang w:val="en-GB"/>
        </w:rPr>
        <w:footnoteReference w:id="15"/>
      </w:r>
      <w:r w:rsidR="004E6ADF" w:rsidRPr="00321751">
        <w:rPr>
          <w:rFonts w:cs="Times New Roman"/>
          <w:lang w:val="en-GB"/>
        </w:rPr>
        <w:t xml:space="preserve"> </w:t>
      </w:r>
      <w:r w:rsidR="00F264EE" w:rsidRPr="00321751">
        <w:rPr>
          <w:rFonts w:cs="Times New Roman"/>
          <w:lang w:val="en-GB"/>
        </w:rPr>
        <w:t xml:space="preserve">When analysing the results of their interview study, they </w:t>
      </w:r>
      <w:r w:rsidR="00C347F0" w:rsidRPr="00321751">
        <w:rPr>
          <w:rFonts w:cs="Times New Roman"/>
          <w:lang w:val="en-GB"/>
        </w:rPr>
        <w:t>continuously</w:t>
      </w:r>
      <w:r w:rsidR="00F264EE" w:rsidRPr="00321751">
        <w:rPr>
          <w:rFonts w:cs="Times New Roman"/>
          <w:lang w:val="en-GB"/>
        </w:rPr>
        <w:t xml:space="preserve"> </w:t>
      </w:r>
      <w:r w:rsidR="00C347F0" w:rsidRPr="00321751">
        <w:rPr>
          <w:rFonts w:cs="Times New Roman"/>
          <w:lang w:val="en-GB"/>
        </w:rPr>
        <w:t>link</w:t>
      </w:r>
      <w:r w:rsidR="00F264EE" w:rsidRPr="00321751">
        <w:rPr>
          <w:rFonts w:cs="Times New Roman"/>
          <w:lang w:val="en-GB"/>
        </w:rPr>
        <w:t xml:space="preserve"> the</w:t>
      </w:r>
      <w:r w:rsidR="00C347F0" w:rsidRPr="00321751">
        <w:rPr>
          <w:rFonts w:cs="Times New Roman"/>
          <w:lang w:val="en-GB"/>
        </w:rPr>
        <w:t>ir</w:t>
      </w:r>
      <w:r w:rsidR="00F264EE" w:rsidRPr="00321751">
        <w:rPr>
          <w:rFonts w:cs="Times New Roman"/>
          <w:lang w:val="en-GB"/>
        </w:rPr>
        <w:t xml:space="preserve"> results to the literature they have reviewed, for e.g. by contrasting </w:t>
      </w:r>
      <w:r w:rsidR="008F2666" w:rsidRPr="00321751">
        <w:rPr>
          <w:rFonts w:cs="Times New Roman"/>
          <w:lang w:val="en-GB"/>
        </w:rPr>
        <w:t xml:space="preserve">them </w:t>
      </w:r>
      <w:r w:rsidR="00F264EE" w:rsidRPr="00321751">
        <w:rPr>
          <w:rFonts w:cs="Times New Roman"/>
          <w:lang w:val="en-GB"/>
        </w:rPr>
        <w:t xml:space="preserve">with the findings </w:t>
      </w:r>
      <w:r w:rsidR="008F2666" w:rsidRPr="00321751">
        <w:rPr>
          <w:rFonts w:cs="Times New Roman"/>
          <w:lang w:val="en-GB"/>
        </w:rPr>
        <w:t>and the methodology used in</w:t>
      </w:r>
      <w:r w:rsidR="00F264EE" w:rsidRPr="00321751">
        <w:rPr>
          <w:rFonts w:cs="Times New Roman"/>
          <w:lang w:val="en-GB"/>
        </w:rPr>
        <w:t xml:space="preserve"> the EVS study.</w:t>
      </w:r>
      <w:r w:rsidR="00E75979">
        <w:rPr>
          <w:rStyle w:val="Funotenzeichen"/>
          <w:rFonts w:cs="Times New Roman"/>
          <w:lang w:val="en-GB"/>
        </w:rPr>
        <w:footnoteReference w:id="16"/>
      </w:r>
      <w:r w:rsidR="00F264EE" w:rsidRPr="00321751">
        <w:rPr>
          <w:rFonts w:cs="Times New Roman"/>
          <w:lang w:val="en-GB"/>
        </w:rPr>
        <w:t xml:space="preserve"> </w:t>
      </w:r>
      <w:r w:rsidR="00066ABA" w:rsidRPr="00321751">
        <w:rPr>
          <w:rFonts w:cs="Times New Roman"/>
          <w:lang w:val="en-GB"/>
        </w:rPr>
        <w:t xml:space="preserve">Finally, the paper </w:t>
      </w:r>
      <w:r w:rsidR="00066ABA" w:rsidRPr="00321751">
        <w:rPr>
          <w:rFonts w:cs="Times New Roman"/>
          <w:lang w:val="en-GB"/>
        </w:rPr>
        <w:lastRenderedPageBreak/>
        <w:t xml:space="preserve">of Water and Waterhouse provides a clear connection between the data, previous findings and relevant theories, while the paper of Brink lacks of a clear structure and an argumentative connection of his data to the relevant theory. </w:t>
      </w:r>
    </w:p>
    <w:p w:rsidR="008F2666" w:rsidRPr="00321751" w:rsidRDefault="008F2666" w:rsidP="00321751">
      <w:pPr>
        <w:spacing w:line="276" w:lineRule="auto"/>
        <w:rPr>
          <w:rFonts w:cs="Times New Roman"/>
          <w:lang w:val="en-GB"/>
        </w:rPr>
      </w:pPr>
      <w:r w:rsidRPr="00321751">
        <w:rPr>
          <w:rFonts w:cs="Times New Roman"/>
          <w:lang w:val="en-GB"/>
        </w:rPr>
        <w:tab/>
        <w:t xml:space="preserve">In conclusion, the paper </w:t>
      </w:r>
      <w:r w:rsidR="00C51441" w:rsidRPr="00321751">
        <w:rPr>
          <w:rFonts w:cs="Times New Roman"/>
          <w:lang w:val="en-GB"/>
        </w:rPr>
        <w:t>by</w:t>
      </w:r>
      <w:r w:rsidRPr="00321751">
        <w:rPr>
          <w:rFonts w:cs="Times New Roman"/>
          <w:lang w:val="en-GB"/>
        </w:rPr>
        <w:t xml:space="preserve"> Water and Waterhouse can be valued as </w:t>
      </w:r>
      <w:r w:rsidR="00C51441" w:rsidRPr="00321751">
        <w:rPr>
          <w:rFonts w:cs="Times New Roman"/>
          <w:lang w:val="en-GB"/>
        </w:rPr>
        <w:t>more sophisticated than Brink’</w:t>
      </w:r>
      <w:r w:rsidR="00321751" w:rsidRPr="00321751">
        <w:rPr>
          <w:rFonts w:cs="Times New Roman"/>
          <w:lang w:val="en-GB"/>
        </w:rPr>
        <w:t>s</w:t>
      </w:r>
      <w:r w:rsidR="00321751">
        <w:rPr>
          <w:rFonts w:cs="Times New Roman"/>
          <w:lang w:val="en-GB"/>
        </w:rPr>
        <w:t xml:space="preserve"> paper</w:t>
      </w:r>
      <w:r w:rsidR="00321751" w:rsidRPr="00321751">
        <w:rPr>
          <w:rFonts w:cs="Times New Roman"/>
          <w:lang w:val="en-GB"/>
        </w:rPr>
        <w:t>, referring to three major arguments</w:t>
      </w:r>
      <w:r w:rsidR="00C51441" w:rsidRPr="00321751">
        <w:rPr>
          <w:rFonts w:cs="Times New Roman"/>
          <w:lang w:val="en-GB"/>
        </w:rPr>
        <w:t xml:space="preserve">: (1) </w:t>
      </w:r>
      <w:r w:rsidR="00516A63" w:rsidRPr="00321751">
        <w:rPr>
          <w:rFonts w:cs="Times New Roman"/>
          <w:lang w:val="en-GB"/>
        </w:rPr>
        <w:t xml:space="preserve">The methodology fits to a theory that is relevant and suitable for the research questions, (2) </w:t>
      </w:r>
      <w:r w:rsidR="00BF4A76" w:rsidRPr="00321751">
        <w:rPr>
          <w:rFonts w:cs="Times New Roman"/>
          <w:lang w:val="en-GB"/>
        </w:rPr>
        <w:t>t</w:t>
      </w:r>
      <w:r w:rsidR="00516A63" w:rsidRPr="00321751">
        <w:rPr>
          <w:rFonts w:cs="Times New Roman"/>
          <w:lang w:val="en-GB"/>
        </w:rPr>
        <w:t xml:space="preserve">he findings derived from the data fit comprehensibly to the larger academic framework </w:t>
      </w:r>
      <w:r w:rsidR="00026DD0">
        <w:rPr>
          <w:rFonts w:cs="Times New Roman"/>
          <w:lang w:val="en-GB"/>
        </w:rPr>
        <w:t>of</w:t>
      </w:r>
      <w:r w:rsidR="00516A63" w:rsidRPr="00321751">
        <w:rPr>
          <w:rFonts w:cs="Times New Roman"/>
          <w:lang w:val="en-GB"/>
        </w:rPr>
        <w:t xml:space="preserve"> beliefs and (3) </w:t>
      </w:r>
      <w:r w:rsidR="00283AC3" w:rsidRPr="00321751">
        <w:rPr>
          <w:rFonts w:cs="Times New Roman"/>
          <w:lang w:val="en-GB"/>
        </w:rPr>
        <w:t>contradic</w:t>
      </w:r>
      <w:r w:rsidR="00553F11" w:rsidRPr="00321751">
        <w:rPr>
          <w:rFonts w:cs="Times New Roman"/>
          <w:lang w:val="en-GB"/>
        </w:rPr>
        <w:t xml:space="preserve">tory </w:t>
      </w:r>
      <w:r w:rsidR="00283AC3" w:rsidRPr="00321751">
        <w:rPr>
          <w:rFonts w:cs="Times New Roman"/>
          <w:lang w:val="en-GB"/>
        </w:rPr>
        <w:t>findings can be explained</w:t>
      </w:r>
      <w:r w:rsidR="00553F11" w:rsidRPr="00321751">
        <w:rPr>
          <w:rFonts w:cs="Times New Roman"/>
          <w:lang w:val="en-GB"/>
        </w:rPr>
        <w:t xml:space="preserve"> by discussing methodological differences. </w:t>
      </w:r>
    </w:p>
    <w:p w:rsidR="00A52EBF" w:rsidRDefault="00A52EBF" w:rsidP="00865EF2">
      <w:pPr>
        <w:spacing w:line="240" w:lineRule="auto"/>
        <w:contextualSpacing w:val="0"/>
        <w:jc w:val="left"/>
        <w:rPr>
          <w:lang w:val="en-GB"/>
        </w:rPr>
      </w:pPr>
      <w:r>
        <w:rPr>
          <w:lang w:val="en-GB"/>
        </w:rPr>
        <w:br w:type="page"/>
      </w:r>
    </w:p>
    <w:p w:rsidR="00DC73CF" w:rsidRDefault="00DC73CF" w:rsidP="00DC73CF">
      <w:pPr>
        <w:spacing w:line="276" w:lineRule="auto"/>
        <w:rPr>
          <w:b/>
          <w:sz w:val="28"/>
          <w:lang w:val="en-GB"/>
        </w:rPr>
      </w:pPr>
      <w:r w:rsidRPr="00DC73CF">
        <w:rPr>
          <w:b/>
          <w:sz w:val="28"/>
          <w:lang w:val="en-GB"/>
        </w:rPr>
        <w:lastRenderedPageBreak/>
        <w:t>Bibliography</w:t>
      </w:r>
    </w:p>
    <w:p w:rsidR="00DC73CF" w:rsidRDefault="00DC73CF" w:rsidP="00DC73CF">
      <w:pPr>
        <w:spacing w:line="276" w:lineRule="auto"/>
        <w:rPr>
          <w:lang w:val="en-GB"/>
        </w:rPr>
      </w:pPr>
    </w:p>
    <w:p w:rsidR="006C0C6D" w:rsidRPr="006C0C6D" w:rsidRDefault="006C0C6D" w:rsidP="00A6538C">
      <w:pPr>
        <w:spacing w:line="276" w:lineRule="auto"/>
        <w:ind w:left="284" w:hanging="284"/>
        <w:rPr>
          <w:b/>
          <w:lang w:val="en-GB"/>
        </w:rPr>
      </w:pPr>
      <w:r w:rsidRPr="006C0C6D">
        <w:rPr>
          <w:b/>
          <w:lang w:val="en-GB"/>
        </w:rPr>
        <w:t>Primary Sources:</w:t>
      </w:r>
    </w:p>
    <w:p w:rsidR="006C0C6D" w:rsidRDefault="006C0C6D" w:rsidP="00A6538C">
      <w:pPr>
        <w:spacing w:line="276" w:lineRule="auto"/>
        <w:ind w:left="284" w:hanging="284"/>
        <w:rPr>
          <w:lang w:val="en-GB"/>
        </w:rPr>
      </w:pPr>
    </w:p>
    <w:p w:rsidR="002E0B82" w:rsidRDefault="002E0B82" w:rsidP="0033749B">
      <w:pPr>
        <w:spacing w:line="276" w:lineRule="auto"/>
        <w:ind w:left="284" w:hanging="284"/>
        <w:rPr>
          <w:lang w:val="en-GB"/>
        </w:rPr>
      </w:pPr>
      <w:r>
        <w:rPr>
          <w:lang w:val="en-GB"/>
        </w:rPr>
        <w:t xml:space="preserve">Brink, T. L., </w:t>
      </w:r>
      <w:r w:rsidR="00750A3B">
        <w:rPr>
          <w:lang w:val="en-GB"/>
        </w:rPr>
        <w:t>‘</w:t>
      </w:r>
      <w:r>
        <w:rPr>
          <w:lang w:val="en-GB"/>
        </w:rPr>
        <w:t>Inconsistency of Belief among Roman Catholic Girls: Concerning Religion, Astrology, Reincarnation</w:t>
      </w:r>
      <w:r w:rsidR="00750A3B">
        <w:rPr>
          <w:lang w:val="en-GB"/>
        </w:rPr>
        <w:t>’</w:t>
      </w:r>
      <w:r>
        <w:rPr>
          <w:lang w:val="en-GB"/>
        </w:rPr>
        <w:t xml:space="preserve">, </w:t>
      </w:r>
      <w:r>
        <w:rPr>
          <w:i/>
          <w:lang w:val="en-GB"/>
        </w:rPr>
        <w:t>Review of Religious Research,</w:t>
      </w:r>
      <w:r w:rsidR="00750A3B">
        <w:rPr>
          <w:i/>
          <w:lang w:val="en-GB"/>
        </w:rPr>
        <w:t xml:space="preserve"> </w:t>
      </w:r>
      <w:r w:rsidR="00750A3B">
        <w:rPr>
          <w:lang w:val="en-GB"/>
        </w:rPr>
        <w:t>20 (1978), 82-85.</w:t>
      </w:r>
    </w:p>
    <w:p w:rsidR="0033749B" w:rsidRDefault="0033749B" w:rsidP="0033749B">
      <w:pPr>
        <w:spacing w:line="276" w:lineRule="auto"/>
        <w:ind w:left="284" w:hanging="284"/>
        <w:rPr>
          <w:lang w:val="en-GB"/>
        </w:rPr>
      </w:pPr>
    </w:p>
    <w:p w:rsidR="00750A3B" w:rsidRPr="00750A3B" w:rsidRDefault="00750A3B" w:rsidP="006C0C6D">
      <w:pPr>
        <w:spacing w:line="276" w:lineRule="auto"/>
        <w:ind w:left="284" w:hanging="284"/>
        <w:rPr>
          <w:lang w:val="en-GB"/>
        </w:rPr>
      </w:pPr>
      <w:r>
        <w:rPr>
          <w:lang w:val="en-GB"/>
        </w:rPr>
        <w:t xml:space="preserve">Walter, Tony and Waterhouse, Helen, ‘A Very Private Belief: Reincarnation in Contemporary England’, </w:t>
      </w:r>
      <w:r>
        <w:rPr>
          <w:i/>
          <w:lang w:val="en-GB"/>
        </w:rPr>
        <w:t xml:space="preserve">Sociology of Religion, </w:t>
      </w:r>
      <w:r>
        <w:rPr>
          <w:lang w:val="en-GB"/>
        </w:rPr>
        <w:t xml:space="preserve">60 (1999), 187-197. </w:t>
      </w:r>
    </w:p>
    <w:p w:rsidR="006C0C6D" w:rsidRDefault="006C0C6D" w:rsidP="00510EF9">
      <w:pPr>
        <w:spacing w:line="276" w:lineRule="auto"/>
        <w:rPr>
          <w:lang w:val="en-GB"/>
        </w:rPr>
      </w:pPr>
    </w:p>
    <w:p w:rsidR="006C0C6D" w:rsidRPr="006C0C6D" w:rsidRDefault="006C0C6D" w:rsidP="00A6538C">
      <w:pPr>
        <w:spacing w:line="276" w:lineRule="auto"/>
        <w:ind w:left="284" w:hanging="284"/>
        <w:rPr>
          <w:b/>
          <w:lang w:val="en-GB"/>
        </w:rPr>
      </w:pPr>
      <w:r w:rsidRPr="006C0C6D">
        <w:rPr>
          <w:b/>
          <w:lang w:val="en-GB"/>
        </w:rPr>
        <w:t>Secondary Sources:</w:t>
      </w:r>
    </w:p>
    <w:p w:rsidR="006C0C6D" w:rsidRDefault="006C0C6D" w:rsidP="00A6538C">
      <w:pPr>
        <w:spacing w:line="276" w:lineRule="auto"/>
        <w:ind w:left="284" w:hanging="284"/>
        <w:rPr>
          <w:lang w:val="en-GB"/>
        </w:rPr>
      </w:pPr>
    </w:p>
    <w:p w:rsidR="0033749B" w:rsidRPr="00554A33" w:rsidRDefault="0033749B" w:rsidP="00A6538C">
      <w:pPr>
        <w:spacing w:line="276" w:lineRule="auto"/>
        <w:ind w:left="284" w:hanging="284"/>
        <w:rPr>
          <w:lang w:val="en-US"/>
        </w:rPr>
      </w:pPr>
      <w:r w:rsidRPr="00554A33">
        <w:rPr>
          <w:lang w:val="en-US"/>
        </w:rPr>
        <w:t xml:space="preserve">Bortz, Jürgen and </w:t>
      </w:r>
      <w:proofErr w:type="spellStart"/>
      <w:r w:rsidRPr="00554A33">
        <w:rPr>
          <w:lang w:val="en-US"/>
        </w:rPr>
        <w:t>Döring</w:t>
      </w:r>
      <w:proofErr w:type="spellEnd"/>
      <w:r w:rsidRPr="00554A33">
        <w:rPr>
          <w:lang w:val="en-US"/>
        </w:rPr>
        <w:t xml:space="preserve">, Nicola, </w:t>
      </w:r>
      <w:proofErr w:type="spellStart"/>
      <w:r w:rsidRPr="00554A33">
        <w:rPr>
          <w:i/>
          <w:lang w:val="en-US"/>
        </w:rPr>
        <w:t>Forschungsmethoden</w:t>
      </w:r>
      <w:proofErr w:type="spellEnd"/>
      <w:r w:rsidRPr="00554A33">
        <w:rPr>
          <w:i/>
          <w:lang w:val="en-US"/>
        </w:rPr>
        <w:t xml:space="preserve"> und Evaluation</w:t>
      </w:r>
      <w:r w:rsidR="00C07FA1" w:rsidRPr="00554A33">
        <w:rPr>
          <w:lang w:val="en-US"/>
        </w:rPr>
        <w:t xml:space="preserve"> </w:t>
      </w:r>
      <w:r w:rsidRPr="00554A33">
        <w:rPr>
          <w:lang w:val="en-US"/>
        </w:rPr>
        <w:t>(Heidelberg: Springer, 2008).</w:t>
      </w:r>
    </w:p>
    <w:p w:rsidR="002076AB" w:rsidRPr="00554A33" w:rsidRDefault="002076AB" w:rsidP="0033749B">
      <w:pPr>
        <w:spacing w:line="276" w:lineRule="auto"/>
        <w:rPr>
          <w:lang w:val="en-US"/>
        </w:rPr>
      </w:pPr>
    </w:p>
    <w:p w:rsidR="0060505E" w:rsidRPr="0060505E" w:rsidRDefault="0060505E" w:rsidP="0060505E">
      <w:pPr>
        <w:spacing w:line="276" w:lineRule="auto"/>
        <w:ind w:left="284" w:hanging="284"/>
        <w:rPr>
          <w:lang w:val="en-US"/>
        </w:rPr>
      </w:pPr>
      <w:proofErr w:type="spellStart"/>
      <w:r w:rsidRPr="0060505E">
        <w:rPr>
          <w:lang w:val="en-GB"/>
        </w:rPr>
        <w:t>Hennink</w:t>
      </w:r>
      <w:proofErr w:type="spellEnd"/>
      <w:r w:rsidRPr="0060505E">
        <w:rPr>
          <w:lang w:val="en-GB"/>
        </w:rPr>
        <w:t>,</w:t>
      </w:r>
      <w:r>
        <w:rPr>
          <w:lang w:val="en-GB"/>
        </w:rPr>
        <w:t xml:space="preserve"> </w:t>
      </w:r>
      <w:r w:rsidRPr="0060505E">
        <w:rPr>
          <w:lang w:val="en-GB"/>
        </w:rPr>
        <w:t>Monique</w:t>
      </w:r>
      <w:r>
        <w:rPr>
          <w:lang w:val="en-GB"/>
        </w:rPr>
        <w:t>,</w:t>
      </w:r>
      <w:r w:rsidRPr="0060505E">
        <w:rPr>
          <w:lang w:val="en-GB"/>
        </w:rPr>
        <w:t xml:space="preserve"> </w:t>
      </w:r>
      <w:proofErr w:type="spellStart"/>
      <w:r w:rsidRPr="0060505E">
        <w:rPr>
          <w:lang w:val="en-GB"/>
        </w:rPr>
        <w:t>Hutter</w:t>
      </w:r>
      <w:proofErr w:type="spellEnd"/>
      <w:r>
        <w:rPr>
          <w:lang w:val="en-GB"/>
        </w:rPr>
        <w:t xml:space="preserve">, </w:t>
      </w:r>
      <w:r w:rsidRPr="0060505E">
        <w:rPr>
          <w:lang w:val="en-GB"/>
        </w:rPr>
        <w:t>Inge and Bailey</w:t>
      </w:r>
      <w:r>
        <w:rPr>
          <w:lang w:val="en-GB"/>
        </w:rPr>
        <w:t>,</w:t>
      </w:r>
      <w:r w:rsidRPr="0060505E">
        <w:rPr>
          <w:lang w:val="en-GB"/>
        </w:rPr>
        <w:t xml:space="preserve"> Ajay, </w:t>
      </w:r>
      <w:r w:rsidRPr="0060505E">
        <w:rPr>
          <w:i/>
          <w:lang w:val="en-GB"/>
        </w:rPr>
        <w:t>Qualitative Research Methods</w:t>
      </w:r>
      <w:r w:rsidR="00C07FA1">
        <w:rPr>
          <w:i/>
          <w:lang w:val="en-GB"/>
        </w:rPr>
        <w:t xml:space="preserve"> </w:t>
      </w:r>
      <w:r w:rsidRPr="0060505E">
        <w:rPr>
          <w:lang w:val="en-GB"/>
        </w:rPr>
        <w:t>(London: Sage, 2011).</w:t>
      </w:r>
    </w:p>
    <w:p w:rsidR="0060505E" w:rsidRPr="0060505E" w:rsidRDefault="0060505E" w:rsidP="0033749B">
      <w:pPr>
        <w:spacing w:line="276" w:lineRule="auto"/>
        <w:rPr>
          <w:lang w:val="en-US"/>
        </w:rPr>
      </w:pPr>
    </w:p>
    <w:p w:rsidR="00DC73CF" w:rsidRPr="0060505E" w:rsidRDefault="00E75979" w:rsidP="0060505E">
      <w:pPr>
        <w:spacing w:line="276" w:lineRule="auto"/>
        <w:ind w:left="284" w:hanging="284"/>
        <w:rPr>
          <w:lang w:val="en-US"/>
        </w:rPr>
      </w:pPr>
      <w:proofErr w:type="spellStart"/>
      <w:r>
        <w:rPr>
          <w:lang w:val="en-GB"/>
        </w:rPr>
        <w:t>Schoonenboom</w:t>
      </w:r>
      <w:proofErr w:type="spellEnd"/>
      <w:r>
        <w:rPr>
          <w:lang w:val="en-GB"/>
        </w:rPr>
        <w:t>, Judith, ‘</w:t>
      </w:r>
      <w:r w:rsidRPr="00E75979">
        <w:rPr>
          <w:lang w:val="en-US"/>
        </w:rPr>
        <w:t>A Performative Paradigm for Mixed Methods Research</w:t>
      </w:r>
      <w:r>
        <w:rPr>
          <w:lang w:val="en-GB"/>
        </w:rPr>
        <w:t xml:space="preserve">’, </w:t>
      </w:r>
      <w:r>
        <w:rPr>
          <w:i/>
          <w:lang w:val="en-GB"/>
        </w:rPr>
        <w:t xml:space="preserve">Journal of Mixed Methods Research, </w:t>
      </w:r>
      <w:r w:rsidR="002076AB">
        <w:rPr>
          <w:lang w:val="en-GB"/>
        </w:rPr>
        <w:t>(2017), 1-17, &lt;</w:t>
      </w:r>
      <w:r w:rsidR="002076AB" w:rsidRPr="002076AB">
        <w:rPr>
          <w:lang w:val="en-US"/>
        </w:rPr>
        <w:t xml:space="preserve"> </w:t>
      </w:r>
      <w:hyperlink r:id="rId11" w:anchor="articleCitationDownloadContainer" w:history="1">
        <w:r w:rsidR="002076AB" w:rsidRPr="004F4722">
          <w:rPr>
            <w:rStyle w:val="Hyperlink"/>
            <w:lang w:val="en-GB"/>
          </w:rPr>
          <w:t>https://journals.sagepub.com/doi/abs/10.1177/ 1558689817722889?journalCode=mmra#articleCitationDownloadContainer</w:t>
        </w:r>
      </w:hyperlink>
      <w:r w:rsidR="0060505E">
        <w:rPr>
          <w:lang w:val="en-GB"/>
        </w:rPr>
        <w:t xml:space="preserve"> </w:t>
      </w:r>
      <w:r w:rsidR="002076AB">
        <w:rPr>
          <w:lang w:val="en-GB"/>
        </w:rPr>
        <w:t>&gt;, [accessed 16 March 2019].</w:t>
      </w:r>
    </w:p>
    <w:sectPr w:rsidR="00DC73CF" w:rsidRPr="0060505E" w:rsidSect="00C54992">
      <w:headerReference w:type="default" r:id="rId12"/>
      <w:footerReference w:type="default" r:id="rId13"/>
      <w:pgSz w:w="11900" w:h="16840"/>
      <w:pgMar w:top="1417" w:right="1417" w:bottom="1134" w:left="1417" w:header="708" w:footer="708" w:gutter="0"/>
      <w:pgNumType w:fmt="numberInDash"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E4202" w:rsidRDefault="00EE4202" w:rsidP="00BA6692">
      <w:pPr>
        <w:spacing w:line="240" w:lineRule="auto"/>
      </w:pPr>
      <w:r>
        <w:separator/>
      </w:r>
    </w:p>
  </w:endnote>
  <w:endnote w:type="continuationSeparator" w:id="0">
    <w:p w:rsidR="00EE4202" w:rsidRDefault="00EE4202" w:rsidP="00BA66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eitenzahl"/>
      </w:rPr>
      <w:id w:val="1008563717"/>
      <w:docPartObj>
        <w:docPartGallery w:val="Page Numbers (Bottom of Page)"/>
        <w:docPartUnique/>
      </w:docPartObj>
    </w:sdtPr>
    <w:sdtEndPr>
      <w:rPr>
        <w:rStyle w:val="Seitenzahl"/>
      </w:rPr>
    </w:sdtEndPr>
    <w:sdtContent>
      <w:p w:rsidR="005C6C36" w:rsidRDefault="005C6C36" w:rsidP="005C6C36">
        <w:pPr>
          <w:pStyle w:val="Fuzeile"/>
          <w:framePr w:wrap="none" w:vAnchor="text" w:hAnchor="margin" w:xAlign="center" w:y="1"/>
          <w:rPr>
            <w:rStyle w:val="Seitenzahl"/>
          </w:rPr>
        </w:pPr>
        <w:r>
          <w:rPr>
            <w:rStyle w:val="Seitenzahl"/>
          </w:rPr>
          <w:fldChar w:fldCharType="begin"/>
        </w:r>
        <w:r>
          <w:rPr>
            <w:rStyle w:val="Seitenzahl"/>
          </w:rPr>
          <w:instrText xml:space="preserve"> PAGE </w:instrText>
        </w:r>
        <w:r>
          <w:rPr>
            <w:rStyle w:val="Seitenzahl"/>
          </w:rPr>
          <w:fldChar w:fldCharType="end"/>
        </w:r>
      </w:p>
    </w:sdtContent>
  </w:sdt>
  <w:p w:rsidR="005C6C36" w:rsidRDefault="005C6C36">
    <w:pPr>
      <w:pStyle w:val="Fuzeil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C6C36" w:rsidRDefault="005C6C36">
    <w:pPr>
      <w:pStyle w:val="Fuzeil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E4202" w:rsidRDefault="00EE4202" w:rsidP="00BA6692">
      <w:pPr>
        <w:spacing w:line="240" w:lineRule="auto"/>
      </w:pPr>
      <w:r>
        <w:separator/>
      </w:r>
    </w:p>
  </w:footnote>
  <w:footnote w:type="continuationSeparator" w:id="0">
    <w:p w:rsidR="00EE4202" w:rsidRDefault="00EE4202" w:rsidP="00BA6692">
      <w:pPr>
        <w:spacing w:line="240" w:lineRule="auto"/>
      </w:pPr>
      <w:r>
        <w:continuationSeparator/>
      </w:r>
    </w:p>
  </w:footnote>
  <w:footnote w:id="1">
    <w:p w:rsidR="00960B90" w:rsidRPr="00F8682E" w:rsidRDefault="00960B90">
      <w:pPr>
        <w:pStyle w:val="Funotentext"/>
        <w:rPr>
          <w:lang w:val="en-GB"/>
        </w:rPr>
      </w:pPr>
      <w:r>
        <w:rPr>
          <w:rStyle w:val="Funotenzeichen"/>
        </w:rPr>
        <w:footnoteRef/>
      </w:r>
      <w:r w:rsidRPr="00F8682E">
        <w:rPr>
          <w:lang w:val="en-US"/>
        </w:rPr>
        <w:t xml:space="preserve"> </w:t>
      </w:r>
      <w:r w:rsidR="00F8682E" w:rsidRPr="00F8682E">
        <w:rPr>
          <w:lang w:val="en-GB"/>
        </w:rPr>
        <w:t>T. L. Brink, ‘Inconsistency of Belief among Roman Catholic Girls: Concerning Religion, Astrology, Reincarnation’, Review of Religious Research,</w:t>
      </w:r>
      <w:r w:rsidR="00F8682E" w:rsidRPr="00F8682E">
        <w:rPr>
          <w:i/>
          <w:lang w:val="en-GB"/>
        </w:rPr>
        <w:t xml:space="preserve"> </w:t>
      </w:r>
      <w:r w:rsidR="00F8682E" w:rsidRPr="00F8682E">
        <w:rPr>
          <w:lang w:val="en-GB"/>
        </w:rPr>
        <w:t xml:space="preserve">20 (1978), </w:t>
      </w:r>
      <w:r w:rsidR="00F8682E">
        <w:rPr>
          <w:lang w:val="en-GB"/>
        </w:rPr>
        <w:t>p. 82-83</w:t>
      </w:r>
      <w:r w:rsidR="00F8682E" w:rsidRPr="00F8682E">
        <w:rPr>
          <w:lang w:val="en-GB"/>
        </w:rPr>
        <w:t>.</w:t>
      </w:r>
    </w:p>
  </w:footnote>
  <w:footnote w:id="2">
    <w:p w:rsidR="00960B90" w:rsidRPr="0033749B" w:rsidRDefault="00960B90">
      <w:pPr>
        <w:pStyle w:val="Funotentext"/>
        <w:rPr>
          <w:lang w:val="de-AT"/>
        </w:rPr>
      </w:pPr>
      <w:r>
        <w:rPr>
          <w:rStyle w:val="Funotenzeichen"/>
        </w:rPr>
        <w:footnoteRef/>
      </w:r>
      <w:r w:rsidRPr="0033749B">
        <w:rPr>
          <w:lang w:val="de-AT"/>
        </w:rPr>
        <w:t xml:space="preserve"> </w:t>
      </w:r>
      <w:r w:rsidR="0033749B" w:rsidRPr="0033749B">
        <w:rPr>
          <w:lang w:val="de-AT"/>
        </w:rPr>
        <w:t xml:space="preserve">Jürgen Bortz </w:t>
      </w:r>
      <w:proofErr w:type="spellStart"/>
      <w:r w:rsidR="0033749B" w:rsidRPr="0033749B">
        <w:rPr>
          <w:lang w:val="de-AT"/>
        </w:rPr>
        <w:t>and</w:t>
      </w:r>
      <w:proofErr w:type="spellEnd"/>
      <w:r w:rsidR="0033749B" w:rsidRPr="0033749B">
        <w:rPr>
          <w:lang w:val="de-AT"/>
        </w:rPr>
        <w:t xml:space="preserve"> Nicola Döring, </w:t>
      </w:r>
      <w:r w:rsidR="0033749B" w:rsidRPr="0033749B">
        <w:rPr>
          <w:i/>
          <w:lang w:val="de-AT"/>
        </w:rPr>
        <w:t>Forschungsmethoden und Evaluation</w:t>
      </w:r>
      <w:r w:rsidR="0033749B" w:rsidRPr="0033749B">
        <w:rPr>
          <w:lang w:val="de-AT"/>
        </w:rPr>
        <w:t>, (Heidelberg: Springer, 2008)</w:t>
      </w:r>
      <w:r w:rsidR="0033749B">
        <w:rPr>
          <w:lang w:val="de-AT"/>
        </w:rPr>
        <w:t>, p. 153</w:t>
      </w:r>
      <w:r w:rsidR="0033749B" w:rsidRPr="0033749B">
        <w:rPr>
          <w:lang w:val="de-AT"/>
        </w:rPr>
        <w:t xml:space="preserve">. </w:t>
      </w:r>
    </w:p>
  </w:footnote>
  <w:footnote w:id="3">
    <w:p w:rsidR="00554A33" w:rsidRPr="00554A33" w:rsidRDefault="00554A33">
      <w:pPr>
        <w:pStyle w:val="Funotentext"/>
        <w:rPr>
          <w:lang w:val="en-US"/>
        </w:rPr>
      </w:pPr>
      <w:r>
        <w:rPr>
          <w:rStyle w:val="Funotenzeichen"/>
        </w:rPr>
        <w:footnoteRef/>
      </w:r>
      <w:r w:rsidRPr="00554A33">
        <w:rPr>
          <w:lang w:val="en-US"/>
        </w:rPr>
        <w:t xml:space="preserve"> </w:t>
      </w:r>
      <w:r w:rsidRPr="00F8682E">
        <w:rPr>
          <w:lang w:val="en-US"/>
        </w:rPr>
        <w:t>Brink, ‘</w:t>
      </w:r>
      <w:r w:rsidRPr="00F8682E">
        <w:rPr>
          <w:lang w:val="en-GB"/>
        </w:rPr>
        <w:t>Inconsistency of Belief among Roman Catholic Girls</w:t>
      </w:r>
      <w:r>
        <w:rPr>
          <w:lang w:val="en-GB"/>
        </w:rPr>
        <w:t>’, p. 82.</w:t>
      </w:r>
    </w:p>
  </w:footnote>
  <w:footnote w:id="4">
    <w:p w:rsidR="00554A33" w:rsidRPr="00554A33" w:rsidRDefault="00554A33">
      <w:pPr>
        <w:pStyle w:val="Funotentext"/>
        <w:rPr>
          <w:lang w:val="en-US"/>
        </w:rPr>
      </w:pPr>
      <w:r>
        <w:rPr>
          <w:rStyle w:val="Funotenzeichen"/>
        </w:rPr>
        <w:footnoteRef/>
      </w:r>
      <w:r w:rsidRPr="00554A33">
        <w:rPr>
          <w:lang w:val="en-US"/>
        </w:rPr>
        <w:t xml:space="preserve"> </w:t>
      </w:r>
      <w:r w:rsidRPr="00F8682E">
        <w:rPr>
          <w:lang w:val="en-US"/>
        </w:rPr>
        <w:t>Brink, ‘</w:t>
      </w:r>
      <w:r w:rsidRPr="00F8682E">
        <w:rPr>
          <w:lang w:val="en-GB"/>
        </w:rPr>
        <w:t>Inconsistency of Belief among Roman Catholic Girls</w:t>
      </w:r>
      <w:r>
        <w:rPr>
          <w:lang w:val="en-GB"/>
        </w:rPr>
        <w:t>’, p. 83.</w:t>
      </w:r>
    </w:p>
  </w:footnote>
  <w:footnote w:id="5">
    <w:p w:rsidR="00960B90" w:rsidRPr="00F8682E" w:rsidRDefault="00960B90">
      <w:pPr>
        <w:pStyle w:val="Funotentext"/>
        <w:rPr>
          <w:lang w:val="en-GB"/>
        </w:rPr>
      </w:pPr>
      <w:r>
        <w:rPr>
          <w:rStyle w:val="Funotenzeichen"/>
        </w:rPr>
        <w:footnoteRef/>
      </w:r>
      <w:r w:rsidR="00F8682E">
        <w:rPr>
          <w:lang w:val="en-US"/>
        </w:rPr>
        <w:t xml:space="preserve"> Tony</w:t>
      </w:r>
      <w:r w:rsidRPr="00F8682E">
        <w:rPr>
          <w:lang w:val="en-US"/>
        </w:rPr>
        <w:t xml:space="preserve"> </w:t>
      </w:r>
      <w:r w:rsidR="00F8682E" w:rsidRPr="00F8682E">
        <w:rPr>
          <w:lang w:val="en-GB"/>
        </w:rPr>
        <w:t>Walter</w:t>
      </w:r>
      <w:r w:rsidR="00F8682E">
        <w:rPr>
          <w:lang w:val="en-GB"/>
        </w:rPr>
        <w:t xml:space="preserve"> </w:t>
      </w:r>
      <w:r w:rsidR="00F8682E" w:rsidRPr="00F8682E">
        <w:rPr>
          <w:lang w:val="en-GB"/>
        </w:rPr>
        <w:t>and</w:t>
      </w:r>
      <w:r w:rsidR="00F8682E">
        <w:rPr>
          <w:lang w:val="en-GB"/>
        </w:rPr>
        <w:t xml:space="preserve"> Helen</w:t>
      </w:r>
      <w:r w:rsidR="00F8682E" w:rsidRPr="00F8682E">
        <w:rPr>
          <w:lang w:val="en-GB"/>
        </w:rPr>
        <w:t xml:space="preserve"> Waterhouse, ‘A Very Private Belief: Reincarnation in Contemporary England’, Sociology of Religion, 60 (1999), </w:t>
      </w:r>
      <w:r w:rsidR="00F8682E">
        <w:rPr>
          <w:lang w:val="en-GB"/>
        </w:rPr>
        <w:t>p. 188-189</w:t>
      </w:r>
      <w:r w:rsidR="00F8682E" w:rsidRPr="00F8682E">
        <w:rPr>
          <w:lang w:val="en-GB"/>
        </w:rPr>
        <w:t xml:space="preserve">. </w:t>
      </w:r>
    </w:p>
  </w:footnote>
  <w:footnote w:id="6">
    <w:p w:rsidR="00960B90" w:rsidRPr="00F8682E" w:rsidRDefault="00960B90">
      <w:pPr>
        <w:pStyle w:val="Funotentext"/>
        <w:rPr>
          <w:lang w:val="en-US"/>
        </w:rPr>
      </w:pPr>
      <w:r>
        <w:rPr>
          <w:rStyle w:val="Funotenzeichen"/>
        </w:rPr>
        <w:footnoteRef/>
      </w:r>
      <w:r w:rsidRPr="00F8682E">
        <w:rPr>
          <w:lang w:val="en-US"/>
        </w:rPr>
        <w:t xml:space="preserve"> </w:t>
      </w:r>
      <w:r w:rsidR="00F8682E">
        <w:rPr>
          <w:lang w:val="en-US"/>
        </w:rPr>
        <w:t>Walter and Waterhouse, ‘</w:t>
      </w:r>
      <w:r w:rsidR="00F8682E" w:rsidRPr="00F8682E">
        <w:rPr>
          <w:lang w:val="en-GB"/>
        </w:rPr>
        <w:t>A Very Private Belief</w:t>
      </w:r>
      <w:r w:rsidR="00F8682E">
        <w:rPr>
          <w:lang w:val="en-US"/>
        </w:rPr>
        <w:t xml:space="preserve">’, p. 188-189. </w:t>
      </w:r>
    </w:p>
  </w:footnote>
  <w:footnote w:id="7">
    <w:p w:rsidR="00960B90" w:rsidRPr="00F8682E" w:rsidRDefault="00960B90">
      <w:pPr>
        <w:pStyle w:val="Funotentext"/>
        <w:rPr>
          <w:lang w:val="en-US"/>
        </w:rPr>
      </w:pPr>
      <w:r>
        <w:rPr>
          <w:rStyle w:val="Funotenzeichen"/>
        </w:rPr>
        <w:footnoteRef/>
      </w:r>
      <w:r w:rsidRPr="00F8682E">
        <w:rPr>
          <w:lang w:val="en-US"/>
        </w:rPr>
        <w:t xml:space="preserve"> </w:t>
      </w:r>
      <w:r w:rsidR="001A5F99">
        <w:rPr>
          <w:lang w:val="en-US"/>
        </w:rPr>
        <w:t>Walter and Waterhouse, ‘</w:t>
      </w:r>
      <w:r w:rsidR="001A5F99" w:rsidRPr="00F8682E">
        <w:rPr>
          <w:lang w:val="en-GB"/>
        </w:rPr>
        <w:t>A Very Private Belief</w:t>
      </w:r>
      <w:r w:rsidR="001A5F99">
        <w:rPr>
          <w:lang w:val="en-US"/>
        </w:rPr>
        <w:t>’, p. 188-189.</w:t>
      </w:r>
    </w:p>
  </w:footnote>
  <w:footnote w:id="8">
    <w:p w:rsidR="00960B90" w:rsidRPr="00F8682E" w:rsidRDefault="00960B90">
      <w:pPr>
        <w:pStyle w:val="Funotentext"/>
        <w:rPr>
          <w:lang w:val="en-US"/>
        </w:rPr>
      </w:pPr>
      <w:r>
        <w:rPr>
          <w:rStyle w:val="Funotenzeichen"/>
        </w:rPr>
        <w:footnoteRef/>
      </w:r>
      <w:r w:rsidRPr="00F8682E">
        <w:rPr>
          <w:lang w:val="en-US"/>
        </w:rPr>
        <w:t xml:space="preserve"> </w:t>
      </w:r>
      <w:r w:rsidR="00E75979">
        <w:rPr>
          <w:lang w:val="en-US"/>
        </w:rPr>
        <w:t>Walter and Waterhouse, ‘</w:t>
      </w:r>
      <w:r w:rsidR="00E75979" w:rsidRPr="00F8682E">
        <w:rPr>
          <w:lang w:val="en-GB"/>
        </w:rPr>
        <w:t>A Very Private Belief</w:t>
      </w:r>
      <w:r w:rsidR="00E75979">
        <w:rPr>
          <w:lang w:val="en-US"/>
        </w:rPr>
        <w:t>’, p. 189.</w:t>
      </w:r>
    </w:p>
  </w:footnote>
  <w:footnote w:id="9">
    <w:p w:rsidR="00960B90" w:rsidRPr="00F8682E" w:rsidRDefault="00960B90">
      <w:pPr>
        <w:pStyle w:val="Funotentext"/>
        <w:rPr>
          <w:lang w:val="en-US"/>
        </w:rPr>
      </w:pPr>
      <w:r>
        <w:rPr>
          <w:rStyle w:val="Funotenzeichen"/>
        </w:rPr>
        <w:footnoteRef/>
      </w:r>
      <w:r w:rsidRPr="00F8682E">
        <w:rPr>
          <w:lang w:val="en-US"/>
        </w:rPr>
        <w:t xml:space="preserve"> </w:t>
      </w:r>
      <w:r w:rsidR="00F8682E" w:rsidRPr="00F8682E">
        <w:rPr>
          <w:lang w:val="en-US"/>
        </w:rPr>
        <w:t>Brink, ‘</w:t>
      </w:r>
      <w:r w:rsidR="00F8682E" w:rsidRPr="00F8682E">
        <w:rPr>
          <w:lang w:val="en-GB"/>
        </w:rPr>
        <w:t>Inconsistency of Belief among Roman Catholic Girls</w:t>
      </w:r>
      <w:r w:rsidR="00F8682E">
        <w:rPr>
          <w:lang w:val="en-GB"/>
        </w:rPr>
        <w:t>’, p.</w:t>
      </w:r>
      <w:r w:rsidR="00E75979">
        <w:rPr>
          <w:lang w:val="en-GB"/>
        </w:rPr>
        <w:t xml:space="preserve"> 82-83. </w:t>
      </w:r>
    </w:p>
  </w:footnote>
  <w:footnote w:id="10">
    <w:p w:rsidR="00960B90" w:rsidRPr="00F8682E" w:rsidRDefault="00960B90">
      <w:pPr>
        <w:pStyle w:val="Funotentext"/>
        <w:rPr>
          <w:lang w:val="en-US"/>
        </w:rPr>
      </w:pPr>
      <w:r>
        <w:rPr>
          <w:rStyle w:val="Funotenzeichen"/>
        </w:rPr>
        <w:footnoteRef/>
      </w:r>
      <w:r w:rsidRPr="00F8682E">
        <w:rPr>
          <w:lang w:val="en-US"/>
        </w:rPr>
        <w:t xml:space="preserve"> </w:t>
      </w:r>
      <w:r w:rsidR="00E75979" w:rsidRPr="00F8682E">
        <w:rPr>
          <w:lang w:val="en-US"/>
        </w:rPr>
        <w:t>Brink, ‘</w:t>
      </w:r>
      <w:r w:rsidR="00E75979" w:rsidRPr="00F8682E">
        <w:rPr>
          <w:lang w:val="en-GB"/>
        </w:rPr>
        <w:t>Inconsistency of Belief among Roman Catholic Girls</w:t>
      </w:r>
      <w:r w:rsidR="00E75979">
        <w:rPr>
          <w:lang w:val="en-GB"/>
        </w:rPr>
        <w:t>’, p. 84-85.</w:t>
      </w:r>
    </w:p>
  </w:footnote>
  <w:footnote w:id="11">
    <w:p w:rsidR="00960B90" w:rsidRPr="00E75979" w:rsidRDefault="00960B90">
      <w:pPr>
        <w:pStyle w:val="Funotentext"/>
        <w:rPr>
          <w:lang w:val="en-US"/>
        </w:rPr>
      </w:pPr>
      <w:r>
        <w:rPr>
          <w:rStyle w:val="Funotenzeichen"/>
        </w:rPr>
        <w:footnoteRef/>
      </w:r>
      <w:r w:rsidRPr="00E75979">
        <w:rPr>
          <w:lang w:val="en-US"/>
        </w:rPr>
        <w:t xml:space="preserve"> </w:t>
      </w:r>
      <w:r w:rsidR="00E75979">
        <w:rPr>
          <w:lang w:val="en-US"/>
        </w:rPr>
        <w:t>Walter and Waterhouse, ‘</w:t>
      </w:r>
      <w:r w:rsidR="00E75979" w:rsidRPr="00F8682E">
        <w:rPr>
          <w:lang w:val="en-GB"/>
        </w:rPr>
        <w:t>A Very Private Belief</w:t>
      </w:r>
      <w:r w:rsidR="00E75979">
        <w:rPr>
          <w:lang w:val="en-US"/>
        </w:rPr>
        <w:t>’, p. 189.</w:t>
      </w:r>
    </w:p>
  </w:footnote>
  <w:footnote w:id="12">
    <w:p w:rsidR="00960B90" w:rsidRPr="00E75979" w:rsidRDefault="00960B90">
      <w:pPr>
        <w:pStyle w:val="Funotentext"/>
        <w:rPr>
          <w:lang w:val="en-US"/>
        </w:rPr>
      </w:pPr>
      <w:r>
        <w:rPr>
          <w:rStyle w:val="Funotenzeichen"/>
        </w:rPr>
        <w:footnoteRef/>
      </w:r>
      <w:r w:rsidRPr="00E75979">
        <w:rPr>
          <w:lang w:val="en-US"/>
        </w:rPr>
        <w:t xml:space="preserve"> </w:t>
      </w:r>
      <w:r w:rsidR="00E75979" w:rsidRPr="00F8682E">
        <w:rPr>
          <w:lang w:val="en-US"/>
        </w:rPr>
        <w:t>Brink, ‘</w:t>
      </w:r>
      <w:r w:rsidR="00E75979" w:rsidRPr="00F8682E">
        <w:rPr>
          <w:lang w:val="en-GB"/>
        </w:rPr>
        <w:t>Inconsistency of Belief among Roman Catholic Girls</w:t>
      </w:r>
      <w:r w:rsidR="00E75979">
        <w:rPr>
          <w:lang w:val="en-GB"/>
        </w:rPr>
        <w:t>’, p. 82.</w:t>
      </w:r>
    </w:p>
  </w:footnote>
  <w:footnote w:id="13">
    <w:p w:rsidR="00960B90" w:rsidRPr="00E75979" w:rsidRDefault="00960B90">
      <w:pPr>
        <w:pStyle w:val="Funotentext"/>
        <w:rPr>
          <w:lang w:val="en-US"/>
        </w:rPr>
      </w:pPr>
      <w:r>
        <w:rPr>
          <w:rStyle w:val="Funotenzeichen"/>
        </w:rPr>
        <w:footnoteRef/>
      </w:r>
      <w:r w:rsidRPr="00E75979">
        <w:rPr>
          <w:lang w:val="en-US"/>
        </w:rPr>
        <w:t xml:space="preserve"> </w:t>
      </w:r>
      <w:r w:rsidR="00E75979" w:rsidRPr="00F8682E">
        <w:rPr>
          <w:lang w:val="en-US"/>
        </w:rPr>
        <w:t>Brink, ‘</w:t>
      </w:r>
      <w:r w:rsidR="00E75979" w:rsidRPr="00F8682E">
        <w:rPr>
          <w:lang w:val="en-GB"/>
        </w:rPr>
        <w:t>Inconsistency of Belief among Roman Catholic Girls</w:t>
      </w:r>
      <w:r w:rsidR="00E75979">
        <w:rPr>
          <w:lang w:val="en-GB"/>
        </w:rPr>
        <w:t>’, p. 84-85.</w:t>
      </w:r>
    </w:p>
  </w:footnote>
  <w:footnote w:id="14">
    <w:p w:rsidR="00960B90" w:rsidRPr="00E75979" w:rsidRDefault="00960B90">
      <w:pPr>
        <w:pStyle w:val="Funotentext"/>
        <w:rPr>
          <w:lang w:val="en-US"/>
        </w:rPr>
      </w:pPr>
      <w:r>
        <w:rPr>
          <w:rStyle w:val="Funotenzeichen"/>
        </w:rPr>
        <w:footnoteRef/>
      </w:r>
      <w:r w:rsidRPr="00E75979">
        <w:rPr>
          <w:lang w:val="en-US"/>
        </w:rPr>
        <w:t xml:space="preserve"> </w:t>
      </w:r>
      <w:r w:rsidR="00E75979">
        <w:rPr>
          <w:lang w:val="en-US"/>
        </w:rPr>
        <w:t>Walter and Waterhouse, ‘</w:t>
      </w:r>
      <w:r w:rsidR="00E75979" w:rsidRPr="00F8682E">
        <w:rPr>
          <w:lang w:val="en-GB"/>
        </w:rPr>
        <w:t>A Very Private Belief</w:t>
      </w:r>
      <w:r w:rsidR="00E75979">
        <w:rPr>
          <w:lang w:val="en-US"/>
        </w:rPr>
        <w:t>’, p. 188-189.</w:t>
      </w:r>
    </w:p>
  </w:footnote>
  <w:footnote w:id="15">
    <w:p w:rsidR="00960B90" w:rsidRPr="0060505E" w:rsidRDefault="00960B90">
      <w:pPr>
        <w:pStyle w:val="Funotentext"/>
        <w:rPr>
          <w:lang w:val="en-GB"/>
        </w:rPr>
      </w:pPr>
      <w:r>
        <w:rPr>
          <w:rStyle w:val="Funotenzeichen"/>
        </w:rPr>
        <w:footnoteRef/>
      </w:r>
      <w:r w:rsidR="002076AB" w:rsidRPr="002076AB">
        <w:rPr>
          <w:lang w:val="en-GB"/>
        </w:rPr>
        <w:t>, Judith</w:t>
      </w:r>
      <w:r w:rsidR="002076AB">
        <w:rPr>
          <w:lang w:val="en-GB"/>
        </w:rPr>
        <w:t xml:space="preserve"> </w:t>
      </w:r>
      <w:proofErr w:type="spellStart"/>
      <w:r w:rsidR="002076AB" w:rsidRPr="002076AB">
        <w:rPr>
          <w:lang w:val="en-GB"/>
        </w:rPr>
        <w:t>Schoonenboom</w:t>
      </w:r>
      <w:proofErr w:type="spellEnd"/>
      <w:r w:rsidR="002076AB">
        <w:rPr>
          <w:lang w:val="en-GB"/>
        </w:rPr>
        <w:t>,</w:t>
      </w:r>
      <w:r w:rsidR="002076AB" w:rsidRPr="002076AB">
        <w:rPr>
          <w:lang w:val="en-GB"/>
        </w:rPr>
        <w:t xml:space="preserve"> ‘</w:t>
      </w:r>
      <w:r w:rsidR="002076AB" w:rsidRPr="002076AB">
        <w:rPr>
          <w:lang w:val="en-US"/>
        </w:rPr>
        <w:t>A Performative Paradigm for Mixed Methods Research</w:t>
      </w:r>
      <w:r w:rsidR="002076AB" w:rsidRPr="002076AB">
        <w:rPr>
          <w:lang w:val="en-GB"/>
        </w:rPr>
        <w:t xml:space="preserve">’, </w:t>
      </w:r>
      <w:r w:rsidR="002076AB" w:rsidRPr="002076AB">
        <w:rPr>
          <w:i/>
          <w:lang w:val="en-GB"/>
        </w:rPr>
        <w:t xml:space="preserve">Journal of Mixed Methods Research, </w:t>
      </w:r>
      <w:r w:rsidR="002076AB" w:rsidRPr="002076AB">
        <w:rPr>
          <w:lang w:val="en-GB"/>
        </w:rPr>
        <w:t xml:space="preserve">(2017), </w:t>
      </w:r>
      <w:r w:rsidR="002076AB">
        <w:rPr>
          <w:lang w:val="en-GB"/>
        </w:rPr>
        <w:t>pp. 6</w:t>
      </w:r>
      <w:r w:rsidR="002076AB" w:rsidRPr="002076AB">
        <w:rPr>
          <w:lang w:val="en-GB"/>
        </w:rPr>
        <w:t>-</w:t>
      </w:r>
      <w:r w:rsidR="002076AB">
        <w:rPr>
          <w:lang w:val="en-GB"/>
        </w:rPr>
        <w:t xml:space="preserve">8, </w:t>
      </w:r>
      <w:hyperlink r:id="rId1" w:anchor="articleCitationDownloadContainer" w:history="1">
        <w:r w:rsidR="002076AB" w:rsidRPr="004F4722">
          <w:rPr>
            <w:rStyle w:val="Hyperlink"/>
            <w:lang w:val="en-GB"/>
          </w:rPr>
          <w:t>https://journals.sagepub.com/doi/abs/10.1177/1558689817722889?journalCode=mmra #</w:t>
        </w:r>
        <w:proofErr w:type="spellStart"/>
        <w:r w:rsidR="002076AB" w:rsidRPr="004F4722">
          <w:rPr>
            <w:rStyle w:val="Hyperlink"/>
            <w:lang w:val="en-GB"/>
          </w:rPr>
          <w:t>articleCitationDownloadContainer</w:t>
        </w:r>
        <w:proofErr w:type="spellEnd"/>
      </w:hyperlink>
      <w:r w:rsidR="002076AB">
        <w:rPr>
          <w:lang w:val="en-GB"/>
        </w:rPr>
        <w:t xml:space="preserve"> </w:t>
      </w:r>
      <w:r w:rsidR="0060505E">
        <w:rPr>
          <w:lang w:val="en-GB"/>
        </w:rPr>
        <w:t xml:space="preserve">; Monique </w:t>
      </w:r>
      <w:proofErr w:type="spellStart"/>
      <w:r w:rsidR="0060505E">
        <w:rPr>
          <w:lang w:val="en-GB"/>
        </w:rPr>
        <w:t>Hennink</w:t>
      </w:r>
      <w:proofErr w:type="spellEnd"/>
      <w:r w:rsidR="0060505E">
        <w:rPr>
          <w:lang w:val="en-GB"/>
        </w:rPr>
        <w:t xml:space="preserve">, Inge </w:t>
      </w:r>
      <w:proofErr w:type="spellStart"/>
      <w:r w:rsidR="0060505E">
        <w:rPr>
          <w:lang w:val="en-GB"/>
        </w:rPr>
        <w:t>Hutter</w:t>
      </w:r>
      <w:proofErr w:type="spellEnd"/>
      <w:r w:rsidR="0060505E">
        <w:rPr>
          <w:lang w:val="en-GB"/>
        </w:rPr>
        <w:t xml:space="preserve"> and Ajay Bailey, </w:t>
      </w:r>
      <w:r w:rsidR="0060505E">
        <w:rPr>
          <w:i/>
          <w:lang w:val="en-GB"/>
        </w:rPr>
        <w:t xml:space="preserve">Qualitative Research Methods </w:t>
      </w:r>
      <w:r w:rsidR="0060505E">
        <w:rPr>
          <w:lang w:val="en-GB"/>
        </w:rPr>
        <w:t xml:space="preserve">(London: Sage, 2011), pp. 16-17. </w:t>
      </w:r>
    </w:p>
  </w:footnote>
  <w:footnote w:id="16">
    <w:p w:rsidR="00E75979" w:rsidRPr="00E75979" w:rsidRDefault="00E75979">
      <w:pPr>
        <w:pStyle w:val="Funotentext"/>
        <w:rPr>
          <w:lang w:val="en-US"/>
        </w:rPr>
      </w:pPr>
      <w:r>
        <w:rPr>
          <w:rStyle w:val="Funotenzeichen"/>
        </w:rPr>
        <w:footnoteRef/>
      </w:r>
      <w:r w:rsidRPr="00E75979">
        <w:rPr>
          <w:lang w:val="en-US"/>
        </w:rPr>
        <w:t xml:space="preserve"> </w:t>
      </w:r>
      <w:r>
        <w:rPr>
          <w:lang w:val="en-US"/>
        </w:rPr>
        <w:t>Walter and Waterhouse, ‘</w:t>
      </w:r>
      <w:r w:rsidRPr="00F8682E">
        <w:rPr>
          <w:lang w:val="en-GB"/>
        </w:rPr>
        <w:t>A Very Private Belief</w:t>
      </w:r>
      <w:r>
        <w:rPr>
          <w:lang w:val="en-US"/>
        </w:rPr>
        <w:t>’, p. 190-196.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eitenzahl"/>
      </w:rPr>
      <w:id w:val="714548940"/>
      <w:docPartObj>
        <w:docPartGallery w:val="Page Numbers (Top of Page)"/>
        <w:docPartUnique/>
      </w:docPartObj>
    </w:sdtPr>
    <w:sdtEndPr>
      <w:rPr>
        <w:rStyle w:val="Seitenzahl"/>
      </w:rPr>
    </w:sdtEndPr>
    <w:sdtContent>
      <w:p w:rsidR="005C6C36" w:rsidRDefault="005C6C36" w:rsidP="005C6C36">
        <w:pPr>
          <w:pStyle w:val="Kopfzeile"/>
          <w:framePr w:wrap="none" w:vAnchor="text" w:hAnchor="margin" w:xAlign="right" w:y="1"/>
          <w:rPr>
            <w:rStyle w:val="Seitenzahl"/>
          </w:rPr>
        </w:pPr>
        <w:r>
          <w:rPr>
            <w:rStyle w:val="Seitenzahl"/>
          </w:rPr>
          <w:fldChar w:fldCharType="begin"/>
        </w:r>
        <w:r>
          <w:rPr>
            <w:rStyle w:val="Seitenzahl"/>
          </w:rPr>
          <w:instrText xml:space="preserve"> PAGE </w:instrText>
        </w:r>
        <w:r>
          <w:rPr>
            <w:rStyle w:val="Seitenzahl"/>
          </w:rPr>
          <w:fldChar w:fldCharType="end"/>
        </w:r>
      </w:p>
    </w:sdtContent>
  </w:sdt>
  <w:p w:rsidR="005C6C36" w:rsidRDefault="005C6C36" w:rsidP="00C54992">
    <w:pPr>
      <w:pStyle w:val="Kopfzeile"/>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eitenzahl"/>
      </w:rPr>
      <w:id w:val="-1520537411"/>
      <w:docPartObj>
        <w:docPartGallery w:val="Page Numbers (Top of Page)"/>
        <w:docPartUnique/>
      </w:docPartObj>
    </w:sdtPr>
    <w:sdtEndPr>
      <w:rPr>
        <w:rStyle w:val="Seitenzahl"/>
      </w:rPr>
    </w:sdtEndPr>
    <w:sdtContent>
      <w:p w:rsidR="005C6C36" w:rsidRDefault="005C6C36" w:rsidP="005C6C36">
        <w:pPr>
          <w:pStyle w:val="Kopfzeile"/>
          <w:framePr w:wrap="none" w:vAnchor="text" w:hAnchor="margin" w:xAlign="right" w:y="1"/>
          <w:rPr>
            <w:rStyle w:val="Seitenzahl"/>
          </w:rPr>
        </w:pPr>
        <w:r>
          <w:rPr>
            <w:rStyle w:val="Seitenzahl"/>
          </w:rPr>
          <w:fldChar w:fldCharType="begin"/>
        </w:r>
        <w:r>
          <w:rPr>
            <w:rStyle w:val="Seitenzahl"/>
          </w:rPr>
          <w:instrText xml:space="preserve"> PAGE </w:instrText>
        </w:r>
        <w:r>
          <w:rPr>
            <w:rStyle w:val="Seitenzahl"/>
          </w:rPr>
          <w:fldChar w:fldCharType="separate"/>
        </w:r>
        <w:r>
          <w:rPr>
            <w:rStyle w:val="Seitenzahl"/>
            <w:noProof/>
          </w:rPr>
          <w:t>1</w:t>
        </w:r>
        <w:r>
          <w:rPr>
            <w:rStyle w:val="Seitenzahl"/>
          </w:rPr>
          <w:fldChar w:fldCharType="end"/>
        </w:r>
      </w:p>
    </w:sdtContent>
  </w:sdt>
  <w:p w:rsidR="005C6C36" w:rsidRPr="00C54992" w:rsidRDefault="005C6C36" w:rsidP="00C54992">
    <w:pPr>
      <w:pStyle w:val="Kopfzeile"/>
      <w:ind w:right="360"/>
      <w:rPr>
        <w:rFonts w:cs="Times New Roman"/>
        <w:lang w:val="de-AT"/>
      </w:rPr>
    </w:pPr>
    <w:r w:rsidRPr="00C54992">
      <w:rPr>
        <w:rFonts w:cs="Times New Roman"/>
        <w:lang w:val="de-AT"/>
      </w:rPr>
      <w:t xml:space="preserve">Fabio Nagele </w:t>
    </w:r>
    <w:r w:rsidRPr="00C54992">
      <w:rPr>
        <w:rFonts w:cs="Times New Roman"/>
      </w:rPr>
      <w:t>1806911</w:t>
    </w:r>
    <w:r>
      <w:rPr>
        <w:rFonts w:cs="Times New Roman"/>
      </w:rPr>
      <w:t xml:space="preserve"> </w:t>
    </w:r>
    <w:r w:rsidRPr="00C54992">
      <w:rPr>
        <w:rFonts w:cs="Times New Roman"/>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FB789E"/>
    <w:multiLevelType w:val="multilevel"/>
    <w:tmpl w:val="3CCE27DE"/>
    <w:lvl w:ilvl="0">
      <w:start w:val="1"/>
      <w:numFmt w:val="decimal"/>
      <w:lvlText w:val="%1"/>
      <w:lvlJc w:val="left"/>
      <w:pPr>
        <w:ind w:left="567" w:hanging="567"/>
      </w:pPr>
      <w:rPr>
        <w:rFonts w:hint="default"/>
      </w:rPr>
    </w:lvl>
    <w:lvl w:ilvl="1">
      <w:start w:val="1"/>
      <w:numFmt w:val="decimal"/>
      <w:lvlText w:val="%1.%2"/>
      <w:lvlJc w:val="left"/>
      <w:pPr>
        <w:ind w:left="737" w:hanging="737"/>
      </w:pPr>
      <w:rPr>
        <w:rFonts w:hint="default"/>
      </w:rPr>
    </w:lvl>
    <w:lvl w:ilvl="2">
      <w:start w:val="1"/>
      <w:numFmt w:val="decimal"/>
      <w:lvlText w:val="%1.%2.%3"/>
      <w:lvlJc w:val="left"/>
      <w:pPr>
        <w:ind w:left="907" w:hanging="907"/>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14C926AF"/>
    <w:multiLevelType w:val="multilevel"/>
    <w:tmpl w:val="530C60BC"/>
    <w:lvl w:ilvl="0">
      <w:start w:val="1"/>
      <w:numFmt w:val="decimal"/>
      <w:lvlText w:val="%1."/>
      <w:lvlJc w:val="left"/>
      <w:pPr>
        <w:tabs>
          <w:tab w:val="num" w:pos="567"/>
        </w:tabs>
        <w:ind w:left="567" w:hanging="567"/>
      </w:pPr>
      <w:rPr>
        <w:rFonts w:hint="default"/>
      </w:rPr>
    </w:lvl>
    <w:lvl w:ilvl="1">
      <w:start w:val="1"/>
      <w:numFmt w:val="decimal"/>
      <w:lvlText w:val="%1.%2."/>
      <w:lvlJc w:val="left"/>
      <w:pPr>
        <w:tabs>
          <w:tab w:val="num" w:pos="737"/>
        </w:tabs>
        <w:ind w:left="737" w:hanging="737"/>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15050790"/>
    <w:multiLevelType w:val="multilevel"/>
    <w:tmpl w:val="E4DAFDC6"/>
    <w:lvl w:ilvl="0">
      <w:start w:val="1"/>
      <w:numFmt w:val="decimal"/>
      <w:lvlText w:val="%1"/>
      <w:lvlJc w:val="left"/>
      <w:pPr>
        <w:tabs>
          <w:tab w:val="num" w:pos="454"/>
        </w:tabs>
        <w:ind w:left="454" w:hanging="454"/>
      </w:pPr>
      <w:rPr>
        <w:rFonts w:hint="default"/>
      </w:rPr>
    </w:lvl>
    <w:lvl w:ilvl="1">
      <w:start w:val="1"/>
      <w:numFmt w:val="decimal"/>
      <w:lvlText w:val="%1.%2"/>
      <w:lvlJc w:val="left"/>
      <w:pPr>
        <w:tabs>
          <w:tab w:val="num" w:pos="680"/>
        </w:tabs>
        <w:ind w:left="680" w:hanging="680"/>
      </w:pPr>
      <w:rPr>
        <w:rFonts w:hint="default"/>
      </w:rPr>
    </w:lvl>
    <w:lvl w:ilvl="2">
      <w:start w:val="1"/>
      <w:numFmt w:val="decimal"/>
      <w:lvlText w:val="%1.%2.%3."/>
      <w:lvlJc w:val="left"/>
      <w:pPr>
        <w:ind w:left="1678" w:hanging="504"/>
      </w:pPr>
      <w:rPr>
        <w:rFonts w:hint="default"/>
      </w:rPr>
    </w:lvl>
    <w:lvl w:ilvl="3">
      <w:start w:val="1"/>
      <w:numFmt w:val="decimal"/>
      <w:lvlText w:val="%1.%2.%3.%4."/>
      <w:lvlJc w:val="left"/>
      <w:pPr>
        <w:ind w:left="2182" w:hanging="648"/>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3" w15:restartNumberingAfterBreak="0">
    <w:nsid w:val="31107634"/>
    <w:multiLevelType w:val="multilevel"/>
    <w:tmpl w:val="E00CC91C"/>
    <w:lvl w:ilvl="0">
      <w:start w:val="1"/>
      <w:numFmt w:val="decimal"/>
      <w:lvlText w:val="%1"/>
      <w:lvlJc w:val="left"/>
      <w:pPr>
        <w:tabs>
          <w:tab w:val="num" w:pos="454"/>
        </w:tabs>
        <w:ind w:left="454" w:hanging="454"/>
      </w:pPr>
      <w:rPr>
        <w:rFonts w:hint="default"/>
      </w:rPr>
    </w:lvl>
    <w:lvl w:ilvl="1">
      <w:start w:val="1"/>
      <w:numFmt w:val="decimal"/>
      <w:lvlText w:val="%1.%2"/>
      <w:lvlJc w:val="left"/>
      <w:pPr>
        <w:tabs>
          <w:tab w:val="num" w:pos="567"/>
        </w:tabs>
        <w:ind w:left="567" w:hanging="567"/>
      </w:pPr>
      <w:rPr>
        <w:rFonts w:hint="default"/>
      </w:rPr>
    </w:lvl>
    <w:lvl w:ilvl="2">
      <w:start w:val="1"/>
      <w:numFmt w:val="decimal"/>
      <w:lvlText w:val="%1.%2.%3"/>
      <w:lvlJc w:val="left"/>
      <w:pPr>
        <w:tabs>
          <w:tab w:val="num" w:pos="680"/>
        </w:tabs>
        <w:ind w:left="680" w:hanging="680"/>
      </w:pPr>
      <w:rPr>
        <w:rFonts w:hint="default"/>
      </w:rPr>
    </w:lvl>
    <w:lvl w:ilvl="3">
      <w:start w:val="1"/>
      <w:numFmt w:val="decimal"/>
      <w:lvlText w:val="%1.%2.%3.%4."/>
      <w:lvlJc w:val="left"/>
      <w:pPr>
        <w:tabs>
          <w:tab w:val="num" w:pos="794"/>
        </w:tabs>
        <w:ind w:left="794" w:hanging="794"/>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3343511D"/>
    <w:multiLevelType w:val="multilevel"/>
    <w:tmpl w:val="20E45690"/>
    <w:lvl w:ilvl="0">
      <w:start w:val="1"/>
      <w:numFmt w:val="decimal"/>
      <w:pStyle w:val="Ebene1Uni"/>
      <w:lvlText w:val="%1"/>
      <w:lvlJc w:val="left"/>
      <w:pPr>
        <w:ind w:left="567" w:hanging="567"/>
      </w:pPr>
      <w:rPr>
        <w:rFonts w:hint="default"/>
      </w:rPr>
    </w:lvl>
    <w:lvl w:ilvl="1">
      <w:start w:val="1"/>
      <w:numFmt w:val="decimal"/>
      <w:pStyle w:val="Ebene2Uni"/>
      <w:lvlText w:val="%1.%2"/>
      <w:lvlJc w:val="left"/>
      <w:pPr>
        <w:ind w:left="737" w:hanging="737"/>
      </w:pPr>
      <w:rPr>
        <w:rFonts w:hint="default"/>
      </w:rPr>
    </w:lvl>
    <w:lvl w:ilvl="2">
      <w:start w:val="1"/>
      <w:numFmt w:val="decimal"/>
      <w:pStyle w:val="Ebene3Uni"/>
      <w:lvlText w:val="%1.%2.%3"/>
      <w:lvlJc w:val="left"/>
      <w:pPr>
        <w:ind w:left="907" w:hanging="907"/>
      </w:pPr>
      <w:rPr>
        <w:rFonts w:hint="default"/>
      </w:rPr>
    </w:lvl>
    <w:lvl w:ilvl="3">
      <w:start w:val="1"/>
      <w:numFmt w:val="decimal"/>
      <w:pStyle w:val="Ebene4Uni"/>
      <w:lvlText w:val="%1.%2.%3.%4"/>
      <w:lvlJc w:val="left"/>
      <w:pPr>
        <w:ind w:left="1077" w:hanging="1077"/>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469D2768"/>
    <w:multiLevelType w:val="multilevel"/>
    <w:tmpl w:val="F1169A78"/>
    <w:lvl w:ilvl="0">
      <w:start w:val="1"/>
      <w:numFmt w:val="decimal"/>
      <w:lvlText w:val="%1."/>
      <w:lvlJc w:val="left"/>
      <w:pPr>
        <w:tabs>
          <w:tab w:val="num" w:pos="567"/>
        </w:tabs>
        <w:ind w:left="567" w:hanging="567"/>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 w15:restartNumberingAfterBreak="0">
    <w:nsid w:val="4B2F0AD3"/>
    <w:multiLevelType w:val="multilevel"/>
    <w:tmpl w:val="524459B0"/>
    <w:lvl w:ilvl="0">
      <w:start w:val="1"/>
      <w:numFmt w:val="none"/>
      <w:suff w:val="nothing"/>
      <w:lvlText w:val=""/>
      <w:lvlJc w:val="left"/>
      <w:pPr>
        <w:ind w:left="0" w:firstLine="0"/>
      </w:pPr>
      <w:rPr>
        <w:rFonts w:hint="default"/>
      </w:rPr>
    </w:lvl>
    <w:lvl w:ilvl="1">
      <w:start w:val="1"/>
      <w:numFmt w:val="upperLetter"/>
      <w:lvlText w:val="%2."/>
      <w:lvlJc w:val="left"/>
      <w:pPr>
        <w:ind w:left="720" w:firstLine="0"/>
      </w:pPr>
      <w:rPr>
        <w:rFonts w:hint="default"/>
      </w:rPr>
    </w:lvl>
    <w:lvl w:ilvl="2">
      <w:start w:val="1"/>
      <w:numFmt w:val="decimal"/>
      <w:lvlText w:val="%3."/>
      <w:lvlJc w:val="left"/>
      <w:pPr>
        <w:ind w:left="1440" w:firstLine="0"/>
      </w:pPr>
      <w:rPr>
        <w:rFonts w:hint="default"/>
      </w:rPr>
    </w:lvl>
    <w:lvl w:ilvl="3">
      <w:start w:val="1"/>
      <w:numFmt w:val="lowerLetter"/>
      <w:lvlText w:val="%4)"/>
      <w:lvlJc w:val="left"/>
      <w:pPr>
        <w:ind w:left="2160" w:firstLine="0"/>
      </w:pPr>
      <w:rPr>
        <w:rFonts w:hint="default"/>
      </w:rPr>
    </w:lvl>
    <w:lvl w:ilvl="4">
      <w:start w:val="1"/>
      <w:numFmt w:val="decimal"/>
      <w:lvlText w:val="(%5)"/>
      <w:lvlJc w:val="left"/>
      <w:pPr>
        <w:ind w:left="2880" w:firstLine="0"/>
      </w:pPr>
      <w:rPr>
        <w:rFonts w:hint="default"/>
      </w:rPr>
    </w:lvl>
    <w:lvl w:ilvl="5">
      <w:start w:val="1"/>
      <w:numFmt w:val="lowerLetter"/>
      <w:lvlText w:val="(%6)"/>
      <w:lvlJc w:val="left"/>
      <w:pPr>
        <w:ind w:left="3600" w:firstLine="0"/>
      </w:pPr>
      <w:rPr>
        <w:rFonts w:hint="default"/>
      </w:rPr>
    </w:lvl>
    <w:lvl w:ilvl="6">
      <w:start w:val="1"/>
      <w:numFmt w:val="lowerRoman"/>
      <w:lvlText w:val="(%7)"/>
      <w:lvlJc w:val="left"/>
      <w:pPr>
        <w:ind w:left="4320" w:firstLine="0"/>
      </w:pPr>
      <w:rPr>
        <w:rFonts w:hint="default"/>
      </w:rPr>
    </w:lvl>
    <w:lvl w:ilvl="7">
      <w:start w:val="1"/>
      <w:numFmt w:val="lowerLetter"/>
      <w:lvlText w:val="(%8)"/>
      <w:lvlJc w:val="left"/>
      <w:pPr>
        <w:ind w:left="5040" w:firstLine="0"/>
      </w:pPr>
      <w:rPr>
        <w:rFonts w:hint="default"/>
      </w:rPr>
    </w:lvl>
    <w:lvl w:ilvl="8">
      <w:start w:val="1"/>
      <w:numFmt w:val="lowerRoman"/>
      <w:lvlText w:val="(%9)"/>
      <w:lvlJc w:val="left"/>
      <w:pPr>
        <w:ind w:left="5760" w:firstLine="0"/>
      </w:pPr>
      <w:rPr>
        <w:rFonts w:hint="default"/>
      </w:rPr>
    </w:lvl>
  </w:abstractNum>
  <w:abstractNum w:abstractNumId="7" w15:restartNumberingAfterBreak="0">
    <w:nsid w:val="5B662169"/>
    <w:multiLevelType w:val="multilevel"/>
    <w:tmpl w:val="00AC199E"/>
    <w:lvl w:ilvl="0">
      <w:start w:val="1"/>
      <w:numFmt w:val="decimal"/>
      <w:lvlText w:val="%1"/>
      <w:lvlJc w:val="left"/>
      <w:pPr>
        <w:tabs>
          <w:tab w:val="num" w:pos="454"/>
        </w:tabs>
        <w:ind w:left="454" w:hanging="454"/>
      </w:pPr>
      <w:rPr>
        <w:rFonts w:hint="default"/>
      </w:rPr>
    </w:lvl>
    <w:lvl w:ilvl="1">
      <w:start w:val="1"/>
      <w:numFmt w:val="decimal"/>
      <w:lvlText w:val="%1.%2"/>
      <w:lvlJc w:val="left"/>
      <w:pPr>
        <w:ind w:left="680" w:hanging="680"/>
      </w:pPr>
      <w:rPr>
        <w:rFonts w:hint="default"/>
      </w:rPr>
    </w:lvl>
    <w:lvl w:ilvl="2">
      <w:start w:val="1"/>
      <w:numFmt w:val="none"/>
      <w:lvlText w:val="1.1.1"/>
      <w:lvlJc w:val="left"/>
      <w:pPr>
        <w:tabs>
          <w:tab w:val="num" w:pos="907"/>
        </w:tabs>
        <w:ind w:left="907" w:hanging="907"/>
      </w:pPr>
      <w:rPr>
        <w:rFonts w:hint="default"/>
      </w:rPr>
    </w:lvl>
    <w:lvl w:ilvl="3">
      <w:start w:val="1"/>
      <w:numFmt w:val="decimal"/>
      <w:lvlText w:val="%1.%2.%3.%4."/>
      <w:lvlJc w:val="left"/>
      <w:pPr>
        <w:ind w:left="2182" w:hanging="648"/>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8" w15:restartNumberingAfterBreak="0">
    <w:nsid w:val="61C21BE8"/>
    <w:multiLevelType w:val="hybridMultilevel"/>
    <w:tmpl w:val="8CB0A01E"/>
    <w:lvl w:ilvl="0" w:tplc="04070005">
      <w:start w:val="1"/>
      <w:numFmt w:val="bullet"/>
      <w:lvlText w:val=""/>
      <w:lvlJc w:val="left"/>
      <w:pPr>
        <w:ind w:left="360" w:hanging="360"/>
      </w:pPr>
      <w:rPr>
        <w:rFonts w:ascii="Wingdings" w:hAnsi="Wingdings" w:hint="default"/>
      </w:rPr>
    </w:lvl>
    <w:lvl w:ilvl="1" w:tplc="04070003" w:tentative="1">
      <w:start w:val="1"/>
      <w:numFmt w:val="bullet"/>
      <w:lvlText w:val="o"/>
      <w:lvlJc w:val="left"/>
      <w:pPr>
        <w:ind w:left="1080" w:hanging="360"/>
      </w:pPr>
      <w:rPr>
        <w:rFonts w:ascii="Courier New" w:hAnsi="Courier New" w:cs="Courier New" w:hint="default"/>
      </w:rPr>
    </w:lvl>
    <w:lvl w:ilvl="2" w:tplc="04070005" w:tentative="1">
      <w:start w:val="1"/>
      <w:numFmt w:val="bullet"/>
      <w:lvlText w:val=""/>
      <w:lvlJc w:val="left"/>
      <w:pPr>
        <w:ind w:left="1800" w:hanging="360"/>
      </w:pPr>
      <w:rPr>
        <w:rFonts w:ascii="Wingdings" w:hAnsi="Wingdings" w:hint="default"/>
      </w:rPr>
    </w:lvl>
    <w:lvl w:ilvl="3" w:tplc="04070001" w:tentative="1">
      <w:start w:val="1"/>
      <w:numFmt w:val="bullet"/>
      <w:lvlText w:val=""/>
      <w:lvlJc w:val="left"/>
      <w:pPr>
        <w:ind w:left="2520" w:hanging="360"/>
      </w:pPr>
      <w:rPr>
        <w:rFonts w:ascii="Symbol" w:hAnsi="Symbol" w:hint="default"/>
      </w:rPr>
    </w:lvl>
    <w:lvl w:ilvl="4" w:tplc="04070003" w:tentative="1">
      <w:start w:val="1"/>
      <w:numFmt w:val="bullet"/>
      <w:lvlText w:val="o"/>
      <w:lvlJc w:val="left"/>
      <w:pPr>
        <w:ind w:left="3240" w:hanging="360"/>
      </w:pPr>
      <w:rPr>
        <w:rFonts w:ascii="Courier New" w:hAnsi="Courier New" w:cs="Courier New" w:hint="default"/>
      </w:rPr>
    </w:lvl>
    <w:lvl w:ilvl="5" w:tplc="04070005" w:tentative="1">
      <w:start w:val="1"/>
      <w:numFmt w:val="bullet"/>
      <w:lvlText w:val=""/>
      <w:lvlJc w:val="left"/>
      <w:pPr>
        <w:ind w:left="3960" w:hanging="360"/>
      </w:pPr>
      <w:rPr>
        <w:rFonts w:ascii="Wingdings" w:hAnsi="Wingdings" w:hint="default"/>
      </w:rPr>
    </w:lvl>
    <w:lvl w:ilvl="6" w:tplc="04070001" w:tentative="1">
      <w:start w:val="1"/>
      <w:numFmt w:val="bullet"/>
      <w:lvlText w:val=""/>
      <w:lvlJc w:val="left"/>
      <w:pPr>
        <w:ind w:left="4680" w:hanging="360"/>
      </w:pPr>
      <w:rPr>
        <w:rFonts w:ascii="Symbol" w:hAnsi="Symbol" w:hint="default"/>
      </w:rPr>
    </w:lvl>
    <w:lvl w:ilvl="7" w:tplc="04070003" w:tentative="1">
      <w:start w:val="1"/>
      <w:numFmt w:val="bullet"/>
      <w:lvlText w:val="o"/>
      <w:lvlJc w:val="left"/>
      <w:pPr>
        <w:ind w:left="5400" w:hanging="360"/>
      </w:pPr>
      <w:rPr>
        <w:rFonts w:ascii="Courier New" w:hAnsi="Courier New" w:cs="Courier New" w:hint="default"/>
      </w:rPr>
    </w:lvl>
    <w:lvl w:ilvl="8" w:tplc="04070005" w:tentative="1">
      <w:start w:val="1"/>
      <w:numFmt w:val="bullet"/>
      <w:lvlText w:val=""/>
      <w:lvlJc w:val="left"/>
      <w:pPr>
        <w:ind w:left="6120" w:hanging="360"/>
      </w:pPr>
      <w:rPr>
        <w:rFonts w:ascii="Wingdings" w:hAnsi="Wingdings" w:hint="default"/>
      </w:rPr>
    </w:lvl>
  </w:abstractNum>
  <w:abstractNum w:abstractNumId="9" w15:restartNumberingAfterBreak="0">
    <w:nsid w:val="6DDC699C"/>
    <w:multiLevelType w:val="multilevel"/>
    <w:tmpl w:val="9884A900"/>
    <w:lvl w:ilvl="0">
      <w:start w:val="1"/>
      <w:numFmt w:val="none"/>
      <w:pStyle w:val="EbeneleerUni"/>
      <w:lvlText w:val=""/>
      <w:lvlJc w:val="left"/>
      <w:pPr>
        <w:ind w:left="0" w:firstLine="0"/>
      </w:pPr>
      <w:rPr>
        <w:rFonts w:hint="default"/>
      </w:rPr>
    </w:lvl>
    <w:lvl w:ilvl="1">
      <w:start w:val="1"/>
      <w:numFmt w:val="decimal"/>
      <w:lvlText w:val="%1.%2."/>
      <w:lvlJc w:val="left"/>
      <w:pPr>
        <w:ind w:left="1359" w:hanging="432"/>
      </w:pPr>
      <w:rPr>
        <w:rFonts w:hint="default"/>
      </w:rPr>
    </w:lvl>
    <w:lvl w:ilvl="2">
      <w:start w:val="1"/>
      <w:numFmt w:val="decimal"/>
      <w:lvlText w:val="%1.%2.%3."/>
      <w:lvlJc w:val="left"/>
      <w:pPr>
        <w:ind w:left="1791" w:hanging="504"/>
      </w:pPr>
      <w:rPr>
        <w:rFonts w:hint="default"/>
      </w:rPr>
    </w:lvl>
    <w:lvl w:ilvl="3">
      <w:start w:val="1"/>
      <w:numFmt w:val="decimal"/>
      <w:lvlText w:val="%1.%2.%3.%4."/>
      <w:lvlJc w:val="left"/>
      <w:pPr>
        <w:ind w:left="2295" w:hanging="648"/>
      </w:pPr>
      <w:rPr>
        <w:rFonts w:hint="default"/>
      </w:rPr>
    </w:lvl>
    <w:lvl w:ilvl="4">
      <w:start w:val="1"/>
      <w:numFmt w:val="decimal"/>
      <w:lvlText w:val="%1.%2.%3.%4.%5."/>
      <w:lvlJc w:val="left"/>
      <w:pPr>
        <w:ind w:left="2799" w:hanging="792"/>
      </w:pPr>
      <w:rPr>
        <w:rFonts w:hint="default"/>
      </w:rPr>
    </w:lvl>
    <w:lvl w:ilvl="5">
      <w:start w:val="1"/>
      <w:numFmt w:val="decimal"/>
      <w:lvlText w:val="%1.%2.%3.%4.%5.%6."/>
      <w:lvlJc w:val="left"/>
      <w:pPr>
        <w:ind w:left="3303" w:hanging="936"/>
      </w:pPr>
      <w:rPr>
        <w:rFonts w:hint="default"/>
      </w:rPr>
    </w:lvl>
    <w:lvl w:ilvl="6">
      <w:start w:val="1"/>
      <w:numFmt w:val="decimal"/>
      <w:lvlText w:val="%1.%2.%3.%4.%5.%6.%7."/>
      <w:lvlJc w:val="left"/>
      <w:pPr>
        <w:ind w:left="3807" w:hanging="1080"/>
      </w:pPr>
      <w:rPr>
        <w:rFonts w:hint="default"/>
      </w:rPr>
    </w:lvl>
    <w:lvl w:ilvl="7">
      <w:start w:val="1"/>
      <w:numFmt w:val="decimal"/>
      <w:lvlText w:val="%1.%2.%3.%4.%5.%6.%7.%8."/>
      <w:lvlJc w:val="left"/>
      <w:pPr>
        <w:ind w:left="4311" w:hanging="1224"/>
      </w:pPr>
      <w:rPr>
        <w:rFonts w:hint="default"/>
      </w:rPr>
    </w:lvl>
    <w:lvl w:ilvl="8">
      <w:start w:val="1"/>
      <w:numFmt w:val="decimal"/>
      <w:lvlText w:val="%1.%2.%3.%4.%5.%6.%7.%8.%9."/>
      <w:lvlJc w:val="left"/>
      <w:pPr>
        <w:ind w:left="4887" w:hanging="1440"/>
      </w:pPr>
      <w:rPr>
        <w:rFonts w:hint="default"/>
      </w:rPr>
    </w:lvl>
  </w:abstractNum>
  <w:abstractNum w:abstractNumId="10" w15:restartNumberingAfterBreak="0">
    <w:nsid w:val="6F670731"/>
    <w:multiLevelType w:val="multilevel"/>
    <w:tmpl w:val="EA30CD78"/>
    <w:lvl w:ilvl="0">
      <w:start w:val="1"/>
      <w:numFmt w:val="decimal"/>
      <w:lvlText w:val="%1"/>
      <w:lvlJc w:val="left"/>
      <w:pPr>
        <w:tabs>
          <w:tab w:val="num" w:pos="567"/>
        </w:tabs>
        <w:ind w:left="567" w:hanging="567"/>
      </w:pPr>
      <w:rPr>
        <w:rFonts w:hint="default"/>
      </w:rPr>
    </w:lvl>
    <w:lvl w:ilvl="1">
      <w:start w:val="1"/>
      <w:numFmt w:val="decimal"/>
      <w:lvlText w:val="%1.%2."/>
      <w:lvlJc w:val="left"/>
      <w:pPr>
        <w:ind w:left="1246" w:hanging="432"/>
      </w:pPr>
      <w:rPr>
        <w:rFonts w:hint="default"/>
      </w:rPr>
    </w:lvl>
    <w:lvl w:ilvl="2">
      <w:start w:val="1"/>
      <w:numFmt w:val="decimal"/>
      <w:lvlText w:val="%1.%2.%3."/>
      <w:lvlJc w:val="left"/>
      <w:pPr>
        <w:ind w:left="1678" w:hanging="504"/>
      </w:pPr>
      <w:rPr>
        <w:rFonts w:hint="default"/>
      </w:rPr>
    </w:lvl>
    <w:lvl w:ilvl="3">
      <w:start w:val="1"/>
      <w:numFmt w:val="decimal"/>
      <w:lvlText w:val="%1.%2.%3.%4."/>
      <w:lvlJc w:val="left"/>
      <w:pPr>
        <w:ind w:left="2182" w:hanging="648"/>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11" w15:restartNumberingAfterBreak="0">
    <w:nsid w:val="6FCA61AD"/>
    <w:multiLevelType w:val="multilevel"/>
    <w:tmpl w:val="E062BE6A"/>
    <w:lvl w:ilvl="0">
      <w:start w:val="1"/>
      <w:numFmt w:val="decimal"/>
      <w:lvlText w:val="%1"/>
      <w:lvlJc w:val="left"/>
      <w:pPr>
        <w:ind w:left="454" w:hanging="454"/>
      </w:pPr>
      <w:rPr>
        <w:rFonts w:hint="default"/>
      </w:rPr>
    </w:lvl>
    <w:lvl w:ilvl="1">
      <w:start w:val="1"/>
      <w:numFmt w:val="decimal"/>
      <w:lvlRestart w:val="0"/>
      <w:lvlText w:val="%1.%2"/>
      <w:lvlJc w:val="left"/>
      <w:pPr>
        <w:ind w:left="680" w:hanging="680"/>
      </w:pPr>
      <w:rPr>
        <w:rFonts w:hint="default"/>
      </w:rPr>
    </w:lvl>
    <w:lvl w:ilvl="2">
      <w:start w:val="1"/>
      <w:numFmt w:val="none"/>
      <w:lvlRestart w:val="0"/>
      <w:lvlText w:val="1.1.1"/>
      <w:lvlJc w:val="left"/>
      <w:pPr>
        <w:tabs>
          <w:tab w:val="num" w:pos="907"/>
        </w:tabs>
        <w:ind w:left="907" w:hanging="907"/>
      </w:pPr>
      <w:rPr>
        <w:rFonts w:hint="default"/>
      </w:rPr>
    </w:lvl>
    <w:lvl w:ilvl="3">
      <w:start w:val="1"/>
      <w:numFmt w:val="decimal"/>
      <w:lvlRestart w:val="0"/>
      <w:lvlText w:val="%4.1.1.1"/>
      <w:lvlJc w:val="left"/>
      <w:pPr>
        <w:ind w:left="1134" w:hanging="1134"/>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12" w15:restartNumberingAfterBreak="0">
    <w:nsid w:val="7A9D3D78"/>
    <w:multiLevelType w:val="hybridMultilevel"/>
    <w:tmpl w:val="DBAC04BA"/>
    <w:lvl w:ilvl="0" w:tplc="04070005">
      <w:start w:val="1"/>
      <w:numFmt w:val="bullet"/>
      <w:lvlText w:val=""/>
      <w:lvlJc w:val="left"/>
      <w:pPr>
        <w:ind w:left="360" w:hanging="360"/>
      </w:pPr>
      <w:rPr>
        <w:rFonts w:ascii="Wingdings" w:hAnsi="Wingdings" w:hint="default"/>
      </w:rPr>
    </w:lvl>
    <w:lvl w:ilvl="1" w:tplc="04070003" w:tentative="1">
      <w:start w:val="1"/>
      <w:numFmt w:val="bullet"/>
      <w:lvlText w:val="o"/>
      <w:lvlJc w:val="left"/>
      <w:pPr>
        <w:ind w:left="1080" w:hanging="360"/>
      </w:pPr>
      <w:rPr>
        <w:rFonts w:ascii="Courier New" w:hAnsi="Courier New" w:cs="Courier New" w:hint="default"/>
      </w:rPr>
    </w:lvl>
    <w:lvl w:ilvl="2" w:tplc="04070005" w:tentative="1">
      <w:start w:val="1"/>
      <w:numFmt w:val="bullet"/>
      <w:lvlText w:val=""/>
      <w:lvlJc w:val="left"/>
      <w:pPr>
        <w:ind w:left="1800" w:hanging="360"/>
      </w:pPr>
      <w:rPr>
        <w:rFonts w:ascii="Wingdings" w:hAnsi="Wingdings" w:hint="default"/>
      </w:rPr>
    </w:lvl>
    <w:lvl w:ilvl="3" w:tplc="04070001" w:tentative="1">
      <w:start w:val="1"/>
      <w:numFmt w:val="bullet"/>
      <w:lvlText w:val=""/>
      <w:lvlJc w:val="left"/>
      <w:pPr>
        <w:ind w:left="2520" w:hanging="360"/>
      </w:pPr>
      <w:rPr>
        <w:rFonts w:ascii="Symbol" w:hAnsi="Symbol" w:hint="default"/>
      </w:rPr>
    </w:lvl>
    <w:lvl w:ilvl="4" w:tplc="04070003" w:tentative="1">
      <w:start w:val="1"/>
      <w:numFmt w:val="bullet"/>
      <w:lvlText w:val="o"/>
      <w:lvlJc w:val="left"/>
      <w:pPr>
        <w:ind w:left="3240" w:hanging="360"/>
      </w:pPr>
      <w:rPr>
        <w:rFonts w:ascii="Courier New" w:hAnsi="Courier New" w:cs="Courier New" w:hint="default"/>
      </w:rPr>
    </w:lvl>
    <w:lvl w:ilvl="5" w:tplc="04070005" w:tentative="1">
      <w:start w:val="1"/>
      <w:numFmt w:val="bullet"/>
      <w:lvlText w:val=""/>
      <w:lvlJc w:val="left"/>
      <w:pPr>
        <w:ind w:left="3960" w:hanging="360"/>
      </w:pPr>
      <w:rPr>
        <w:rFonts w:ascii="Wingdings" w:hAnsi="Wingdings" w:hint="default"/>
      </w:rPr>
    </w:lvl>
    <w:lvl w:ilvl="6" w:tplc="04070001" w:tentative="1">
      <w:start w:val="1"/>
      <w:numFmt w:val="bullet"/>
      <w:lvlText w:val=""/>
      <w:lvlJc w:val="left"/>
      <w:pPr>
        <w:ind w:left="4680" w:hanging="360"/>
      </w:pPr>
      <w:rPr>
        <w:rFonts w:ascii="Symbol" w:hAnsi="Symbol" w:hint="default"/>
      </w:rPr>
    </w:lvl>
    <w:lvl w:ilvl="7" w:tplc="04070003" w:tentative="1">
      <w:start w:val="1"/>
      <w:numFmt w:val="bullet"/>
      <w:lvlText w:val="o"/>
      <w:lvlJc w:val="left"/>
      <w:pPr>
        <w:ind w:left="5400" w:hanging="360"/>
      </w:pPr>
      <w:rPr>
        <w:rFonts w:ascii="Courier New" w:hAnsi="Courier New" w:cs="Courier New" w:hint="default"/>
      </w:rPr>
    </w:lvl>
    <w:lvl w:ilvl="8" w:tplc="04070005" w:tentative="1">
      <w:start w:val="1"/>
      <w:numFmt w:val="bullet"/>
      <w:lvlText w:val=""/>
      <w:lvlJc w:val="left"/>
      <w:pPr>
        <w:ind w:left="6120" w:hanging="360"/>
      </w:pPr>
      <w:rPr>
        <w:rFonts w:ascii="Wingdings" w:hAnsi="Wingdings" w:hint="default"/>
      </w:rPr>
    </w:lvl>
  </w:abstractNum>
  <w:num w:numId="1">
    <w:abstractNumId w:val="3"/>
  </w:num>
  <w:num w:numId="2">
    <w:abstractNumId w:val="3"/>
  </w:num>
  <w:num w:numId="3">
    <w:abstractNumId w:val="3"/>
  </w:num>
  <w:num w:numId="4">
    <w:abstractNumId w:val="3"/>
  </w:num>
  <w:num w:numId="5">
    <w:abstractNumId w:val="6"/>
  </w:num>
  <w:num w:numId="6">
    <w:abstractNumId w:val="3"/>
  </w:num>
  <w:num w:numId="7">
    <w:abstractNumId w:val="3"/>
  </w:num>
  <w:num w:numId="8">
    <w:abstractNumId w:val="3"/>
  </w:num>
  <w:num w:numId="9">
    <w:abstractNumId w:val="3"/>
  </w:num>
  <w:num w:numId="10">
    <w:abstractNumId w:val="10"/>
  </w:num>
  <w:num w:numId="11">
    <w:abstractNumId w:val="2"/>
  </w:num>
  <w:num w:numId="12">
    <w:abstractNumId w:val="10"/>
  </w:num>
  <w:num w:numId="13">
    <w:abstractNumId w:val="7"/>
  </w:num>
  <w:num w:numId="14">
    <w:abstractNumId w:val="10"/>
  </w:num>
  <w:num w:numId="15">
    <w:abstractNumId w:val="7"/>
  </w:num>
  <w:num w:numId="16">
    <w:abstractNumId w:val="7"/>
  </w:num>
  <w:num w:numId="17">
    <w:abstractNumId w:val="11"/>
  </w:num>
  <w:num w:numId="18">
    <w:abstractNumId w:val="11"/>
  </w:num>
  <w:num w:numId="19">
    <w:abstractNumId w:val="11"/>
  </w:num>
  <w:num w:numId="20">
    <w:abstractNumId w:val="5"/>
  </w:num>
  <w:num w:numId="21">
    <w:abstractNumId w:val="1"/>
  </w:num>
  <w:num w:numId="22">
    <w:abstractNumId w:val="0"/>
  </w:num>
  <w:num w:numId="23">
    <w:abstractNumId w:val="0"/>
  </w:num>
  <w:num w:numId="24">
    <w:abstractNumId w:val="0"/>
  </w:num>
  <w:num w:numId="25">
    <w:abstractNumId w:val="4"/>
  </w:num>
  <w:num w:numId="26">
    <w:abstractNumId w:val="4"/>
  </w:num>
  <w:num w:numId="27">
    <w:abstractNumId w:val="9"/>
  </w:num>
  <w:num w:numId="28">
    <w:abstractNumId w:val="12"/>
  </w:num>
  <w:num w:numId="2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grammar="clean"/>
  <w:defaultTabStop w:val="708"/>
  <w:autoHyphenation/>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F6A"/>
    <w:rsid w:val="00000656"/>
    <w:rsid w:val="000019C8"/>
    <w:rsid w:val="00020C56"/>
    <w:rsid w:val="000222E0"/>
    <w:rsid w:val="00024219"/>
    <w:rsid w:val="00026DD0"/>
    <w:rsid w:val="000330CE"/>
    <w:rsid w:val="00037822"/>
    <w:rsid w:val="0004088C"/>
    <w:rsid w:val="000427F9"/>
    <w:rsid w:val="000452CC"/>
    <w:rsid w:val="00045FA9"/>
    <w:rsid w:val="000463AA"/>
    <w:rsid w:val="000546B9"/>
    <w:rsid w:val="00057789"/>
    <w:rsid w:val="00057B34"/>
    <w:rsid w:val="00066ABA"/>
    <w:rsid w:val="00070408"/>
    <w:rsid w:val="000729F1"/>
    <w:rsid w:val="000A7C59"/>
    <w:rsid w:val="000B0A7C"/>
    <w:rsid w:val="000B1AAA"/>
    <w:rsid w:val="000B6696"/>
    <w:rsid w:val="000E28C5"/>
    <w:rsid w:val="000E7C46"/>
    <w:rsid w:val="000F1E8D"/>
    <w:rsid w:val="00103E9F"/>
    <w:rsid w:val="0011196C"/>
    <w:rsid w:val="001161CE"/>
    <w:rsid w:val="00136792"/>
    <w:rsid w:val="0015448C"/>
    <w:rsid w:val="00181BE5"/>
    <w:rsid w:val="001871ED"/>
    <w:rsid w:val="001A5F99"/>
    <w:rsid w:val="001A704B"/>
    <w:rsid w:val="001B10C1"/>
    <w:rsid w:val="001B145D"/>
    <w:rsid w:val="001D1688"/>
    <w:rsid w:val="001D5003"/>
    <w:rsid w:val="001E6C0D"/>
    <w:rsid w:val="001F72C6"/>
    <w:rsid w:val="001F7A40"/>
    <w:rsid w:val="00200D00"/>
    <w:rsid w:val="002076AB"/>
    <w:rsid w:val="00211144"/>
    <w:rsid w:val="00211853"/>
    <w:rsid w:val="00230FE6"/>
    <w:rsid w:val="00233E7E"/>
    <w:rsid w:val="0025367B"/>
    <w:rsid w:val="00254D42"/>
    <w:rsid w:val="002657CF"/>
    <w:rsid w:val="00267245"/>
    <w:rsid w:val="0026766D"/>
    <w:rsid w:val="00272873"/>
    <w:rsid w:val="00283AC3"/>
    <w:rsid w:val="002921A1"/>
    <w:rsid w:val="00293447"/>
    <w:rsid w:val="002954D3"/>
    <w:rsid w:val="00296517"/>
    <w:rsid w:val="002A047E"/>
    <w:rsid w:val="002A77CD"/>
    <w:rsid w:val="002B39E6"/>
    <w:rsid w:val="002B7F3A"/>
    <w:rsid w:val="002D69B8"/>
    <w:rsid w:val="002E0B82"/>
    <w:rsid w:val="002E4602"/>
    <w:rsid w:val="002E6820"/>
    <w:rsid w:val="002F01CE"/>
    <w:rsid w:val="00300735"/>
    <w:rsid w:val="00307B0B"/>
    <w:rsid w:val="00321751"/>
    <w:rsid w:val="003241A7"/>
    <w:rsid w:val="0033749B"/>
    <w:rsid w:val="00340268"/>
    <w:rsid w:val="00340907"/>
    <w:rsid w:val="00352C09"/>
    <w:rsid w:val="0038021C"/>
    <w:rsid w:val="003849C9"/>
    <w:rsid w:val="003879BC"/>
    <w:rsid w:val="003879E4"/>
    <w:rsid w:val="00393DDF"/>
    <w:rsid w:val="003C3BFA"/>
    <w:rsid w:val="003D0E6C"/>
    <w:rsid w:val="003D16E3"/>
    <w:rsid w:val="003D2CD7"/>
    <w:rsid w:val="003E7717"/>
    <w:rsid w:val="003E7AC9"/>
    <w:rsid w:val="003F48AC"/>
    <w:rsid w:val="003F5C6C"/>
    <w:rsid w:val="003F62BE"/>
    <w:rsid w:val="00402683"/>
    <w:rsid w:val="00412C24"/>
    <w:rsid w:val="004672B9"/>
    <w:rsid w:val="00472B4B"/>
    <w:rsid w:val="004776DC"/>
    <w:rsid w:val="00496D70"/>
    <w:rsid w:val="00497910"/>
    <w:rsid w:val="004B17AB"/>
    <w:rsid w:val="004B25DB"/>
    <w:rsid w:val="004B366C"/>
    <w:rsid w:val="004C38BC"/>
    <w:rsid w:val="004C589F"/>
    <w:rsid w:val="004D2913"/>
    <w:rsid w:val="004D527A"/>
    <w:rsid w:val="004E5A53"/>
    <w:rsid w:val="004E6ADF"/>
    <w:rsid w:val="004F2A72"/>
    <w:rsid w:val="004F41B1"/>
    <w:rsid w:val="004F4303"/>
    <w:rsid w:val="00500FC5"/>
    <w:rsid w:val="005107E6"/>
    <w:rsid w:val="00510EF9"/>
    <w:rsid w:val="005132DD"/>
    <w:rsid w:val="00516A63"/>
    <w:rsid w:val="00521491"/>
    <w:rsid w:val="005339AE"/>
    <w:rsid w:val="005460E0"/>
    <w:rsid w:val="00550131"/>
    <w:rsid w:val="00553F11"/>
    <w:rsid w:val="00554A33"/>
    <w:rsid w:val="00556012"/>
    <w:rsid w:val="005652E9"/>
    <w:rsid w:val="005810C3"/>
    <w:rsid w:val="0058229B"/>
    <w:rsid w:val="005879FF"/>
    <w:rsid w:val="005A224D"/>
    <w:rsid w:val="005A3825"/>
    <w:rsid w:val="005B1B7A"/>
    <w:rsid w:val="005C6C36"/>
    <w:rsid w:val="005D1352"/>
    <w:rsid w:val="005D52DE"/>
    <w:rsid w:val="005E3DC6"/>
    <w:rsid w:val="005E582F"/>
    <w:rsid w:val="005E6043"/>
    <w:rsid w:val="005F1505"/>
    <w:rsid w:val="00602CDE"/>
    <w:rsid w:val="006037CD"/>
    <w:rsid w:val="0060505E"/>
    <w:rsid w:val="00610530"/>
    <w:rsid w:val="00617E7E"/>
    <w:rsid w:val="006263B1"/>
    <w:rsid w:val="00633DF9"/>
    <w:rsid w:val="006357B7"/>
    <w:rsid w:val="00636E1A"/>
    <w:rsid w:val="0064093B"/>
    <w:rsid w:val="006436C3"/>
    <w:rsid w:val="006460E4"/>
    <w:rsid w:val="00673F9D"/>
    <w:rsid w:val="00694535"/>
    <w:rsid w:val="00695F27"/>
    <w:rsid w:val="006B0C74"/>
    <w:rsid w:val="006B1A84"/>
    <w:rsid w:val="006B2690"/>
    <w:rsid w:val="006C0C6D"/>
    <w:rsid w:val="006C40B0"/>
    <w:rsid w:val="006D4E8F"/>
    <w:rsid w:val="006E28B5"/>
    <w:rsid w:val="006F3F8F"/>
    <w:rsid w:val="006F7BB3"/>
    <w:rsid w:val="007038D6"/>
    <w:rsid w:val="00716C6D"/>
    <w:rsid w:val="00732199"/>
    <w:rsid w:val="00744FC6"/>
    <w:rsid w:val="00750A3B"/>
    <w:rsid w:val="00755D50"/>
    <w:rsid w:val="007569EB"/>
    <w:rsid w:val="007606D7"/>
    <w:rsid w:val="00760AFD"/>
    <w:rsid w:val="00761C4C"/>
    <w:rsid w:val="00767940"/>
    <w:rsid w:val="0078653C"/>
    <w:rsid w:val="007A78BD"/>
    <w:rsid w:val="007B384A"/>
    <w:rsid w:val="007D1702"/>
    <w:rsid w:val="007D554B"/>
    <w:rsid w:val="007E6AD1"/>
    <w:rsid w:val="008034BD"/>
    <w:rsid w:val="00807ABB"/>
    <w:rsid w:val="0081219D"/>
    <w:rsid w:val="00825A8B"/>
    <w:rsid w:val="00865EF2"/>
    <w:rsid w:val="0087331F"/>
    <w:rsid w:val="00875692"/>
    <w:rsid w:val="008902C0"/>
    <w:rsid w:val="008E1D1A"/>
    <w:rsid w:val="008E4643"/>
    <w:rsid w:val="008E50F0"/>
    <w:rsid w:val="008E5BD4"/>
    <w:rsid w:val="008E6932"/>
    <w:rsid w:val="008F2666"/>
    <w:rsid w:val="009130B2"/>
    <w:rsid w:val="00913D24"/>
    <w:rsid w:val="00914F8A"/>
    <w:rsid w:val="0092176A"/>
    <w:rsid w:val="009242C4"/>
    <w:rsid w:val="00932EB1"/>
    <w:rsid w:val="00933644"/>
    <w:rsid w:val="00934D05"/>
    <w:rsid w:val="0093585B"/>
    <w:rsid w:val="00942A40"/>
    <w:rsid w:val="00946BBE"/>
    <w:rsid w:val="00952788"/>
    <w:rsid w:val="00960B90"/>
    <w:rsid w:val="009725D2"/>
    <w:rsid w:val="00995CEB"/>
    <w:rsid w:val="009C1407"/>
    <w:rsid w:val="009D682A"/>
    <w:rsid w:val="00A02892"/>
    <w:rsid w:val="00A1005D"/>
    <w:rsid w:val="00A1233C"/>
    <w:rsid w:val="00A13190"/>
    <w:rsid w:val="00A239DA"/>
    <w:rsid w:val="00A24193"/>
    <w:rsid w:val="00A2612F"/>
    <w:rsid w:val="00A40D16"/>
    <w:rsid w:val="00A515B5"/>
    <w:rsid w:val="00A52EBF"/>
    <w:rsid w:val="00A53853"/>
    <w:rsid w:val="00A6538C"/>
    <w:rsid w:val="00A734DB"/>
    <w:rsid w:val="00A73E6F"/>
    <w:rsid w:val="00AA038C"/>
    <w:rsid w:val="00AB0CAF"/>
    <w:rsid w:val="00AB5EA0"/>
    <w:rsid w:val="00AC7BD1"/>
    <w:rsid w:val="00AF2D32"/>
    <w:rsid w:val="00B07179"/>
    <w:rsid w:val="00B24317"/>
    <w:rsid w:val="00B4367D"/>
    <w:rsid w:val="00B5218C"/>
    <w:rsid w:val="00B56D9B"/>
    <w:rsid w:val="00B72CA9"/>
    <w:rsid w:val="00B9308B"/>
    <w:rsid w:val="00BA6692"/>
    <w:rsid w:val="00BB3887"/>
    <w:rsid w:val="00BC3A41"/>
    <w:rsid w:val="00BC63B4"/>
    <w:rsid w:val="00BD7F61"/>
    <w:rsid w:val="00BE73AE"/>
    <w:rsid w:val="00BF4A76"/>
    <w:rsid w:val="00C045BF"/>
    <w:rsid w:val="00C0505A"/>
    <w:rsid w:val="00C07FA1"/>
    <w:rsid w:val="00C1033F"/>
    <w:rsid w:val="00C176CC"/>
    <w:rsid w:val="00C252BE"/>
    <w:rsid w:val="00C25564"/>
    <w:rsid w:val="00C347F0"/>
    <w:rsid w:val="00C44110"/>
    <w:rsid w:val="00C51441"/>
    <w:rsid w:val="00C54992"/>
    <w:rsid w:val="00C7579E"/>
    <w:rsid w:val="00C82D05"/>
    <w:rsid w:val="00C871D1"/>
    <w:rsid w:val="00C8740E"/>
    <w:rsid w:val="00C97794"/>
    <w:rsid w:val="00CA4B9B"/>
    <w:rsid w:val="00CF5CA3"/>
    <w:rsid w:val="00D00B40"/>
    <w:rsid w:val="00D171EB"/>
    <w:rsid w:val="00D26F06"/>
    <w:rsid w:val="00D4309B"/>
    <w:rsid w:val="00D61AC2"/>
    <w:rsid w:val="00D64F17"/>
    <w:rsid w:val="00D6600E"/>
    <w:rsid w:val="00DB05AC"/>
    <w:rsid w:val="00DC103F"/>
    <w:rsid w:val="00DC73CF"/>
    <w:rsid w:val="00DD1681"/>
    <w:rsid w:val="00DD1D5F"/>
    <w:rsid w:val="00DF0720"/>
    <w:rsid w:val="00E11F90"/>
    <w:rsid w:val="00E122E0"/>
    <w:rsid w:val="00E1340E"/>
    <w:rsid w:val="00E1672D"/>
    <w:rsid w:val="00E34F41"/>
    <w:rsid w:val="00E36E8D"/>
    <w:rsid w:val="00E40546"/>
    <w:rsid w:val="00E42E77"/>
    <w:rsid w:val="00E43AB2"/>
    <w:rsid w:val="00E547B7"/>
    <w:rsid w:val="00E55728"/>
    <w:rsid w:val="00E65142"/>
    <w:rsid w:val="00E75979"/>
    <w:rsid w:val="00E83436"/>
    <w:rsid w:val="00E94D08"/>
    <w:rsid w:val="00EA0F6A"/>
    <w:rsid w:val="00EB45F0"/>
    <w:rsid w:val="00EC103B"/>
    <w:rsid w:val="00EC17C1"/>
    <w:rsid w:val="00ED0D40"/>
    <w:rsid w:val="00EE4202"/>
    <w:rsid w:val="00EE5BA5"/>
    <w:rsid w:val="00EF4736"/>
    <w:rsid w:val="00F130E5"/>
    <w:rsid w:val="00F249F4"/>
    <w:rsid w:val="00F264EE"/>
    <w:rsid w:val="00F31CDE"/>
    <w:rsid w:val="00F421D0"/>
    <w:rsid w:val="00F45BAD"/>
    <w:rsid w:val="00F5336A"/>
    <w:rsid w:val="00F552AB"/>
    <w:rsid w:val="00F63C2B"/>
    <w:rsid w:val="00F6523F"/>
    <w:rsid w:val="00F6768F"/>
    <w:rsid w:val="00F7059A"/>
    <w:rsid w:val="00F8356B"/>
    <w:rsid w:val="00F8682E"/>
    <w:rsid w:val="00F871E9"/>
    <w:rsid w:val="00F903FB"/>
    <w:rsid w:val="00F9354D"/>
    <w:rsid w:val="00FC08D2"/>
    <w:rsid w:val="00FC2AF3"/>
    <w:rsid w:val="00FC349A"/>
    <w:rsid w:val="00FD15F5"/>
    <w:rsid w:val="00FD22F6"/>
    <w:rsid w:val="00FD4B33"/>
    <w:rsid w:val="00FD7108"/>
    <w:rsid w:val="00FE4EB3"/>
    <w:rsid w:val="00FF6CA5"/>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E2CEFD4"/>
  <w15:chartTrackingRefBased/>
  <w15:docId w15:val="{A62E504D-A577-7C49-A538-5B0A5C80D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4"/>
        <w:lang w:val="de-DE"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Standard">
    <w:name w:val="Normal"/>
    <w:qFormat/>
    <w:rsid w:val="00695F27"/>
    <w:pPr>
      <w:spacing w:line="360" w:lineRule="auto"/>
      <w:contextualSpacing/>
      <w:jc w:val="both"/>
    </w:pPr>
  </w:style>
  <w:style w:type="paragraph" w:styleId="berschrift1">
    <w:name w:val="heading 1"/>
    <w:basedOn w:val="Standard"/>
    <w:next w:val="Standard"/>
    <w:link w:val="berschrift1Zchn"/>
    <w:uiPriority w:val="9"/>
    <w:qFormat/>
    <w:rsid w:val="00A52EB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berschrift3">
    <w:name w:val="heading 3"/>
    <w:basedOn w:val="Standard"/>
    <w:link w:val="berschrift3Zchn"/>
    <w:qFormat/>
    <w:rsid w:val="002E4602"/>
    <w:pPr>
      <w:keepNext/>
      <w:spacing w:line="240" w:lineRule="auto"/>
      <w:ind w:left="720"/>
      <w:contextualSpacing w:val="0"/>
      <w:outlineLvl w:val="2"/>
    </w:pPr>
    <w:rPr>
      <w:rFonts w:ascii="Tahoma" w:eastAsia="SimSun" w:hAnsi="Tahoma" w:cs="Tahoma"/>
      <w:b/>
      <w:bCs/>
      <w:sz w:val="20"/>
      <w:szCs w:val="20"/>
      <w:lang w:val="en-GB" w:eastAsia="zh-CN"/>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customStyle="1" w:styleId="AbbildungUni">
    <w:name w:val="Abbildung Uni"/>
    <w:next w:val="Standard"/>
    <w:qFormat/>
    <w:rsid w:val="003D2CD7"/>
    <w:rPr>
      <w:bCs/>
      <w:color w:val="000000" w:themeColor="text1"/>
      <w:sz w:val="20"/>
      <w:szCs w:val="18"/>
    </w:rPr>
  </w:style>
  <w:style w:type="paragraph" w:styleId="Beschriftung">
    <w:name w:val="caption"/>
    <w:basedOn w:val="Standard"/>
    <w:next w:val="Standard"/>
    <w:uiPriority w:val="35"/>
    <w:semiHidden/>
    <w:unhideWhenUsed/>
    <w:qFormat/>
    <w:rsid w:val="006436C3"/>
    <w:pPr>
      <w:spacing w:after="200"/>
    </w:pPr>
    <w:rPr>
      <w:i/>
      <w:iCs/>
      <w:color w:val="44546A" w:themeColor="text2"/>
      <w:sz w:val="18"/>
      <w:szCs w:val="18"/>
    </w:rPr>
  </w:style>
  <w:style w:type="paragraph" w:customStyle="1" w:styleId="TabelleUni">
    <w:name w:val="Tabelle Uni"/>
    <w:basedOn w:val="Standard"/>
    <w:next w:val="Standard"/>
    <w:qFormat/>
    <w:rsid w:val="003D2CD7"/>
    <w:pPr>
      <w:spacing w:after="200" w:line="240" w:lineRule="auto"/>
      <w:jc w:val="left"/>
    </w:pPr>
    <w:rPr>
      <w:bCs/>
      <w:color w:val="000000" w:themeColor="text1"/>
      <w:sz w:val="20"/>
      <w:szCs w:val="18"/>
    </w:rPr>
  </w:style>
  <w:style w:type="paragraph" w:styleId="Verzeichnis1">
    <w:name w:val="toc 1"/>
    <w:basedOn w:val="Standard"/>
    <w:next w:val="Standard"/>
    <w:uiPriority w:val="39"/>
    <w:unhideWhenUsed/>
    <w:qFormat/>
    <w:rsid w:val="00636E1A"/>
    <w:pPr>
      <w:spacing w:after="100"/>
    </w:pPr>
    <w:rPr>
      <w:color w:val="000000" w:themeColor="text1"/>
      <w:sz w:val="28"/>
      <w:szCs w:val="22"/>
    </w:rPr>
  </w:style>
  <w:style w:type="paragraph" w:customStyle="1" w:styleId="Ebene1Uni">
    <w:name w:val="Ebene 1_Uni"/>
    <w:basedOn w:val="Standard"/>
    <w:next w:val="Standard"/>
    <w:qFormat/>
    <w:rsid w:val="003D2CD7"/>
    <w:pPr>
      <w:numPr>
        <w:numId w:val="26"/>
      </w:numPr>
      <w:outlineLvl w:val="0"/>
    </w:pPr>
    <w:rPr>
      <w:b/>
      <w:sz w:val="28"/>
      <w:lang w:val="de-AT"/>
    </w:rPr>
  </w:style>
  <w:style w:type="paragraph" w:customStyle="1" w:styleId="Ebene2Uni">
    <w:name w:val="Ebene 2_Uni"/>
    <w:basedOn w:val="Standard"/>
    <w:next w:val="Standard"/>
    <w:qFormat/>
    <w:rsid w:val="003D2CD7"/>
    <w:pPr>
      <w:numPr>
        <w:ilvl w:val="1"/>
        <w:numId w:val="26"/>
      </w:numPr>
      <w:tabs>
        <w:tab w:val="left" w:pos="737"/>
      </w:tabs>
      <w:outlineLvl w:val="1"/>
    </w:pPr>
    <w:rPr>
      <w:b/>
      <w:lang w:val="de-AT"/>
    </w:rPr>
  </w:style>
  <w:style w:type="paragraph" w:customStyle="1" w:styleId="Ebene3Uni">
    <w:name w:val="Ebene 3_Uni"/>
    <w:basedOn w:val="Standard"/>
    <w:next w:val="Standard"/>
    <w:qFormat/>
    <w:rsid w:val="003D2CD7"/>
    <w:pPr>
      <w:numPr>
        <w:ilvl w:val="2"/>
        <w:numId w:val="26"/>
      </w:numPr>
      <w:tabs>
        <w:tab w:val="left" w:pos="907"/>
      </w:tabs>
      <w:outlineLvl w:val="2"/>
    </w:pPr>
    <w:rPr>
      <w:b/>
      <w:lang w:val="de-AT"/>
    </w:rPr>
  </w:style>
  <w:style w:type="paragraph" w:customStyle="1" w:styleId="Ebene4Uni">
    <w:name w:val="Ebene 4_Uni"/>
    <w:basedOn w:val="Standard"/>
    <w:next w:val="Standard"/>
    <w:qFormat/>
    <w:rsid w:val="003D2CD7"/>
    <w:pPr>
      <w:numPr>
        <w:ilvl w:val="3"/>
        <w:numId w:val="26"/>
      </w:numPr>
      <w:tabs>
        <w:tab w:val="left" w:pos="1077"/>
      </w:tabs>
      <w:outlineLvl w:val="3"/>
    </w:pPr>
    <w:rPr>
      <w:b/>
      <w:lang w:val="de-AT"/>
    </w:rPr>
  </w:style>
  <w:style w:type="paragraph" w:customStyle="1" w:styleId="EbeneleerUni">
    <w:name w:val="Ebene leer_Uni"/>
    <w:basedOn w:val="Standard"/>
    <w:next w:val="Standard"/>
    <w:qFormat/>
    <w:rsid w:val="00636E1A"/>
    <w:pPr>
      <w:numPr>
        <w:numId w:val="27"/>
      </w:numPr>
      <w:tabs>
        <w:tab w:val="left" w:pos="567"/>
      </w:tabs>
      <w:jc w:val="left"/>
      <w:outlineLvl w:val="0"/>
    </w:pPr>
    <w:rPr>
      <w:b/>
      <w:sz w:val="28"/>
      <w:lang w:val="de-AT"/>
    </w:rPr>
  </w:style>
  <w:style w:type="paragraph" w:styleId="Listenabsatz">
    <w:name w:val="List Paragraph"/>
    <w:basedOn w:val="Standard"/>
    <w:uiPriority w:val="34"/>
    <w:qFormat/>
    <w:rsid w:val="00995CEB"/>
    <w:pPr>
      <w:ind w:left="720"/>
    </w:pPr>
  </w:style>
  <w:style w:type="paragraph" w:styleId="Funotentext">
    <w:name w:val="footnote text"/>
    <w:basedOn w:val="Standard"/>
    <w:link w:val="FunotentextZchn"/>
    <w:uiPriority w:val="99"/>
    <w:semiHidden/>
    <w:unhideWhenUsed/>
    <w:rsid w:val="00BA6692"/>
    <w:pPr>
      <w:spacing w:line="240" w:lineRule="auto"/>
    </w:pPr>
    <w:rPr>
      <w:sz w:val="20"/>
      <w:szCs w:val="20"/>
    </w:rPr>
  </w:style>
  <w:style w:type="character" w:customStyle="1" w:styleId="FunotentextZchn">
    <w:name w:val="Fußnotentext Zchn"/>
    <w:basedOn w:val="Absatz-Standardschriftart"/>
    <w:link w:val="Funotentext"/>
    <w:uiPriority w:val="99"/>
    <w:semiHidden/>
    <w:rsid w:val="00BA6692"/>
    <w:rPr>
      <w:sz w:val="20"/>
      <w:szCs w:val="20"/>
    </w:rPr>
  </w:style>
  <w:style w:type="character" w:styleId="Funotenzeichen">
    <w:name w:val="footnote reference"/>
    <w:basedOn w:val="Absatz-Standardschriftart"/>
    <w:uiPriority w:val="99"/>
    <w:semiHidden/>
    <w:unhideWhenUsed/>
    <w:rsid w:val="00BA6692"/>
    <w:rPr>
      <w:vertAlign w:val="superscript"/>
    </w:rPr>
  </w:style>
  <w:style w:type="paragraph" w:styleId="Fuzeile">
    <w:name w:val="footer"/>
    <w:basedOn w:val="Standard"/>
    <w:link w:val="FuzeileZchn"/>
    <w:uiPriority w:val="99"/>
    <w:unhideWhenUsed/>
    <w:rsid w:val="00EE5BA5"/>
    <w:pPr>
      <w:tabs>
        <w:tab w:val="center" w:pos="4536"/>
        <w:tab w:val="right" w:pos="9072"/>
      </w:tabs>
      <w:spacing w:line="240" w:lineRule="auto"/>
    </w:pPr>
  </w:style>
  <w:style w:type="character" w:customStyle="1" w:styleId="FuzeileZchn">
    <w:name w:val="Fußzeile Zchn"/>
    <w:basedOn w:val="Absatz-Standardschriftart"/>
    <w:link w:val="Fuzeile"/>
    <w:uiPriority w:val="99"/>
    <w:rsid w:val="00EE5BA5"/>
  </w:style>
  <w:style w:type="character" w:styleId="Seitenzahl">
    <w:name w:val="page number"/>
    <w:basedOn w:val="Absatz-Standardschriftart"/>
    <w:uiPriority w:val="99"/>
    <w:semiHidden/>
    <w:unhideWhenUsed/>
    <w:rsid w:val="00EE5BA5"/>
  </w:style>
  <w:style w:type="paragraph" w:styleId="Kopfzeile">
    <w:name w:val="header"/>
    <w:basedOn w:val="Standard"/>
    <w:link w:val="KopfzeileZchn"/>
    <w:uiPriority w:val="99"/>
    <w:unhideWhenUsed/>
    <w:rsid w:val="00EE5BA5"/>
    <w:pPr>
      <w:tabs>
        <w:tab w:val="center" w:pos="4536"/>
        <w:tab w:val="right" w:pos="9072"/>
      </w:tabs>
      <w:spacing w:line="240" w:lineRule="auto"/>
    </w:pPr>
  </w:style>
  <w:style w:type="character" w:customStyle="1" w:styleId="KopfzeileZchn">
    <w:name w:val="Kopfzeile Zchn"/>
    <w:basedOn w:val="Absatz-Standardschriftart"/>
    <w:link w:val="Kopfzeile"/>
    <w:uiPriority w:val="99"/>
    <w:rsid w:val="00EE5BA5"/>
  </w:style>
  <w:style w:type="character" w:customStyle="1" w:styleId="berschrift3Zchn">
    <w:name w:val="Überschrift 3 Zchn"/>
    <w:basedOn w:val="Absatz-Standardschriftart"/>
    <w:link w:val="berschrift3"/>
    <w:rsid w:val="002E4602"/>
    <w:rPr>
      <w:rFonts w:ascii="Tahoma" w:eastAsia="SimSun" w:hAnsi="Tahoma" w:cs="Tahoma"/>
      <w:b/>
      <w:bCs/>
      <w:sz w:val="20"/>
      <w:szCs w:val="20"/>
      <w:lang w:val="en-GB" w:eastAsia="zh-CN"/>
    </w:rPr>
  </w:style>
  <w:style w:type="paragraph" w:styleId="StandardWeb">
    <w:name w:val="Normal (Web)"/>
    <w:basedOn w:val="Standard"/>
    <w:uiPriority w:val="99"/>
    <w:rsid w:val="002E4602"/>
    <w:pPr>
      <w:spacing w:before="100" w:beforeAutospacing="1" w:after="100" w:afterAutospacing="1" w:line="240" w:lineRule="auto"/>
      <w:contextualSpacing w:val="0"/>
      <w:jc w:val="left"/>
    </w:pPr>
    <w:rPr>
      <w:rFonts w:ascii="Georgia" w:eastAsia="SimSun" w:hAnsi="Georgia" w:cs="Times New Roman"/>
      <w:color w:val="000000"/>
      <w:sz w:val="21"/>
      <w:szCs w:val="21"/>
      <w:lang w:val="en-GB" w:eastAsia="zh-CN"/>
    </w:rPr>
  </w:style>
  <w:style w:type="character" w:styleId="Platzhaltertext">
    <w:name w:val="Placeholder Text"/>
    <w:basedOn w:val="Absatz-Standardschriftart"/>
    <w:uiPriority w:val="99"/>
    <w:semiHidden/>
    <w:rsid w:val="00A40D16"/>
    <w:rPr>
      <w:color w:val="808080"/>
    </w:rPr>
  </w:style>
  <w:style w:type="character" w:styleId="Hyperlink">
    <w:name w:val="Hyperlink"/>
    <w:basedOn w:val="Absatz-Standardschriftart"/>
    <w:uiPriority w:val="99"/>
    <w:unhideWhenUsed/>
    <w:rsid w:val="00A40D16"/>
    <w:rPr>
      <w:color w:val="0000FF"/>
      <w:u w:val="single"/>
    </w:rPr>
  </w:style>
  <w:style w:type="character" w:styleId="NichtaufgelsteErwhnung">
    <w:name w:val="Unresolved Mention"/>
    <w:basedOn w:val="Absatz-Standardschriftart"/>
    <w:uiPriority w:val="99"/>
    <w:rsid w:val="00E65142"/>
    <w:rPr>
      <w:color w:val="605E5C"/>
      <w:shd w:val="clear" w:color="auto" w:fill="E1DFDD"/>
    </w:rPr>
  </w:style>
  <w:style w:type="character" w:customStyle="1" w:styleId="berschrift1Zchn">
    <w:name w:val="Überschrift 1 Zchn"/>
    <w:basedOn w:val="Absatz-Standardschriftart"/>
    <w:link w:val="berschrift1"/>
    <w:uiPriority w:val="9"/>
    <w:rsid w:val="00A52EBF"/>
    <w:rPr>
      <w:rFonts w:asciiTheme="majorHAnsi" w:eastAsiaTheme="majorEastAsia" w:hAnsiTheme="majorHAnsi" w:cstheme="majorBidi"/>
      <w:color w:val="2F5496" w:themeColor="accent1" w:themeShade="BF"/>
      <w:sz w:val="32"/>
      <w:szCs w:val="32"/>
    </w:rPr>
  </w:style>
  <w:style w:type="character" w:styleId="BesuchterLink">
    <w:name w:val="FollowedHyperlink"/>
    <w:basedOn w:val="Absatz-Standardschriftart"/>
    <w:uiPriority w:val="99"/>
    <w:semiHidden/>
    <w:unhideWhenUsed/>
    <w:rsid w:val="002076A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409892">
      <w:bodyDiv w:val="1"/>
      <w:marLeft w:val="0"/>
      <w:marRight w:val="0"/>
      <w:marTop w:val="0"/>
      <w:marBottom w:val="0"/>
      <w:divBdr>
        <w:top w:val="none" w:sz="0" w:space="0" w:color="auto"/>
        <w:left w:val="none" w:sz="0" w:space="0" w:color="auto"/>
        <w:bottom w:val="none" w:sz="0" w:space="0" w:color="auto"/>
        <w:right w:val="none" w:sz="0" w:space="0" w:color="auto"/>
      </w:divBdr>
      <w:divsChild>
        <w:div w:id="609551320">
          <w:marLeft w:val="0"/>
          <w:marRight w:val="0"/>
          <w:marTop w:val="0"/>
          <w:marBottom w:val="0"/>
          <w:divBdr>
            <w:top w:val="none" w:sz="0" w:space="0" w:color="auto"/>
            <w:left w:val="none" w:sz="0" w:space="0" w:color="auto"/>
            <w:bottom w:val="none" w:sz="0" w:space="0" w:color="auto"/>
            <w:right w:val="none" w:sz="0" w:space="0" w:color="auto"/>
          </w:divBdr>
          <w:divsChild>
            <w:div w:id="395595325">
              <w:marLeft w:val="0"/>
              <w:marRight w:val="0"/>
              <w:marTop w:val="0"/>
              <w:marBottom w:val="0"/>
              <w:divBdr>
                <w:top w:val="none" w:sz="0" w:space="0" w:color="auto"/>
                <w:left w:val="none" w:sz="0" w:space="0" w:color="auto"/>
                <w:bottom w:val="none" w:sz="0" w:space="0" w:color="auto"/>
                <w:right w:val="none" w:sz="0" w:space="0" w:color="auto"/>
              </w:divBdr>
              <w:divsChild>
                <w:div w:id="1285622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2863449">
      <w:bodyDiv w:val="1"/>
      <w:marLeft w:val="0"/>
      <w:marRight w:val="0"/>
      <w:marTop w:val="0"/>
      <w:marBottom w:val="0"/>
      <w:divBdr>
        <w:top w:val="none" w:sz="0" w:space="0" w:color="auto"/>
        <w:left w:val="none" w:sz="0" w:space="0" w:color="auto"/>
        <w:bottom w:val="none" w:sz="0" w:space="0" w:color="auto"/>
        <w:right w:val="none" w:sz="0" w:space="0" w:color="auto"/>
      </w:divBdr>
    </w:div>
    <w:div w:id="321278115">
      <w:bodyDiv w:val="1"/>
      <w:marLeft w:val="0"/>
      <w:marRight w:val="0"/>
      <w:marTop w:val="0"/>
      <w:marBottom w:val="0"/>
      <w:divBdr>
        <w:top w:val="none" w:sz="0" w:space="0" w:color="auto"/>
        <w:left w:val="none" w:sz="0" w:space="0" w:color="auto"/>
        <w:bottom w:val="none" w:sz="0" w:space="0" w:color="auto"/>
        <w:right w:val="none" w:sz="0" w:space="0" w:color="auto"/>
      </w:divBdr>
    </w:div>
    <w:div w:id="325783985">
      <w:bodyDiv w:val="1"/>
      <w:marLeft w:val="0"/>
      <w:marRight w:val="0"/>
      <w:marTop w:val="0"/>
      <w:marBottom w:val="0"/>
      <w:divBdr>
        <w:top w:val="none" w:sz="0" w:space="0" w:color="auto"/>
        <w:left w:val="none" w:sz="0" w:space="0" w:color="auto"/>
        <w:bottom w:val="none" w:sz="0" w:space="0" w:color="auto"/>
        <w:right w:val="none" w:sz="0" w:space="0" w:color="auto"/>
      </w:divBdr>
    </w:div>
    <w:div w:id="626395558">
      <w:bodyDiv w:val="1"/>
      <w:marLeft w:val="0"/>
      <w:marRight w:val="0"/>
      <w:marTop w:val="0"/>
      <w:marBottom w:val="0"/>
      <w:divBdr>
        <w:top w:val="none" w:sz="0" w:space="0" w:color="auto"/>
        <w:left w:val="none" w:sz="0" w:space="0" w:color="auto"/>
        <w:bottom w:val="none" w:sz="0" w:space="0" w:color="auto"/>
        <w:right w:val="none" w:sz="0" w:space="0" w:color="auto"/>
      </w:divBdr>
    </w:div>
    <w:div w:id="696855053">
      <w:bodyDiv w:val="1"/>
      <w:marLeft w:val="0"/>
      <w:marRight w:val="0"/>
      <w:marTop w:val="0"/>
      <w:marBottom w:val="0"/>
      <w:divBdr>
        <w:top w:val="none" w:sz="0" w:space="0" w:color="auto"/>
        <w:left w:val="none" w:sz="0" w:space="0" w:color="auto"/>
        <w:bottom w:val="none" w:sz="0" w:space="0" w:color="auto"/>
        <w:right w:val="none" w:sz="0" w:space="0" w:color="auto"/>
      </w:divBdr>
    </w:div>
    <w:div w:id="809060786">
      <w:bodyDiv w:val="1"/>
      <w:marLeft w:val="0"/>
      <w:marRight w:val="0"/>
      <w:marTop w:val="0"/>
      <w:marBottom w:val="0"/>
      <w:divBdr>
        <w:top w:val="none" w:sz="0" w:space="0" w:color="auto"/>
        <w:left w:val="none" w:sz="0" w:space="0" w:color="auto"/>
        <w:bottom w:val="none" w:sz="0" w:space="0" w:color="auto"/>
        <w:right w:val="none" w:sz="0" w:space="0" w:color="auto"/>
      </w:divBdr>
      <w:divsChild>
        <w:div w:id="1601719820">
          <w:marLeft w:val="0"/>
          <w:marRight w:val="0"/>
          <w:marTop w:val="0"/>
          <w:marBottom w:val="0"/>
          <w:divBdr>
            <w:top w:val="none" w:sz="0" w:space="0" w:color="auto"/>
            <w:left w:val="none" w:sz="0" w:space="0" w:color="auto"/>
            <w:bottom w:val="none" w:sz="0" w:space="0" w:color="auto"/>
            <w:right w:val="none" w:sz="0" w:space="0" w:color="auto"/>
          </w:divBdr>
          <w:divsChild>
            <w:div w:id="1239287771">
              <w:marLeft w:val="0"/>
              <w:marRight w:val="0"/>
              <w:marTop w:val="0"/>
              <w:marBottom w:val="0"/>
              <w:divBdr>
                <w:top w:val="none" w:sz="0" w:space="0" w:color="auto"/>
                <w:left w:val="none" w:sz="0" w:space="0" w:color="auto"/>
                <w:bottom w:val="none" w:sz="0" w:space="0" w:color="auto"/>
                <w:right w:val="none" w:sz="0" w:space="0" w:color="auto"/>
              </w:divBdr>
              <w:divsChild>
                <w:div w:id="2073694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610246">
      <w:bodyDiv w:val="1"/>
      <w:marLeft w:val="0"/>
      <w:marRight w:val="0"/>
      <w:marTop w:val="0"/>
      <w:marBottom w:val="0"/>
      <w:divBdr>
        <w:top w:val="none" w:sz="0" w:space="0" w:color="auto"/>
        <w:left w:val="none" w:sz="0" w:space="0" w:color="auto"/>
        <w:bottom w:val="none" w:sz="0" w:space="0" w:color="auto"/>
        <w:right w:val="none" w:sz="0" w:space="0" w:color="auto"/>
      </w:divBdr>
    </w:div>
    <w:div w:id="945576877">
      <w:bodyDiv w:val="1"/>
      <w:marLeft w:val="0"/>
      <w:marRight w:val="0"/>
      <w:marTop w:val="0"/>
      <w:marBottom w:val="0"/>
      <w:divBdr>
        <w:top w:val="none" w:sz="0" w:space="0" w:color="auto"/>
        <w:left w:val="none" w:sz="0" w:space="0" w:color="auto"/>
        <w:bottom w:val="none" w:sz="0" w:space="0" w:color="auto"/>
        <w:right w:val="none" w:sz="0" w:space="0" w:color="auto"/>
      </w:divBdr>
    </w:div>
    <w:div w:id="964116102">
      <w:bodyDiv w:val="1"/>
      <w:marLeft w:val="0"/>
      <w:marRight w:val="0"/>
      <w:marTop w:val="0"/>
      <w:marBottom w:val="0"/>
      <w:divBdr>
        <w:top w:val="none" w:sz="0" w:space="0" w:color="auto"/>
        <w:left w:val="none" w:sz="0" w:space="0" w:color="auto"/>
        <w:bottom w:val="none" w:sz="0" w:space="0" w:color="auto"/>
        <w:right w:val="none" w:sz="0" w:space="0" w:color="auto"/>
      </w:divBdr>
      <w:divsChild>
        <w:div w:id="1499661107">
          <w:marLeft w:val="0"/>
          <w:marRight w:val="0"/>
          <w:marTop w:val="0"/>
          <w:marBottom w:val="0"/>
          <w:divBdr>
            <w:top w:val="none" w:sz="0" w:space="0" w:color="auto"/>
            <w:left w:val="none" w:sz="0" w:space="0" w:color="auto"/>
            <w:bottom w:val="none" w:sz="0" w:space="0" w:color="auto"/>
            <w:right w:val="none" w:sz="0" w:space="0" w:color="auto"/>
          </w:divBdr>
          <w:divsChild>
            <w:div w:id="153111690">
              <w:marLeft w:val="0"/>
              <w:marRight w:val="0"/>
              <w:marTop w:val="0"/>
              <w:marBottom w:val="0"/>
              <w:divBdr>
                <w:top w:val="none" w:sz="0" w:space="0" w:color="auto"/>
                <w:left w:val="none" w:sz="0" w:space="0" w:color="auto"/>
                <w:bottom w:val="none" w:sz="0" w:space="0" w:color="auto"/>
                <w:right w:val="none" w:sz="0" w:space="0" w:color="auto"/>
              </w:divBdr>
              <w:divsChild>
                <w:div w:id="829518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0375760">
      <w:bodyDiv w:val="1"/>
      <w:marLeft w:val="0"/>
      <w:marRight w:val="0"/>
      <w:marTop w:val="0"/>
      <w:marBottom w:val="0"/>
      <w:divBdr>
        <w:top w:val="none" w:sz="0" w:space="0" w:color="auto"/>
        <w:left w:val="none" w:sz="0" w:space="0" w:color="auto"/>
        <w:bottom w:val="none" w:sz="0" w:space="0" w:color="auto"/>
        <w:right w:val="none" w:sz="0" w:space="0" w:color="auto"/>
      </w:divBdr>
    </w:div>
    <w:div w:id="1163281838">
      <w:bodyDiv w:val="1"/>
      <w:marLeft w:val="0"/>
      <w:marRight w:val="0"/>
      <w:marTop w:val="0"/>
      <w:marBottom w:val="0"/>
      <w:divBdr>
        <w:top w:val="none" w:sz="0" w:space="0" w:color="auto"/>
        <w:left w:val="none" w:sz="0" w:space="0" w:color="auto"/>
        <w:bottom w:val="none" w:sz="0" w:space="0" w:color="auto"/>
        <w:right w:val="none" w:sz="0" w:space="0" w:color="auto"/>
      </w:divBdr>
    </w:div>
    <w:div w:id="1191457760">
      <w:bodyDiv w:val="1"/>
      <w:marLeft w:val="0"/>
      <w:marRight w:val="0"/>
      <w:marTop w:val="0"/>
      <w:marBottom w:val="0"/>
      <w:divBdr>
        <w:top w:val="none" w:sz="0" w:space="0" w:color="auto"/>
        <w:left w:val="none" w:sz="0" w:space="0" w:color="auto"/>
        <w:bottom w:val="none" w:sz="0" w:space="0" w:color="auto"/>
        <w:right w:val="none" w:sz="0" w:space="0" w:color="auto"/>
      </w:divBdr>
    </w:div>
    <w:div w:id="1220441432">
      <w:bodyDiv w:val="1"/>
      <w:marLeft w:val="0"/>
      <w:marRight w:val="0"/>
      <w:marTop w:val="0"/>
      <w:marBottom w:val="0"/>
      <w:divBdr>
        <w:top w:val="none" w:sz="0" w:space="0" w:color="auto"/>
        <w:left w:val="none" w:sz="0" w:space="0" w:color="auto"/>
        <w:bottom w:val="none" w:sz="0" w:space="0" w:color="auto"/>
        <w:right w:val="none" w:sz="0" w:space="0" w:color="auto"/>
      </w:divBdr>
    </w:div>
    <w:div w:id="1239944432">
      <w:bodyDiv w:val="1"/>
      <w:marLeft w:val="0"/>
      <w:marRight w:val="0"/>
      <w:marTop w:val="0"/>
      <w:marBottom w:val="0"/>
      <w:divBdr>
        <w:top w:val="none" w:sz="0" w:space="0" w:color="auto"/>
        <w:left w:val="none" w:sz="0" w:space="0" w:color="auto"/>
        <w:bottom w:val="none" w:sz="0" w:space="0" w:color="auto"/>
        <w:right w:val="none" w:sz="0" w:space="0" w:color="auto"/>
      </w:divBdr>
      <w:divsChild>
        <w:div w:id="984508088">
          <w:marLeft w:val="0"/>
          <w:marRight w:val="0"/>
          <w:marTop w:val="0"/>
          <w:marBottom w:val="0"/>
          <w:divBdr>
            <w:top w:val="none" w:sz="0" w:space="0" w:color="auto"/>
            <w:left w:val="none" w:sz="0" w:space="0" w:color="auto"/>
            <w:bottom w:val="none" w:sz="0" w:space="0" w:color="auto"/>
            <w:right w:val="none" w:sz="0" w:space="0" w:color="auto"/>
          </w:divBdr>
          <w:divsChild>
            <w:div w:id="1035349243">
              <w:marLeft w:val="0"/>
              <w:marRight w:val="0"/>
              <w:marTop w:val="0"/>
              <w:marBottom w:val="0"/>
              <w:divBdr>
                <w:top w:val="none" w:sz="0" w:space="0" w:color="auto"/>
                <w:left w:val="none" w:sz="0" w:space="0" w:color="auto"/>
                <w:bottom w:val="none" w:sz="0" w:space="0" w:color="auto"/>
                <w:right w:val="none" w:sz="0" w:space="0" w:color="auto"/>
              </w:divBdr>
              <w:divsChild>
                <w:div w:id="139127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8263330">
      <w:bodyDiv w:val="1"/>
      <w:marLeft w:val="0"/>
      <w:marRight w:val="0"/>
      <w:marTop w:val="0"/>
      <w:marBottom w:val="0"/>
      <w:divBdr>
        <w:top w:val="none" w:sz="0" w:space="0" w:color="auto"/>
        <w:left w:val="none" w:sz="0" w:space="0" w:color="auto"/>
        <w:bottom w:val="none" w:sz="0" w:space="0" w:color="auto"/>
        <w:right w:val="none" w:sz="0" w:space="0" w:color="auto"/>
      </w:divBdr>
    </w:div>
    <w:div w:id="1414006031">
      <w:bodyDiv w:val="1"/>
      <w:marLeft w:val="0"/>
      <w:marRight w:val="0"/>
      <w:marTop w:val="0"/>
      <w:marBottom w:val="0"/>
      <w:divBdr>
        <w:top w:val="none" w:sz="0" w:space="0" w:color="auto"/>
        <w:left w:val="none" w:sz="0" w:space="0" w:color="auto"/>
        <w:bottom w:val="none" w:sz="0" w:space="0" w:color="auto"/>
        <w:right w:val="none" w:sz="0" w:space="0" w:color="auto"/>
      </w:divBdr>
      <w:divsChild>
        <w:div w:id="1329556453">
          <w:marLeft w:val="0"/>
          <w:marRight w:val="0"/>
          <w:marTop w:val="0"/>
          <w:marBottom w:val="0"/>
          <w:divBdr>
            <w:top w:val="none" w:sz="0" w:space="0" w:color="auto"/>
            <w:left w:val="none" w:sz="0" w:space="0" w:color="auto"/>
            <w:bottom w:val="none" w:sz="0" w:space="0" w:color="auto"/>
            <w:right w:val="none" w:sz="0" w:space="0" w:color="auto"/>
          </w:divBdr>
          <w:divsChild>
            <w:div w:id="1007756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0357005">
      <w:bodyDiv w:val="1"/>
      <w:marLeft w:val="0"/>
      <w:marRight w:val="0"/>
      <w:marTop w:val="0"/>
      <w:marBottom w:val="0"/>
      <w:divBdr>
        <w:top w:val="none" w:sz="0" w:space="0" w:color="auto"/>
        <w:left w:val="none" w:sz="0" w:space="0" w:color="auto"/>
        <w:bottom w:val="none" w:sz="0" w:space="0" w:color="auto"/>
        <w:right w:val="none" w:sz="0" w:space="0" w:color="auto"/>
      </w:divBdr>
      <w:divsChild>
        <w:div w:id="1735811972">
          <w:marLeft w:val="0"/>
          <w:marRight w:val="0"/>
          <w:marTop w:val="0"/>
          <w:marBottom w:val="0"/>
          <w:divBdr>
            <w:top w:val="none" w:sz="0" w:space="0" w:color="auto"/>
            <w:left w:val="none" w:sz="0" w:space="0" w:color="auto"/>
            <w:bottom w:val="none" w:sz="0" w:space="0" w:color="auto"/>
            <w:right w:val="none" w:sz="0" w:space="0" w:color="auto"/>
          </w:divBdr>
          <w:divsChild>
            <w:div w:id="1682856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150303">
      <w:bodyDiv w:val="1"/>
      <w:marLeft w:val="0"/>
      <w:marRight w:val="0"/>
      <w:marTop w:val="0"/>
      <w:marBottom w:val="0"/>
      <w:divBdr>
        <w:top w:val="none" w:sz="0" w:space="0" w:color="auto"/>
        <w:left w:val="none" w:sz="0" w:space="0" w:color="auto"/>
        <w:bottom w:val="none" w:sz="0" w:space="0" w:color="auto"/>
        <w:right w:val="none" w:sz="0" w:space="0" w:color="auto"/>
      </w:divBdr>
      <w:divsChild>
        <w:div w:id="60715392">
          <w:marLeft w:val="0"/>
          <w:marRight w:val="0"/>
          <w:marTop w:val="0"/>
          <w:marBottom w:val="0"/>
          <w:divBdr>
            <w:top w:val="none" w:sz="0" w:space="0" w:color="auto"/>
            <w:left w:val="none" w:sz="0" w:space="0" w:color="auto"/>
            <w:bottom w:val="none" w:sz="0" w:space="0" w:color="auto"/>
            <w:right w:val="none" w:sz="0" w:space="0" w:color="auto"/>
          </w:divBdr>
          <w:divsChild>
            <w:div w:id="338385933">
              <w:marLeft w:val="0"/>
              <w:marRight w:val="0"/>
              <w:marTop w:val="0"/>
              <w:marBottom w:val="0"/>
              <w:divBdr>
                <w:top w:val="none" w:sz="0" w:space="0" w:color="auto"/>
                <w:left w:val="none" w:sz="0" w:space="0" w:color="auto"/>
                <w:bottom w:val="none" w:sz="0" w:space="0" w:color="auto"/>
                <w:right w:val="none" w:sz="0" w:space="0" w:color="auto"/>
              </w:divBdr>
              <w:divsChild>
                <w:div w:id="886841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402563">
      <w:bodyDiv w:val="1"/>
      <w:marLeft w:val="0"/>
      <w:marRight w:val="0"/>
      <w:marTop w:val="0"/>
      <w:marBottom w:val="0"/>
      <w:divBdr>
        <w:top w:val="none" w:sz="0" w:space="0" w:color="auto"/>
        <w:left w:val="none" w:sz="0" w:space="0" w:color="auto"/>
        <w:bottom w:val="none" w:sz="0" w:space="0" w:color="auto"/>
        <w:right w:val="none" w:sz="0" w:space="0" w:color="auto"/>
      </w:divBdr>
    </w:div>
    <w:div w:id="1872763078">
      <w:bodyDiv w:val="1"/>
      <w:marLeft w:val="0"/>
      <w:marRight w:val="0"/>
      <w:marTop w:val="0"/>
      <w:marBottom w:val="0"/>
      <w:divBdr>
        <w:top w:val="none" w:sz="0" w:space="0" w:color="auto"/>
        <w:left w:val="none" w:sz="0" w:space="0" w:color="auto"/>
        <w:bottom w:val="none" w:sz="0" w:space="0" w:color="auto"/>
        <w:right w:val="none" w:sz="0" w:space="0" w:color="auto"/>
      </w:divBdr>
    </w:div>
    <w:div w:id="1899585537">
      <w:bodyDiv w:val="1"/>
      <w:marLeft w:val="0"/>
      <w:marRight w:val="0"/>
      <w:marTop w:val="0"/>
      <w:marBottom w:val="0"/>
      <w:divBdr>
        <w:top w:val="none" w:sz="0" w:space="0" w:color="auto"/>
        <w:left w:val="none" w:sz="0" w:space="0" w:color="auto"/>
        <w:bottom w:val="none" w:sz="0" w:space="0" w:color="auto"/>
        <w:right w:val="none" w:sz="0" w:space="0" w:color="auto"/>
      </w:divBdr>
    </w:div>
    <w:div w:id="1930651818">
      <w:bodyDiv w:val="1"/>
      <w:marLeft w:val="0"/>
      <w:marRight w:val="0"/>
      <w:marTop w:val="0"/>
      <w:marBottom w:val="0"/>
      <w:divBdr>
        <w:top w:val="none" w:sz="0" w:space="0" w:color="auto"/>
        <w:left w:val="none" w:sz="0" w:space="0" w:color="auto"/>
        <w:bottom w:val="none" w:sz="0" w:space="0" w:color="auto"/>
        <w:right w:val="none" w:sz="0" w:space="0" w:color="auto"/>
      </w:divBdr>
      <w:divsChild>
        <w:div w:id="1242562756">
          <w:marLeft w:val="0"/>
          <w:marRight w:val="0"/>
          <w:marTop w:val="0"/>
          <w:marBottom w:val="0"/>
          <w:divBdr>
            <w:top w:val="none" w:sz="0" w:space="0" w:color="auto"/>
            <w:left w:val="none" w:sz="0" w:space="0" w:color="auto"/>
            <w:bottom w:val="none" w:sz="0" w:space="0" w:color="auto"/>
            <w:right w:val="none" w:sz="0" w:space="0" w:color="auto"/>
          </w:divBdr>
          <w:divsChild>
            <w:div w:id="927930091">
              <w:marLeft w:val="0"/>
              <w:marRight w:val="0"/>
              <w:marTop w:val="0"/>
              <w:marBottom w:val="0"/>
              <w:divBdr>
                <w:top w:val="none" w:sz="0" w:space="0" w:color="auto"/>
                <w:left w:val="none" w:sz="0" w:space="0" w:color="auto"/>
                <w:bottom w:val="none" w:sz="0" w:space="0" w:color="auto"/>
                <w:right w:val="none" w:sz="0" w:space="0" w:color="auto"/>
              </w:divBdr>
              <w:divsChild>
                <w:div w:id="1930457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6496350">
      <w:bodyDiv w:val="1"/>
      <w:marLeft w:val="0"/>
      <w:marRight w:val="0"/>
      <w:marTop w:val="0"/>
      <w:marBottom w:val="0"/>
      <w:divBdr>
        <w:top w:val="none" w:sz="0" w:space="0" w:color="auto"/>
        <w:left w:val="none" w:sz="0" w:space="0" w:color="auto"/>
        <w:bottom w:val="none" w:sz="0" w:space="0" w:color="auto"/>
        <w:right w:val="none" w:sz="0" w:space="0" w:color="auto"/>
      </w:divBdr>
    </w:div>
    <w:div w:id="1976834938">
      <w:bodyDiv w:val="1"/>
      <w:marLeft w:val="0"/>
      <w:marRight w:val="0"/>
      <w:marTop w:val="0"/>
      <w:marBottom w:val="0"/>
      <w:divBdr>
        <w:top w:val="none" w:sz="0" w:space="0" w:color="auto"/>
        <w:left w:val="none" w:sz="0" w:space="0" w:color="auto"/>
        <w:bottom w:val="none" w:sz="0" w:space="0" w:color="auto"/>
        <w:right w:val="none" w:sz="0" w:space="0" w:color="auto"/>
      </w:divBdr>
    </w:div>
    <w:div w:id="1995256117">
      <w:bodyDiv w:val="1"/>
      <w:marLeft w:val="0"/>
      <w:marRight w:val="0"/>
      <w:marTop w:val="0"/>
      <w:marBottom w:val="0"/>
      <w:divBdr>
        <w:top w:val="none" w:sz="0" w:space="0" w:color="auto"/>
        <w:left w:val="none" w:sz="0" w:space="0" w:color="auto"/>
        <w:bottom w:val="none" w:sz="0" w:space="0" w:color="auto"/>
        <w:right w:val="none" w:sz="0" w:space="0" w:color="auto"/>
      </w:divBdr>
    </w:div>
    <w:div w:id="2024432145">
      <w:bodyDiv w:val="1"/>
      <w:marLeft w:val="0"/>
      <w:marRight w:val="0"/>
      <w:marTop w:val="0"/>
      <w:marBottom w:val="0"/>
      <w:divBdr>
        <w:top w:val="none" w:sz="0" w:space="0" w:color="auto"/>
        <w:left w:val="none" w:sz="0" w:space="0" w:color="auto"/>
        <w:bottom w:val="none" w:sz="0" w:space="0" w:color="auto"/>
        <w:right w:val="none" w:sz="0" w:space="0" w:color="auto"/>
      </w:divBdr>
      <w:divsChild>
        <w:div w:id="1085228357">
          <w:marLeft w:val="0"/>
          <w:marRight w:val="0"/>
          <w:marTop w:val="0"/>
          <w:marBottom w:val="0"/>
          <w:divBdr>
            <w:top w:val="none" w:sz="0" w:space="0" w:color="auto"/>
            <w:left w:val="none" w:sz="0" w:space="0" w:color="auto"/>
            <w:bottom w:val="none" w:sz="0" w:space="0" w:color="auto"/>
            <w:right w:val="none" w:sz="0" w:space="0" w:color="auto"/>
          </w:divBdr>
          <w:divsChild>
            <w:div w:id="965544545">
              <w:marLeft w:val="0"/>
              <w:marRight w:val="0"/>
              <w:marTop w:val="0"/>
              <w:marBottom w:val="0"/>
              <w:divBdr>
                <w:top w:val="none" w:sz="0" w:space="0" w:color="auto"/>
                <w:left w:val="none" w:sz="0" w:space="0" w:color="auto"/>
                <w:bottom w:val="none" w:sz="0" w:space="0" w:color="auto"/>
                <w:right w:val="none" w:sz="0" w:space="0" w:color="auto"/>
              </w:divBdr>
              <w:divsChild>
                <w:div w:id="337657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abs/10.1177/%201558689817722889?journalCode=mmra"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journals.sagepub.com/doi/abs/10.1177/1558689817722889?journalCode=mmra%20" TargetMode="External"/></Relationships>
</file>

<file path=word/theme/theme1.xml><?xml version="1.0" encoding="utf-8"?>
<a:theme xmlns:a="http://schemas.openxmlformats.org/drawingml/2006/main" name="Office-Design">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E30CBEC-4C3A-1F40-BD81-F5B64003A7F8}">
  <we:reference id="wa104380122" version="1.0.0.1" store="de-DE" storeType="OMEX"/>
  <we:alternateReferences>
    <we:reference id="wa104380122" version="1.0.0.1" store="wa104380122" storeType="OMEX"/>
  </we:alternateReferences>
  <we:properties>
    <we:property name="biblioId" value="-114289051"/>
    <we:property name="cit:1589732757" value="&quot;{\&quot;docs\&quot;:[{\&quot;pageReplace\&quot;:\&quot;\&quot;,\&quot;author\&quot;:true,\&quot;year\&quot;:true,\&quot;prefix\&quot;:\&quot;\&quot;,\&quot;suffix\&quot;:\&quot;\&quot;,\&quot;id\&quot;:\&quot;doc:5bc30f98e4b05f656eb5e185\&quot;}],\&quot;position\&quot;:\&quot;footnote\&quot;}&quot;"/>
    <we:property name="cit:1604683504" value="&quot;{\&quot;docs\&quot;:[{\&quot;pageReplace\&quot;:\&quot;\&quot;,\&quot;author\&quot;:true,\&quot;year\&quot;:true,\&quot;prefix\&quot;:\&quot;\&quot;,\&quot;suffix\&quot;:\&quot;\&quot;,\&quot;id\&quot;:\&quot;doc:5bc1d271e4b0d9bc59eb0be5\&quot;}],\&quot;position\&quot;:\&quot;footnote\&quot;}&quot;"/>
    <we:property name="cit:1869870483" value="&quot;{\&quot;docs\&quot;:[{\&quot;pageReplace\&quot;:\&quot;\&quot;,\&quot;author\&quot;:true,\&quot;year\&quot;:true,\&quot;prefix\&quot;:\&quot;\&quot;,\&quot;suffix\&quot;:\&quot;\&quot;,\&quot;id\&quot;:\&quot;doc:5bc30d8be4b077c6007d65f0\&quot;}],\&quot;position\&quot;:\&quot;footnote\&quot;}&quot;"/>
    <we:property name="cit:1913504561" value="&quot;{\&quot;docs\&quot;:[{\&quot;pageReplace\&quot;:\&quot;p. 4\&quot;,\&quot;author\&quot;:true,\&quot;year\&quot;:true,\&quot;prefix\&quot;:\&quot;\&quot;,\&quot;suffix\&quot;:\&quot;\&quot;,\&quot;id\&quot;:\&quot;doc:5bc2123ee4b0c84000448023\&quot;}],\&quot;position\&quot;:\&quot;footnote\&quot;}&quot;"/>
    <we:property name="cit:1918440022" value="&quot;{\&quot;docs\&quot;:[{\&quot;id\&quot;:\&quot;doc:5bc34bbee4b067d1d7444f63\&quot;,\&quot;pageReplace\&quot;:\&quot;\&quot;,\&quot;author\&quot;:true,\&quot;year\&quot;:true,\&quot;prefix\&quot;:\&quot;\&quot;,\&quot;suffix\&quot;:\&quot;\&quot;}],\&quot;position\&quot;:\&quot;footnote\&quot;}&quot;"/>
    <we:property name="cit:_1856114414" value="&quot;{\&quot;docs\&quot;:[{\&quot;pageReplace\&quot;:\&quot;\&quot;,\&quot;author\&quot;:true,\&quot;year\&quot;:true,\&quot;prefix\&quot;:\&quot;\&quot;,\&quot;suffix\&quot;:\&quot;\&quot;,\&quot;id\&quot;:\&quot;doc:5bc1d8b2e4b095ca6e58ec05\&quot;}],\&quot;position\&quot;:\&quot;footnote\&quot;}&quot;"/>
    <we:property name="cit:_475058605" value="&quot;{\&quot;docs\&quot;:[{\&quot;pageReplace\&quot;:\&quot;\&quot;,\&quot;author\&quot;:true,\&quot;year\&quot;:true,\&quot;prefix\&quot;:\&quot;\&quot;,\&quot;suffix\&quot;:\&quot;\&quot;,\&quot;id\&quot;:\&quot;doc:5bc31ff3e4b0f7904207f549\&quot;}],\&quot;position\&quot;:\&quot;footnote\&quot;}&quot;"/>
    <we:property name="cit:_680585402" value="&quot;{\&quot;docs\&quot;:[{\&quot;pageReplace\&quot;:\&quot;\&quot;,\&quot;author\&quot;:true,\&quot;year\&quot;:true,\&quot;prefix\&quot;:\&quot;\&quot;,\&quot;suffix\&quot;:\&quot;\&quot;,\&quot;id\&quot;:\&quot;doc:5bc2123ee4b0c84000448023\&quot;}],\&quot;position\&quot;:\&quot;footnote\&quot;}&quot;"/>
    <we:property name="cit:_891890596" value="&quot;{\&quot;docs\&quot;:[{\&quot;pageReplace\&quot;:\&quot;\&quot;,\&quot;author\&quot;:true,\&quot;year\&quot;:true,\&quot;prefix\&quot;:\&quot;\&quot;,\&quot;suffix\&quot;:\&quot;\&quot;,\&quot;id\&quot;:\&quot;doc:5bc312dde4b080e02f7ed3bd\&quot;}],\&quot;position\&quot;:\&quot;footnote\&quot;}&quot;"/>
    <we:property name="cit:_980158362" value="&quot;{\&quot;docs\&quot;:[{\&quot;id\&quot;:\&quot;doc:5bc1d8b2e4b095ca6e58ec05\&quot;,\&quot;pageReplace\&quot;:\&quot;\&quot;,\&quot;author\&quot;:true,\&quot;year\&quot;:true,\&quot;prefix\&quot;:\&quot;\&quot;,\&quot;suffix\&quot;:\&quot;\&quot;}],\&quot;position\&quot;:\&quot;body\&quot;}&quot;"/>
    <we:property name="citationStyle" value="&quot;{\&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
    <we:property name="contentControlsValues" value="&quot;{\&quot;cit:_1856114414\&quot;:\&quot;Lawrence E. Jerome, 'Astrology and Modern Science: A Critical Analysis', &lt;i&gt;Leonardo, &lt;/i&gt;6 (1973), 121-130 &lt;&lt;a href='http://www.jstor.org.ezproxy.uwtsd.ac.uk/stable/1572687' target='_blank'&gt;http://www.jstor.org.ezproxy.uwtsd.ac.uk/stable/1572687&lt;/a&gt;&gt;.\&quot;,\&quot;cit:1604683504\&quot;:\&quot;David Pingree, 'Hellenophilia Versus the History of Science', &lt;i&gt;Isis, &lt;/i&gt;83 (1992), 554-563 &lt;&lt;a href='http://www.jstor.org.ezproxy.uwtsd.ac.uk/stable/234257' target='_blank'&gt;http://www.jstor.org.ezproxy.uwtsd.ac.uk/stable/234257&lt;/a&gt;&gt;.\&quot;,\&quot;cit:1589732757\&quot;:\&quot;Harald A. Wiltsche, &lt;i&gt;Einführung in Die Wissenschaftstheorie&lt;/i&gt; (Göttingen: Vandenhoeck &amp;amp; Ruprecht: UTB, 2013).\&quot;,\&quot;cit:1869870483\&quot;:\&quot;&lt;i&gt;Sozialwissenschaftliche Hermeneutik. Eine Einführung.&lt;/i&gt;, ed. by R. Hitzler and A. Honer (Wiesbaden: Springer, 1997).\&quot;,\&quot;cit:_891890596\&quot;:\&quot;G. De Angelis, 'The Foundations of a Critical Social Theory: Lessons from the Positivismusstreit', &lt;i&gt;Journal of Classical Sociology, &lt;/i&gt;15 (2015), 170-184 &lt;&lt;a href='https://doi.org/10.1177/1468795X14567286' target='_blank'&gt;https://doi.org/10.1177/1468795X14567286&lt;/a&gt;&gt;.\&quot;,\&quot;cit:_475058605\&quot;:\&quot;W. Dilthey, &lt;i&gt;Die Geistige Welt. Einleitung in Die Philosophie Des Lebens.(Erste Hälfte. Abhandlungen Zur Grundlegung Der Geisteswissenschaften)&lt;/i&gt;, Gesammelte Schriften, V, 4., unveränderte Auflage edn (Stuttgart: B. G. Teubner Verlagsgesellschaft m.b.H., 1964).\&quot;,\&quot;cit:_1660531971\&quot;:\&quot;J. Kepler and F. Krafft, &lt;i&gt;Was Die Welt Im Innersten Zusammenhält: Antworten Aus Keplers Schriften&lt;/i&gt; (Wiesbaden: Marix, 2005) &lt;&lt;a href='https://books.google.de/books?id=HwxaAAAACAAJ' target='_blank'&gt;https://books.google.de/books?id=HwxaAAAACAAJ&lt;/a&gt;&gt;.\&quot;,\&quot;cit:_114289051\&quot;:\&quot;&lt;p style='line-height: 2;text-indent: -30px;margin-left: 30px;'&gt;De Angelis, G., 'The Foundations of a Critical Social Theory: Lessons from the Positivismusstreit', &lt;i&gt;Journal of Classical Sociology, &lt;/i&gt;15 (2015), 170-184 &lt;&lt;a href='https://doi.org/10.1177/1468795X14567286' target='_blank'&gt;https://doi.org/10.1177/1468795X14567286&lt;/a&gt;&gt;&lt;/p&gt;\\n&lt;p style='line-height: 2;text-indent: -30px;margin-left: 30px;'&gt;Dilthey, W., &lt;i&gt;Die Geistige Welt. Einleitung in Die Philosophie Des Lebens.(Erste Hälfte. Abhandlungen Zur Grundlegung Der Geisteswissenschaften)&lt;/i&gt;, Gesammelte Schriften, V, 4., unveränderte Auflage edn (Stuttgart: B. G. Teubner Verlagsgesellschaft m.b.H., 1964)&lt;/p&gt;\\n&lt;p style='line-height: 2;text-indent: -30px;margin-left: 30px;'&gt;Hitzler, R. and A. Honer, eds., &lt;i&gt;Sozialwissenschaftliche Hermeneutik. Eine Einführung.&lt;/i&gt; (Wiesbaden: Springer, 1997)&lt;/p&gt;\\n&lt;p style='line-height: 2;text-indent: -30px;margin-left: 30px;'&gt;Jerome, Lawrence E., 'Astrology and Modern Science: A Critical Analysis', &lt;i&gt;Leonardo, &lt;/i&gt;6 (1973), 121-130 &lt;&lt;a href='http://www.jstor.org.ezproxy.uwtsd.ac.uk/stable/1572687' target='_blank'&gt;http://www.jstor.org.ezproxy.uwtsd.ac.uk/stable/1572687&lt;/a&gt;&gt;&lt;/p&gt;\\n&lt;p style='line-height: 2;text-indent: -30px;margin-left: 30px;'&gt;Kepler, J. and F. Krafft, &lt;i&gt;Was Die Welt Im Innersten Zusammenhält: Antworten Aus Keplers Schriften&lt;/i&gt; (Wiesbaden: Marix, 2005) &lt;&lt;a href='https://books.google.de/books?id=HwxaAAAACAAJ' target='_blank'&gt;https://books.google.de/books?id=HwxaAAAACAAJ&lt;/a&gt;&gt;&lt;/p&gt;\\n&lt;p style='line-height: 2;text-indent: -30px;margin-left: 30px;'&gt;Pingree, David, 'Hellenophilia Versus the History of Science', &lt;i&gt;Isis, &lt;/i&gt;83 (1992), 554-563 &lt;&lt;a href='http://www.jstor.org.ezproxy.uwtsd.ac.uk/stable/234257' target='_blank'&gt;http://www.jstor.org.ezproxy.uwtsd.ac.uk/stable/234257&lt;/a&gt;&gt;&lt;/p&gt;\\n&lt;p style='line-height: 2;text-indent: -30px;margin-left: 30px;'&gt;Wiltsche, Harald A., &lt;i&gt;Einführung in Die Wissenschaftstheorie&lt;/i&gt; (Göttingen: Vandenhoeck &amp;amp; Ruprecht: UTB, 2013)&lt;/p&gt;\\n\&quot;}&quot;"/>
    <we:property name="optionsValues" value="&quot;{\&quot;doc:5bc1d8b2e4b095ca6e58ec05&amp;-980158362\&quot;:{\&quot;id\&quot;:\&quot;doc:5bc1d8b2e4b095ca6e58ec05\&quot;,\&quot;pageReplace\&quot;:\&quot;\&quot;,\&quot;author\&quot;:true,\&quot;year\&quot;:true,\&quot;prefix\&quot;:\&quot;\&quot;,\&quot;suffix\&quot;:\&quot;\&quot;},\&quot;doc:5bc1d8b2e4b095ca6e58ec05&amp;-1856114414\&quot;:{\&quot;pageReplace\&quot;:\&quot;\&quot;,\&quot;author\&quot;:true,\&quot;year\&quot;:true,\&quot;prefix\&quot;:\&quot;\&quot;,\&quot;suffix\&quot;:\&quot;\&quot;,\&quot;id\&quot;:\&quot;doc:5bc1d8b2e4b095ca6e58ec05\&quot;},\&quot;doc:5bc1d271e4b0d9bc59eb0be5&amp;1604683504\&quot;:{\&quot;pageReplace\&quot;:\&quot;\&quot;,\&quot;author\&quot;:true,\&quot;year\&quot;:true,\&quot;prefix\&quot;:\&quot;\&quot;,\&quot;suffix\&quot;:\&quot;\&quot;,\&quot;id\&quot;:\&quot;doc:5bc1d271e4b0d9bc59eb0be5\&quot;},\&quot;doc:5bc30f98e4b05f656eb5e185&amp;1589732757\&quot;:{\&quot;pageReplace\&quot;:\&quot;\&quot;,\&quot;author\&quot;:true,\&quot;year\&quot;:true,\&quot;prefix\&quot;:\&quot;\&quot;,\&quot;suffix\&quot;:\&quot;\&quot;,\&quot;id\&quot;:\&quot;doc:5bc30f98e4b05f656eb5e185\&quot;},\&quot;doc:5bc30d8be4b077c6007d65f0&amp;1869870483\&quot;:{\&quot;pageReplace\&quot;:\&quot;\&quot;,\&quot;author\&quot;:true,\&quot;year\&quot;:true,\&quot;prefix\&quot;:\&quot;\&quot;,\&quot;suffix\&quot;:\&quot;\&quot;,\&quot;id\&quot;:\&quot;doc:5bc30d8be4b077c6007d65f0\&quot;},\&quot;doc:5bc312dde4b080e02f7ed3bd&amp;-891890596\&quot;:{\&quot;pageReplace\&quot;:\&quot;\&quot;,\&quot;author\&quot;:true,\&quot;year\&quot;:true,\&quot;prefix\&quot;:\&quot;\&quot;,\&quot;suffix\&quot;:\&quot;\&quot;,\&quot;id\&quot;:\&quot;doc:5bc312dde4b080e02f7ed3bd\&quot;},\&quot;doc:5bc31ff3e4b0f7904207f549&amp;-475058605\&quot;:{\&quot;pageReplace\&quot;:\&quot;\&quot;,\&quot;author\&quot;:true,\&quot;year\&quot;:true,\&quot;prefix\&quot;:\&quot;\&quot;,\&quot;suffix\&quot;:\&quot;\&quot;,\&quot;id\&quot;:\&quot;doc:5bc31ff3e4b0f7904207f549\&quot;},\&quot;doc:5bc2123ee4b0c84000448023&amp;1913504561\&quot;:{\&quot;pageReplace\&quot;:\&quot;p. 4\&quot;,\&quot;author\&quot;:true,\&quot;year\&quot;:true,\&quot;prefix\&quot;:\&quot;\&quot;,\&quot;suffix\&quot;:\&quot;\&quot;,\&quot;id\&quot;:\&quot;doc:5bc2123ee4b0c84000448023\&quot;},\&quot;doc:5bc2123ee4b0c84000448023&amp;-680585402\&quot;:{\&quot;pageReplace\&quot;:\&quot;\&quot;,\&quot;author\&quot;:true,\&quot;year\&quot;:true,\&quot;prefix\&quot;:\&quot;\&quot;,\&quot;suffix\&quot;:\&quot;\&quot;,\&quot;id\&quot;:\&quot;doc:5bc2123ee4b0c84000448023\&quot;},\&quot;doc:5bc34bbee4b067d1d7444f63&amp;1918440022\&quot;:{\&quot;id\&quot;:\&quot;doc:5bc34bbee4b067d1d7444f63\&quot;,\&quot;pageReplace\&quot;:\&quot;\&quot;,\&quot;author\&quot;:true,\&quot;year\&quot;:true,\&quot;prefix\&quot;:\&quot;\&quot;,\&quot;suffix\&quot;:\&quot;\&quot;},\&quot;doc:5bc34bbee4b067d1d7444f63&amp;-1660531971\&quot;:{\&quot;pageReplace\&quot;:\&quot;\&quot;,\&quot;author\&quot;:true,\&quot;year\&quot;:true,\&quot;prefix\&quot;:\&quot;\&quot;,\&quot;suffix\&quot;:\&quot;\&quot;,\&quot;id\&quot;:\&quot;doc:5bc34bbee4b067d1d7444f63\&quot;}}&quot;"/>
    <we:property name="cit:_1660531971" value="&quot;{\&quot;docs\&quot;:[{\&quot;pageReplace\&quot;:\&quot;\&quot;,\&quot;author\&quot;:true,\&quot;year\&quot;:true,\&quot;prefix\&quot;:\&quot;\&quot;,\&quot;suffix\&quot;:\&quot;\&quot;,\&quot;id\&quot;:\&quot;doc:5bc34bbee4b067d1d7444f63\&quot;}],\&quot;position\&quot;:\&quot;footnote\&quo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41F0F9-48B6-7D44-99C2-52E362B047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1295</Words>
  <Characters>8165</Characters>
  <Application>Microsoft Office Word</Application>
  <DocSecurity>0</DocSecurity>
  <Lines>68</Lines>
  <Paragraphs>18</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9442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Fabio Nagele</dc:creator>
  <cp:keywords/>
  <dc:description/>
  <cp:lastModifiedBy>Fabio Nagele</cp:lastModifiedBy>
  <cp:revision>271</cp:revision>
  <dcterms:created xsi:type="dcterms:W3CDTF">2018-10-13T13:57:00Z</dcterms:created>
  <dcterms:modified xsi:type="dcterms:W3CDTF">2019-03-17T17:36:00Z</dcterms:modified>
</cp:coreProperties>
</file>