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tbl>
      <w:tblPr>
        <w:tblpPr w:leftFromText="180" w:rightFromText="180" w:vertAnchor="text" w:horzAnchor="margin" w:tblpXSpec="center" w:tblpY="327"/>
        <w:tblW w:w="108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77"/>
      </w:tblGrid>
      <w:tr w:rsidR="000606D1" w:rsidRPr="005D3F07" w14:paraId="45C96584" w14:textId="77777777" w:rsidTr="000606D1">
        <w:trPr>
          <w:trHeight w:val="4555"/>
        </w:trPr>
        <w:tc>
          <w:tcPr>
            <w:tcW w:w="10877" w:type="dxa"/>
          </w:tcPr>
          <w:p w14:paraId="6F14E0AB" w14:textId="77777777" w:rsidR="000606D1" w:rsidRPr="000606D1" w:rsidRDefault="000606D1" w:rsidP="000606D1">
            <w:pPr>
              <w:overflowPunct/>
              <w:autoSpaceDE/>
              <w:autoSpaceDN/>
              <w:adjustRightInd/>
              <w:ind w:right="-957"/>
              <w:textAlignment w:val="auto"/>
              <w:rPr>
                <w:rFonts w:ascii="Times New Roman" w:hAnsi="Times New Roman" w:cs="Times New Roman"/>
                <w:b/>
                <w:color w:val="auto"/>
                <w:sz w:val="44"/>
                <w:szCs w:val="18"/>
              </w:rPr>
            </w:pPr>
            <w:r w:rsidRPr="000606D1">
              <w:rPr>
                <w:rFonts w:ascii="Times New Roman" w:hAnsi="Times New Roman" w:cs="Times New Roman"/>
                <w:b/>
                <w:color w:val="auto"/>
                <w:sz w:val="44"/>
                <w:szCs w:val="18"/>
              </w:rPr>
              <w:t xml:space="preserve">Learner’s name: Jonathan White </w:t>
            </w:r>
          </w:p>
          <w:p w14:paraId="0EFC013A" w14:textId="77777777" w:rsidR="000606D1" w:rsidRPr="000606D1" w:rsidRDefault="000606D1" w:rsidP="000606D1">
            <w:pPr>
              <w:overflowPunct/>
              <w:autoSpaceDE/>
              <w:autoSpaceDN/>
              <w:adjustRightInd/>
              <w:ind w:right="-957"/>
              <w:textAlignment w:val="auto"/>
              <w:rPr>
                <w:rFonts w:ascii="Times New Roman" w:hAnsi="Times New Roman" w:cs="Times New Roman"/>
                <w:b/>
                <w:color w:val="auto"/>
                <w:sz w:val="44"/>
                <w:szCs w:val="18"/>
              </w:rPr>
            </w:pPr>
          </w:p>
          <w:p w14:paraId="74C7C058" w14:textId="77777777" w:rsidR="000606D1" w:rsidRPr="000606D1" w:rsidRDefault="000606D1" w:rsidP="000606D1">
            <w:pPr>
              <w:overflowPunct/>
              <w:autoSpaceDE/>
              <w:autoSpaceDN/>
              <w:adjustRightInd/>
              <w:ind w:right="-957"/>
              <w:textAlignment w:val="auto"/>
              <w:rPr>
                <w:rFonts w:ascii="Times New Roman" w:hAnsi="Times New Roman" w:cs="Times New Roman"/>
                <w:b/>
                <w:color w:val="auto"/>
                <w:sz w:val="44"/>
                <w:szCs w:val="18"/>
              </w:rPr>
            </w:pPr>
            <w:r w:rsidRPr="000606D1">
              <w:rPr>
                <w:rFonts w:ascii="Times New Roman" w:hAnsi="Times New Roman" w:cs="Times New Roman"/>
                <w:b/>
                <w:color w:val="auto"/>
                <w:sz w:val="44"/>
                <w:szCs w:val="18"/>
              </w:rPr>
              <w:t>Email address: Jonathan.white@ceredigion.gov.uk</w:t>
            </w:r>
          </w:p>
          <w:p w14:paraId="2E2AEB9A" w14:textId="77777777" w:rsidR="000606D1" w:rsidRPr="000606D1" w:rsidRDefault="000606D1" w:rsidP="000606D1">
            <w:pPr>
              <w:overflowPunct/>
              <w:autoSpaceDE/>
              <w:autoSpaceDN/>
              <w:adjustRightInd/>
              <w:ind w:right="-957"/>
              <w:textAlignment w:val="auto"/>
              <w:rPr>
                <w:rFonts w:ascii="Times New Roman" w:hAnsi="Times New Roman" w:cs="Times New Roman"/>
                <w:b/>
                <w:color w:val="auto"/>
                <w:sz w:val="44"/>
                <w:szCs w:val="18"/>
              </w:rPr>
            </w:pPr>
          </w:p>
          <w:p w14:paraId="3F9D41B2" w14:textId="78FCBF39" w:rsidR="000606D1" w:rsidRPr="000606D1" w:rsidRDefault="000606D1" w:rsidP="000606D1">
            <w:pPr>
              <w:overflowPunct/>
              <w:autoSpaceDE/>
              <w:autoSpaceDN/>
              <w:adjustRightInd/>
              <w:ind w:right="-957"/>
              <w:textAlignment w:val="auto"/>
              <w:rPr>
                <w:rFonts w:ascii="Times New Roman" w:hAnsi="Times New Roman" w:cs="Times New Roman"/>
                <w:b/>
                <w:color w:val="auto"/>
                <w:sz w:val="44"/>
                <w:szCs w:val="18"/>
              </w:rPr>
            </w:pPr>
            <w:r w:rsidRPr="000606D1">
              <w:rPr>
                <w:rFonts w:ascii="Times New Roman" w:hAnsi="Times New Roman" w:cs="Times New Roman"/>
                <w:b/>
                <w:color w:val="auto"/>
                <w:sz w:val="44"/>
                <w:szCs w:val="18"/>
              </w:rPr>
              <w:t>Learner’s University Registration Number:</w:t>
            </w:r>
            <w:r>
              <w:rPr>
                <w:rFonts w:ascii="Times New Roman" w:hAnsi="Times New Roman" w:cs="Times New Roman"/>
                <w:b/>
                <w:color w:val="auto"/>
                <w:sz w:val="44"/>
                <w:szCs w:val="18"/>
              </w:rPr>
              <w:t xml:space="preserve"> 1104145</w:t>
            </w:r>
          </w:p>
          <w:p w14:paraId="0EEE1FD6" w14:textId="77777777" w:rsidR="000606D1" w:rsidRPr="000606D1" w:rsidRDefault="000606D1" w:rsidP="000606D1">
            <w:pPr>
              <w:overflowPunct/>
              <w:autoSpaceDE/>
              <w:autoSpaceDN/>
              <w:adjustRightInd/>
              <w:ind w:right="-957"/>
              <w:textAlignment w:val="auto"/>
              <w:rPr>
                <w:rFonts w:ascii="Times New Roman" w:hAnsi="Times New Roman" w:cs="Times New Roman"/>
                <w:b/>
                <w:color w:val="auto"/>
                <w:sz w:val="44"/>
                <w:szCs w:val="18"/>
              </w:rPr>
            </w:pPr>
          </w:p>
          <w:p w14:paraId="604803DF" w14:textId="77777777" w:rsidR="000606D1" w:rsidRPr="005D3F07" w:rsidRDefault="000606D1" w:rsidP="000606D1">
            <w:pPr>
              <w:overflowPunct/>
              <w:autoSpaceDE/>
              <w:autoSpaceDN/>
              <w:adjustRightInd/>
              <w:ind w:right="-957"/>
              <w:textAlignment w:val="auto"/>
              <w:rPr>
                <w:rFonts w:ascii="Times New Roman" w:hAnsi="Times New Roman" w:cs="Times New Roman"/>
                <w:b/>
                <w:color w:val="auto"/>
                <w:sz w:val="48"/>
              </w:rPr>
            </w:pPr>
            <w:r w:rsidRPr="000606D1">
              <w:rPr>
                <w:rFonts w:ascii="Times New Roman" w:hAnsi="Times New Roman" w:cs="Times New Roman"/>
                <w:b/>
                <w:color w:val="auto"/>
                <w:sz w:val="44"/>
                <w:szCs w:val="18"/>
              </w:rPr>
              <w:t>Cohort: 21onwards</w:t>
            </w:r>
          </w:p>
        </w:tc>
      </w:tr>
    </w:tbl>
    <w:p w14:paraId="025CB5FE" w14:textId="4C6DE255" w:rsidR="002B246D" w:rsidRDefault="002B246D" w:rsidP="002B246D">
      <w:pPr>
        <w:overflowPunct/>
        <w:autoSpaceDE/>
        <w:autoSpaceDN/>
        <w:adjustRightInd/>
        <w:ind w:right="-957"/>
        <w:textAlignment w:val="auto"/>
        <w:rPr>
          <w:rFonts w:ascii="Times New Roman" w:hAnsi="Times New Roman" w:cs="Times New Roman"/>
          <w:b/>
          <w:color w:val="auto"/>
          <w:sz w:val="48"/>
        </w:rPr>
      </w:pPr>
    </w:p>
    <w:p w14:paraId="6D2C02A2" w14:textId="01A9FF92" w:rsidR="00E559CE" w:rsidRPr="002B246D" w:rsidRDefault="002B246D" w:rsidP="002B246D">
      <w:pPr>
        <w:overflowPunct/>
        <w:autoSpaceDE/>
        <w:autoSpaceDN/>
        <w:adjustRightInd/>
        <w:textAlignment w:val="auto"/>
        <w:rPr>
          <w:rFonts w:ascii="Times New Roman" w:hAnsi="Times New Roman" w:cs="Times New Roman"/>
          <w:b/>
          <w:color w:val="auto"/>
          <w:sz w:val="48"/>
        </w:rPr>
      </w:pPr>
      <w:r>
        <w:rPr>
          <w:rFonts w:ascii="Times New Roman" w:hAnsi="Times New Roman" w:cs="Times New Roman"/>
          <w:b/>
          <w:color w:val="auto"/>
          <w:sz w:val="48"/>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146F03B" w14:textId="6D909631" w:rsidR="00B61F14" w:rsidRDefault="00EE5F75" w:rsidP="00FF7EBB">
            <w:pPr>
              <w:jc w:val="both"/>
              <w:rPr>
                <w:sz w:val="24"/>
                <w:szCs w:val="24"/>
              </w:rPr>
            </w:pPr>
            <w:r>
              <w:rPr>
                <w:sz w:val="24"/>
                <w:szCs w:val="24"/>
              </w:rPr>
              <w:t>Although my practice is in adult services, child safeguarding in Wales shares the same statutory foundation</w:t>
            </w:r>
            <w:r w:rsidR="00C70852">
              <w:rPr>
                <w:sz w:val="24"/>
                <w:szCs w:val="24"/>
              </w:rPr>
              <w:t xml:space="preserve"> </w:t>
            </w:r>
            <w:r>
              <w:rPr>
                <w:sz w:val="24"/>
                <w:szCs w:val="24"/>
              </w:rPr>
              <w:t>which is Part 7 of the Social Services and Well-being (Wales) Act 2014 (S</w:t>
            </w:r>
            <w:r w:rsidR="00153ADD">
              <w:rPr>
                <w:sz w:val="24"/>
                <w:szCs w:val="24"/>
              </w:rPr>
              <w:t>S</w:t>
            </w:r>
            <w:r>
              <w:rPr>
                <w:sz w:val="24"/>
                <w:szCs w:val="24"/>
              </w:rPr>
              <w:t xml:space="preserve">W(W)A 2014). Section 130 defines a child at risk as a child who is experiencing or is at risk of abuse, neglect or other kinds of harm and has needs for care and support, whether or not the local authority is meeting those needs, and places a duty on relevant partners to report such concerns. When it is suspected that a child is suffering, or is likely to suffer significant harm, the local authority must make enquiries under Section 47 of the Children Act 1989. In Wales, the SSW(W)A 2014 replaced Part 3 of the Children Act </w:t>
            </w:r>
            <w:r w:rsidR="00774587">
              <w:rPr>
                <w:sz w:val="24"/>
                <w:szCs w:val="24"/>
              </w:rPr>
              <w:t>1989,</w:t>
            </w:r>
            <w:r>
              <w:rPr>
                <w:sz w:val="24"/>
                <w:szCs w:val="24"/>
              </w:rPr>
              <w:t xml:space="preserve"> so support is assessed through care and support needs rather than the ‘child in need’ framework still used in England.</w:t>
            </w:r>
            <w:r w:rsidR="00B61F14">
              <w:rPr>
                <w:sz w:val="24"/>
                <w:szCs w:val="24"/>
              </w:rPr>
              <w:t xml:space="preserve"> The Children Act 2004</w:t>
            </w:r>
            <w:r w:rsidR="00153ADD">
              <w:rPr>
                <w:sz w:val="24"/>
                <w:szCs w:val="24"/>
              </w:rPr>
              <w:t xml:space="preserve"> (CA 2004)</w:t>
            </w:r>
            <w:r w:rsidR="00B61F14">
              <w:rPr>
                <w:sz w:val="24"/>
                <w:szCs w:val="24"/>
              </w:rPr>
              <w:t>, introduced after the inquiry into the death of Victoria Climbi</w:t>
            </w:r>
            <w:r w:rsidR="00DD4102">
              <w:rPr>
                <w:sz w:val="24"/>
                <w:szCs w:val="24"/>
              </w:rPr>
              <w:t>é</w:t>
            </w:r>
            <w:r w:rsidR="00B61F14">
              <w:rPr>
                <w:sz w:val="24"/>
                <w:szCs w:val="24"/>
              </w:rPr>
              <w:t xml:space="preserve"> (Laming, 2003) strengthened cooperation between agencies and improved accountability for safeguarding.  </w:t>
            </w:r>
          </w:p>
          <w:p w14:paraId="61B01498" w14:textId="77777777" w:rsidR="00C70852" w:rsidRDefault="00C70852" w:rsidP="00FF7EBB">
            <w:pPr>
              <w:jc w:val="both"/>
              <w:rPr>
                <w:sz w:val="24"/>
                <w:szCs w:val="24"/>
              </w:rPr>
            </w:pPr>
          </w:p>
          <w:p w14:paraId="1EBA4FEA" w14:textId="45F7FF55" w:rsidR="00153ADD" w:rsidRDefault="00C70852" w:rsidP="00FF7EBB">
            <w:pPr>
              <w:jc w:val="both"/>
              <w:rPr>
                <w:sz w:val="24"/>
                <w:szCs w:val="24"/>
              </w:rPr>
            </w:pPr>
            <w:r>
              <w:rPr>
                <w:sz w:val="24"/>
                <w:szCs w:val="24"/>
              </w:rPr>
              <w:t xml:space="preserve">Children’s rights hold particular significance within the Welsh context. The Rights of Children and Young Persons (Wales) Measure 2011 requires Welsh Ministers to have due regard to the United Nations Convention on the Rights of the Child </w:t>
            </w:r>
            <w:r w:rsidR="00F1722B">
              <w:rPr>
                <w:sz w:val="24"/>
                <w:szCs w:val="24"/>
              </w:rPr>
              <w:t xml:space="preserve">(UNCRC) </w:t>
            </w:r>
            <w:r>
              <w:rPr>
                <w:sz w:val="24"/>
                <w:szCs w:val="24"/>
              </w:rPr>
              <w:t>(</w:t>
            </w:r>
            <w:r w:rsidR="00153ADD">
              <w:rPr>
                <w:sz w:val="24"/>
                <w:szCs w:val="24"/>
              </w:rPr>
              <w:t>United Nations</w:t>
            </w:r>
            <w:r>
              <w:rPr>
                <w:sz w:val="24"/>
                <w:szCs w:val="24"/>
              </w:rPr>
              <w:t xml:space="preserve">, 1989). </w:t>
            </w:r>
            <w:r w:rsidR="00153ADD">
              <w:rPr>
                <w:sz w:val="24"/>
                <w:szCs w:val="24"/>
              </w:rPr>
              <w:t xml:space="preserve">Wales has also gone further than England through the Children (Abolition of Defence of Reasonable Punishment) (Wales) Act 2020, which since March 2022 has made all physical punishment of children unlawful whereas parents in England may still rely on the defence of reasonable punishment under Section 58 of the CA 2004. For practitioners this provides clarity about what counts as acceptable chastisement, although any reports are assessed in line with the level of risk and parents may be offered support instead of prosecution. </w:t>
            </w:r>
          </w:p>
          <w:p w14:paraId="7D923D20" w14:textId="77777777" w:rsidR="00774587" w:rsidRDefault="00774587" w:rsidP="00FF7EBB">
            <w:pPr>
              <w:jc w:val="both"/>
              <w:rPr>
                <w:sz w:val="24"/>
                <w:szCs w:val="24"/>
              </w:rPr>
            </w:pPr>
          </w:p>
          <w:p w14:paraId="249DB1D7" w14:textId="23FE6140" w:rsidR="00774587" w:rsidRDefault="00774587" w:rsidP="00FF7EBB">
            <w:pPr>
              <w:jc w:val="both"/>
              <w:rPr>
                <w:sz w:val="24"/>
                <w:szCs w:val="24"/>
              </w:rPr>
            </w:pPr>
            <w:r>
              <w:rPr>
                <w:sz w:val="24"/>
                <w:szCs w:val="24"/>
              </w:rPr>
              <w:t xml:space="preserve">Nationally these duties are set out in Working Together to Safeguard People, with Volume 5 providing statutory guidance on handling individual cases to protect children at risk (Welsh Government, 2019c). The Wales Safeguarding Procedures (Wales Safeguarding Procedures Project Board, 2019) apply this guidance across all agencies. When a report is made, a strategy discussion follows to decide whether Section 47 CA 1989 enquiries are required. Where concerns are substantiated, an initial child protection conference should be held within </w:t>
            </w:r>
            <w:r>
              <w:rPr>
                <w:sz w:val="24"/>
                <w:szCs w:val="24"/>
              </w:rPr>
              <w:lastRenderedPageBreak/>
              <w:t xml:space="preserve">fifteen working days of the final </w:t>
            </w:r>
            <w:r w:rsidR="00DD4102">
              <w:rPr>
                <w:sz w:val="24"/>
                <w:szCs w:val="24"/>
              </w:rPr>
              <w:t xml:space="preserve">strategy discussion. If the child is placed on the child protection register, then a care and support protection plan is agreed and monitored through a core group and subsequent review conferences. </w:t>
            </w:r>
          </w:p>
          <w:p w14:paraId="3B491BCC" w14:textId="77777777" w:rsidR="00DD4102" w:rsidRDefault="00DD4102" w:rsidP="00FF7EBB">
            <w:pPr>
              <w:jc w:val="both"/>
              <w:rPr>
                <w:sz w:val="24"/>
                <w:szCs w:val="24"/>
              </w:rPr>
            </w:pPr>
          </w:p>
          <w:p w14:paraId="14D55D79" w14:textId="79187F88" w:rsidR="00DD4102" w:rsidRDefault="00DD4102" w:rsidP="00FF7EBB">
            <w:pPr>
              <w:jc w:val="both"/>
              <w:rPr>
                <w:sz w:val="24"/>
                <w:szCs w:val="24"/>
              </w:rPr>
            </w:pPr>
            <w:r>
              <w:rPr>
                <w:sz w:val="24"/>
                <w:szCs w:val="24"/>
              </w:rPr>
              <w:t xml:space="preserve">Locally, Regional Safeguarding Boards established under Section 134 SSW(W)A 2014 coordinate multi agency safeguarding and publish regional protocols on issues such as child exploitation and neglect. At an organisational level every agency must have a safeguarding policy that aligns with the Wales Safeguarding Procedures. This includes a designated safeguarding lead, clear reporting pathways, accurate recording and access to supervision so that practitioners understand how to respond when they have concerns about a child. </w:t>
            </w:r>
          </w:p>
          <w:p w14:paraId="49641ACD" w14:textId="77777777" w:rsidR="00FC0334" w:rsidRDefault="00FC0334" w:rsidP="00FF7EBB">
            <w:pPr>
              <w:jc w:val="both"/>
              <w:rPr>
                <w:sz w:val="24"/>
                <w:szCs w:val="24"/>
              </w:rPr>
            </w:pPr>
          </w:p>
          <w:p w14:paraId="60D8C669" w14:textId="60660247" w:rsidR="00FC0334" w:rsidRDefault="00C70852" w:rsidP="00FF7EBB">
            <w:pPr>
              <w:jc w:val="both"/>
              <w:rPr>
                <w:sz w:val="24"/>
                <w:szCs w:val="24"/>
              </w:rPr>
            </w:pPr>
            <w:r>
              <w:rPr>
                <w:sz w:val="24"/>
                <w:szCs w:val="24"/>
              </w:rPr>
              <w:t xml:space="preserve">Word count: </w:t>
            </w:r>
            <w:r w:rsidR="00DD4102">
              <w:rPr>
                <w:sz w:val="24"/>
                <w:szCs w:val="24"/>
              </w:rPr>
              <w:t>485</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78D2F84" w14:textId="77777777" w:rsidR="00FC0334" w:rsidRDefault="00FC0334" w:rsidP="00FC0334">
            <w:pPr>
              <w:jc w:val="both"/>
              <w:rPr>
                <w:sz w:val="24"/>
                <w:szCs w:val="24"/>
              </w:rPr>
            </w:pPr>
          </w:p>
          <w:p w14:paraId="1816B0B5" w14:textId="5EDFB682" w:rsidR="00211873" w:rsidRDefault="00211873" w:rsidP="00FC0334">
            <w:pPr>
              <w:jc w:val="both"/>
              <w:rPr>
                <w:sz w:val="24"/>
                <w:szCs w:val="24"/>
              </w:rPr>
            </w:pPr>
            <w:r>
              <w:rPr>
                <w:sz w:val="24"/>
                <w:szCs w:val="24"/>
              </w:rPr>
              <w:t>A major distinction between adults’ and children’s safeguarding is the role of the Mental Capacity Act 2005</w:t>
            </w:r>
            <w:r w:rsidR="00F1722B">
              <w:rPr>
                <w:sz w:val="24"/>
                <w:szCs w:val="24"/>
              </w:rPr>
              <w:t xml:space="preserve"> which applies from the age of 16. </w:t>
            </w:r>
            <w:r>
              <w:rPr>
                <w:sz w:val="24"/>
                <w:szCs w:val="24"/>
              </w:rPr>
              <w:t xml:space="preserve">In adult safeguarding, individuals are presumed to have capacity and their right to make decisions that others view as unwise places clear limits on how far practitioners can intervene. In children’s safeguarding there is no comparable presumption. </w:t>
            </w:r>
            <w:r w:rsidR="00F1722B">
              <w:rPr>
                <w:sz w:val="24"/>
                <w:szCs w:val="24"/>
              </w:rPr>
              <w:t xml:space="preserve">The welfare of the child is the primary consideration under Section 1 of the CA 1989 and although children have the right to be heard under Article 12 of the UNCRC (United Nations, 1989), their views are considered in light of their age and level of understanding rather than treated as decisive. Where a child wishes to remain in an unsafe situation, the practitioner’s duty is to act on the risk rather than to uphold the child’s voice.  </w:t>
            </w:r>
          </w:p>
          <w:p w14:paraId="0E64B386" w14:textId="77777777" w:rsidR="00FC0334" w:rsidRDefault="00FC0334" w:rsidP="00FC0334">
            <w:pPr>
              <w:jc w:val="both"/>
              <w:rPr>
                <w:sz w:val="24"/>
                <w:szCs w:val="24"/>
              </w:rPr>
            </w:pPr>
          </w:p>
          <w:p w14:paraId="4A2B7FF4" w14:textId="77777777" w:rsidR="006E6360" w:rsidRDefault="00F1722B" w:rsidP="00FC0334">
            <w:pPr>
              <w:jc w:val="both"/>
              <w:rPr>
                <w:sz w:val="24"/>
                <w:szCs w:val="24"/>
              </w:rPr>
            </w:pPr>
            <w:r>
              <w:rPr>
                <w:sz w:val="24"/>
                <w:szCs w:val="24"/>
              </w:rPr>
              <w:t>Consent and parental responsibility also operate very differently. In adult safeguarding family members have no legal authority over a capacitous adult’s decisions, and intervention depends largely on the person’s own consent and preferred outcomes. In children’s safeguarding, parents hold parental responsibility under Section 3 CA 1989 and their consent is ordinarily sought, yet Section 47 enquiries can proceed without it. When a child is at risk of significant harm the local authority can apply for a court order that overrides parental wishes. This means parents are both partners in planning and at times, the source of risk, requiring practitioners to balance collaborative working with the need to exercise professional authority.</w:t>
            </w:r>
          </w:p>
          <w:p w14:paraId="6D0BAA18" w14:textId="77777777" w:rsidR="006E6360" w:rsidRDefault="006E6360" w:rsidP="00FC0334">
            <w:pPr>
              <w:jc w:val="both"/>
              <w:rPr>
                <w:sz w:val="24"/>
                <w:szCs w:val="24"/>
              </w:rPr>
            </w:pPr>
          </w:p>
          <w:p w14:paraId="4847C39E" w14:textId="20252739" w:rsidR="00FC0334" w:rsidRDefault="006E6360" w:rsidP="00FC0334">
            <w:pPr>
              <w:jc w:val="both"/>
              <w:rPr>
                <w:sz w:val="24"/>
                <w:szCs w:val="24"/>
              </w:rPr>
            </w:pPr>
            <w:r>
              <w:rPr>
                <w:sz w:val="24"/>
                <w:szCs w:val="24"/>
              </w:rPr>
              <w:t xml:space="preserve">This difference shapes how practitioners relate to families. Because adult services usually become involved through consent, there is often some cooperation from the beginning. In children’s services, involvement is frequently unwanted and parents may experience it as stigmatising or fear that their children will be removed which can lead to defensiveness, disguised compliance or withdrawal. </w:t>
            </w:r>
            <w:r w:rsidR="00F1722B">
              <w:rPr>
                <w:sz w:val="24"/>
                <w:szCs w:val="24"/>
              </w:rPr>
              <w:t xml:space="preserve"> </w:t>
            </w:r>
          </w:p>
          <w:p w14:paraId="24563E09" w14:textId="77777777" w:rsidR="006E6360" w:rsidRDefault="006E6360" w:rsidP="00FC0334">
            <w:pPr>
              <w:jc w:val="both"/>
              <w:rPr>
                <w:sz w:val="24"/>
                <w:szCs w:val="24"/>
              </w:rPr>
            </w:pPr>
          </w:p>
          <w:p w14:paraId="00175B0C" w14:textId="31DD6F33" w:rsidR="006E6360" w:rsidRDefault="006E6360" w:rsidP="00FC0334">
            <w:pPr>
              <w:jc w:val="both"/>
              <w:rPr>
                <w:sz w:val="24"/>
                <w:szCs w:val="24"/>
              </w:rPr>
            </w:pPr>
            <w:r>
              <w:rPr>
                <w:sz w:val="24"/>
                <w:szCs w:val="24"/>
              </w:rPr>
              <w:lastRenderedPageBreak/>
              <w:t xml:space="preserve">Reflecting on these differences they appear to stem from contrasting assumptions about vulnerability. Adult safeguarding begins from autonomy and treats protection as the exception, whereas children’s safeguarding begins from protection and treats autonomy as something that develops with age. Each carries its own risks, as respect for autonomy can leave adults exposed to harm they choose to accept, while a protective focus can limit children’s participation and create distance between practitioners and families. </w:t>
            </w:r>
          </w:p>
          <w:p w14:paraId="35AC1FAD" w14:textId="77777777" w:rsidR="00F1722B" w:rsidRDefault="00F1722B" w:rsidP="00FC0334">
            <w:pPr>
              <w:jc w:val="both"/>
              <w:rPr>
                <w:sz w:val="24"/>
                <w:szCs w:val="24"/>
              </w:rPr>
            </w:pPr>
          </w:p>
          <w:p w14:paraId="7B7B4827" w14:textId="536A0CE2" w:rsidR="00FC0334" w:rsidRDefault="00F1722B" w:rsidP="00FC0334">
            <w:pPr>
              <w:jc w:val="both"/>
              <w:rPr>
                <w:sz w:val="24"/>
                <w:szCs w:val="24"/>
              </w:rPr>
            </w:pPr>
            <w:r>
              <w:rPr>
                <w:sz w:val="24"/>
                <w:szCs w:val="24"/>
              </w:rPr>
              <w:t xml:space="preserve">Word count: </w:t>
            </w:r>
            <w:r w:rsidR="006E6360">
              <w:rPr>
                <w:sz w:val="24"/>
                <w:szCs w:val="24"/>
              </w:rPr>
              <w:t>377</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26BB4" w14:textId="77777777" w:rsidR="00D72F57" w:rsidRDefault="00D72F57">
      <w:r>
        <w:separator/>
      </w:r>
    </w:p>
  </w:endnote>
  <w:endnote w:type="continuationSeparator" w:id="0">
    <w:p w14:paraId="5127CEA3" w14:textId="77777777" w:rsidR="00D72F57" w:rsidRDefault="00D72F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5E0013" w14:textId="77777777" w:rsidR="00D72F57" w:rsidRDefault="00D72F57">
      <w:r>
        <w:separator/>
      </w:r>
    </w:p>
  </w:footnote>
  <w:footnote w:type="continuationSeparator" w:id="0">
    <w:p w14:paraId="67734793" w14:textId="77777777" w:rsidR="00D72F57" w:rsidRDefault="00D72F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06D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3ADD"/>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873"/>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246D"/>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6360"/>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4587"/>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1F14"/>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273"/>
    <w:rsid w:val="00C70852"/>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2F57"/>
    <w:rsid w:val="00D84841"/>
    <w:rsid w:val="00D876E6"/>
    <w:rsid w:val="00D90958"/>
    <w:rsid w:val="00DA1025"/>
    <w:rsid w:val="00DA22EC"/>
    <w:rsid w:val="00DA5682"/>
    <w:rsid w:val="00DA5860"/>
    <w:rsid w:val="00DA5C0C"/>
    <w:rsid w:val="00DB2767"/>
    <w:rsid w:val="00DC1B10"/>
    <w:rsid w:val="00DC2924"/>
    <w:rsid w:val="00DC4729"/>
    <w:rsid w:val="00DD31C5"/>
    <w:rsid w:val="00DD4102"/>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5F75"/>
    <w:rsid w:val="00EE6FAB"/>
    <w:rsid w:val="00EF328C"/>
    <w:rsid w:val="00EF68BB"/>
    <w:rsid w:val="00F01F92"/>
    <w:rsid w:val="00F030D4"/>
    <w:rsid w:val="00F04053"/>
    <w:rsid w:val="00F06573"/>
    <w:rsid w:val="00F10A08"/>
    <w:rsid w:val="00F15354"/>
    <w:rsid w:val="00F1722B"/>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4</Pages>
  <Words>1044</Words>
  <Characters>5954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Jonathan White (1104145)</cp:lastModifiedBy>
  <cp:revision>9</cp:revision>
  <cp:lastPrinted>2020-02-11T19:20:00Z</cp:lastPrinted>
  <dcterms:created xsi:type="dcterms:W3CDTF">2022-09-29T11:35:00Z</dcterms:created>
  <dcterms:modified xsi:type="dcterms:W3CDTF">2026-10-01T08:23:00Z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