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0844F84B" w14:textId="35F4185D" w:rsidR="00E43DF9" w:rsidRPr="00E43DF9" w:rsidRDefault="00E43DF9" w:rsidP="00E43DF9">
      <w:pPr>
        <w:spacing w:line="480" w:lineRule="auto"/>
        <w:jc w:val="center"/>
        <w:rPr>
          <w:u w:val="single"/>
        </w:rPr>
      </w:pPr>
      <w:bookmarkStart w:id="0" w:name="_Hlk512882888"/>
      <w:r>
        <w:rPr>
          <w:u w:val="single"/>
        </w:rPr>
        <w:t>Courts and Society Journal</w:t>
      </w:r>
      <w:bookmarkStart w:id="1" w:name="_GoBack"/>
      <w:bookmarkEnd w:id="1"/>
    </w:p>
    <w:p w14:paraId="5B7F88A8" w14:textId="4440E2AE" w:rsidR="00F14EDF" w:rsidRDefault="0076211F" w:rsidP="00EC1A18">
      <w:pPr>
        <w:spacing w:line="480" w:lineRule="auto"/>
      </w:pPr>
      <w:r>
        <w:t xml:space="preserve">As the </w:t>
      </w:r>
      <w:proofErr w:type="spellStart"/>
      <w:r w:rsidR="00DC7AE2">
        <w:t>e</w:t>
      </w:r>
      <w:r>
        <w:t>pistate</w:t>
      </w:r>
      <w:proofErr w:type="spellEnd"/>
      <w:r>
        <w:t xml:space="preserve"> of Antioch</w:t>
      </w:r>
      <w:r w:rsidR="00DC7AE2">
        <w:t xml:space="preserve"> and Apamea</w:t>
      </w:r>
      <w:r w:rsidR="007B7B66">
        <w:t xml:space="preserve">, </w:t>
      </w:r>
      <w:r w:rsidR="00FD4B74">
        <w:t xml:space="preserve">it was my job to </w:t>
      </w:r>
      <w:r w:rsidR="008169CB">
        <w:t>ensur</w:t>
      </w:r>
      <w:r w:rsidR="00FD4B74">
        <w:t>e</w:t>
      </w:r>
      <w:r w:rsidR="008169CB">
        <w:t xml:space="preserve"> that we had the necessary supplies needed for building monuments or for throwing festivals for example, as well as </w:t>
      </w:r>
      <w:r w:rsidR="00FD4B74">
        <w:t xml:space="preserve">keeping track of the city funds so that </w:t>
      </w:r>
      <w:r w:rsidR="008169CB">
        <w:t xml:space="preserve">there was sufficient money available to be able to complete projects and </w:t>
      </w:r>
      <w:r w:rsidR="00FD4B74">
        <w:t>pay</w:t>
      </w:r>
      <w:r w:rsidR="008169CB">
        <w:t xml:space="preserve"> our military.</w:t>
      </w:r>
      <w:r w:rsidR="00DF1C7F">
        <w:rPr>
          <w:rStyle w:val="FootnoteReference"/>
        </w:rPr>
        <w:footnoteReference w:id="1"/>
      </w:r>
      <w:r w:rsidR="00576440">
        <w:t xml:space="preserve"> Throughout the years lived within </w:t>
      </w:r>
      <w:r w:rsidR="00DC7AE2">
        <w:t xml:space="preserve">this module, there have been many instances wherein the role of </w:t>
      </w:r>
      <w:proofErr w:type="spellStart"/>
      <w:r w:rsidR="00DC7AE2">
        <w:t>epistate</w:t>
      </w:r>
      <w:proofErr w:type="spellEnd"/>
      <w:r w:rsidR="00DC7AE2">
        <w:t xml:space="preserve"> has been utilised with the breakout of several wars and campaigns, the construction of temples and the festivals that followed.</w:t>
      </w:r>
      <w:r w:rsidR="006F4EC0">
        <w:t xml:space="preserve"> After the death of </w:t>
      </w:r>
      <w:proofErr w:type="spellStart"/>
      <w:r w:rsidR="006F4EC0">
        <w:t>Seleucus</w:t>
      </w:r>
      <w:proofErr w:type="spellEnd"/>
      <w:r w:rsidR="006F4EC0">
        <w:t xml:space="preserve"> II</w:t>
      </w:r>
      <w:r w:rsidR="006F4EC0">
        <w:rPr>
          <w:rStyle w:val="FootnoteReference"/>
        </w:rPr>
        <w:footnoteReference w:id="2"/>
      </w:r>
      <w:r w:rsidR="006F4EC0">
        <w:t xml:space="preserve">, life within the module became </w:t>
      </w:r>
      <w:r w:rsidR="00344010">
        <w:t xml:space="preserve">both </w:t>
      </w:r>
      <w:r w:rsidR="006F4EC0">
        <w:t>confusing</w:t>
      </w:r>
      <w:r w:rsidR="00344010">
        <w:t xml:space="preserve"> and chaotic</w:t>
      </w:r>
      <w:r w:rsidR="006F4EC0">
        <w:t>.</w:t>
      </w:r>
      <w:r w:rsidR="00344010">
        <w:t xml:space="preserve"> However, from this came a better understanding of how</w:t>
      </w:r>
      <w:bookmarkEnd w:id="0"/>
      <w:r w:rsidR="00344010">
        <w:t xml:space="preserve"> life for the ancient people, especially those who worked closely with the city officials, dealt with the various challenges thrown at them on a yearly basis.</w:t>
      </w:r>
    </w:p>
    <w:p w14:paraId="18E37710" w14:textId="4B68B5EE" w:rsidR="00637ECD" w:rsidRDefault="00344010" w:rsidP="00EC1A18">
      <w:pPr>
        <w:spacing w:line="480" w:lineRule="auto"/>
      </w:pPr>
      <w:r>
        <w:t xml:space="preserve">The first challenge began with the declaration of war, </w:t>
      </w:r>
      <w:r w:rsidR="005456BA">
        <w:t xml:space="preserve">that sent Antioch and </w:t>
      </w:r>
      <w:proofErr w:type="spellStart"/>
      <w:r w:rsidR="005456BA">
        <w:t>Apamea’s</w:t>
      </w:r>
      <w:proofErr w:type="spellEnd"/>
      <w:r w:rsidR="005456BA">
        <w:t xml:space="preserve"> military forces on campaign to the Ptolemies.</w:t>
      </w:r>
      <w:r w:rsidR="005456BA">
        <w:rPr>
          <w:rStyle w:val="FootnoteReference"/>
        </w:rPr>
        <w:footnoteReference w:id="3"/>
      </w:r>
      <w:r w:rsidR="005456BA">
        <w:t xml:space="preserve"> Firstly, one must </w:t>
      </w:r>
      <w:r w:rsidR="00F016CE">
        <w:t xml:space="preserve">think of where the military’s soldiers would come from. The obvious solution to this would perhaps be able bodied men from both cities, as well as a certain number of mercenaries. </w:t>
      </w:r>
      <w:r w:rsidR="009B63D8">
        <w:t>Although</w:t>
      </w:r>
      <w:r w:rsidR="004001AE">
        <w:t xml:space="preserve"> there does not seem to be a specific</w:t>
      </w:r>
      <w:r w:rsidR="00F03650">
        <w:t xml:space="preserve"> set of</w:t>
      </w:r>
      <w:r w:rsidR="004001AE">
        <w:t xml:space="preserve"> numbers </w:t>
      </w:r>
      <w:proofErr w:type="gramStart"/>
      <w:r w:rsidR="004001AE">
        <w:t>for the amount of</w:t>
      </w:r>
      <w:proofErr w:type="gramEnd"/>
      <w:r w:rsidR="004001AE">
        <w:t xml:space="preserve"> forces kept in Antioch or Apamea, as the capital and military headquarters respectively</w:t>
      </w:r>
      <w:r w:rsidR="007E6BF5">
        <w:t xml:space="preserve">, it could be </w:t>
      </w:r>
      <w:r w:rsidR="00F03650">
        <w:t>assumed that the number of forces in either city could be quite high.</w:t>
      </w:r>
      <w:r w:rsidR="00F03650">
        <w:rPr>
          <w:rStyle w:val="FootnoteReference"/>
        </w:rPr>
        <w:footnoteReference w:id="4"/>
      </w:r>
      <w:r w:rsidR="00F03650">
        <w:t xml:space="preserve"> In approximately 217 B.C., Antiochus rose an army of 62,000 infantry, 6,000 cavalry, and 102 elephants from his Seleucid allies</w:t>
      </w:r>
      <w:r w:rsidR="00794737">
        <w:t xml:space="preserve"> to fight at the battle of Raphia.</w:t>
      </w:r>
      <w:r w:rsidR="00794737">
        <w:rPr>
          <w:rStyle w:val="FootnoteReference"/>
        </w:rPr>
        <w:footnoteReference w:id="5"/>
      </w:r>
      <w:r w:rsidR="00794737">
        <w:t xml:space="preserve"> Based on these numbers, in ensuring that money could be provided, it was hypothesised within the confines of the module, that there could have been around 10,000 men at Antioch and/or Apamea at a </w:t>
      </w:r>
      <w:r w:rsidR="00794737" w:rsidRPr="00493DEA">
        <w:t xml:space="preserve">given time. Based on numbers from other cities, it was agreed that </w:t>
      </w:r>
      <w:r w:rsidR="00401461" w:rsidRPr="00493DEA">
        <w:t>1</w:t>
      </w:r>
      <w:r w:rsidR="00493DEA" w:rsidRPr="00493DEA">
        <w:t>-2</w:t>
      </w:r>
      <w:r w:rsidR="00401461" w:rsidRPr="00493DEA">
        <w:t xml:space="preserve"> drachmae</w:t>
      </w:r>
      <w:r w:rsidR="00794737" w:rsidRPr="00493DEA">
        <w:t xml:space="preserve"> a </w:t>
      </w:r>
      <w:r w:rsidR="00401461" w:rsidRPr="00493DEA">
        <w:t>day</w:t>
      </w:r>
      <w:r w:rsidR="00794737" w:rsidRPr="00493DEA">
        <w:t xml:space="preserve"> would be given to every 1,000 </w:t>
      </w:r>
      <w:r w:rsidR="000C3822" w:rsidRPr="00493DEA">
        <w:t xml:space="preserve">men </w:t>
      </w:r>
      <w:r w:rsidR="00401461" w:rsidRPr="00493DEA">
        <w:t>who were</w:t>
      </w:r>
      <w:r w:rsidR="00794737" w:rsidRPr="00493DEA">
        <w:t xml:space="preserve"> part of the cavalry, whilst </w:t>
      </w:r>
      <w:r w:rsidR="00401461" w:rsidRPr="00493DEA">
        <w:t>infantry would have</w:t>
      </w:r>
      <w:r w:rsidR="00493DEA" w:rsidRPr="00493DEA">
        <w:t xml:space="preserve"> had around 5 obols to 1 drachma a day</w:t>
      </w:r>
      <w:r w:rsidR="007662F6">
        <w:t>.</w:t>
      </w:r>
      <w:r w:rsidR="00401461" w:rsidRPr="00493DEA">
        <w:rPr>
          <w:rStyle w:val="FootnoteReference"/>
        </w:rPr>
        <w:footnoteReference w:id="6"/>
      </w:r>
    </w:p>
    <w:p w14:paraId="63131215" w14:textId="2BAEE36F" w:rsidR="00637ECD" w:rsidRDefault="00637ECD" w:rsidP="00EC1A18">
      <w:pPr>
        <w:spacing w:line="480" w:lineRule="auto"/>
      </w:pPr>
      <w:r>
        <w:t xml:space="preserve">One possibly way of ensuring that wages could be met during times of war, as well for construction projects, festivals, or other such ilk, would be the taxation of Agricultural land (and subsequently its revenues), land and </w:t>
      </w:r>
      <w:r>
        <w:lastRenderedPageBreak/>
        <w:t>market tax, taxation on animal produce (and the land on which they are kept), a poll tax, and then an artisan tax.</w:t>
      </w:r>
      <w:r>
        <w:rPr>
          <w:rStyle w:val="FootnoteReference"/>
        </w:rPr>
        <w:footnoteReference w:id="7"/>
      </w:r>
      <w:r>
        <w:t xml:space="preserve"> Next to taxation, would be the tribute that would be paid to the king periodically by the cities under his rule.</w:t>
      </w:r>
      <w:r>
        <w:rPr>
          <w:rStyle w:val="FootnoteReference"/>
        </w:rPr>
        <w:footnoteReference w:id="8"/>
      </w:r>
      <w:r w:rsidR="00E30D05">
        <w:t xml:space="preserve"> In terms of produce</w:t>
      </w:r>
      <w:r w:rsidR="007662F6">
        <w:t xml:space="preserve"> for feeding both citizens and army, the lands surrounding Antioch were extremely fertile and would have provided ample opportunity to grow produce such as barley, dates, mustard, cress, sesame</w:t>
      </w:r>
      <w:r w:rsidR="00C62196">
        <w:t>, olives and cucumber</w:t>
      </w:r>
      <w:r w:rsidR="007662F6">
        <w:t>.</w:t>
      </w:r>
      <w:r w:rsidR="007662F6">
        <w:rPr>
          <w:rStyle w:val="FootnoteReference"/>
        </w:rPr>
        <w:footnoteReference w:id="9"/>
      </w:r>
      <w:r w:rsidR="007662F6">
        <w:t xml:space="preserve"> The fertile lands would have likely been utilised to feed livestock,</w:t>
      </w:r>
      <w:r w:rsidR="00C62196">
        <w:t xml:space="preserve"> such as various </w:t>
      </w:r>
      <w:r w:rsidR="00C62196" w:rsidRPr="00C62196">
        <w:rPr>
          <w:i/>
        </w:rPr>
        <w:t>“poultry, geese, pigs, sheep, and goats”</w:t>
      </w:r>
      <w:r w:rsidR="00C62196">
        <w:t>.</w:t>
      </w:r>
      <w:r w:rsidR="00C62196">
        <w:rPr>
          <w:rStyle w:val="FootnoteReference"/>
        </w:rPr>
        <w:footnoteReference w:id="10"/>
      </w:r>
      <w:r w:rsidR="007662F6">
        <w:t xml:space="preserve"> whose produce would have provided both textiles and consumables.</w:t>
      </w:r>
      <w:r w:rsidR="00C62196">
        <w:t xml:space="preserve"> Antioch was also known for its lily oil, also known as Syrian oil, the product being necessary for medicinal use and as such was a popular export of the city, along with </w:t>
      </w:r>
      <w:proofErr w:type="spellStart"/>
      <w:r w:rsidR="00C62196">
        <w:t>oenanthe</w:t>
      </w:r>
      <w:proofErr w:type="spellEnd"/>
      <w:r w:rsidR="00C62196">
        <w:t xml:space="preserve"> which was also needed for medicinal purposes.</w:t>
      </w:r>
      <w:r w:rsidR="00C62196">
        <w:rPr>
          <w:rStyle w:val="FootnoteReference"/>
        </w:rPr>
        <w:footnoteReference w:id="11"/>
      </w:r>
    </w:p>
    <w:p w14:paraId="52202144" w14:textId="7F082054" w:rsidR="00F12802" w:rsidRDefault="00930951" w:rsidP="00EC1A18">
      <w:pPr>
        <w:spacing w:line="480" w:lineRule="auto"/>
      </w:pPr>
      <w:r>
        <w:t>After the death of our king, it was agreed amongst officials that a temple would be erected in his honour</w:t>
      </w:r>
      <w:r w:rsidR="008C6030">
        <w:t xml:space="preserve"> which in turn would bring about the arrival of a new cult, who would worship the late king alongside</w:t>
      </w:r>
      <w:r>
        <w:t xml:space="preserve"> </w:t>
      </w:r>
      <w:r w:rsidR="00881C74">
        <w:t>Athena</w:t>
      </w:r>
      <w:r w:rsidR="008C6030">
        <w:t xml:space="preserve"> and Demeter, who also received a share</w:t>
      </w:r>
      <w:r w:rsidR="00E571D8">
        <w:t>d temple</w:t>
      </w:r>
      <w:r w:rsidR="00EB14A2">
        <w:t xml:space="preserve">. Construction for </w:t>
      </w:r>
      <w:proofErr w:type="spellStart"/>
      <w:r w:rsidR="00EB14A2">
        <w:t>Seleucus</w:t>
      </w:r>
      <w:proofErr w:type="spellEnd"/>
      <w:r w:rsidR="00EB14A2">
        <w:t xml:space="preserve">’ temple began first, admittedly several years after his death, however prior to this we had been busy with the impending war with the Ptolemaic Empire and had been unable to construct </w:t>
      </w:r>
      <w:proofErr w:type="spellStart"/>
      <w:r w:rsidR="00EB14A2">
        <w:t>Seleucus</w:t>
      </w:r>
      <w:proofErr w:type="spellEnd"/>
      <w:r w:rsidR="00EB14A2">
        <w:t xml:space="preserve">’ temple within the first two years after his death as was planned. Once we were able to begin the plans for construction, we agreed that the temple would preferably be completed within four years </w:t>
      </w:r>
      <w:proofErr w:type="gramStart"/>
      <w:r w:rsidR="00EB14A2">
        <w:t>similar to</w:t>
      </w:r>
      <w:proofErr w:type="gramEnd"/>
      <w:r w:rsidR="00EB14A2">
        <w:t xml:space="preserve"> a temple at Epidaurus, which had been completed within 4 years and 8 months.</w:t>
      </w:r>
      <w:r w:rsidR="00EB14A2">
        <w:rPr>
          <w:rStyle w:val="FootnoteReference"/>
        </w:rPr>
        <w:footnoteReference w:id="12"/>
      </w:r>
      <w:r w:rsidR="00C41DC1">
        <w:t xml:space="preserve"> </w:t>
      </w:r>
      <w:r w:rsidR="00CC6FB2">
        <w:t xml:space="preserve">The final cost of the temple of </w:t>
      </w:r>
      <w:proofErr w:type="spellStart"/>
      <w:r w:rsidR="00CC6FB2">
        <w:t>Seleucus</w:t>
      </w:r>
      <w:proofErr w:type="spellEnd"/>
      <w:r w:rsidR="00CC6FB2">
        <w:t xml:space="preserve"> was estimated to around 6 talents, similar to the temple of Apollo </w:t>
      </w:r>
      <w:proofErr w:type="spellStart"/>
      <w:r w:rsidR="00CC6FB2">
        <w:t>Maleatas</w:t>
      </w:r>
      <w:proofErr w:type="spellEnd"/>
      <w:r w:rsidR="00CC6FB2">
        <w:t xml:space="preserve"> at </w:t>
      </w:r>
      <w:proofErr w:type="spellStart"/>
      <w:r w:rsidR="00CC6FB2">
        <w:t>Epidauros</w:t>
      </w:r>
      <w:proofErr w:type="spellEnd"/>
      <w:r w:rsidR="00CC6FB2">
        <w:t xml:space="preserve">, near the temple of </w:t>
      </w:r>
      <w:proofErr w:type="spellStart"/>
      <w:r w:rsidR="00CC6FB2">
        <w:t>Asklepios</w:t>
      </w:r>
      <w:proofErr w:type="spellEnd"/>
      <w:r w:rsidR="00CC6FB2">
        <w:t>.</w:t>
      </w:r>
      <w:r w:rsidR="00CC6FB2">
        <w:rPr>
          <w:rStyle w:val="FootnoteReference"/>
        </w:rPr>
        <w:footnoteReference w:id="13"/>
      </w:r>
      <w:r w:rsidR="00EB14A2">
        <w:t xml:space="preserve"> </w:t>
      </w:r>
      <w:r w:rsidR="00CC6FB2">
        <w:t xml:space="preserve">As our second temple which was to be used to worship </w:t>
      </w:r>
      <w:r w:rsidR="00881C74">
        <w:t>Athena</w:t>
      </w:r>
      <w:r w:rsidR="00CC6FB2">
        <w:t xml:space="preserve"> and Demeter </w:t>
      </w:r>
      <w:r w:rsidR="00CC6FB2" w:rsidRPr="00C008BE">
        <w:t>(our decision in choosing these two gods being so that the fertile lands of Antioch would remain fertile through worshiping Demeter</w:t>
      </w:r>
      <w:r w:rsidR="00646DA3" w:rsidRPr="00C008BE">
        <w:t xml:space="preserve"> and remaining in her favour</w:t>
      </w:r>
      <w:r w:rsidR="00CC6FB2" w:rsidRPr="00C008BE">
        <w:t>, and</w:t>
      </w:r>
      <w:r w:rsidR="00C008BE" w:rsidRPr="00C008BE">
        <w:t xml:space="preserve"> through worshiping Athena we hoped for wisdom in the seemingly endless wars that fell on our people</w:t>
      </w:r>
      <w:r w:rsidR="00646DA3" w:rsidRPr="00C008BE">
        <w:t>)</w:t>
      </w:r>
      <w:r w:rsidR="00646DA3">
        <w:t xml:space="preserve">, we believed it to be best to ensure it was considerably bigger than our temple to </w:t>
      </w:r>
      <w:proofErr w:type="spellStart"/>
      <w:r w:rsidR="00646DA3">
        <w:t>Seleucus</w:t>
      </w:r>
      <w:proofErr w:type="spellEnd"/>
      <w:r w:rsidR="00646DA3">
        <w:t xml:space="preserve"> so that there would be room to worship the gods separately, but also to ensure that there could be no doubt as to who was being worshiped at any particular time.</w:t>
      </w:r>
      <w:r w:rsidR="00B52C9E">
        <w:t xml:space="preserve"> As construction for the second temple had begun </w:t>
      </w:r>
      <w:r w:rsidR="00775977">
        <w:t>roughly a year into the</w:t>
      </w:r>
      <w:r w:rsidR="00B52C9E">
        <w:t xml:space="preserve"> </w:t>
      </w:r>
      <w:r w:rsidR="00775977">
        <w:t>construction</w:t>
      </w:r>
      <w:r w:rsidR="00B52C9E">
        <w:t xml:space="preserve"> the temple of </w:t>
      </w:r>
      <w:proofErr w:type="spellStart"/>
      <w:r w:rsidR="00B52C9E">
        <w:t>Seleucus</w:t>
      </w:r>
      <w:proofErr w:type="spellEnd"/>
      <w:r w:rsidR="00B52C9E">
        <w:t xml:space="preserve"> (as city officials had believed it best not to allow the original Gods to believe that our cities had forgotten them or </w:t>
      </w:r>
      <w:r w:rsidR="00B52C9E">
        <w:lastRenderedPageBreak/>
        <w:t xml:space="preserve">were snubbing them), construction on the temple of </w:t>
      </w:r>
      <w:proofErr w:type="spellStart"/>
      <w:r w:rsidR="00B52C9E">
        <w:t>Seleucus</w:t>
      </w:r>
      <w:proofErr w:type="spellEnd"/>
      <w:r w:rsidR="00B52C9E">
        <w:t xml:space="preserve"> had begun to slow as workers were now being split between the two sites. As there were only about 150-200 men working on the temple</w:t>
      </w:r>
      <w:r w:rsidR="00775977">
        <w:t xml:space="preserve">, and as their time and attention had to be on two sites, we estimated that an extra two years was placed on top of the original four years, which meant that similarly, the temple of </w:t>
      </w:r>
      <w:r w:rsidR="00881C74">
        <w:t>Athena</w:t>
      </w:r>
      <w:r w:rsidR="00775977">
        <w:t xml:space="preserve"> and Demeter would have been completed about a year and half, to two years after the first temple.</w:t>
      </w:r>
      <w:r w:rsidR="00B52C9E">
        <w:rPr>
          <w:rStyle w:val="FootnoteReference"/>
        </w:rPr>
        <w:footnoteReference w:id="14"/>
      </w:r>
      <w:r w:rsidR="00775977">
        <w:t xml:space="preserve"> </w:t>
      </w:r>
    </w:p>
    <w:p w14:paraId="0F0B694E" w14:textId="65D34447" w:rsidR="002E52B1" w:rsidRDefault="00775977" w:rsidP="00EC1A18">
      <w:pPr>
        <w:spacing w:line="480" w:lineRule="auto"/>
      </w:pPr>
      <w:r>
        <w:t xml:space="preserve">Myself and the Seleucid officials </w:t>
      </w:r>
      <w:r w:rsidR="00F12802">
        <w:t>entertained the idea of utilising the slave population within Antioch to shorten the length of time it took to complete construction on the, however could not find a source that gave a distinct number so that we could discuss how many we could use</w:t>
      </w:r>
      <w:r w:rsidR="006D4675">
        <w:t>.</w:t>
      </w:r>
    </w:p>
    <w:p w14:paraId="550388E0" w14:textId="0F8A30DB" w:rsidR="003E7619" w:rsidRDefault="006D4675" w:rsidP="00EC1A18">
      <w:pPr>
        <w:spacing w:line="480" w:lineRule="auto"/>
      </w:pPr>
      <w:r>
        <w:t>To ensure that it was possible for the construction of the temple to go ahead, once again, the issue of funding came about. For the workmen, the agreed upon wage had been 1½ - 2 drachmae a day if the man was particularly skilled at his craft.</w:t>
      </w:r>
      <w:r>
        <w:rPr>
          <w:rStyle w:val="FootnoteReference"/>
        </w:rPr>
        <w:footnoteReference w:id="15"/>
      </w:r>
      <w:r>
        <w:t xml:space="preserve"> Otherwise, wage ranged from 4 obols to 1 drachmae had been agreed upon.</w:t>
      </w:r>
      <w:r w:rsidR="0088446E">
        <w:t xml:space="preserve"> </w:t>
      </w:r>
      <w:r w:rsidR="001332F6">
        <w:t>As for the materials needed for the temple, stone was at the top of the list, being an essential for building.</w:t>
      </w:r>
      <w:r w:rsidR="001332F6">
        <w:rPr>
          <w:rStyle w:val="FootnoteReference"/>
        </w:rPr>
        <w:footnoteReference w:id="16"/>
      </w:r>
      <w:r w:rsidR="001332F6">
        <w:t xml:space="preserve"> As it was, stone could be gathered from nearby quarries providing easy and cheaper access to such an important material, as was the case with timber which could easily be gathered from the surrounding forests.</w:t>
      </w:r>
      <w:r w:rsidR="001332F6">
        <w:rPr>
          <w:rStyle w:val="FootnoteReference"/>
        </w:rPr>
        <w:footnoteReference w:id="17"/>
      </w:r>
      <w:r w:rsidR="00A22898">
        <w:t xml:space="preserve"> Cypress trees could be found nearby at Daphne, where the wood was supposedly highly sought after and was popular in construction work</w:t>
      </w:r>
      <w:r w:rsidR="003E7619">
        <w:t>, the cost of which, depending on the length was upwards towards 50 drachmae a cart.</w:t>
      </w:r>
      <w:r w:rsidR="00A22898">
        <w:rPr>
          <w:rStyle w:val="FootnoteReference"/>
        </w:rPr>
        <w:footnoteReference w:id="18"/>
      </w:r>
      <w:r w:rsidR="00EB1254">
        <w:t xml:space="preserve"> </w:t>
      </w:r>
      <w:r w:rsidR="00EB1254">
        <w:t>For the temple’s decorations</w:t>
      </w:r>
      <w:r w:rsidR="00EB1254">
        <w:t xml:space="preserve"> (statues and the like</w:t>
      </w:r>
      <w:r w:rsidR="00EB1254">
        <w:rPr>
          <w:rStyle w:val="FootnoteReference"/>
        </w:rPr>
        <w:footnoteReference w:id="19"/>
      </w:r>
      <w:r w:rsidR="00EB1254">
        <w:t>)</w:t>
      </w:r>
      <w:r w:rsidR="00EB1254">
        <w:t>, silver and gold wa</w:t>
      </w:r>
      <w:r w:rsidR="00EB1254">
        <w:t>s primarily used. The silver and gold had been mined and traded from Cilicia and Bactria respectively.</w:t>
      </w:r>
      <w:r w:rsidR="001253E0">
        <w:rPr>
          <w:rStyle w:val="FootnoteReference"/>
        </w:rPr>
        <w:footnoteReference w:id="20"/>
      </w:r>
    </w:p>
    <w:p w14:paraId="74EF5751" w14:textId="6271BEEA" w:rsidR="006D4675" w:rsidRDefault="003E7619" w:rsidP="00EC1A18">
      <w:pPr>
        <w:spacing w:line="480" w:lineRule="auto"/>
      </w:pPr>
      <w:r>
        <w:t xml:space="preserve">Myself and city officials discussed the possibility using ivory within the temple, however, due to the near non-stop wars that seemed to plague our people, we decided it may be best to not risk harming our war elephants and loosing a possible advantage. We also </w:t>
      </w:r>
      <w:proofErr w:type="gramStart"/>
      <w:r>
        <w:t>came to the conclusion</w:t>
      </w:r>
      <w:proofErr w:type="gramEnd"/>
      <w:r>
        <w:t xml:space="preserve"> that as we were often at war, preserving as much money as possible was perhaps a better option. Ensuring that we had something to offer should the possibility of peace had been an option was also a reason for ensuring we had plenty left in our treasury</w:t>
      </w:r>
      <w:r w:rsidR="00C008BE">
        <w:t xml:space="preserve">. Our treasury </w:t>
      </w:r>
      <w:r w:rsidR="00C008BE">
        <w:lastRenderedPageBreak/>
        <w:t xml:space="preserve">however, grew considerably after a new alliance was made with our new king, Brad (our fellow student did not provide us with a name for his character within the module), who promised a short respite in paying tribute </w:t>
      </w:r>
      <w:proofErr w:type="gramStart"/>
      <w:r w:rsidR="00C008BE">
        <w:t>and also</w:t>
      </w:r>
      <w:proofErr w:type="gramEnd"/>
      <w:r w:rsidR="00C008BE">
        <w:t xml:space="preserve"> grant</w:t>
      </w:r>
      <w:r w:rsidR="005D49A8">
        <w:t>ed</w:t>
      </w:r>
      <w:r w:rsidR="00C008BE">
        <w:t xml:space="preserve"> us several thousand talents, if we promised to align ourselves with him and his cause.</w:t>
      </w:r>
      <w:r w:rsidR="005D49A8">
        <w:t xml:space="preserve"> Despite having completed the construction for the temple of </w:t>
      </w:r>
      <w:proofErr w:type="spellStart"/>
      <w:r w:rsidR="005D49A8">
        <w:t>Seleucus</w:t>
      </w:r>
      <w:proofErr w:type="spellEnd"/>
      <w:r w:rsidR="005D49A8">
        <w:t>, we were unable to complete our plan to create a new cult</w:t>
      </w:r>
      <w:r w:rsidR="006466EF">
        <w:t xml:space="preserve"> that would then worship in the late king just as they would with Athena and Demeter (upon the completion of their temple). However, with the confusion and chaos of the political climate that surrounded us, and the arrival of several new kings, we were unsure how we would have been able to start with such a task whilst city officials attention was solely on the constant stream of declarations of war, and the new monarchs.</w:t>
      </w:r>
    </w:p>
    <w:p w14:paraId="262E50A8" w14:textId="5DCF078B" w:rsidR="00322B20" w:rsidRDefault="006466EF" w:rsidP="00EC1A18">
      <w:pPr>
        <w:spacing w:line="480" w:lineRule="auto"/>
      </w:pPr>
      <w:r>
        <w:t xml:space="preserve">Our first festival began shortly after the completion of the temple of </w:t>
      </w:r>
      <w:proofErr w:type="spellStart"/>
      <w:r>
        <w:t>Seleucus</w:t>
      </w:r>
      <w:proofErr w:type="spellEnd"/>
      <w:r>
        <w:t xml:space="preserve"> II, providing a brief respite from war for our people and allies</w:t>
      </w:r>
      <w:r w:rsidR="00371C4C">
        <w:t xml:space="preserve">, who were all invited to enjoy various activities in the name of the late and new king (who was still away on campaign at the start of the festival. The festival of </w:t>
      </w:r>
      <w:proofErr w:type="spellStart"/>
      <w:r w:rsidR="00371C4C">
        <w:t>Seleucus</w:t>
      </w:r>
      <w:proofErr w:type="spellEnd"/>
      <w:r w:rsidR="00371C4C">
        <w:t xml:space="preserve"> was scheduled to be held annually during the summer</w:t>
      </w:r>
      <w:r w:rsidR="007D7C05">
        <w:t>. The festival would begin with a procession throughout the city, starting (at least for the commencement of the first festival) with the city officials and the city allies, then by the newly appointed priest along with the sacrificial animal (a goat had been chosen as the first sacrifice for the new festival, as it was one of the many livestock kept in Antioch), the citizens of Antioch the followed closely behind so that they may view the sacrifice.</w:t>
      </w:r>
      <w:r w:rsidR="007D7C05">
        <w:rPr>
          <w:rStyle w:val="FootnoteReference"/>
        </w:rPr>
        <w:footnoteReference w:id="21"/>
      </w:r>
      <w:r w:rsidR="007D7C05">
        <w:t xml:space="preserve"> </w:t>
      </w:r>
      <w:r w:rsidR="00322B20">
        <w:t>After the sacrifice, there would be several events thrown throughout the city such as, athletics, equestrian events, musical events and various forms of racing.</w:t>
      </w:r>
      <w:r w:rsidR="00322B20">
        <w:rPr>
          <w:rStyle w:val="FootnoteReference"/>
        </w:rPr>
        <w:footnoteReference w:id="22"/>
      </w:r>
      <w:r w:rsidR="00322B20">
        <w:t xml:space="preserve"> The equestrian events, particularly the horse racing, would have been particularly popular amongst the people as Antioch bred horses specifically for racing, meaning that horse racing would have already been prominent and popular amongst the people, and would have likely intrigued the guests.</w:t>
      </w:r>
      <w:r w:rsidR="00322B20">
        <w:rPr>
          <w:rStyle w:val="FootnoteReference"/>
        </w:rPr>
        <w:footnoteReference w:id="23"/>
      </w:r>
      <w:r w:rsidR="00322B20">
        <w:t>The festival of Athena and Demeter occurred in the autumn, so that Demeter may be worshipped accordingly as the harvest was brought in.</w:t>
      </w:r>
      <w:r w:rsidR="00D03921">
        <w:t xml:space="preserve"> The festival had a similar schedule as the festival of </w:t>
      </w:r>
      <w:proofErr w:type="spellStart"/>
      <w:r w:rsidR="00D03921">
        <w:t>Seleucus</w:t>
      </w:r>
      <w:proofErr w:type="spellEnd"/>
      <w:r w:rsidR="00D03921">
        <w:t>, in that it began with a procession, which was then followed by a sacrifice and multiple events, but it also played close homage to the olive as it was sacred to Athena.</w:t>
      </w:r>
      <w:r w:rsidR="00D03921">
        <w:rPr>
          <w:rStyle w:val="FootnoteReference"/>
        </w:rPr>
        <w:footnoteReference w:id="24"/>
      </w:r>
      <w:r w:rsidR="00D03921">
        <w:t xml:space="preserve"> </w:t>
      </w:r>
    </w:p>
    <w:p w14:paraId="56C7AAB0" w14:textId="1DB5AF75" w:rsidR="00A121F5" w:rsidRDefault="00A121F5" w:rsidP="00EC1A18">
      <w:pPr>
        <w:spacing w:line="480" w:lineRule="auto"/>
      </w:pPr>
      <w:r>
        <w:t xml:space="preserve">It was at the festival of </w:t>
      </w:r>
      <w:proofErr w:type="spellStart"/>
      <w:r>
        <w:t>Seleucus</w:t>
      </w:r>
      <w:proofErr w:type="spellEnd"/>
      <w:r>
        <w:t xml:space="preserve"> that the decision had been made to assassinate Brad (our king), who although had promised us protection and had granted the city several gifts in return of accepting his new role as king, it was decided long before his envoy’s reached the city that we would accept his turns temporarily until an </w:t>
      </w:r>
      <w:r>
        <w:lastRenderedPageBreak/>
        <w:t>opportunity arose were an assassination attempt would more than likely be successful.</w:t>
      </w:r>
      <w:r w:rsidR="00000440">
        <w:rPr>
          <w:rStyle w:val="FootnoteReference"/>
        </w:rPr>
        <w:footnoteReference w:id="25"/>
      </w:r>
      <w:r>
        <w:t xml:space="preserve"> Although our initial attempt had not worked, and had remained undetected, by both Brad and his guards, an ally who likewise disagreed with Brad’s new kingship and managed to successfully assassinate the king. This allowed for Ted (another student who had no apparent name within the module) to lay claim to throne through his marriage to the wife of the late King </w:t>
      </w:r>
      <w:proofErr w:type="spellStart"/>
      <w:r>
        <w:t>Seleucus</w:t>
      </w:r>
      <w:proofErr w:type="spellEnd"/>
      <w:r>
        <w:t xml:space="preserve"> the second. However, said king’s unknown second son then announced his own right </w:t>
      </w:r>
      <w:r w:rsidR="00322B20">
        <w:t xml:space="preserve">for the throne. This lead to tensions rising, and the possibility of war breaking out amongst those wishing to claim the throne. </w:t>
      </w:r>
      <w:r>
        <w:t xml:space="preserve"> </w:t>
      </w:r>
    </w:p>
    <w:p w14:paraId="62E7137D" w14:textId="44907AD2" w:rsidR="005D49A8" w:rsidRDefault="005D49A8" w:rsidP="00EC1A18">
      <w:pPr>
        <w:spacing w:line="480" w:lineRule="auto"/>
      </w:pPr>
      <w:r>
        <w:t xml:space="preserve">To summarise, our primary focus during this module once each war and battle had concluded, had been the construction of our two temples (One of </w:t>
      </w:r>
      <w:proofErr w:type="spellStart"/>
      <w:r>
        <w:t>Seleucus</w:t>
      </w:r>
      <w:proofErr w:type="spellEnd"/>
      <w:r>
        <w:t xml:space="preserve"> and one for the goddesses Athena and Demeter), and the festivals that followed. Each seeming having been met with success, despite having been unable to complete several tasks that we had wished to complete before the module concluded, such as creating a new cult that would have gone hand in hand with the new temple of </w:t>
      </w:r>
      <w:proofErr w:type="spellStart"/>
      <w:r>
        <w:t>Seleucus</w:t>
      </w:r>
      <w:proofErr w:type="spellEnd"/>
      <w:r>
        <w:t xml:space="preserve">. </w:t>
      </w:r>
      <w:r w:rsidR="003B7C1A">
        <w:t xml:space="preserve">As there are now two potential kings, both vying for the throne, conflict is beginning to rise as tensions brew. However, my role in the possible future war is now none existent, at least in the role of </w:t>
      </w:r>
      <w:proofErr w:type="spellStart"/>
      <w:r w:rsidR="003B7C1A">
        <w:t>epistate</w:t>
      </w:r>
      <w:proofErr w:type="spellEnd"/>
      <w:r w:rsidR="003B7C1A">
        <w:t xml:space="preserve"> as i</w:t>
      </w:r>
      <w:r w:rsidR="00322B20">
        <w:t>t was not long after the declaration for the rights of kingship by the two rivals, that Antioch suffered a minor earthquake which then lead to the death of my character.</w:t>
      </w:r>
    </w:p>
    <w:p w14:paraId="75C4A387" w14:textId="7F2C796D" w:rsidR="00EC1A18" w:rsidRDefault="00EC1A18" w:rsidP="005D49A8">
      <w:pPr>
        <w:spacing w:line="240" w:lineRule="auto"/>
      </w:pPr>
      <w:r w:rsidRPr="00EC1A18">
        <w:t>Word Count: 2346</w:t>
      </w:r>
    </w:p>
    <w:p w14:paraId="683B4E52" w14:textId="77777777" w:rsidR="00EC1A18" w:rsidRDefault="00EC1A18">
      <w:r>
        <w:br w:type="page"/>
      </w:r>
    </w:p>
    <w:p w14:paraId="46388637" w14:textId="77777777" w:rsidR="00EC1A18" w:rsidRDefault="00EC1A18" w:rsidP="00EC1A18">
      <w:pPr>
        <w:jc w:val="center"/>
        <w:rPr>
          <w:u w:val="single"/>
        </w:rPr>
      </w:pPr>
      <w:r>
        <w:rPr>
          <w:u w:val="single"/>
        </w:rPr>
        <w:lastRenderedPageBreak/>
        <w:t>Bibliography</w:t>
      </w:r>
    </w:p>
    <w:p w14:paraId="0181D170" w14:textId="77777777" w:rsidR="00EC1A18" w:rsidRDefault="00EC1A18" w:rsidP="00EC1A18">
      <w:pPr>
        <w:rPr>
          <w:u w:val="single"/>
        </w:rPr>
      </w:pPr>
      <w:r>
        <w:rPr>
          <w:u w:val="single"/>
        </w:rPr>
        <w:t>Ancient Sources</w:t>
      </w:r>
    </w:p>
    <w:p w14:paraId="6C4C66EA" w14:textId="77777777" w:rsidR="00EC1A18" w:rsidRDefault="00EC1A18" w:rsidP="00EC1A18">
      <w:r>
        <w:t xml:space="preserve">Appian, </w:t>
      </w:r>
      <w:r>
        <w:rPr>
          <w:i/>
        </w:rPr>
        <w:t>Roman History: The Syrian Wars.</w:t>
      </w:r>
      <w:r>
        <w:t xml:space="preserve"> Brian </w:t>
      </w:r>
      <w:proofErr w:type="spellStart"/>
      <w:r>
        <w:t>McGing</w:t>
      </w:r>
      <w:proofErr w:type="spellEnd"/>
      <w:r>
        <w:t xml:space="preserve"> (trans.) 1912. Cambridge, MA: Harvard University Press</w:t>
      </w:r>
    </w:p>
    <w:p w14:paraId="4A1505CF" w14:textId="77777777" w:rsidR="00EC1A18" w:rsidRDefault="00EC1A18" w:rsidP="00EC1A18">
      <w:r>
        <w:t xml:space="preserve">Polybius, </w:t>
      </w:r>
      <w:r>
        <w:rPr>
          <w:i/>
        </w:rPr>
        <w:t xml:space="preserve">Histories. </w:t>
      </w:r>
      <w:r>
        <w:t xml:space="preserve">Evelyn S. </w:t>
      </w:r>
      <w:proofErr w:type="spellStart"/>
      <w:r>
        <w:t>Shuckburgh</w:t>
      </w:r>
      <w:proofErr w:type="spellEnd"/>
      <w:r>
        <w:t xml:space="preserve"> (trans.). 1889. London, New York: Macmillan</w:t>
      </w:r>
    </w:p>
    <w:p w14:paraId="238CC3AC" w14:textId="77777777" w:rsidR="00EC1A18" w:rsidRPr="00FB5596" w:rsidRDefault="00EC1A18" w:rsidP="00EC1A18">
      <w:r>
        <w:t xml:space="preserve">Thucydides, </w:t>
      </w:r>
      <w:r>
        <w:rPr>
          <w:i/>
        </w:rPr>
        <w:t>History of the Peloponnesian War.</w:t>
      </w:r>
      <w:r>
        <w:t xml:space="preserve"> C. F. Smith. (trans.). 1921. Cambridge, MA: Harvard University Press</w:t>
      </w:r>
    </w:p>
    <w:p w14:paraId="6A3B5F6B" w14:textId="77777777" w:rsidR="00EC1A18" w:rsidRDefault="00EC1A18" w:rsidP="00EC1A18">
      <w:pPr>
        <w:rPr>
          <w:u w:val="single"/>
        </w:rPr>
      </w:pPr>
      <w:r>
        <w:rPr>
          <w:u w:val="single"/>
        </w:rPr>
        <w:t>Modern Sources</w:t>
      </w:r>
    </w:p>
    <w:p w14:paraId="02C88615" w14:textId="77777777" w:rsidR="00EC1A18" w:rsidRDefault="00EC1A18" w:rsidP="00EC1A18">
      <w:r>
        <w:t>Bar-</w:t>
      </w:r>
      <w:proofErr w:type="spellStart"/>
      <w:r>
        <w:t>Kochva</w:t>
      </w:r>
      <w:proofErr w:type="spellEnd"/>
      <w:r>
        <w:t xml:space="preserve">, B. 1976. </w:t>
      </w:r>
      <w:r>
        <w:rPr>
          <w:i/>
        </w:rPr>
        <w:t xml:space="preserve">The Seleucid Army: Organization and Tactics in the Great Campaigns. </w:t>
      </w:r>
      <w:r>
        <w:t>Cambridge: Cambridge University Press</w:t>
      </w:r>
    </w:p>
    <w:p w14:paraId="61CC90EB" w14:textId="77777777" w:rsidR="00EC1A18" w:rsidRDefault="00EC1A18" w:rsidP="00EC1A18">
      <w:r>
        <w:t xml:space="preserve">Burford, A. 1961. </w:t>
      </w:r>
      <w:r>
        <w:rPr>
          <w:i/>
        </w:rPr>
        <w:t xml:space="preserve">Temple Building at Segesta. </w:t>
      </w:r>
      <w:r>
        <w:t>The Classical Quarterly, Vol. 11, Issue. 1, May, pgs. 87-93</w:t>
      </w:r>
    </w:p>
    <w:p w14:paraId="7FE0778A" w14:textId="77777777" w:rsidR="00EC1A18" w:rsidRDefault="00EC1A18" w:rsidP="00EC1A18">
      <w:r>
        <w:t xml:space="preserve">Burford, A. 1963. </w:t>
      </w:r>
      <w:r>
        <w:rPr>
          <w:i/>
        </w:rPr>
        <w:t xml:space="preserve">The Builders of the Parthenon. </w:t>
      </w:r>
      <w:r>
        <w:t>Greece and Rome, Vol. 10, pgs. 23-35</w:t>
      </w:r>
    </w:p>
    <w:p w14:paraId="6156D6C0" w14:textId="77777777" w:rsidR="00EC1A18" w:rsidRDefault="00EC1A18" w:rsidP="00EC1A18">
      <w:r>
        <w:t xml:space="preserve">Burford, A. 1969. </w:t>
      </w:r>
      <w:r>
        <w:rPr>
          <w:i/>
        </w:rPr>
        <w:t xml:space="preserve">The Greek Temple Builders at </w:t>
      </w:r>
      <w:proofErr w:type="spellStart"/>
      <w:r>
        <w:rPr>
          <w:i/>
        </w:rPr>
        <w:t>Epidauros</w:t>
      </w:r>
      <w:proofErr w:type="spellEnd"/>
      <w:r>
        <w:rPr>
          <w:i/>
        </w:rPr>
        <w:t xml:space="preserve">: A Social and Economic Study of Building in the </w:t>
      </w:r>
      <w:proofErr w:type="spellStart"/>
      <w:r>
        <w:rPr>
          <w:i/>
        </w:rPr>
        <w:t>Asklepian</w:t>
      </w:r>
      <w:proofErr w:type="spellEnd"/>
      <w:r>
        <w:rPr>
          <w:i/>
        </w:rPr>
        <w:t xml:space="preserve"> Sanctuary, During the Fourth and Early Third Centuries B.C. </w:t>
      </w:r>
      <w:r>
        <w:t>Liverpool: Liverpool University Press</w:t>
      </w:r>
    </w:p>
    <w:p w14:paraId="5B797A0F" w14:textId="77777777" w:rsidR="00EC1A18" w:rsidRDefault="00EC1A18" w:rsidP="00EC1A18">
      <w:r>
        <w:t xml:space="preserve">Downey, G. 1961. </w:t>
      </w:r>
      <w:r>
        <w:rPr>
          <w:i/>
        </w:rPr>
        <w:t xml:space="preserve">A History of Antioch in Syria from </w:t>
      </w:r>
      <w:proofErr w:type="spellStart"/>
      <w:r>
        <w:rPr>
          <w:i/>
        </w:rPr>
        <w:t>Seleucus</w:t>
      </w:r>
      <w:proofErr w:type="spellEnd"/>
      <w:r>
        <w:rPr>
          <w:i/>
        </w:rPr>
        <w:t xml:space="preserve"> to the Arab Conquest. </w:t>
      </w:r>
      <w:r>
        <w:t>Princeton, New Jersey: Princeton University Press</w:t>
      </w:r>
    </w:p>
    <w:p w14:paraId="5E4C8A62" w14:textId="77777777" w:rsidR="00EC1A18" w:rsidRDefault="00EC1A18" w:rsidP="00EC1A18">
      <w:r>
        <w:t xml:space="preserve">Hammond, N.G.L. 1999. </w:t>
      </w:r>
      <w:r>
        <w:rPr>
          <w:i/>
        </w:rPr>
        <w:t xml:space="preserve">The Roles of the </w:t>
      </w:r>
      <w:proofErr w:type="spellStart"/>
      <w:r>
        <w:rPr>
          <w:i/>
        </w:rPr>
        <w:t>Epistates</w:t>
      </w:r>
      <w:proofErr w:type="spellEnd"/>
      <w:r>
        <w:rPr>
          <w:i/>
        </w:rPr>
        <w:t xml:space="preserve"> in Macedonian Contexts. </w:t>
      </w:r>
      <w:r>
        <w:t>The Annual of the British School at Athens, Vol. 94, pgs. 369-379</w:t>
      </w:r>
    </w:p>
    <w:p w14:paraId="3965B1E3" w14:textId="77777777" w:rsidR="00EC1A18" w:rsidRPr="00710982" w:rsidRDefault="00EC1A18" w:rsidP="00EC1A18">
      <w:r>
        <w:t xml:space="preserve">Pritchard, D.M. 2012. </w:t>
      </w:r>
      <w:r>
        <w:rPr>
          <w:i/>
        </w:rPr>
        <w:t xml:space="preserve">Costing Festivals and War: Spending Priorities of the Athenian Democracy. </w:t>
      </w:r>
      <w:r>
        <w:t xml:space="preserve">Historia: </w:t>
      </w:r>
      <w:proofErr w:type="spellStart"/>
      <w:r>
        <w:t>Zeitshrift</w:t>
      </w:r>
      <w:proofErr w:type="spellEnd"/>
      <w:r>
        <w:t xml:space="preserve"> </w:t>
      </w:r>
      <w:proofErr w:type="spellStart"/>
      <w:r>
        <w:t>für</w:t>
      </w:r>
      <w:proofErr w:type="spellEnd"/>
      <w:r>
        <w:t xml:space="preserve"> Alt </w:t>
      </w:r>
      <w:proofErr w:type="spellStart"/>
      <w:r>
        <w:t>Geschichle</w:t>
      </w:r>
      <w:proofErr w:type="spellEnd"/>
      <w:r>
        <w:t>, Vol. 61, Issue. 1, pgs. 18-65</w:t>
      </w:r>
    </w:p>
    <w:p w14:paraId="0D66149B" w14:textId="77777777" w:rsidR="00EC1A18" w:rsidRDefault="00EC1A18" w:rsidP="00EC1A18">
      <w:r>
        <w:t xml:space="preserve">Ramsey, G.C. 2009. </w:t>
      </w:r>
      <w:r>
        <w:rPr>
          <w:i/>
        </w:rPr>
        <w:t xml:space="preserve">Ruling the Seleucid Empire: Seleucid Officials and Official Experience. </w:t>
      </w:r>
      <w:r>
        <w:t>Doctor of Philosophy in Classics. University of Exeter: Exeter</w:t>
      </w:r>
    </w:p>
    <w:p w14:paraId="20312832" w14:textId="77777777" w:rsidR="00EC1A18" w:rsidRDefault="00EC1A18" w:rsidP="00EC1A18">
      <w:r>
        <w:t xml:space="preserve">Sherwin-White, S., </w:t>
      </w:r>
      <w:proofErr w:type="spellStart"/>
      <w:r>
        <w:t>Kuhrt</w:t>
      </w:r>
      <w:proofErr w:type="spellEnd"/>
      <w:r>
        <w:t xml:space="preserve">, A. 1993. </w:t>
      </w:r>
      <w:r>
        <w:rPr>
          <w:i/>
        </w:rPr>
        <w:t xml:space="preserve">From </w:t>
      </w:r>
      <w:proofErr w:type="spellStart"/>
      <w:r>
        <w:rPr>
          <w:i/>
        </w:rPr>
        <w:t>Samarkhand</w:t>
      </w:r>
      <w:proofErr w:type="spellEnd"/>
      <w:r>
        <w:rPr>
          <w:i/>
        </w:rPr>
        <w:t xml:space="preserve"> to Sardis: A new approach to the Seleucid Empire. </w:t>
      </w:r>
      <w:r>
        <w:t>Berkeley, Los Angeles: University of California Press</w:t>
      </w:r>
    </w:p>
    <w:p w14:paraId="18DFCE3F" w14:textId="77777777" w:rsidR="00EC1A18" w:rsidRPr="00710982" w:rsidRDefault="00EC1A18" w:rsidP="00EC1A18"/>
    <w:p w14:paraId="454EE824" w14:textId="77777777" w:rsidR="00EC1A18" w:rsidRPr="00EC1A18" w:rsidRDefault="00EC1A18" w:rsidP="005D49A8">
      <w:pPr>
        <w:spacing w:line="240" w:lineRule="auto"/>
      </w:pPr>
    </w:p>
    <w:sectPr w:rsidR="00EC1A18" w:rsidRPr="00EC1A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8CD9AFE" w14:textId="77777777" w:rsidR="00F60725" w:rsidRDefault="00F60725" w:rsidP="00DF1C7F">
      <w:pPr>
        <w:spacing w:after="0" w:line="240" w:lineRule="auto"/>
      </w:pPr>
      <w:r>
        <w:separator/>
      </w:r>
    </w:p>
  </w:endnote>
  <w:endnote w:type="continuationSeparator" w:id="0">
    <w:p w14:paraId="428397B4" w14:textId="77777777" w:rsidR="00F60725" w:rsidRDefault="00F60725" w:rsidP="00DF1C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316DA9E" w14:textId="77777777" w:rsidR="00F60725" w:rsidRDefault="00F60725" w:rsidP="00DF1C7F">
      <w:pPr>
        <w:spacing w:after="0" w:line="240" w:lineRule="auto"/>
      </w:pPr>
      <w:r>
        <w:separator/>
      </w:r>
    </w:p>
  </w:footnote>
  <w:footnote w:type="continuationSeparator" w:id="0">
    <w:p w14:paraId="2955DC26" w14:textId="77777777" w:rsidR="00F60725" w:rsidRDefault="00F60725" w:rsidP="00DF1C7F">
      <w:pPr>
        <w:spacing w:after="0" w:line="240" w:lineRule="auto"/>
      </w:pPr>
      <w:r>
        <w:continuationSeparator/>
      </w:r>
    </w:p>
  </w:footnote>
  <w:footnote w:id="1">
    <w:p w14:paraId="44534539" w14:textId="3944C0ED" w:rsidR="00DF1C7F" w:rsidRDefault="00DF1C7F">
      <w:pPr>
        <w:pStyle w:val="FootnoteText"/>
      </w:pPr>
      <w:r>
        <w:rPr>
          <w:rStyle w:val="FootnoteReference"/>
        </w:rPr>
        <w:footnoteRef/>
      </w:r>
      <w:r>
        <w:t xml:space="preserve"> Hammond 1999: 370</w:t>
      </w:r>
      <w:r w:rsidR="00F413BA">
        <w:t xml:space="preserve">. Although Hammond does not explicitly say here that the </w:t>
      </w:r>
      <w:proofErr w:type="spellStart"/>
      <w:r w:rsidR="00F413BA">
        <w:t>epistates</w:t>
      </w:r>
      <w:proofErr w:type="spellEnd"/>
      <w:r w:rsidR="00F413BA">
        <w:t xml:space="preserve"> were involved in keeping track of the city’s supplies and funds, their involvement in overseeing the construction of monuments such as the Parthenon and the statue of Athena suggests that keeping tract of supply stores and funds was part of the job requirement.</w:t>
      </w:r>
      <w:r w:rsidR="00576440">
        <w:t xml:space="preserve"> </w:t>
      </w:r>
    </w:p>
  </w:footnote>
  <w:footnote w:id="2">
    <w:p w14:paraId="63F2A4D1" w14:textId="5BDBBC42" w:rsidR="006F4EC0" w:rsidRDefault="006F4EC0">
      <w:pPr>
        <w:pStyle w:val="FootnoteText"/>
      </w:pPr>
      <w:r>
        <w:rPr>
          <w:rStyle w:val="FootnoteReference"/>
        </w:rPr>
        <w:footnoteRef/>
      </w:r>
      <w:r>
        <w:t xml:space="preserve"> </w:t>
      </w:r>
      <w:r w:rsidR="00344010">
        <w:t>App. Syr. 66</w:t>
      </w:r>
    </w:p>
  </w:footnote>
  <w:footnote w:id="3">
    <w:p w14:paraId="2347FAB5" w14:textId="3948E200" w:rsidR="005456BA" w:rsidRDefault="005456BA">
      <w:pPr>
        <w:pStyle w:val="FootnoteText"/>
      </w:pPr>
      <w:r>
        <w:rPr>
          <w:rStyle w:val="FootnoteReference"/>
        </w:rPr>
        <w:footnoteRef/>
      </w:r>
      <w:r>
        <w:t xml:space="preserve"> App. Syr. 66</w:t>
      </w:r>
    </w:p>
  </w:footnote>
  <w:footnote w:id="4">
    <w:p w14:paraId="6BEA7CC6" w14:textId="5A9B5590" w:rsidR="00F03650" w:rsidRDefault="00F03650">
      <w:pPr>
        <w:pStyle w:val="FootnoteText"/>
      </w:pPr>
      <w:r>
        <w:rPr>
          <w:rStyle w:val="FootnoteReference"/>
        </w:rPr>
        <w:footnoteRef/>
      </w:r>
      <w:r>
        <w:t xml:space="preserve"> Bar-</w:t>
      </w:r>
      <w:proofErr w:type="spellStart"/>
      <w:r>
        <w:t>Kochva</w:t>
      </w:r>
      <w:proofErr w:type="spellEnd"/>
      <w:r>
        <w:t xml:space="preserve"> 1976: 26-29. This could especially be true due to the presence of the military school in Apamea, which could mean that the infantry, cavalry, and the like could be somewhat more than the presence in Antioch. If for only brief moments in time.</w:t>
      </w:r>
    </w:p>
  </w:footnote>
  <w:footnote w:id="5">
    <w:p w14:paraId="4A5B2AA5" w14:textId="1DE64BD8" w:rsidR="00794737" w:rsidRDefault="00794737">
      <w:pPr>
        <w:pStyle w:val="FootnoteText"/>
      </w:pPr>
      <w:r>
        <w:rPr>
          <w:rStyle w:val="FootnoteReference"/>
        </w:rPr>
        <w:footnoteRef/>
      </w:r>
      <w:r>
        <w:t xml:space="preserve"> Bar-</w:t>
      </w:r>
      <w:proofErr w:type="spellStart"/>
      <w:r>
        <w:t>Kochva</w:t>
      </w:r>
      <w:proofErr w:type="spellEnd"/>
      <w:r>
        <w:t xml:space="preserve"> 1976: 8-9; </w:t>
      </w:r>
      <w:proofErr w:type="spellStart"/>
      <w:r>
        <w:t>Plb</w:t>
      </w:r>
      <w:proofErr w:type="spellEnd"/>
      <w:r>
        <w:t>. 5.79- 80</w:t>
      </w:r>
    </w:p>
  </w:footnote>
  <w:footnote w:id="6">
    <w:p w14:paraId="40B22771" w14:textId="5DB77959" w:rsidR="00043481" w:rsidRDefault="00401461">
      <w:pPr>
        <w:pStyle w:val="FootnoteText"/>
      </w:pPr>
      <w:r>
        <w:rPr>
          <w:rStyle w:val="FootnoteReference"/>
        </w:rPr>
        <w:footnoteRef/>
      </w:r>
      <w:r>
        <w:t xml:space="preserve"> </w:t>
      </w:r>
      <w:proofErr w:type="spellStart"/>
      <w:r>
        <w:t>Pr</w:t>
      </w:r>
      <w:r w:rsidR="007D7C05">
        <w:t>t</w:t>
      </w:r>
      <w:r>
        <w:t>ichard</w:t>
      </w:r>
      <w:proofErr w:type="spellEnd"/>
      <w:r>
        <w:t xml:space="preserve"> 2012: 40ff.</w:t>
      </w:r>
      <w:r w:rsidR="00043481">
        <w:t xml:space="preserve"> These are purely speculative numbers, based on the research provided and </w:t>
      </w:r>
      <w:r w:rsidR="007662F6">
        <w:t>political climate within the module</w:t>
      </w:r>
    </w:p>
  </w:footnote>
  <w:footnote w:id="7">
    <w:p w14:paraId="3AA2CDAA" w14:textId="5F1859EA" w:rsidR="00637ECD" w:rsidRDefault="00637ECD">
      <w:pPr>
        <w:pStyle w:val="FootnoteText"/>
      </w:pPr>
      <w:r>
        <w:rPr>
          <w:rStyle w:val="FootnoteReference"/>
        </w:rPr>
        <w:footnoteRef/>
      </w:r>
      <w:r>
        <w:t xml:space="preserve"> Ramsey 2009: 159. The tax rates could be increased depending on whether there is a war to be fought, if necessary.</w:t>
      </w:r>
    </w:p>
  </w:footnote>
  <w:footnote w:id="8">
    <w:p w14:paraId="7C8E99EA" w14:textId="2D82CFAD" w:rsidR="00637ECD" w:rsidRDefault="00637ECD">
      <w:pPr>
        <w:pStyle w:val="FootnoteText"/>
      </w:pPr>
      <w:r>
        <w:rPr>
          <w:rStyle w:val="FootnoteReference"/>
        </w:rPr>
        <w:footnoteRef/>
      </w:r>
      <w:r>
        <w:t xml:space="preserve"> Ramsey 2009: 162-163. As with </w:t>
      </w:r>
      <w:r w:rsidR="00E30D05">
        <w:t>taxation, this could possibly be increased if necessary. If payments cannot be made, it could be traded for the cities providing some men to the king for their war efforts.</w:t>
      </w:r>
    </w:p>
  </w:footnote>
  <w:footnote w:id="9">
    <w:p w14:paraId="2646C338" w14:textId="5AAE8C00" w:rsidR="007662F6" w:rsidRDefault="007662F6">
      <w:pPr>
        <w:pStyle w:val="FootnoteText"/>
      </w:pPr>
      <w:r>
        <w:rPr>
          <w:rStyle w:val="FootnoteReference"/>
        </w:rPr>
        <w:footnoteRef/>
      </w:r>
      <w:r>
        <w:t xml:space="preserve"> Downey 1961: </w:t>
      </w:r>
      <w:r w:rsidR="00C62196">
        <w:t xml:space="preserve">21, </w:t>
      </w:r>
      <w:r>
        <w:t>62-63; Ramsey 2009: 29</w:t>
      </w:r>
    </w:p>
  </w:footnote>
  <w:footnote w:id="10">
    <w:p w14:paraId="6F57E320" w14:textId="3EDE8844" w:rsidR="00C62196" w:rsidRDefault="00C62196">
      <w:pPr>
        <w:pStyle w:val="FootnoteText"/>
      </w:pPr>
      <w:r>
        <w:rPr>
          <w:rStyle w:val="FootnoteReference"/>
        </w:rPr>
        <w:footnoteRef/>
      </w:r>
      <w:r>
        <w:t xml:space="preserve"> Downey 1961: 22</w:t>
      </w:r>
    </w:p>
  </w:footnote>
  <w:footnote w:id="11">
    <w:p w14:paraId="1EC7F24A" w14:textId="6F7083AD" w:rsidR="00C62196" w:rsidRDefault="00C62196">
      <w:pPr>
        <w:pStyle w:val="FootnoteText"/>
      </w:pPr>
      <w:r>
        <w:rPr>
          <w:rStyle w:val="FootnoteReference"/>
        </w:rPr>
        <w:footnoteRef/>
      </w:r>
      <w:r>
        <w:t xml:space="preserve"> Downey 1961: 21-22</w:t>
      </w:r>
    </w:p>
  </w:footnote>
  <w:footnote w:id="12">
    <w:p w14:paraId="772EA7D9" w14:textId="608B294F" w:rsidR="00EB14A2" w:rsidRDefault="00EB14A2">
      <w:pPr>
        <w:pStyle w:val="FootnoteText"/>
      </w:pPr>
      <w:r>
        <w:rPr>
          <w:rStyle w:val="FootnoteReference"/>
        </w:rPr>
        <w:footnoteRef/>
      </w:r>
      <w:r>
        <w:t xml:space="preserve"> Burford 1961: 91</w:t>
      </w:r>
    </w:p>
  </w:footnote>
  <w:footnote w:id="13">
    <w:p w14:paraId="1F6465DC" w14:textId="4AECA078" w:rsidR="00CC6FB2" w:rsidRDefault="00CC6FB2">
      <w:pPr>
        <w:pStyle w:val="FootnoteText"/>
      </w:pPr>
      <w:r>
        <w:rPr>
          <w:rStyle w:val="FootnoteReference"/>
        </w:rPr>
        <w:footnoteRef/>
      </w:r>
      <w:r>
        <w:t xml:space="preserve"> Burford 1969: 82</w:t>
      </w:r>
    </w:p>
  </w:footnote>
  <w:footnote w:id="14">
    <w:p w14:paraId="21FD261A" w14:textId="14F359B8" w:rsidR="00B52C9E" w:rsidRDefault="00B52C9E">
      <w:pPr>
        <w:pStyle w:val="FootnoteText"/>
      </w:pPr>
      <w:r>
        <w:rPr>
          <w:rStyle w:val="FootnoteReference"/>
        </w:rPr>
        <w:footnoteRef/>
      </w:r>
      <w:r>
        <w:t xml:space="preserve"> Burford </w:t>
      </w:r>
      <w:r w:rsidR="00775977">
        <w:t>1963: 34. Once again, these numbers are purely speculative. The number of workers comes from Burford’s work regarding the Parthenon, granted us the possible lower number of worker available due to the size and wealth difference of the two city states.</w:t>
      </w:r>
    </w:p>
  </w:footnote>
  <w:footnote w:id="15">
    <w:p w14:paraId="1B3B994E" w14:textId="1653FE97" w:rsidR="006D4675" w:rsidRDefault="006D4675">
      <w:pPr>
        <w:pStyle w:val="FootnoteText"/>
      </w:pPr>
      <w:r>
        <w:rPr>
          <w:rStyle w:val="FootnoteReference"/>
        </w:rPr>
        <w:footnoteRef/>
      </w:r>
      <w:r>
        <w:t xml:space="preserve"> Burford 1961: 34</w:t>
      </w:r>
    </w:p>
  </w:footnote>
  <w:footnote w:id="16">
    <w:p w14:paraId="62BCB6AE" w14:textId="7002B918" w:rsidR="001332F6" w:rsidRDefault="001332F6">
      <w:pPr>
        <w:pStyle w:val="FootnoteText"/>
      </w:pPr>
      <w:r>
        <w:rPr>
          <w:rStyle w:val="FootnoteReference"/>
        </w:rPr>
        <w:footnoteRef/>
      </w:r>
      <w:r>
        <w:t xml:space="preserve"> Burford 1969: 169</w:t>
      </w:r>
    </w:p>
  </w:footnote>
  <w:footnote w:id="17">
    <w:p w14:paraId="0380B21B" w14:textId="7AF52185" w:rsidR="001332F6" w:rsidRDefault="001332F6">
      <w:pPr>
        <w:pStyle w:val="FootnoteText"/>
      </w:pPr>
      <w:r>
        <w:rPr>
          <w:rStyle w:val="FootnoteReference"/>
        </w:rPr>
        <w:footnoteRef/>
      </w:r>
      <w:r>
        <w:t xml:space="preserve"> Downey 1961: 22; Burford 1963: 29-31. Burford gives an itemised list of the materials used in the construction of the Parthenon, such as stone, marble, timber, ivory, silver, and gold. Of which we tried to use similar materials in the construction of our temples.</w:t>
      </w:r>
    </w:p>
  </w:footnote>
  <w:footnote w:id="18">
    <w:p w14:paraId="5A13A8AE" w14:textId="31EAB344" w:rsidR="00A22898" w:rsidRDefault="00A22898">
      <w:pPr>
        <w:pStyle w:val="FootnoteText"/>
      </w:pPr>
      <w:r>
        <w:rPr>
          <w:rStyle w:val="FootnoteReference"/>
        </w:rPr>
        <w:footnoteRef/>
      </w:r>
      <w:r>
        <w:t xml:space="preserve"> Downey 1961: 22</w:t>
      </w:r>
      <w:r w:rsidR="003E7619">
        <w:t>; Burford 1969: 178</w:t>
      </w:r>
    </w:p>
  </w:footnote>
  <w:footnote w:id="19">
    <w:p w14:paraId="41DF96AE" w14:textId="33FE78EB" w:rsidR="00EB1254" w:rsidRDefault="00EB1254">
      <w:pPr>
        <w:pStyle w:val="FootnoteText"/>
      </w:pPr>
      <w:r>
        <w:rPr>
          <w:rStyle w:val="FootnoteReference"/>
        </w:rPr>
        <w:footnoteRef/>
      </w:r>
      <w:r>
        <w:t xml:space="preserve"> Burford 1963: 31</w:t>
      </w:r>
    </w:p>
  </w:footnote>
  <w:footnote w:id="20">
    <w:p w14:paraId="4380F110" w14:textId="0424A909" w:rsidR="001253E0" w:rsidRDefault="001253E0">
      <w:pPr>
        <w:pStyle w:val="FootnoteText"/>
      </w:pPr>
      <w:r>
        <w:rPr>
          <w:rStyle w:val="FootnoteReference"/>
        </w:rPr>
        <w:footnoteRef/>
      </w:r>
      <w:r>
        <w:t xml:space="preserve"> </w:t>
      </w:r>
      <w:r w:rsidR="001F0073">
        <w:t xml:space="preserve">Sherwin-White, </w:t>
      </w:r>
      <w:proofErr w:type="spellStart"/>
      <w:r w:rsidR="001F0073">
        <w:t>Kuhrt</w:t>
      </w:r>
      <w:proofErr w:type="spellEnd"/>
      <w:r w:rsidR="001F0073">
        <w:t xml:space="preserve"> 1993: 63</w:t>
      </w:r>
    </w:p>
  </w:footnote>
  <w:footnote w:id="21">
    <w:p w14:paraId="5BF0753D" w14:textId="6C001FC8" w:rsidR="007D7C05" w:rsidRDefault="007D7C05">
      <w:pPr>
        <w:pStyle w:val="FootnoteText"/>
      </w:pPr>
      <w:r>
        <w:rPr>
          <w:rStyle w:val="FootnoteReference"/>
        </w:rPr>
        <w:footnoteRef/>
      </w:r>
      <w:r>
        <w:t xml:space="preserve"> Pritchard 2012: 23-24</w:t>
      </w:r>
    </w:p>
  </w:footnote>
  <w:footnote w:id="22">
    <w:p w14:paraId="1A769D9E" w14:textId="4D2F594E" w:rsidR="00322B20" w:rsidRDefault="00322B20">
      <w:pPr>
        <w:pStyle w:val="FootnoteText"/>
      </w:pPr>
      <w:r>
        <w:rPr>
          <w:rStyle w:val="FootnoteReference"/>
        </w:rPr>
        <w:footnoteRef/>
      </w:r>
      <w:r>
        <w:t xml:space="preserve"> Pritchard 2012: 23</w:t>
      </w:r>
    </w:p>
  </w:footnote>
  <w:footnote w:id="23">
    <w:p w14:paraId="7BA91FDB" w14:textId="7C10FDE9" w:rsidR="00322B20" w:rsidRDefault="00322B20">
      <w:pPr>
        <w:pStyle w:val="FootnoteText"/>
      </w:pPr>
      <w:r>
        <w:rPr>
          <w:rStyle w:val="FootnoteReference"/>
        </w:rPr>
        <w:footnoteRef/>
      </w:r>
      <w:r>
        <w:t xml:space="preserve"> Downey 1961: 23</w:t>
      </w:r>
    </w:p>
  </w:footnote>
  <w:footnote w:id="24">
    <w:p w14:paraId="759D067D" w14:textId="1B9BF5AB" w:rsidR="00D03921" w:rsidRDefault="00D03921">
      <w:pPr>
        <w:pStyle w:val="FootnoteText"/>
      </w:pPr>
      <w:r>
        <w:rPr>
          <w:rStyle w:val="FootnoteReference"/>
        </w:rPr>
        <w:footnoteRef/>
      </w:r>
      <w:r>
        <w:t xml:space="preserve"> Pritchard 2012: 23-25</w:t>
      </w:r>
    </w:p>
  </w:footnote>
  <w:footnote w:id="25">
    <w:p w14:paraId="5E18D9D8" w14:textId="3A3E8818" w:rsidR="00000440" w:rsidRDefault="00000440">
      <w:pPr>
        <w:pStyle w:val="FootnoteText"/>
      </w:pPr>
      <w:r>
        <w:rPr>
          <w:rStyle w:val="FootnoteReference"/>
        </w:rPr>
        <w:footnoteRef/>
      </w:r>
      <w:r>
        <w:t xml:space="preserve"> </w:t>
      </w:r>
      <w:proofErr w:type="spellStart"/>
      <w:r>
        <w:t>Thuc</w:t>
      </w:r>
      <w:proofErr w:type="spellEnd"/>
      <w:r>
        <w:t>. 6.</w:t>
      </w:r>
      <w:r w:rsidR="003B7C1A">
        <w:t>57. Hippias, a Greek tyrant is assassinated at a festival, although not subtly.</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6211F"/>
    <w:rsid w:val="00000440"/>
    <w:rsid w:val="000047B4"/>
    <w:rsid w:val="00043481"/>
    <w:rsid w:val="000C3822"/>
    <w:rsid w:val="001253E0"/>
    <w:rsid w:val="001332F6"/>
    <w:rsid w:val="001F0073"/>
    <w:rsid w:val="002E52B1"/>
    <w:rsid w:val="003152EE"/>
    <w:rsid w:val="00322B20"/>
    <w:rsid w:val="00344010"/>
    <w:rsid w:val="0035187D"/>
    <w:rsid w:val="00371C4C"/>
    <w:rsid w:val="003B7C1A"/>
    <w:rsid w:val="003E7619"/>
    <w:rsid w:val="004001AE"/>
    <w:rsid w:val="00401461"/>
    <w:rsid w:val="00493DEA"/>
    <w:rsid w:val="004F6B69"/>
    <w:rsid w:val="005456BA"/>
    <w:rsid w:val="00576440"/>
    <w:rsid w:val="005D49A8"/>
    <w:rsid w:val="005D5664"/>
    <w:rsid w:val="00637ECD"/>
    <w:rsid w:val="006466EF"/>
    <w:rsid w:val="00646DA3"/>
    <w:rsid w:val="006D4675"/>
    <w:rsid w:val="006F4EC0"/>
    <w:rsid w:val="0076211F"/>
    <w:rsid w:val="007662F6"/>
    <w:rsid w:val="00775977"/>
    <w:rsid w:val="00794737"/>
    <w:rsid w:val="007B7B66"/>
    <w:rsid w:val="007D7C05"/>
    <w:rsid w:val="007E6BF5"/>
    <w:rsid w:val="008169CB"/>
    <w:rsid w:val="00881C74"/>
    <w:rsid w:val="0088446E"/>
    <w:rsid w:val="008C6030"/>
    <w:rsid w:val="00930951"/>
    <w:rsid w:val="009B63D8"/>
    <w:rsid w:val="009F6F86"/>
    <w:rsid w:val="00A121F5"/>
    <w:rsid w:val="00A22898"/>
    <w:rsid w:val="00AD0560"/>
    <w:rsid w:val="00B52C9E"/>
    <w:rsid w:val="00C008BE"/>
    <w:rsid w:val="00C41DC1"/>
    <w:rsid w:val="00C62196"/>
    <w:rsid w:val="00CC6FB2"/>
    <w:rsid w:val="00D03921"/>
    <w:rsid w:val="00DC7AE2"/>
    <w:rsid w:val="00DF1C7F"/>
    <w:rsid w:val="00E30D05"/>
    <w:rsid w:val="00E43DF9"/>
    <w:rsid w:val="00E571D8"/>
    <w:rsid w:val="00E94F0E"/>
    <w:rsid w:val="00EB1254"/>
    <w:rsid w:val="00EB14A2"/>
    <w:rsid w:val="00EC1A18"/>
    <w:rsid w:val="00F016CE"/>
    <w:rsid w:val="00F03650"/>
    <w:rsid w:val="00F12802"/>
    <w:rsid w:val="00F14EDF"/>
    <w:rsid w:val="00F413BA"/>
    <w:rsid w:val="00F60725"/>
    <w:rsid w:val="00FD4B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32455EB"/>
  <w15:chartTrackingRefBased/>
  <w15:docId w15:val="{9605A4F1-6444-4C4A-87D7-538169DA3FA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imes New Roman" w:eastAsiaTheme="minorHAnsi" w:hAnsi="Times New Roman" w:cs="Times New Roman"/>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DF1C7F"/>
    <w:pPr>
      <w:spacing w:after="0" w:line="240" w:lineRule="auto"/>
    </w:pPr>
  </w:style>
  <w:style w:type="character" w:customStyle="1" w:styleId="FootnoteTextChar">
    <w:name w:val="Footnote Text Char"/>
    <w:basedOn w:val="DefaultParagraphFont"/>
    <w:link w:val="FootnoteText"/>
    <w:uiPriority w:val="99"/>
    <w:semiHidden/>
    <w:rsid w:val="00DF1C7F"/>
  </w:style>
  <w:style w:type="character" w:styleId="FootnoteReference">
    <w:name w:val="footnote reference"/>
    <w:basedOn w:val="DefaultParagraphFont"/>
    <w:uiPriority w:val="99"/>
    <w:semiHidden/>
    <w:unhideWhenUsed/>
    <w:rsid w:val="00DF1C7F"/>
    <w:rPr>
      <w:vertAlign w:val="superscript"/>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B939CB-8719-44F2-BEA9-E1DA7138705F}">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925</TotalTime>
  <Pages>6</Pages>
  <Words>2249</Words>
  <Characters>11045</Characters>
  <Application>Microsoft Office Word</Application>
  <DocSecurity>0</DocSecurity>
  <Lines>134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13271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Elizabeth Hoskins</dc:creator>
  <cp:keywords/>
  <dc:description/>
  <cp:lastModifiedBy>Elizabeth Hoskins</cp:lastModifiedBy>
  <cp:revision>22</cp:revision>
  <dcterms:created xsi:type="dcterms:W3CDTF">2018-04-30T14:51:00Z</dcterms:created>
  <dcterms:modified xsi:type="dcterms:W3CDTF">2018-05-01T19:21:00Z</dcterms:modified>
</cp:coreProperties>
</file>