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5B66935" w:rsidR="000177A2" w:rsidRDefault="00735578" w:rsidP="00735578">
      <w:pPr>
        <w:widowControl w:val="0"/>
        <w:spacing w:line="480" w:lineRule="auto"/>
        <w:ind w:left="126"/>
        <w:rPr>
          <w:rFonts w:ascii="Times New Roman" w:eastAsia="Times New Roman" w:hAnsi="Times New Roman" w:cs="Times New Roman"/>
          <w:b/>
          <w:sz w:val="32"/>
          <w:szCs w:val="32"/>
        </w:rPr>
      </w:pPr>
      <w:r>
        <w:rPr>
          <w:noProof/>
        </w:rPr>
        <w:drawing>
          <wp:anchor distT="0" distB="0" distL="114300" distR="114300" simplePos="0" relativeHeight="251659264" behindDoc="0" locked="0" layoutInCell="1" allowOverlap="1" wp14:anchorId="51EEF0FE" wp14:editId="2EE585C4">
            <wp:simplePos x="0" y="0"/>
            <wp:positionH relativeFrom="margin">
              <wp:align>left</wp:align>
            </wp:positionH>
            <wp:positionV relativeFrom="paragraph">
              <wp:posOffset>0</wp:posOffset>
            </wp:positionV>
            <wp:extent cx="1749425" cy="688975"/>
            <wp:effectExtent l="0" t="0" r="3175" b="0"/>
            <wp:wrapSquare wrapText="bothSides"/>
            <wp:docPr id="1139146606" name="Picture 1139146606"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46606" name="Picture 1139146606" descr="A sign with text and a fla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9425" cy="688975"/>
                    </a:xfrm>
                    <a:prstGeom prst="rect">
                      <a:avLst/>
                    </a:prstGeom>
                    <a:noFill/>
                  </pic:spPr>
                </pic:pic>
              </a:graphicData>
            </a:graphic>
          </wp:anchor>
        </w:drawing>
      </w:r>
    </w:p>
    <w:p w14:paraId="00000002" w14:textId="77777777" w:rsidR="000177A2" w:rsidRDefault="000177A2" w:rsidP="00521755">
      <w:pPr>
        <w:widowControl w:val="0"/>
        <w:spacing w:line="480" w:lineRule="auto"/>
        <w:ind w:left="126"/>
        <w:jc w:val="center"/>
        <w:rPr>
          <w:rFonts w:ascii="Times New Roman" w:eastAsia="Times New Roman" w:hAnsi="Times New Roman" w:cs="Times New Roman"/>
          <w:b/>
          <w:sz w:val="32"/>
          <w:szCs w:val="32"/>
        </w:rPr>
      </w:pPr>
    </w:p>
    <w:p w14:paraId="00000003" w14:textId="77777777" w:rsidR="000177A2" w:rsidRDefault="000177A2" w:rsidP="00521755">
      <w:pPr>
        <w:widowControl w:val="0"/>
        <w:spacing w:line="480" w:lineRule="auto"/>
        <w:ind w:left="126"/>
        <w:jc w:val="center"/>
        <w:rPr>
          <w:rFonts w:ascii="Times New Roman" w:eastAsia="Times New Roman" w:hAnsi="Times New Roman" w:cs="Times New Roman"/>
          <w:b/>
          <w:sz w:val="32"/>
          <w:szCs w:val="32"/>
        </w:rPr>
      </w:pPr>
    </w:p>
    <w:p w14:paraId="00000004" w14:textId="77777777" w:rsidR="000177A2" w:rsidRDefault="000177A2" w:rsidP="00521755">
      <w:pPr>
        <w:widowControl w:val="0"/>
        <w:spacing w:line="480" w:lineRule="auto"/>
        <w:ind w:left="126"/>
        <w:jc w:val="center"/>
        <w:rPr>
          <w:rFonts w:ascii="Times New Roman" w:eastAsia="Times New Roman" w:hAnsi="Times New Roman" w:cs="Times New Roman"/>
          <w:b/>
          <w:sz w:val="32"/>
          <w:szCs w:val="32"/>
        </w:rPr>
      </w:pPr>
    </w:p>
    <w:p w14:paraId="00000005" w14:textId="77777777" w:rsidR="000177A2" w:rsidRDefault="000177A2" w:rsidP="00521755">
      <w:pPr>
        <w:widowControl w:val="0"/>
        <w:spacing w:line="480" w:lineRule="auto"/>
        <w:ind w:left="126"/>
        <w:jc w:val="center"/>
        <w:rPr>
          <w:rFonts w:ascii="Times New Roman" w:eastAsia="Times New Roman" w:hAnsi="Times New Roman" w:cs="Times New Roman"/>
          <w:b/>
          <w:sz w:val="32"/>
          <w:szCs w:val="32"/>
        </w:rPr>
      </w:pPr>
    </w:p>
    <w:p w14:paraId="0A7A7586" w14:textId="77777777" w:rsidR="00735578" w:rsidRDefault="00735578" w:rsidP="00735578">
      <w:pPr>
        <w:spacing w:line="360" w:lineRule="auto"/>
        <w:jc w:val="center"/>
        <w:rPr>
          <w:rFonts w:ascii="Times New Roman" w:hAnsi="Times New Roman" w:cs="Times New Roman"/>
          <w:sz w:val="36"/>
          <w:szCs w:val="40"/>
          <w:u w:val="single"/>
        </w:rPr>
      </w:pPr>
      <w:r w:rsidRPr="007A3604">
        <w:rPr>
          <w:rFonts w:ascii="Times New Roman" w:hAnsi="Times New Roman" w:cs="Times New Roman"/>
          <w:sz w:val="36"/>
          <w:szCs w:val="40"/>
          <w:u w:val="single"/>
        </w:rPr>
        <w:t xml:space="preserve">Assignment Title: </w:t>
      </w:r>
    </w:p>
    <w:p w14:paraId="16FB488F" w14:textId="0FF45113" w:rsidR="00735578" w:rsidRPr="007A3604" w:rsidRDefault="00735578" w:rsidP="00735578">
      <w:pPr>
        <w:spacing w:line="360" w:lineRule="auto"/>
        <w:jc w:val="center"/>
        <w:rPr>
          <w:rFonts w:ascii="Times New Roman" w:hAnsi="Times New Roman" w:cs="Times New Roman"/>
          <w:sz w:val="36"/>
          <w:szCs w:val="40"/>
          <w:u w:val="single"/>
        </w:rPr>
      </w:pPr>
      <w:r>
        <w:rPr>
          <w:rFonts w:ascii="Times New Roman" w:hAnsi="Times New Roman" w:cs="Times New Roman"/>
          <w:sz w:val="36"/>
          <w:szCs w:val="40"/>
          <w:u w:val="single"/>
        </w:rPr>
        <w:t xml:space="preserve">Coursework: </w:t>
      </w:r>
      <w:r w:rsidR="00315C27">
        <w:rPr>
          <w:rFonts w:ascii="Times New Roman" w:hAnsi="Times New Roman" w:cs="Times New Roman"/>
          <w:sz w:val="36"/>
          <w:szCs w:val="40"/>
          <w:u w:val="single"/>
        </w:rPr>
        <w:t>Written Report</w:t>
      </w:r>
    </w:p>
    <w:p w14:paraId="30F34B71" w14:textId="77777777" w:rsidR="00735578" w:rsidRDefault="00735578" w:rsidP="00521755">
      <w:pPr>
        <w:widowControl w:val="0"/>
        <w:spacing w:line="480" w:lineRule="auto"/>
        <w:ind w:left="126"/>
        <w:jc w:val="center"/>
        <w:rPr>
          <w:rFonts w:ascii="Times New Roman" w:eastAsia="Times New Roman" w:hAnsi="Times New Roman" w:cs="Times New Roman"/>
          <w:b/>
          <w:sz w:val="32"/>
          <w:szCs w:val="32"/>
        </w:rPr>
      </w:pPr>
    </w:p>
    <w:p w14:paraId="61B9B726" w14:textId="77777777" w:rsidR="00735578" w:rsidRDefault="00735578" w:rsidP="00521755">
      <w:pPr>
        <w:widowControl w:val="0"/>
        <w:spacing w:line="480" w:lineRule="auto"/>
        <w:ind w:left="126"/>
        <w:jc w:val="center"/>
        <w:rPr>
          <w:rFonts w:ascii="Times New Roman" w:eastAsia="Times New Roman" w:hAnsi="Times New Roman" w:cs="Times New Roman"/>
          <w:b/>
          <w:sz w:val="32"/>
          <w:szCs w:val="32"/>
        </w:rPr>
      </w:pPr>
    </w:p>
    <w:p w14:paraId="115BA5FC" w14:textId="77777777" w:rsidR="00735578" w:rsidRDefault="00735578" w:rsidP="00521755">
      <w:pPr>
        <w:widowControl w:val="0"/>
        <w:spacing w:line="480" w:lineRule="auto"/>
        <w:ind w:left="126"/>
        <w:jc w:val="center"/>
        <w:rPr>
          <w:rFonts w:ascii="Times New Roman" w:eastAsia="Times New Roman" w:hAnsi="Times New Roman" w:cs="Times New Roman"/>
          <w:b/>
          <w:sz w:val="32"/>
          <w:szCs w:val="32"/>
        </w:rPr>
      </w:pPr>
    </w:p>
    <w:p w14:paraId="77284780" w14:textId="77777777" w:rsidR="00735578" w:rsidRPr="000C37C8" w:rsidRDefault="00735578" w:rsidP="00735578">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Programme:</w:t>
      </w:r>
      <w:r w:rsidRPr="000C37C8">
        <w:rPr>
          <w:rFonts w:ascii="Times New Roman" w:hAnsi="Times New Roman" w:cs="Times New Roman"/>
          <w:b/>
          <w:sz w:val="28"/>
          <w:szCs w:val="28"/>
          <w:lang w:val="en-GB"/>
        </w:rPr>
        <w:t xml:space="preserve"> BA BUSINESS MANAGEMENT </w:t>
      </w:r>
    </w:p>
    <w:p w14:paraId="5F4BE2EC" w14:textId="0DB341A3" w:rsidR="00735578" w:rsidRPr="000C37C8" w:rsidRDefault="00735578" w:rsidP="00735578">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Module name:</w:t>
      </w:r>
      <w:r w:rsidRPr="000C37C8">
        <w:rPr>
          <w:rFonts w:ascii="Times New Roman" w:hAnsi="Times New Roman" w:cs="Times New Roman"/>
          <w:b/>
          <w:sz w:val="28"/>
          <w:szCs w:val="28"/>
          <w:lang w:val="en-GB"/>
        </w:rPr>
        <w:t xml:space="preserve"> </w:t>
      </w:r>
      <w:r w:rsidR="00315C27">
        <w:rPr>
          <w:rFonts w:ascii="Times New Roman" w:hAnsi="Times New Roman" w:cs="Times New Roman"/>
          <w:b/>
          <w:sz w:val="28"/>
          <w:szCs w:val="28"/>
          <w:lang w:val="en-GB"/>
        </w:rPr>
        <w:t>INTERNATIONAL FINANCIAL MANAGEMENT</w:t>
      </w:r>
      <w:r>
        <w:rPr>
          <w:rFonts w:ascii="Times New Roman" w:hAnsi="Times New Roman" w:cs="Times New Roman"/>
          <w:b/>
          <w:sz w:val="28"/>
          <w:szCs w:val="28"/>
          <w:lang w:val="en-GB"/>
        </w:rPr>
        <w:t xml:space="preserve"> </w:t>
      </w:r>
    </w:p>
    <w:p w14:paraId="7D4D6773" w14:textId="4534AFCF" w:rsidR="00735578" w:rsidRPr="000C37C8" w:rsidRDefault="00735578" w:rsidP="00735578">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Module code:</w:t>
      </w:r>
      <w:r w:rsidRPr="000C37C8">
        <w:rPr>
          <w:rFonts w:ascii="Times New Roman" w:hAnsi="Times New Roman" w:cs="Times New Roman"/>
          <w:b/>
          <w:sz w:val="28"/>
          <w:szCs w:val="28"/>
          <w:lang w:val="en-GB"/>
        </w:rPr>
        <w:t xml:space="preserve"> LCBB</w:t>
      </w:r>
      <w:r w:rsidR="00315C27">
        <w:rPr>
          <w:rFonts w:ascii="Times New Roman" w:hAnsi="Times New Roman" w:cs="Times New Roman"/>
          <w:b/>
          <w:sz w:val="28"/>
          <w:szCs w:val="28"/>
          <w:lang w:val="en-GB"/>
        </w:rPr>
        <w:t>6002</w:t>
      </w:r>
    </w:p>
    <w:p w14:paraId="1D86A050" w14:textId="77777777" w:rsidR="00735578" w:rsidRPr="000C37C8" w:rsidRDefault="00735578" w:rsidP="00735578">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Student name:</w:t>
      </w:r>
      <w:r w:rsidRPr="000C37C8">
        <w:rPr>
          <w:rFonts w:ascii="Times New Roman" w:hAnsi="Times New Roman" w:cs="Times New Roman"/>
          <w:b/>
          <w:sz w:val="28"/>
          <w:szCs w:val="28"/>
          <w:lang w:val="en-GB"/>
        </w:rPr>
        <w:t xml:space="preserve"> ALEXANDRA CREANGA</w:t>
      </w:r>
    </w:p>
    <w:p w14:paraId="0000000C" w14:textId="50C0E884" w:rsidR="000177A2" w:rsidRDefault="00735578" w:rsidP="00735578">
      <w:pPr>
        <w:spacing w:line="480" w:lineRule="auto"/>
        <w:rPr>
          <w:rFonts w:ascii="Times New Roman" w:eastAsia="Times New Roman" w:hAnsi="Times New Roman" w:cs="Times New Roman"/>
          <w:sz w:val="24"/>
          <w:szCs w:val="24"/>
        </w:rPr>
      </w:pPr>
      <w:r w:rsidRPr="000C37C8">
        <w:rPr>
          <w:rFonts w:ascii="Times New Roman" w:hAnsi="Times New Roman" w:cs="Times New Roman"/>
          <w:bCs/>
          <w:sz w:val="28"/>
          <w:szCs w:val="28"/>
          <w:lang w:val="en-GB"/>
        </w:rPr>
        <w:t>Student ID:</w:t>
      </w:r>
      <w:r w:rsidRPr="000C37C8">
        <w:rPr>
          <w:rFonts w:ascii="Times New Roman" w:hAnsi="Times New Roman" w:cs="Times New Roman"/>
          <w:b/>
          <w:sz w:val="28"/>
          <w:szCs w:val="28"/>
          <w:lang w:val="en-GB"/>
        </w:rPr>
        <w:t xml:space="preserve"> 2113195</w:t>
      </w:r>
      <w:r w:rsidR="00000000">
        <w:br w:type="page"/>
      </w:r>
    </w:p>
    <w:sdt>
      <w:sdtPr>
        <w:rPr>
          <w:rFonts w:ascii="Arial" w:eastAsia="Arial" w:hAnsi="Arial" w:cs="Arial"/>
          <w:b/>
          <w:color w:val="auto"/>
          <w:sz w:val="22"/>
          <w:szCs w:val="22"/>
          <w:lang w:val="en" w:eastAsia="en-IN"/>
        </w:rPr>
        <w:id w:val="-126012938"/>
        <w:docPartObj>
          <w:docPartGallery w:val="Table of Contents"/>
          <w:docPartUnique/>
        </w:docPartObj>
      </w:sdtPr>
      <w:sdtEndPr>
        <w:rPr>
          <w:bCs/>
          <w:noProof/>
        </w:rPr>
      </w:sdtEndPr>
      <w:sdtContent>
        <w:p w14:paraId="1E3B40E2" w14:textId="40E3041F" w:rsidR="006C4622" w:rsidRPr="00521755" w:rsidRDefault="00000000" w:rsidP="00521755">
          <w:pPr>
            <w:pStyle w:val="TOCHeading"/>
            <w:spacing w:line="480" w:lineRule="auto"/>
            <w:jc w:val="center"/>
            <w:rPr>
              <w:rFonts w:ascii="Times New Roman" w:hAnsi="Times New Roman" w:cs="Times New Roman"/>
              <w:b/>
              <w:color w:val="000000" w:themeColor="text1"/>
            </w:rPr>
          </w:pPr>
          <w:r w:rsidRPr="00521755">
            <w:rPr>
              <w:rFonts w:ascii="Times New Roman" w:hAnsi="Times New Roman" w:cs="Times New Roman"/>
              <w:b/>
              <w:color w:val="000000" w:themeColor="text1"/>
            </w:rPr>
            <w:t>Table of Contents</w:t>
          </w:r>
        </w:p>
        <w:p w14:paraId="4D3FFB26" w14:textId="36A9BD9A"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r w:rsidRPr="006C4622">
            <w:rPr>
              <w:rFonts w:ascii="Times New Roman" w:hAnsi="Times New Roman" w:cs="Times New Roman"/>
              <w:sz w:val="24"/>
              <w:szCs w:val="24"/>
            </w:rPr>
            <w:fldChar w:fldCharType="begin"/>
          </w:r>
          <w:r w:rsidRPr="006C4622">
            <w:rPr>
              <w:rFonts w:ascii="Times New Roman" w:hAnsi="Times New Roman" w:cs="Times New Roman"/>
              <w:sz w:val="24"/>
              <w:szCs w:val="24"/>
            </w:rPr>
            <w:instrText xml:space="preserve"> TOC \o "1-3" \h \z \u </w:instrText>
          </w:r>
          <w:r w:rsidRPr="006C4622">
            <w:rPr>
              <w:rFonts w:ascii="Times New Roman" w:hAnsi="Times New Roman" w:cs="Times New Roman"/>
              <w:sz w:val="24"/>
              <w:szCs w:val="24"/>
            </w:rPr>
            <w:fldChar w:fldCharType="separate"/>
          </w:r>
          <w:hyperlink w:anchor="_Toc149657579" w:history="1">
            <w:r w:rsidRPr="006C4622">
              <w:rPr>
                <w:rStyle w:val="Hyperlink"/>
                <w:rFonts w:ascii="Times New Roman" w:eastAsia="Times New Roman" w:hAnsi="Times New Roman" w:cs="Times New Roman"/>
                <w:noProof/>
                <w:sz w:val="24"/>
                <w:szCs w:val="24"/>
              </w:rPr>
              <w:t>1. Introduction</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_Toc149657579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3</w:t>
            </w:r>
            <w:r w:rsidRPr="006C4622">
              <w:rPr>
                <w:rFonts w:ascii="Times New Roman" w:hAnsi="Times New Roman" w:cs="Times New Roman"/>
                <w:noProof/>
                <w:webHidden/>
                <w:sz w:val="24"/>
                <w:szCs w:val="24"/>
              </w:rPr>
              <w:fldChar w:fldCharType="end"/>
            </w:r>
          </w:hyperlink>
        </w:p>
        <w:p w14:paraId="2A92BDF1" w14:textId="320B5B40"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0" w:history="1">
            <w:r w:rsidRPr="006C4622">
              <w:rPr>
                <w:rStyle w:val="Hyperlink"/>
                <w:rFonts w:ascii="Times New Roman" w:eastAsia="Times New Roman" w:hAnsi="Times New Roman" w:cs="Times New Roman"/>
                <w:noProof/>
                <w:sz w:val="24"/>
                <w:szCs w:val="24"/>
              </w:rPr>
              <w:t>Background information</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_Toc149657580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3</w:t>
            </w:r>
            <w:r w:rsidRPr="006C4622">
              <w:rPr>
                <w:rFonts w:ascii="Times New Roman" w:hAnsi="Times New Roman" w:cs="Times New Roman"/>
                <w:noProof/>
                <w:webHidden/>
                <w:sz w:val="24"/>
                <w:szCs w:val="24"/>
              </w:rPr>
              <w:fldChar w:fldCharType="end"/>
            </w:r>
          </w:hyperlink>
        </w:p>
        <w:p w14:paraId="5A8D97EC" w14:textId="6081C7C1"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1" w:history="1">
            <w:r w:rsidRPr="006C4622">
              <w:rPr>
                <w:rStyle w:val="Hyperlink"/>
                <w:rFonts w:ascii="Times New Roman" w:eastAsia="Times New Roman" w:hAnsi="Times New Roman" w:cs="Times New Roman"/>
                <w:noProof/>
                <w:sz w:val="24"/>
                <w:szCs w:val="24"/>
              </w:rPr>
              <w:t>Purpose of the report</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_Toc149657581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3</w:t>
            </w:r>
            <w:r w:rsidRPr="006C4622">
              <w:rPr>
                <w:rFonts w:ascii="Times New Roman" w:hAnsi="Times New Roman" w:cs="Times New Roman"/>
                <w:noProof/>
                <w:webHidden/>
                <w:sz w:val="24"/>
                <w:szCs w:val="24"/>
              </w:rPr>
              <w:fldChar w:fldCharType="end"/>
            </w:r>
          </w:hyperlink>
        </w:p>
        <w:p w14:paraId="050A1C9E" w14:textId="7391F91B"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hyperlink w:anchor="_Toc149657582" w:history="1">
            <w:r w:rsidRPr="006C4622">
              <w:rPr>
                <w:rStyle w:val="Hyperlink"/>
                <w:rFonts w:ascii="Times New Roman" w:eastAsia="Times New Roman" w:hAnsi="Times New Roman" w:cs="Times New Roman"/>
                <w:noProof/>
                <w:sz w:val="24"/>
                <w:szCs w:val="24"/>
              </w:rPr>
              <w:t>2. Theoretical Framework: International Financial Management Theories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_Toc149657582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3</w:t>
            </w:r>
            <w:r w:rsidRPr="006C4622">
              <w:rPr>
                <w:rFonts w:ascii="Times New Roman" w:hAnsi="Times New Roman" w:cs="Times New Roman"/>
                <w:noProof/>
                <w:webHidden/>
                <w:sz w:val="24"/>
                <w:szCs w:val="24"/>
              </w:rPr>
              <w:fldChar w:fldCharType="end"/>
            </w:r>
          </w:hyperlink>
        </w:p>
        <w:p w14:paraId="6FF891BE" w14:textId="4A917107"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3" w:history="1">
            <w:r w:rsidRPr="006C4622">
              <w:rPr>
                <w:rStyle w:val="Hyperlink"/>
                <w:rFonts w:ascii="Times New Roman" w:eastAsia="Times New Roman" w:hAnsi="Times New Roman" w:cs="Times New Roman"/>
                <w:noProof/>
                <w:sz w:val="24"/>
                <w:szCs w:val="24"/>
              </w:rPr>
              <w:t>Overview of IFM theories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_Toc149657583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3</w:t>
            </w:r>
            <w:r w:rsidRPr="006C4622">
              <w:rPr>
                <w:rFonts w:ascii="Times New Roman" w:hAnsi="Times New Roman" w:cs="Times New Roman"/>
                <w:noProof/>
                <w:webHidden/>
                <w:sz w:val="24"/>
                <w:szCs w:val="24"/>
              </w:rPr>
              <w:fldChar w:fldCharType="end"/>
            </w:r>
          </w:hyperlink>
        </w:p>
        <w:p w14:paraId="2DFC16A4" w14:textId="1D2067BB"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4" w:history="1">
            <w:r w:rsidRPr="006C4622">
              <w:rPr>
                <w:rStyle w:val="Hyperlink"/>
                <w:rFonts w:ascii="Times New Roman" w:eastAsia="Times New Roman" w:hAnsi="Times New Roman" w:cs="Times New Roman"/>
                <w:noProof/>
                <w:sz w:val="24"/>
                <w:szCs w:val="24"/>
              </w:rPr>
              <w:t>Application of theories in practices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_Toc149657584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4</w:t>
            </w:r>
            <w:r w:rsidRPr="006C4622">
              <w:rPr>
                <w:rFonts w:ascii="Times New Roman" w:hAnsi="Times New Roman" w:cs="Times New Roman"/>
                <w:noProof/>
                <w:webHidden/>
                <w:sz w:val="24"/>
                <w:szCs w:val="24"/>
              </w:rPr>
              <w:fldChar w:fldCharType="end"/>
            </w:r>
          </w:hyperlink>
        </w:p>
        <w:p w14:paraId="3AFD6BB8" w14:textId="23391F7C"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hyperlink w:anchor="_Toc149657585" w:history="1">
            <w:r w:rsidRPr="006C4622">
              <w:rPr>
                <w:rStyle w:val="Hyperlink"/>
                <w:rFonts w:ascii="Times New Roman" w:eastAsia="Times New Roman" w:hAnsi="Times New Roman" w:cs="Times New Roman"/>
                <w:noProof/>
                <w:sz w:val="24"/>
                <w:szCs w:val="24"/>
              </w:rPr>
              <w:t>3. Strategies for managing foreign exchange risks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_Toc149657585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4</w:t>
            </w:r>
            <w:r w:rsidRPr="006C4622">
              <w:rPr>
                <w:rFonts w:ascii="Times New Roman" w:hAnsi="Times New Roman" w:cs="Times New Roman"/>
                <w:noProof/>
                <w:webHidden/>
                <w:sz w:val="24"/>
                <w:szCs w:val="24"/>
              </w:rPr>
              <w:fldChar w:fldCharType="end"/>
            </w:r>
          </w:hyperlink>
        </w:p>
        <w:p w14:paraId="271A3907" w14:textId="10ED947F"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6" w:history="1">
            <w:r w:rsidRPr="006C4622">
              <w:rPr>
                <w:rStyle w:val="Hyperlink"/>
                <w:rFonts w:ascii="Times New Roman" w:eastAsia="Times New Roman" w:hAnsi="Times New Roman" w:cs="Times New Roman"/>
                <w:noProof/>
                <w:sz w:val="24"/>
                <w:szCs w:val="24"/>
              </w:rPr>
              <w:t>Hedging strategies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_Toc149657586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4</w:t>
            </w:r>
            <w:r w:rsidRPr="006C4622">
              <w:rPr>
                <w:rFonts w:ascii="Times New Roman" w:hAnsi="Times New Roman" w:cs="Times New Roman"/>
                <w:noProof/>
                <w:webHidden/>
                <w:sz w:val="24"/>
                <w:szCs w:val="24"/>
              </w:rPr>
              <w:fldChar w:fldCharType="end"/>
            </w:r>
          </w:hyperlink>
        </w:p>
        <w:p w14:paraId="340A8A73" w14:textId="4429E573"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7" w:history="1">
            <w:r w:rsidRPr="006C4622">
              <w:rPr>
                <w:rStyle w:val="Hyperlink"/>
                <w:rFonts w:ascii="Times New Roman" w:eastAsia="Times New Roman" w:hAnsi="Times New Roman" w:cs="Times New Roman"/>
                <w:noProof/>
                <w:sz w:val="24"/>
                <w:szCs w:val="24"/>
              </w:rPr>
              <w:t>Diversification strategies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_Toc149657587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4</w:t>
            </w:r>
            <w:r w:rsidRPr="006C4622">
              <w:rPr>
                <w:rFonts w:ascii="Times New Roman" w:hAnsi="Times New Roman" w:cs="Times New Roman"/>
                <w:noProof/>
                <w:webHidden/>
                <w:sz w:val="24"/>
                <w:szCs w:val="24"/>
              </w:rPr>
              <w:fldChar w:fldCharType="end"/>
            </w:r>
          </w:hyperlink>
        </w:p>
        <w:p w14:paraId="136E2D81" w14:textId="61022EB2"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8" w:history="1">
            <w:r w:rsidRPr="006C4622">
              <w:rPr>
                <w:rStyle w:val="Hyperlink"/>
                <w:rFonts w:ascii="Times New Roman" w:eastAsia="Times New Roman" w:hAnsi="Times New Roman" w:cs="Times New Roman"/>
                <w:noProof/>
                <w:sz w:val="24"/>
                <w:szCs w:val="24"/>
              </w:rPr>
              <w:t>Operational strategies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_Toc149657588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5</w:t>
            </w:r>
            <w:r w:rsidRPr="006C4622">
              <w:rPr>
                <w:rFonts w:ascii="Times New Roman" w:hAnsi="Times New Roman" w:cs="Times New Roman"/>
                <w:noProof/>
                <w:webHidden/>
                <w:sz w:val="24"/>
                <w:szCs w:val="24"/>
              </w:rPr>
              <w:fldChar w:fldCharType="end"/>
            </w:r>
          </w:hyperlink>
        </w:p>
        <w:p w14:paraId="04D46B89" w14:textId="39EEC4AA"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89" w:history="1">
            <w:r w:rsidRPr="006C4622">
              <w:rPr>
                <w:rStyle w:val="Hyperlink"/>
                <w:rFonts w:ascii="Times New Roman" w:eastAsia="Times New Roman" w:hAnsi="Times New Roman" w:cs="Times New Roman"/>
                <w:noProof/>
                <w:sz w:val="24"/>
                <w:szCs w:val="24"/>
              </w:rPr>
              <w:t>Financial strategies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_Toc149657589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5</w:t>
            </w:r>
            <w:r w:rsidRPr="006C4622">
              <w:rPr>
                <w:rFonts w:ascii="Times New Roman" w:hAnsi="Times New Roman" w:cs="Times New Roman"/>
                <w:noProof/>
                <w:webHidden/>
                <w:sz w:val="24"/>
                <w:szCs w:val="24"/>
              </w:rPr>
              <w:fldChar w:fldCharType="end"/>
            </w:r>
          </w:hyperlink>
        </w:p>
        <w:p w14:paraId="642E06B0" w14:textId="5C64E813"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hyperlink w:anchor="_Toc149657590" w:history="1">
            <w:r w:rsidRPr="006C4622">
              <w:rPr>
                <w:rStyle w:val="Hyperlink"/>
                <w:rFonts w:ascii="Times New Roman" w:eastAsia="Times New Roman" w:hAnsi="Times New Roman" w:cs="Times New Roman"/>
                <w:noProof/>
                <w:sz w:val="24"/>
                <w:szCs w:val="24"/>
              </w:rPr>
              <w:t>4. Evaluation of adopted strategies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_Toc149657590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5</w:t>
            </w:r>
            <w:r w:rsidRPr="006C4622">
              <w:rPr>
                <w:rFonts w:ascii="Times New Roman" w:hAnsi="Times New Roman" w:cs="Times New Roman"/>
                <w:noProof/>
                <w:webHidden/>
                <w:sz w:val="24"/>
                <w:szCs w:val="24"/>
              </w:rPr>
              <w:fldChar w:fldCharType="end"/>
            </w:r>
          </w:hyperlink>
        </w:p>
        <w:p w14:paraId="54C37650" w14:textId="2B0E330D"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1" w:history="1">
            <w:r w:rsidRPr="006C4622">
              <w:rPr>
                <w:rStyle w:val="Hyperlink"/>
                <w:rFonts w:ascii="Times New Roman" w:eastAsia="Times New Roman" w:hAnsi="Times New Roman" w:cs="Times New Roman"/>
                <w:noProof/>
                <w:sz w:val="24"/>
                <w:szCs w:val="24"/>
              </w:rPr>
              <w:t>Case studies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_Toc149657591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5</w:t>
            </w:r>
            <w:r w:rsidRPr="006C4622">
              <w:rPr>
                <w:rFonts w:ascii="Times New Roman" w:hAnsi="Times New Roman" w:cs="Times New Roman"/>
                <w:noProof/>
                <w:webHidden/>
                <w:sz w:val="24"/>
                <w:szCs w:val="24"/>
              </w:rPr>
              <w:fldChar w:fldCharType="end"/>
            </w:r>
          </w:hyperlink>
        </w:p>
        <w:p w14:paraId="699EB5E0" w14:textId="4458CE6B"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2" w:history="1">
            <w:r w:rsidRPr="006C4622">
              <w:rPr>
                <w:rStyle w:val="Hyperlink"/>
                <w:rFonts w:ascii="Times New Roman" w:eastAsia="Times New Roman" w:hAnsi="Times New Roman" w:cs="Times New Roman"/>
                <w:noProof/>
                <w:sz w:val="24"/>
                <w:szCs w:val="24"/>
              </w:rPr>
              <w:t>Comparative analysis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_Toc149657592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6</w:t>
            </w:r>
            <w:r w:rsidRPr="006C4622">
              <w:rPr>
                <w:rFonts w:ascii="Times New Roman" w:hAnsi="Times New Roman" w:cs="Times New Roman"/>
                <w:noProof/>
                <w:webHidden/>
                <w:sz w:val="24"/>
                <w:szCs w:val="24"/>
              </w:rPr>
              <w:fldChar w:fldCharType="end"/>
            </w:r>
          </w:hyperlink>
        </w:p>
        <w:p w14:paraId="08B431EA" w14:textId="0E1A68FC"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3" w:history="1">
            <w:r w:rsidRPr="006C4622">
              <w:rPr>
                <w:rStyle w:val="Hyperlink"/>
                <w:rFonts w:ascii="Times New Roman" w:eastAsia="Times New Roman" w:hAnsi="Times New Roman" w:cs="Times New Roman"/>
                <w:noProof/>
                <w:sz w:val="24"/>
                <w:szCs w:val="24"/>
              </w:rPr>
              <w:t>Benefits and limitations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_Toc149657593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6</w:t>
            </w:r>
            <w:r w:rsidRPr="006C4622">
              <w:rPr>
                <w:rFonts w:ascii="Times New Roman" w:hAnsi="Times New Roman" w:cs="Times New Roman"/>
                <w:noProof/>
                <w:webHidden/>
                <w:sz w:val="24"/>
                <w:szCs w:val="24"/>
              </w:rPr>
              <w:fldChar w:fldCharType="end"/>
            </w:r>
          </w:hyperlink>
        </w:p>
        <w:p w14:paraId="03EB81D4" w14:textId="6075626D"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hyperlink w:anchor="_Toc149657594" w:history="1">
            <w:r w:rsidRPr="006C4622">
              <w:rPr>
                <w:rStyle w:val="Hyperlink"/>
                <w:rFonts w:ascii="Times New Roman" w:eastAsia="Times New Roman" w:hAnsi="Times New Roman" w:cs="Times New Roman"/>
                <w:noProof/>
                <w:sz w:val="24"/>
                <w:szCs w:val="24"/>
              </w:rPr>
              <w:t>5. Conclusion</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_Toc149657594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6</w:t>
            </w:r>
            <w:r w:rsidRPr="006C4622">
              <w:rPr>
                <w:rFonts w:ascii="Times New Roman" w:hAnsi="Times New Roman" w:cs="Times New Roman"/>
                <w:noProof/>
                <w:webHidden/>
                <w:sz w:val="24"/>
                <w:szCs w:val="24"/>
              </w:rPr>
              <w:fldChar w:fldCharType="end"/>
            </w:r>
          </w:hyperlink>
        </w:p>
        <w:p w14:paraId="7CE04EBF" w14:textId="3D64F0C9"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5" w:history="1">
            <w:r w:rsidRPr="006C4622">
              <w:rPr>
                <w:rStyle w:val="Hyperlink"/>
                <w:rFonts w:ascii="Times New Roman" w:eastAsia="Times New Roman" w:hAnsi="Times New Roman" w:cs="Times New Roman"/>
                <w:noProof/>
                <w:sz w:val="24"/>
                <w:szCs w:val="24"/>
              </w:rPr>
              <w:t>Summary of Findings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_Toc149657595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6</w:t>
            </w:r>
            <w:r w:rsidRPr="006C4622">
              <w:rPr>
                <w:rFonts w:ascii="Times New Roman" w:hAnsi="Times New Roman" w:cs="Times New Roman"/>
                <w:noProof/>
                <w:webHidden/>
                <w:sz w:val="24"/>
                <w:szCs w:val="24"/>
              </w:rPr>
              <w:fldChar w:fldCharType="end"/>
            </w:r>
          </w:hyperlink>
        </w:p>
        <w:p w14:paraId="4439E016" w14:textId="1DF632CB"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6" w:history="1">
            <w:r w:rsidRPr="006C4622">
              <w:rPr>
                <w:rStyle w:val="Hyperlink"/>
                <w:rFonts w:ascii="Times New Roman" w:eastAsia="Times New Roman" w:hAnsi="Times New Roman" w:cs="Times New Roman"/>
                <w:noProof/>
                <w:sz w:val="24"/>
                <w:szCs w:val="24"/>
              </w:rPr>
              <w:t>Implication and Recommendation</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_Toc149657596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7</w:t>
            </w:r>
            <w:r w:rsidRPr="006C4622">
              <w:rPr>
                <w:rFonts w:ascii="Times New Roman" w:hAnsi="Times New Roman" w:cs="Times New Roman"/>
                <w:noProof/>
                <w:webHidden/>
                <w:sz w:val="24"/>
                <w:szCs w:val="24"/>
              </w:rPr>
              <w:fldChar w:fldCharType="end"/>
            </w:r>
          </w:hyperlink>
        </w:p>
        <w:p w14:paraId="7B5678A4" w14:textId="50A9EDA6" w:rsidR="006C4622" w:rsidRPr="006C4622" w:rsidRDefault="00000000" w:rsidP="00521755">
          <w:pPr>
            <w:pStyle w:val="TOC2"/>
            <w:tabs>
              <w:tab w:val="right" w:leader="dot" w:pos="9350"/>
            </w:tabs>
            <w:spacing w:line="480" w:lineRule="auto"/>
            <w:rPr>
              <w:rFonts w:ascii="Times New Roman" w:hAnsi="Times New Roman" w:cs="Times New Roman"/>
              <w:noProof/>
              <w:sz w:val="24"/>
              <w:szCs w:val="24"/>
            </w:rPr>
          </w:pPr>
          <w:hyperlink w:anchor="_Toc149657597" w:history="1">
            <w:r w:rsidRPr="006C4622">
              <w:rPr>
                <w:rStyle w:val="Hyperlink"/>
                <w:rFonts w:ascii="Times New Roman" w:eastAsia="Times New Roman" w:hAnsi="Times New Roman" w:cs="Times New Roman"/>
                <w:noProof/>
                <w:sz w:val="24"/>
                <w:szCs w:val="24"/>
              </w:rPr>
              <w:t>Closing thoughts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_Toc149657597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7</w:t>
            </w:r>
            <w:r w:rsidRPr="006C4622">
              <w:rPr>
                <w:rFonts w:ascii="Times New Roman" w:hAnsi="Times New Roman" w:cs="Times New Roman"/>
                <w:noProof/>
                <w:webHidden/>
                <w:sz w:val="24"/>
                <w:szCs w:val="24"/>
              </w:rPr>
              <w:fldChar w:fldCharType="end"/>
            </w:r>
          </w:hyperlink>
        </w:p>
        <w:p w14:paraId="3F5F24D0" w14:textId="42633A7B" w:rsidR="006C4622" w:rsidRPr="006C4622" w:rsidRDefault="00000000" w:rsidP="00521755">
          <w:pPr>
            <w:pStyle w:val="TOC1"/>
            <w:tabs>
              <w:tab w:val="right" w:leader="dot" w:pos="9350"/>
            </w:tabs>
            <w:spacing w:line="480" w:lineRule="auto"/>
            <w:rPr>
              <w:rFonts w:ascii="Times New Roman" w:hAnsi="Times New Roman" w:cs="Times New Roman"/>
              <w:noProof/>
              <w:sz w:val="24"/>
              <w:szCs w:val="24"/>
            </w:rPr>
          </w:pPr>
          <w:hyperlink w:anchor="_Toc149657598" w:history="1">
            <w:r w:rsidRPr="006C4622">
              <w:rPr>
                <w:rStyle w:val="Hyperlink"/>
                <w:rFonts w:ascii="Times New Roman" w:eastAsia="Times New Roman" w:hAnsi="Times New Roman" w:cs="Times New Roman"/>
                <w:noProof/>
                <w:sz w:val="24"/>
                <w:szCs w:val="24"/>
              </w:rPr>
              <w:t>6. References</w:t>
            </w:r>
            <w:r w:rsidRPr="006C4622">
              <w:rPr>
                <w:rFonts w:ascii="Times New Roman" w:hAnsi="Times New Roman" w:cs="Times New Roman"/>
                <w:noProof/>
                <w:webHidden/>
                <w:sz w:val="24"/>
                <w:szCs w:val="24"/>
              </w:rPr>
              <w:tab/>
            </w:r>
            <w:r w:rsidRPr="006C4622">
              <w:rPr>
                <w:rFonts w:ascii="Times New Roman" w:hAnsi="Times New Roman" w:cs="Times New Roman"/>
                <w:noProof/>
                <w:webHidden/>
                <w:sz w:val="24"/>
                <w:szCs w:val="24"/>
              </w:rPr>
              <w:fldChar w:fldCharType="begin"/>
            </w:r>
            <w:r w:rsidRPr="006C4622">
              <w:rPr>
                <w:rFonts w:ascii="Times New Roman" w:hAnsi="Times New Roman" w:cs="Times New Roman"/>
                <w:noProof/>
                <w:webHidden/>
                <w:sz w:val="24"/>
                <w:szCs w:val="24"/>
              </w:rPr>
              <w:instrText xml:space="preserve"> PAGEREF _Toc149657598 \h </w:instrText>
            </w:r>
            <w:r w:rsidRPr="006C4622">
              <w:rPr>
                <w:rFonts w:ascii="Times New Roman" w:hAnsi="Times New Roman" w:cs="Times New Roman"/>
                <w:noProof/>
                <w:webHidden/>
                <w:sz w:val="24"/>
                <w:szCs w:val="24"/>
              </w:rPr>
            </w:r>
            <w:r w:rsidRPr="006C4622">
              <w:rPr>
                <w:rFonts w:ascii="Times New Roman" w:hAnsi="Times New Roman" w:cs="Times New Roman"/>
                <w:noProof/>
                <w:webHidden/>
                <w:sz w:val="24"/>
                <w:szCs w:val="24"/>
              </w:rPr>
              <w:fldChar w:fldCharType="separate"/>
            </w:r>
            <w:r w:rsidRPr="006C4622">
              <w:rPr>
                <w:rFonts w:ascii="Times New Roman" w:hAnsi="Times New Roman" w:cs="Times New Roman"/>
                <w:noProof/>
                <w:webHidden/>
                <w:sz w:val="24"/>
                <w:szCs w:val="24"/>
              </w:rPr>
              <w:t>8</w:t>
            </w:r>
            <w:r w:rsidRPr="006C4622">
              <w:rPr>
                <w:rFonts w:ascii="Times New Roman" w:hAnsi="Times New Roman" w:cs="Times New Roman"/>
                <w:noProof/>
                <w:webHidden/>
                <w:sz w:val="24"/>
                <w:szCs w:val="24"/>
              </w:rPr>
              <w:fldChar w:fldCharType="end"/>
            </w:r>
          </w:hyperlink>
        </w:p>
        <w:p w14:paraId="6234D9BE" w14:textId="73C753B4" w:rsidR="006C4622" w:rsidRDefault="00000000" w:rsidP="00521755">
          <w:pPr>
            <w:spacing w:line="480" w:lineRule="auto"/>
          </w:pPr>
          <w:r w:rsidRPr="006C4622">
            <w:rPr>
              <w:rFonts w:ascii="Times New Roman" w:hAnsi="Times New Roman" w:cs="Times New Roman"/>
              <w:bCs/>
              <w:noProof/>
              <w:sz w:val="24"/>
              <w:szCs w:val="24"/>
            </w:rPr>
            <w:fldChar w:fldCharType="end"/>
          </w:r>
        </w:p>
      </w:sdtContent>
    </w:sdt>
    <w:p w14:paraId="0000000E" w14:textId="77777777" w:rsidR="000177A2" w:rsidRDefault="00000000" w:rsidP="00521755">
      <w:pPr>
        <w:spacing w:line="480" w:lineRule="auto"/>
        <w:jc w:val="center"/>
        <w:rPr>
          <w:rFonts w:ascii="Times New Roman" w:eastAsia="Times New Roman" w:hAnsi="Times New Roman" w:cs="Times New Roman"/>
          <w:sz w:val="24"/>
          <w:szCs w:val="24"/>
        </w:rPr>
      </w:pPr>
      <w:r>
        <w:br w:type="page"/>
      </w:r>
    </w:p>
    <w:p w14:paraId="0000000F" w14:textId="77777777" w:rsidR="000177A2" w:rsidRDefault="00000000" w:rsidP="00521755">
      <w:pPr>
        <w:pStyle w:val="Heading1"/>
        <w:spacing w:line="480" w:lineRule="auto"/>
        <w:rPr>
          <w:rFonts w:ascii="Times New Roman" w:eastAsia="Times New Roman" w:hAnsi="Times New Roman" w:cs="Times New Roman"/>
          <w:b/>
          <w:sz w:val="28"/>
          <w:szCs w:val="28"/>
        </w:rPr>
      </w:pPr>
      <w:bookmarkStart w:id="0" w:name="_t5v5vpuymvp9" w:colFirst="0" w:colLast="0"/>
      <w:bookmarkStart w:id="1" w:name="_Toc149657579"/>
      <w:bookmarkEnd w:id="0"/>
      <w:r>
        <w:rPr>
          <w:rFonts w:ascii="Times New Roman" w:eastAsia="Times New Roman" w:hAnsi="Times New Roman" w:cs="Times New Roman"/>
          <w:b/>
          <w:sz w:val="28"/>
          <w:szCs w:val="28"/>
        </w:rPr>
        <w:lastRenderedPageBreak/>
        <w:t>1. Introduction</w:t>
      </w:r>
      <w:bookmarkEnd w:id="1"/>
      <w:r>
        <w:rPr>
          <w:rFonts w:ascii="Times New Roman" w:eastAsia="Times New Roman" w:hAnsi="Times New Roman" w:cs="Times New Roman"/>
          <w:b/>
          <w:sz w:val="28"/>
          <w:szCs w:val="28"/>
        </w:rPr>
        <w:t xml:space="preserve"> </w:t>
      </w:r>
    </w:p>
    <w:p w14:paraId="00000010" w14:textId="77777777" w:rsidR="000177A2" w:rsidRDefault="00000000" w:rsidP="00521755">
      <w:pPr>
        <w:pStyle w:val="Heading2"/>
        <w:spacing w:line="480" w:lineRule="auto"/>
        <w:rPr>
          <w:rFonts w:ascii="Times New Roman" w:eastAsia="Times New Roman" w:hAnsi="Times New Roman" w:cs="Times New Roman"/>
          <w:sz w:val="24"/>
          <w:szCs w:val="24"/>
        </w:rPr>
      </w:pPr>
      <w:bookmarkStart w:id="2" w:name="_ytthg2x8wvmn" w:colFirst="0" w:colLast="0"/>
      <w:bookmarkStart w:id="3" w:name="_Toc149657580"/>
      <w:bookmarkEnd w:id="2"/>
      <w:r>
        <w:rPr>
          <w:rFonts w:ascii="Times New Roman" w:eastAsia="Times New Roman" w:hAnsi="Times New Roman" w:cs="Times New Roman"/>
          <w:b/>
          <w:sz w:val="26"/>
          <w:szCs w:val="26"/>
        </w:rPr>
        <w:t>Background information</w:t>
      </w:r>
      <w:bookmarkEnd w:id="3"/>
      <w:r>
        <w:rPr>
          <w:rFonts w:ascii="Times New Roman" w:eastAsia="Times New Roman" w:hAnsi="Times New Roman" w:cs="Times New Roman"/>
          <w:b/>
          <w:sz w:val="26"/>
          <w:szCs w:val="26"/>
        </w:rPr>
        <w:t xml:space="preserve"> </w:t>
      </w:r>
    </w:p>
    <w:p w14:paraId="00000011"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Multinational corporations conduct business in many countries, each with its own currency, in an international marketplace. This introduces them to the risk of foreign exchange, where changes in the values of currency may lead to specific financial uncertainty. However, exchange rate fluctuation can have an impact on different parts of the business, including costs, investments and revenue (Park and Kim, 2020). Moreover, these problems could have a significant impact on financial stability, and profitability, resulting in losses and failed investor confidence. </w:t>
      </w:r>
    </w:p>
    <w:p w14:paraId="00000012"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management of foreign exchange is critical for MNCs in terms of maintaining a strong position in finance. MNCs may reduce the negative effects of changes in currency by implementing proper risk management strategies like diversification and hedging. Moreover, this allows people to protect their financial health by preserving their wealth as well as optimising their profits. Furthermore, managing risks associated with foreign exchange enables MNCs to keep a competitive edge in the international market, allowing them to provide competitive prices while maintaining strong consumer relationships (Kling et al., 2021). Also, it allows stable international businesses, allowing them to operate business operations smoothly across multiple nations without being sensitive to sudden changes in exchange rates. Finally, efficiently managing foreign exchange risks is essential for the longevity and long-term performance of multinational corporations. </w:t>
      </w:r>
    </w:p>
    <w:p w14:paraId="00000013"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4" w:name="_wcjymirnumyv" w:colFirst="0" w:colLast="0"/>
      <w:bookmarkStart w:id="5" w:name="_Toc149657581"/>
      <w:bookmarkEnd w:id="4"/>
      <w:r>
        <w:rPr>
          <w:rFonts w:ascii="Times New Roman" w:eastAsia="Times New Roman" w:hAnsi="Times New Roman" w:cs="Times New Roman"/>
          <w:b/>
          <w:sz w:val="26"/>
          <w:szCs w:val="26"/>
        </w:rPr>
        <w:lastRenderedPageBreak/>
        <w:t>Purpose of the report</w:t>
      </w:r>
      <w:bookmarkEnd w:id="5"/>
      <w:r>
        <w:rPr>
          <w:rFonts w:ascii="Times New Roman" w:eastAsia="Times New Roman" w:hAnsi="Times New Roman" w:cs="Times New Roman"/>
          <w:b/>
          <w:sz w:val="26"/>
          <w:szCs w:val="26"/>
        </w:rPr>
        <w:t xml:space="preserve"> </w:t>
      </w:r>
    </w:p>
    <w:p w14:paraId="00000014"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purpose of this report is to emphasise the important value of multinational company’s knowledge and implementing various strategies for properly managing foreign exchange risks. Also, the report usually focuses on investigating and analysing the techniques adopted by financial company Barclays by reviewing multiple strategies used by well-known international companies (Barclays, 2022). The report intends to offer significant data along with recommendations for MNCs through this assessment, emphasising the importance of applying suitable risk management tactics in the context of international currency fluctuations. </w:t>
      </w:r>
    </w:p>
    <w:p w14:paraId="00000015" w14:textId="77777777" w:rsidR="000177A2" w:rsidRDefault="00000000" w:rsidP="00521755">
      <w:pPr>
        <w:pStyle w:val="Heading1"/>
        <w:spacing w:line="480" w:lineRule="auto"/>
        <w:rPr>
          <w:rFonts w:ascii="Times New Roman" w:eastAsia="Times New Roman" w:hAnsi="Times New Roman" w:cs="Times New Roman"/>
          <w:b/>
          <w:sz w:val="28"/>
          <w:szCs w:val="28"/>
        </w:rPr>
      </w:pPr>
      <w:bookmarkStart w:id="6" w:name="_mmxf8148gbi7" w:colFirst="0" w:colLast="0"/>
      <w:bookmarkStart w:id="7" w:name="_Toc149657582"/>
      <w:bookmarkEnd w:id="6"/>
      <w:r>
        <w:rPr>
          <w:rFonts w:ascii="Times New Roman" w:eastAsia="Times New Roman" w:hAnsi="Times New Roman" w:cs="Times New Roman"/>
          <w:b/>
          <w:sz w:val="28"/>
          <w:szCs w:val="28"/>
        </w:rPr>
        <w:t>2. Theoretical Framework: International Financial Management Theories</w:t>
      </w:r>
      <w:bookmarkEnd w:id="7"/>
      <w:r>
        <w:rPr>
          <w:rFonts w:ascii="Times New Roman" w:eastAsia="Times New Roman" w:hAnsi="Times New Roman" w:cs="Times New Roman"/>
          <w:b/>
          <w:sz w:val="28"/>
          <w:szCs w:val="28"/>
        </w:rPr>
        <w:t xml:space="preserve"> </w:t>
      </w:r>
    </w:p>
    <w:p w14:paraId="00000016"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8" w:name="_jzlkcpisispk" w:colFirst="0" w:colLast="0"/>
      <w:bookmarkStart w:id="9" w:name="_Toc149657583"/>
      <w:bookmarkEnd w:id="8"/>
      <w:r>
        <w:rPr>
          <w:rFonts w:ascii="Times New Roman" w:eastAsia="Times New Roman" w:hAnsi="Times New Roman" w:cs="Times New Roman"/>
          <w:b/>
          <w:sz w:val="26"/>
          <w:szCs w:val="26"/>
        </w:rPr>
        <w:t>Overview of IFM theories</w:t>
      </w:r>
      <w:bookmarkEnd w:id="9"/>
      <w:r>
        <w:rPr>
          <w:rFonts w:ascii="Times New Roman" w:eastAsia="Times New Roman" w:hAnsi="Times New Roman" w:cs="Times New Roman"/>
          <w:b/>
          <w:sz w:val="26"/>
          <w:szCs w:val="26"/>
        </w:rPr>
        <w:t xml:space="preserve"> </w:t>
      </w:r>
    </w:p>
    <w:p w14:paraId="00000017"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overview of international financial management theories is effective in managing foreign exchange risks like interest parity rate, the efficient hypothesis of the market and purchasing parity of power for understanding the core principles controlling fluctuations of currency along with their issues for international companies such as Barclays. Additionally, these theories offer insights into the relationships between inflation, interest rates, market efficiency and exchange rates enabling a strong understanding of how multiple economic factors impact foreign exchange risks (Yao, 2022). Through the adoption of such theories, Barclay can improve more effective and informed strategies to manage its exposure to changes in foreign exchange as well as boost its entire framework of risk management.  </w:t>
      </w:r>
    </w:p>
    <w:p w14:paraId="00000018"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10" w:name="_18e2nc2ipzff" w:colFirst="0" w:colLast="0"/>
      <w:bookmarkStart w:id="11" w:name="_Toc149657584"/>
      <w:bookmarkEnd w:id="10"/>
      <w:r>
        <w:rPr>
          <w:rFonts w:ascii="Times New Roman" w:eastAsia="Times New Roman" w:hAnsi="Times New Roman" w:cs="Times New Roman"/>
          <w:b/>
          <w:sz w:val="26"/>
          <w:szCs w:val="26"/>
        </w:rPr>
        <w:lastRenderedPageBreak/>
        <w:t>Application of theories in practices</w:t>
      </w:r>
      <w:bookmarkEnd w:id="11"/>
      <w:r>
        <w:rPr>
          <w:rFonts w:ascii="Times New Roman" w:eastAsia="Times New Roman" w:hAnsi="Times New Roman" w:cs="Times New Roman"/>
          <w:b/>
          <w:sz w:val="26"/>
          <w:szCs w:val="26"/>
        </w:rPr>
        <w:t xml:space="preserve"> </w:t>
      </w:r>
    </w:p>
    <w:p w14:paraId="00000019" w14:textId="201F51F2"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Multinational companies like Barclays employ international financial management theories in real-world scenarios to efficiently manage foreign exchange issues. For instance, they review and adjust strategies of pricing across various markets for currency differences through the utilisation of purchasing power parity. However, parity of interest rate assists in the management of foreign exchange risk in global finance and investment decisions, resulting in optimal returns. The efficient hypothesis of the market guides processes of decision-making, helping organisations such as Barclays in making informed decisions of investment based on relevant information as well as market efficiency (Saunders</w:t>
      </w:r>
      <w:r w:rsidR="00521755">
        <w:rPr>
          <w:rFonts w:ascii="Times New Roman" w:eastAsia="Times New Roman" w:hAnsi="Times New Roman" w:cs="Times New Roman"/>
          <w:sz w:val="24"/>
          <w:szCs w:val="24"/>
        </w:rPr>
        <w:t xml:space="preserve"> et al., </w:t>
      </w:r>
      <w:r>
        <w:rPr>
          <w:rFonts w:ascii="Times New Roman" w:eastAsia="Times New Roman" w:hAnsi="Times New Roman" w:cs="Times New Roman"/>
          <w:sz w:val="24"/>
          <w:szCs w:val="24"/>
        </w:rPr>
        <w:t xml:space="preserve">2021). Barclays can manage risks associated with foreign exchange while developing financial stability and performance in the international market by actively applying IFM theories. </w:t>
      </w:r>
    </w:p>
    <w:p w14:paraId="0000001A" w14:textId="77777777" w:rsidR="000177A2" w:rsidRDefault="00000000" w:rsidP="00521755">
      <w:pPr>
        <w:pStyle w:val="Heading1"/>
        <w:spacing w:line="480" w:lineRule="auto"/>
      </w:pPr>
      <w:bookmarkStart w:id="12" w:name="_mgor8r9tn8qm" w:colFirst="0" w:colLast="0"/>
      <w:bookmarkStart w:id="13" w:name="_Toc149657585"/>
      <w:bookmarkEnd w:id="12"/>
      <w:r>
        <w:rPr>
          <w:rFonts w:ascii="Times New Roman" w:eastAsia="Times New Roman" w:hAnsi="Times New Roman" w:cs="Times New Roman"/>
          <w:b/>
          <w:sz w:val="28"/>
          <w:szCs w:val="28"/>
        </w:rPr>
        <w:t>3. Strategies for managing foreign exchange risks</w:t>
      </w:r>
      <w:bookmarkEnd w:id="13"/>
      <w:r>
        <w:rPr>
          <w:rFonts w:ascii="Times New Roman" w:eastAsia="Times New Roman" w:hAnsi="Times New Roman" w:cs="Times New Roman"/>
          <w:b/>
          <w:sz w:val="28"/>
          <w:szCs w:val="28"/>
        </w:rPr>
        <w:t xml:space="preserve"> </w:t>
      </w:r>
    </w:p>
    <w:p w14:paraId="0000001B"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14" w:name="_stfpgqoz0u1p" w:colFirst="0" w:colLast="0"/>
      <w:bookmarkStart w:id="15" w:name="_Toc149657586"/>
      <w:bookmarkEnd w:id="14"/>
      <w:r>
        <w:rPr>
          <w:rFonts w:ascii="Times New Roman" w:eastAsia="Times New Roman" w:hAnsi="Times New Roman" w:cs="Times New Roman"/>
          <w:b/>
          <w:sz w:val="26"/>
          <w:szCs w:val="26"/>
        </w:rPr>
        <w:t>Hedging strategies</w:t>
      </w:r>
      <w:bookmarkEnd w:id="15"/>
      <w:r>
        <w:rPr>
          <w:rFonts w:ascii="Times New Roman" w:eastAsia="Times New Roman" w:hAnsi="Times New Roman" w:cs="Times New Roman"/>
          <w:b/>
          <w:sz w:val="26"/>
          <w:szCs w:val="26"/>
        </w:rPr>
        <w:t xml:space="preserve"> </w:t>
      </w:r>
    </w:p>
    <w:p w14:paraId="0000001C"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Hedging strategies for instance forward contracts, allow multinational companies like Barclays to secure stability in exchange rates, safeguarding them against adverse fluctuations of currency. Also, Barclays can utilise forward contracts in terms to fix predetermined rates of exchange for further transactions in future, reducing the risks associated with currency fluctuations (Sullivan, 2019). However, options contracts offer flexibility, by enabling Barclays to sell or purchase currencies at a significant rate, protecting them against adverse exchange rate fluctuations while helping them to profit from positive movements. Moreover, these hedging tools allow Barclays to deal with foreign exchange issues and protect financial interests successfully. </w:t>
      </w:r>
    </w:p>
    <w:p w14:paraId="0000001D"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16" w:name="_n894izu1zb5y" w:colFirst="0" w:colLast="0"/>
      <w:bookmarkStart w:id="17" w:name="_Toc149657587"/>
      <w:bookmarkEnd w:id="16"/>
      <w:r>
        <w:rPr>
          <w:rFonts w:ascii="Times New Roman" w:eastAsia="Times New Roman" w:hAnsi="Times New Roman" w:cs="Times New Roman"/>
          <w:b/>
          <w:sz w:val="26"/>
          <w:szCs w:val="26"/>
        </w:rPr>
        <w:lastRenderedPageBreak/>
        <w:t>Diversification strategies</w:t>
      </w:r>
      <w:bookmarkEnd w:id="17"/>
      <w:r>
        <w:rPr>
          <w:rFonts w:ascii="Times New Roman" w:eastAsia="Times New Roman" w:hAnsi="Times New Roman" w:cs="Times New Roman"/>
          <w:b/>
          <w:sz w:val="26"/>
          <w:szCs w:val="26"/>
        </w:rPr>
        <w:t xml:space="preserve"> </w:t>
      </w:r>
    </w:p>
    <w:p w14:paraId="0000001E"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Diversification strategies such as geographical diversification enable Barclays to split its operations across multiple nations, decreasing the effect of currency fluctuations in any specific market. Also, Barclays can mitigate the risks related to specific volatility of the currency, enabling a more consistent revenue stream by operating in various geographic locations (Kitema, 2021). Additionally, diversification of products allows Barclays to provide a wide range of services and products, decreasing its dependence on specific currencies or markets. Moreover, this approach helps reduce the risk of currency by allowing fluctuations in particular services or products not to impact disproportionately the overall revenue stream, boosting the entire resilience of Barclays. </w:t>
      </w:r>
    </w:p>
    <w:p w14:paraId="0000001F"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18" w:name="_24i1dz34fcy8" w:colFirst="0" w:colLast="0"/>
      <w:bookmarkStart w:id="19" w:name="_Toc149657588"/>
      <w:bookmarkEnd w:id="18"/>
      <w:r>
        <w:rPr>
          <w:rFonts w:ascii="Times New Roman" w:eastAsia="Times New Roman" w:hAnsi="Times New Roman" w:cs="Times New Roman"/>
          <w:b/>
          <w:sz w:val="26"/>
          <w:szCs w:val="26"/>
        </w:rPr>
        <w:t>Operational strategies</w:t>
      </w:r>
      <w:bookmarkEnd w:id="19"/>
      <w:r>
        <w:rPr>
          <w:rFonts w:ascii="Times New Roman" w:eastAsia="Times New Roman" w:hAnsi="Times New Roman" w:cs="Times New Roman"/>
          <w:b/>
          <w:sz w:val="26"/>
          <w:szCs w:val="26"/>
        </w:rPr>
        <w:t xml:space="preserve"> </w:t>
      </w:r>
    </w:p>
    <w:p w14:paraId="00000020"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Operational strategies like natural hedging allow multinational companies such as Barclays to coordinate their expenses and revenue across multiple currencies, minimising the entire exposure to risks of currency. Usually, Barclays can offset the effect of currency changes naturally on financial performance by matching outflows and inflows in multiple currencies. Additionally lagging and leading strategies include timing payments as well as receipts specifically to manage exposure to foreign exchange (Noorbakhsh et al., 2021). Moreover, Barclays can utilise these strategies to take advantage of favourable exchange rates through expediting or delaying payments, therefore limiting possible losses from negative currency fluctuations. </w:t>
      </w:r>
    </w:p>
    <w:p w14:paraId="00000021"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20" w:name="_d33fsg4y87om" w:colFirst="0" w:colLast="0"/>
      <w:bookmarkStart w:id="21" w:name="_Toc149657589"/>
      <w:bookmarkEnd w:id="20"/>
      <w:r>
        <w:rPr>
          <w:rFonts w:ascii="Times New Roman" w:eastAsia="Times New Roman" w:hAnsi="Times New Roman" w:cs="Times New Roman"/>
          <w:b/>
          <w:sz w:val="26"/>
          <w:szCs w:val="26"/>
        </w:rPr>
        <w:t>Financial strategies</w:t>
      </w:r>
      <w:bookmarkEnd w:id="21"/>
      <w:r>
        <w:rPr>
          <w:rFonts w:ascii="Times New Roman" w:eastAsia="Times New Roman" w:hAnsi="Times New Roman" w:cs="Times New Roman"/>
          <w:b/>
          <w:sz w:val="26"/>
          <w:szCs w:val="26"/>
        </w:rPr>
        <w:t xml:space="preserve"> </w:t>
      </w:r>
    </w:p>
    <w:p w14:paraId="00000022"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Balancing sheet hedging, for instance, enables Barclays to deal with currency risks through the adjustment of equity and debt structures. Moreover, this company can limit potential losses from </w:t>
      </w:r>
      <w:r>
        <w:rPr>
          <w:rFonts w:ascii="Times New Roman" w:eastAsia="Times New Roman" w:hAnsi="Times New Roman" w:cs="Times New Roman"/>
          <w:sz w:val="24"/>
          <w:szCs w:val="24"/>
        </w:rPr>
        <w:lastRenderedPageBreak/>
        <w:t xml:space="preserve">currency fluctuations by utilising techniques such as matching assets of foreign currency and liabilities. Moreover, management of translation exposure includes dealing with the risk that arises from combining financial accounts of subsidiaries that operate in multiple currencies (Gabor et al., 2019). Additionally, this company can utilise methods such as currency swaps or forward contracts for hedging against translation issues, ensuring that changes in exchange rates do not specifically affect its overall stability and financial reporting. </w:t>
      </w:r>
    </w:p>
    <w:p w14:paraId="00000023" w14:textId="77777777" w:rsidR="000177A2" w:rsidRDefault="00000000" w:rsidP="00521755">
      <w:pPr>
        <w:pStyle w:val="Heading1"/>
        <w:spacing w:line="480" w:lineRule="auto"/>
        <w:rPr>
          <w:rFonts w:ascii="Times New Roman" w:eastAsia="Times New Roman" w:hAnsi="Times New Roman" w:cs="Times New Roman"/>
          <w:b/>
          <w:sz w:val="28"/>
          <w:szCs w:val="28"/>
        </w:rPr>
      </w:pPr>
      <w:bookmarkStart w:id="22" w:name="_padwh268m47t" w:colFirst="0" w:colLast="0"/>
      <w:bookmarkStart w:id="23" w:name="_Toc149657590"/>
      <w:bookmarkEnd w:id="22"/>
      <w:r>
        <w:rPr>
          <w:rFonts w:ascii="Times New Roman" w:eastAsia="Times New Roman" w:hAnsi="Times New Roman" w:cs="Times New Roman"/>
          <w:b/>
          <w:sz w:val="28"/>
          <w:szCs w:val="28"/>
        </w:rPr>
        <w:t>4. Evaluation of adopted strategies</w:t>
      </w:r>
      <w:bookmarkEnd w:id="23"/>
      <w:r>
        <w:rPr>
          <w:rFonts w:ascii="Times New Roman" w:eastAsia="Times New Roman" w:hAnsi="Times New Roman" w:cs="Times New Roman"/>
          <w:b/>
          <w:sz w:val="28"/>
          <w:szCs w:val="28"/>
        </w:rPr>
        <w:t xml:space="preserve"> </w:t>
      </w:r>
    </w:p>
    <w:p w14:paraId="00000024"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24" w:name="_s8jnwpemk7vh" w:colFirst="0" w:colLast="0"/>
      <w:bookmarkStart w:id="25" w:name="_Toc149657591"/>
      <w:bookmarkEnd w:id="24"/>
      <w:r>
        <w:rPr>
          <w:rFonts w:ascii="Times New Roman" w:eastAsia="Times New Roman" w:hAnsi="Times New Roman" w:cs="Times New Roman"/>
          <w:b/>
          <w:sz w:val="26"/>
          <w:szCs w:val="26"/>
        </w:rPr>
        <w:t>Case studies</w:t>
      </w:r>
      <w:bookmarkEnd w:id="25"/>
      <w:r>
        <w:rPr>
          <w:rFonts w:ascii="Times New Roman" w:eastAsia="Times New Roman" w:hAnsi="Times New Roman" w:cs="Times New Roman"/>
          <w:b/>
          <w:sz w:val="26"/>
          <w:szCs w:val="26"/>
        </w:rPr>
        <w:t xml:space="preserve"> </w:t>
      </w:r>
    </w:p>
    <w:p w14:paraId="00000025"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scenario demonstrates how multinational companies, including Barclays, successfully manage foreign exchange issues. For instance, one case must illustrate how this company used strategic techniques of hedging to manage the changing currency market, enabling stable performance of financial aspects. On the other hand, another case study can highlight how Barclays started proper diversification strategies, both product offerings and geographically, to reduce the effect of currency fluctuations (Bhargava and Chaudhry, 2022). Moreover, these case studies provide valuable data on several risk management tactics’ practical applications, offering guidance to other international companies searching to boost their strategies for the management of foreign exchange risk.  </w:t>
      </w:r>
    </w:p>
    <w:p w14:paraId="00000026"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26" w:name="_nuqq66cmek6l" w:colFirst="0" w:colLast="0"/>
      <w:bookmarkStart w:id="27" w:name="_Toc149657592"/>
      <w:bookmarkEnd w:id="26"/>
      <w:r>
        <w:rPr>
          <w:rFonts w:ascii="Times New Roman" w:eastAsia="Times New Roman" w:hAnsi="Times New Roman" w:cs="Times New Roman"/>
          <w:b/>
          <w:sz w:val="26"/>
          <w:szCs w:val="26"/>
        </w:rPr>
        <w:t>Comparative analysis</w:t>
      </w:r>
      <w:bookmarkEnd w:id="27"/>
      <w:r>
        <w:rPr>
          <w:rFonts w:ascii="Times New Roman" w:eastAsia="Times New Roman" w:hAnsi="Times New Roman" w:cs="Times New Roman"/>
          <w:b/>
          <w:sz w:val="26"/>
          <w:szCs w:val="26"/>
        </w:rPr>
        <w:t xml:space="preserve"> </w:t>
      </w:r>
    </w:p>
    <w:p w14:paraId="00000027"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comparison of multinational companies demonstrates various success rates as well as risks associated with multiple foreign exchange risk management tactics. However, for example, while some organisations including Barclays may have used hedging tactics successfully to confirm the </w:t>
      </w:r>
      <w:r>
        <w:rPr>
          <w:rFonts w:ascii="Times New Roman" w:eastAsia="Times New Roman" w:hAnsi="Times New Roman" w:cs="Times New Roman"/>
          <w:sz w:val="24"/>
          <w:szCs w:val="24"/>
        </w:rPr>
        <w:lastRenderedPageBreak/>
        <w:t xml:space="preserve">stable performance of finance, others may have experienced difficulties associated with the costs and complexity of applying these strategies (Yildirim et al., 2023). Apart from that, the comparative analysis could show how specific companies profited through suitable diversification tactics. In contrast, others struggled with difficulties in dealing with a proper balance between various product lines and geographic markets. Such comparative analysis offers useful data on the complex effect of multiple risk management strategies on global organisations. </w:t>
      </w:r>
    </w:p>
    <w:p w14:paraId="00000028"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28" w:name="_pfykkxptdlr8" w:colFirst="0" w:colLast="0"/>
      <w:bookmarkStart w:id="29" w:name="_Toc149657593"/>
      <w:bookmarkEnd w:id="28"/>
      <w:r>
        <w:rPr>
          <w:rFonts w:ascii="Times New Roman" w:eastAsia="Times New Roman" w:hAnsi="Times New Roman" w:cs="Times New Roman"/>
          <w:b/>
          <w:sz w:val="26"/>
          <w:szCs w:val="26"/>
        </w:rPr>
        <w:t>Benefits and limitations</w:t>
      </w:r>
      <w:bookmarkEnd w:id="29"/>
      <w:r>
        <w:rPr>
          <w:rFonts w:ascii="Times New Roman" w:eastAsia="Times New Roman" w:hAnsi="Times New Roman" w:cs="Times New Roman"/>
          <w:b/>
          <w:sz w:val="26"/>
          <w:szCs w:val="26"/>
        </w:rPr>
        <w:t xml:space="preserve"> </w:t>
      </w:r>
    </w:p>
    <w:p w14:paraId="00000029"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management technique of foreign exchange risk, such as financial, hedging, operational and diversification strategies has distinct advantages and disadvantages. While hedging strategies offer protection against currency changes, they may include extra costs as well as limit possible gains. Also, operational strategies such as the natural hedging process can coordinate expenses and revenue, nevertheless, they may not completely protect specific currency fluctuations, On the other hand, diversification tactics provide stability and can result in developed operational complexity (Gabor et al., 2019). Finally, while managing particular risks efficiently, financial strategies can expose organisations to extra financial issues. Assessing the sustainable effect of these tactics is beneficial because of their effectiveness and it can improve the financial stability and performance of global companies like Barclays. </w:t>
      </w:r>
    </w:p>
    <w:p w14:paraId="0000002A" w14:textId="77777777" w:rsidR="000177A2" w:rsidRDefault="00000000" w:rsidP="00521755">
      <w:pPr>
        <w:pStyle w:val="Heading1"/>
        <w:spacing w:line="480" w:lineRule="auto"/>
      </w:pPr>
      <w:bookmarkStart w:id="30" w:name="_fu5hcveuky0n" w:colFirst="0" w:colLast="0"/>
      <w:bookmarkStart w:id="31" w:name="_Toc149657594"/>
      <w:bookmarkEnd w:id="30"/>
      <w:r>
        <w:rPr>
          <w:rFonts w:ascii="Times New Roman" w:eastAsia="Times New Roman" w:hAnsi="Times New Roman" w:cs="Times New Roman"/>
          <w:b/>
          <w:sz w:val="28"/>
          <w:szCs w:val="28"/>
        </w:rPr>
        <w:t>5. Conclusion</w:t>
      </w:r>
      <w:bookmarkEnd w:id="31"/>
      <w:r>
        <w:rPr>
          <w:rFonts w:ascii="Times New Roman" w:eastAsia="Times New Roman" w:hAnsi="Times New Roman" w:cs="Times New Roman"/>
          <w:b/>
          <w:sz w:val="28"/>
          <w:szCs w:val="28"/>
        </w:rPr>
        <w:t xml:space="preserve"> </w:t>
      </w:r>
    </w:p>
    <w:p w14:paraId="0000002B"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32" w:name="_r8ekvy495z6d" w:colFirst="0" w:colLast="0"/>
      <w:bookmarkStart w:id="33" w:name="_Toc149657595"/>
      <w:bookmarkEnd w:id="32"/>
      <w:r>
        <w:rPr>
          <w:rFonts w:ascii="Times New Roman" w:eastAsia="Times New Roman" w:hAnsi="Times New Roman" w:cs="Times New Roman"/>
          <w:b/>
          <w:sz w:val="26"/>
          <w:szCs w:val="26"/>
        </w:rPr>
        <w:t>Summary of findings</w:t>
      </w:r>
      <w:bookmarkEnd w:id="33"/>
      <w:r>
        <w:rPr>
          <w:rFonts w:ascii="Times New Roman" w:eastAsia="Times New Roman" w:hAnsi="Times New Roman" w:cs="Times New Roman"/>
          <w:b/>
          <w:sz w:val="26"/>
          <w:szCs w:val="26"/>
        </w:rPr>
        <w:t xml:space="preserve"> </w:t>
      </w:r>
    </w:p>
    <w:p w14:paraId="0000002C"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strategies discussed, including diversification, operational, hedging and financial manipulations play pivotal roles in dealing with risks of foreign exchange rates for international </w:t>
      </w:r>
      <w:r>
        <w:rPr>
          <w:rFonts w:ascii="Times New Roman" w:eastAsia="Times New Roman" w:hAnsi="Times New Roman" w:cs="Times New Roman"/>
          <w:sz w:val="24"/>
          <w:szCs w:val="24"/>
        </w:rPr>
        <w:lastRenderedPageBreak/>
        <w:t xml:space="preserve">companies like Barclays. However, companies like Barclays can handle the issues of currency fluctuations by the proper use of several hedging tools, alignment of expenses and revenue, strategic adjustment of financial aspects and diversification of products and operations. Moreover, these approaches serve collectively to prevent risks as well as boost financial stability, confirming the long-term resilience and competitiveness in the changing international market. </w:t>
      </w:r>
    </w:p>
    <w:p w14:paraId="0000002D"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34" w:name="_y88rmje1h60q" w:colFirst="0" w:colLast="0"/>
      <w:bookmarkStart w:id="35" w:name="_Toc149657596"/>
      <w:bookmarkEnd w:id="34"/>
      <w:r>
        <w:rPr>
          <w:rFonts w:ascii="Times New Roman" w:eastAsia="Times New Roman" w:hAnsi="Times New Roman" w:cs="Times New Roman"/>
          <w:b/>
          <w:sz w:val="26"/>
          <w:szCs w:val="26"/>
        </w:rPr>
        <w:t>Implication and recommendation</w:t>
      </w:r>
      <w:bookmarkEnd w:id="35"/>
      <w:r>
        <w:rPr>
          <w:rFonts w:ascii="Times New Roman" w:eastAsia="Times New Roman" w:hAnsi="Times New Roman" w:cs="Times New Roman"/>
          <w:b/>
          <w:sz w:val="26"/>
          <w:szCs w:val="26"/>
        </w:rPr>
        <w:t xml:space="preserve"> </w:t>
      </w:r>
    </w:p>
    <w:p w14:paraId="0000002E" w14:textId="77777777" w:rsidR="000177A2" w:rsidRDefault="00000000" w:rsidP="005217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of this study suggest that multinational companies should focus on strong risk management tactics to maintain long-term global competitiveness and financial health. Moreover, recommendations include using a combination of diversification and hedging strategies customised to the particular risk tolerance of the company as well as global exposure of the market. Furthermore, maintaining awareness of changing markets as well as regulatory changes might help with timely strategy adaptation. Global companies, including Barclays, might benefit from suitable strategies for various risk management, enabling resilience against fluctuation of foreign exchange and promoting sustainable financial stability along with success. </w:t>
      </w:r>
    </w:p>
    <w:p w14:paraId="0000002F" w14:textId="77777777" w:rsidR="000177A2" w:rsidRDefault="00000000" w:rsidP="00521755">
      <w:pPr>
        <w:pStyle w:val="Heading2"/>
        <w:spacing w:line="480" w:lineRule="auto"/>
        <w:rPr>
          <w:rFonts w:ascii="Times New Roman" w:eastAsia="Times New Roman" w:hAnsi="Times New Roman" w:cs="Times New Roman"/>
          <w:b/>
          <w:sz w:val="26"/>
          <w:szCs w:val="26"/>
        </w:rPr>
      </w:pPr>
      <w:bookmarkStart w:id="36" w:name="_xcphq7qhafqw" w:colFirst="0" w:colLast="0"/>
      <w:bookmarkStart w:id="37" w:name="_Toc149657597"/>
      <w:bookmarkEnd w:id="36"/>
      <w:r>
        <w:rPr>
          <w:rFonts w:ascii="Times New Roman" w:eastAsia="Times New Roman" w:hAnsi="Times New Roman" w:cs="Times New Roman"/>
          <w:b/>
          <w:sz w:val="26"/>
          <w:szCs w:val="26"/>
        </w:rPr>
        <w:t>Closing thoughts</w:t>
      </w:r>
      <w:bookmarkEnd w:id="37"/>
      <w:r>
        <w:rPr>
          <w:rFonts w:ascii="Times New Roman" w:eastAsia="Times New Roman" w:hAnsi="Times New Roman" w:cs="Times New Roman"/>
          <w:b/>
          <w:sz w:val="26"/>
          <w:szCs w:val="26"/>
        </w:rPr>
        <w:t xml:space="preserve"> </w:t>
      </w:r>
    </w:p>
    <w:p w14:paraId="00000030" w14:textId="77777777" w:rsidR="000177A2" w:rsidRDefault="00000000" w:rsidP="00521755">
      <w:pPr>
        <w:spacing w:line="48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Finally, the changing nature of international economic conditions needs continuous adaptation as well as the evolution of specific strategies for dealing risks of foreign exchange. However, multinational companies, including Barclays should remain proactive and agile in altering market dynamics, geopolitical influences and regulatory changes. Hence, companies can strengthen their competitiveness song with resilience in economic uncertainties and currency changes by continuously reviewing and refining risk management strategies. Moreover, by demonstrating the significance of an adaptive mindset and forward-looking, global companies can position </w:t>
      </w:r>
      <w:r>
        <w:rPr>
          <w:rFonts w:ascii="Times New Roman" w:eastAsia="Times New Roman" w:hAnsi="Times New Roman" w:cs="Times New Roman"/>
          <w:sz w:val="24"/>
          <w:szCs w:val="24"/>
        </w:rPr>
        <w:lastRenderedPageBreak/>
        <w:t xml:space="preserve">themselves in regards to prosper among the changing complexities of the international marketplace. </w:t>
      </w:r>
      <w:r>
        <w:br w:type="page"/>
      </w:r>
    </w:p>
    <w:p w14:paraId="00000031" w14:textId="77777777" w:rsidR="000177A2" w:rsidRDefault="00000000" w:rsidP="00521755">
      <w:pPr>
        <w:pStyle w:val="Heading1"/>
        <w:spacing w:line="480" w:lineRule="auto"/>
        <w:rPr>
          <w:rFonts w:ascii="Times New Roman" w:eastAsia="Times New Roman" w:hAnsi="Times New Roman" w:cs="Times New Roman"/>
          <w:sz w:val="36"/>
          <w:szCs w:val="36"/>
        </w:rPr>
      </w:pPr>
      <w:bookmarkStart w:id="38" w:name="_2agjjy2yiw6m" w:colFirst="0" w:colLast="0"/>
      <w:bookmarkStart w:id="39" w:name="_Toc149657598"/>
      <w:bookmarkEnd w:id="38"/>
      <w:r>
        <w:rPr>
          <w:rFonts w:ascii="Times New Roman" w:eastAsia="Times New Roman" w:hAnsi="Times New Roman" w:cs="Times New Roman"/>
          <w:b/>
          <w:sz w:val="28"/>
          <w:szCs w:val="28"/>
        </w:rPr>
        <w:lastRenderedPageBreak/>
        <w:t>6. References</w:t>
      </w:r>
      <w:bookmarkEnd w:id="39"/>
      <w:r>
        <w:rPr>
          <w:rFonts w:ascii="Times New Roman" w:eastAsia="Times New Roman" w:hAnsi="Times New Roman" w:cs="Times New Roman"/>
          <w:b/>
          <w:sz w:val="28"/>
          <w:szCs w:val="28"/>
        </w:rPr>
        <w:t xml:space="preserve"> </w:t>
      </w:r>
    </w:p>
    <w:p w14:paraId="00000032"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(2022). </w:t>
      </w:r>
      <w:r>
        <w:rPr>
          <w:rFonts w:ascii="Times New Roman" w:eastAsia="Times New Roman" w:hAnsi="Times New Roman" w:cs="Times New Roman"/>
          <w:i/>
          <w:sz w:val="24"/>
          <w:szCs w:val="24"/>
        </w:rPr>
        <w:t>Home | Barclays</w:t>
      </w:r>
      <w:r>
        <w:rPr>
          <w:rFonts w:ascii="Times New Roman" w:eastAsia="Times New Roman" w:hAnsi="Times New Roman" w:cs="Times New Roman"/>
          <w:sz w:val="24"/>
          <w:szCs w:val="24"/>
        </w:rPr>
        <w:t>. [online] Home. Barclays. Available at: https://home.barclays/.</w:t>
      </w:r>
    </w:p>
    <w:p w14:paraId="00000033"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Bhargava, V. and Chaudhry, M.K. (2022). Trend reversal and alpha generation by hedge funds. </w:t>
      </w:r>
      <w:r>
        <w:rPr>
          <w:rFonts w:ascii="Times New Roman" w:eastAsia="Times New Roman" w:hAnsi="Times New Roman" w:cs="Times New Roman"/>
          <w:i/>
          <w:sz w:val="24"/>
          <w:szCs w:val="24"/>
        </w:rPr>
        <w:t>Applied Economics</w:t>
      </w:r>
      <w:r>
        <w:rPr>
          <w:rFonts w:ascii="Times New Roman" w:eastAsia="Times New Roman" w:hAnsi="Times New Roman" w:cs="Times New Roman"/>
          <w:sz w:val="24"/>
          <w:szCs w:val="24"/>
        </w:rPr>
        <w:t>, pp.1–23. doi https://doi.org/10.1080/00036846.2022.2123104.</w:t>
      </w:r>
    </w:p>
    <w:p w14:paraId="00000034"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Gabor, D., Dafermos, Y., Nikolaidi, M., Rice, P., van Lerven, F., Kerslake, R., Pettifor, A. and Jacobs, M. (2019). </w:t>
      </w:r>
      <w:r>
        <w:rPr>
          <w:rFonts w:ascii="Times New Roman" w:eastAsia="Times New Roman" w:hAnsi="Times New Roman" w:cs="Times New Roman"/>
          <w:i/>
          <w:sz w:val="24"/>
          <w:szCs w:val="24"/>
        </w:rPr>
        <w:t>Finance and climate change: a progressive green finance strategy for the UK</w:t>
      </w:r>
      <w:r>
        <w:rPr>
          <w:rFonts w:ascii="Times New Roman" w:eastAsia="Times New Roman" w:hAnsi="Times New Roman" w:cs="Times New Roman"/>
          <w:sz w:val="24"/>
          <w:szCs w:val="24"/>
        </w:rPr>
        <w:t>. [online] University of Greenwich. Available at: https://gala.gre.ac.uk/id/eprint/37786/.</w:t>
      </w:r>
    </w:p>
    <w:p w14:paraId="00000035"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Kitema, C. (2021). </w:t>
      </w:r>
      <w:r>
        <w:rPr>
          <w:rFonts w:ascii="Times New Roman" w:eastAsia="Times New Roman" w:hAnsi="Times New Roman" w:cs="Times New Roman"/>
          <w:i/>
          <w:sz w:val="24"/>
          <w:szCs w:val="24"/>
        </w:rPr>
        <w:t>Separation as a Corporate Strategy: the Case Study of Barclays Bank Plc and Absa Bank PLC</w:t>
      </w:r>
      <w:r>
        <w:rPr>
          <w:rFonts w:ascii="Times New Roman" w:eastAsia="Times New Roman" w:hAnsi="Times New Roman" w:cs="Times New Roman"/>
          <w:sz w:val="24"/>
          <w:szCs w:val="24"/>
        </w:rPr>
        <w:t>. [online] erepository.uonbi.ac.ke. Available at: http://erepository.uonbi.ac.ke/handle/11295/160634.</w:t>
      </w:r>
    </w:p>
    <w:p w14:paraId="00000036"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Kling, G., Volz, U., Murinde, V. and Ayas, S. (2021). The impact of climate vulnerability on firms’ cost of capital and access to finance. </w:t>
      </w:r>
      <w:r>
        <w:rPr>
          <w:rFonts w:ascii="Times New Roman" w:eastAsia="Times New Roman" w:hAnsi="Times New Roman" w:cs="Times New Roman"/>
          <w:i/>
          <w:sz w:val="24"/>
          <w:szCs w:val="24"/>
        </w:rPr>
        <w:t>World Development</w:t>
      </w:r>
      <w:r>
        <w:rPr>
          <w:rFonts w:ascii="Times New Roman" w:eastAsia="Times New Roman" w:hAnsi="Times New Roman" w:cs="Times New Roman"/>
          <w:sz w:val="24"/>
          <w:szCs w:val="24"/>
        </w:rPr>
        <w:t>, [online] 137, p.105131. doi:https://doi.org/10.1016/j.worlddev.2020.105131.</w:t>
      </w:r>
    </w:p>
    <w:p w14:paraId="00000037"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Noorbakhsh, A., Soltani, R. and Asadi Mafi, M. (2021). Lead-lag Effects between Stocks Intra-industry: Evaluating Market Efficiency and Providing Trading Strategy. </w:t>
      </w:r>
      <w:r>
        <w:rPr>
          <w:rFonts w:ascii="Times New Roman" w:eastAsia="Times New Roman" w:hAnsi="Times New Roman" w:cs="Times New Roman"/>
          <w:i/>
          <w:sz w:val="24"/>
          <w:szCs w:val="24"/>
        </w:rPr>
        <w:t>Financial Research Journal</w:t>
      </w:r>
      <w:r>
        <w:rPr>
          <w:rFonts w:ascii="Times New Roman" w:eastAsia="Times New Roman" w:hAnsi="Times New Roman" w:cs="Times New Roman"/>
          <w:sz w:val="24"/>
          <w:szCs w:val="24"/>
        </w:rPr>
        <w:t>, [online] 23(3), pp.419–439. doi:https://doi.org/10.22059/frj.2021.328503.1007227.</w:t>
      </w:r>
    </w:p>
    <w:p w14:paraId="00000038"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H. and Kim, J.D. (2020). Transition towards green banking: role of financial regulators and financial institutions. </w:t>
      </w:r>
      <w:r>
        <w:rPr>
          <w:rFonts w:ascii="Times New Roman" w:eastAsia="Times New Roman" w:hAnsi="Times New Roman" w:cs="Times New Roman"/>
          <w:i/>
          <w:sz w:val="24"/>
          <w:szCs w:val="24"/>
        </w:rPr>
        <w:t>Asian Journal of Sustainability and Social Responsibility</w:t>
      </w:r>
      <w:r>
        <w:rPr>
          <w:rFonts w:ascii="Times New Roman" w:eastAsia="Times New Roman" w:hAnsi="Times New Roman" w:cs="Times New Roman"/>
          <w:sz w:val="24"/>
          <w:szCs w:val="24"/>
        </w:rPr>
        <w:t>, 5(1), pp.1–25. doi:https://doi.org/10.1186/s41180-020-00034-3.</w:t>
      </w:r>
    </w:p>
    <w:p w14:paraId="00000039"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Saunders, A., Cornett, M.M. and Erhemjamts, O. (2021). </w:t>
      </w:r>
      <w:r>
        <w:rPr>
          <w:rFonts w:ascii="Times New Roman" w:eastAsia="Times New Roman" w:hAnsi="Times New Roman" w:cs="Times New Roman"/>
          <w:i/>
          <w:sz w:val="24"/>
          <w:szCs w:val="24"/>
        </w:rPr>
        <w:t>Financial institutions management: a risk management approach</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thuvienso.hoasen.edu.vn</w:t>
      </w:r>
      <w:r>
        <w:rPr>
          <w:rFonts w:ascii="Times New Roman" w:eastAsia="Times New Roman" w:hAnsi="Times New Roman" w:cs="Times New Roman"/>
          <w:sz w:val="24"/>
          <w:szCs w:val="24"/>
        </w:rPr>
        <w:t>. McGraw-Hill. Available at: https://thuvienso.hoasen.edu.vn/handle/123456789/12867 [Accessed 29 Sep. 2023].</w:t>
      </w:r>
    </w:p>
    <w:p w14:paraId="0000003A"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Sullivan, R.N. (2019). Hedge Fund Alpha: Cycle or Sunset?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 doi:https://doi.org/10.2139/ssrn.3498595.</w:t>
      </w:r>
    </w:p>
    <w:p w14:paraId="0000003B"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Yao, Q. (2022). </w:t>
      </w:r>
      <w:r>
        <w:rPr>
          <w:rFonts w:ascii="Times New Roman" w:eastAsia="Times New Roman" w:hAnsi="Times New Roman" w:cs="Times New Roman"/>
          <w:i/>
          <w:sz w:val="24"/>
          <w:szCs w:val="24"/>
        </w:rPr>
        <w:t>Counterparty credit risk management: estimating extreme quantiles for a bank</w:t>
      </w:r>
      <w:r>
        <w:rPr>
          <w:rFonts w:ascii="Times New Roman" w:eastAsia="Times New Roman" w:hAnsi="Times New Roman" w:cs="Times New Roman"/>
          <w:sz w:val="24"/>
          <w:szCs w:val="24"/>
        </w:rPr>
        <w:t>. [online] LSE Business Review. Available at: https://eprints.lse.ac.uk/116220/ [Accessed 31 Oct. 2023].</w:t>
      </w:r>
    </w:p>
    <w:p w14:paraId="0000003C" w14:textId="77777777" w:rsidR="000177A2" w:rsidRDefault="00000000" w:rsidP="00521755">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Yildirim, C., Kasman, A. and Gulamhussen, M.A. (2023). Efficiency of multinational banks: Impacts of geographic and product loci. </w:t>
      </w:r>
      <w:r>
        <w:rPr>
          <w:rFonts w:ascii="Times New Roman" w:eastAsia="Times New Roman" w:hAnsi="Times New Roman" w:cs="Times New Roman"/>
          <w:i/>
          <w:sz w:val="24"/>
          <w:szCs w:val="24"/>
        </w:rPr>
        <w:t>International Business Review</w:t>
      </w:r>
      <w:r>
        <w:rPr>
          <w:rFonts w:ascii="Times New Roman" w:eastAsia="Times New Roman" w:hAnsi="Times New Roman" w:cs="Times New Roman"/>
          <w:sz w:val="24"/>
          <w:szCs w:val="24"/>
        </w:rPr>
        <w:t>, [online] 32(5), p.102162. doi https://doi.org/10.1016/j.ibusrev.2023.102162.</w:t>
      </w:r>
    </w:p>
    <w:p w14:paraId="0000003D" w14:textId="77777777" w:rsidR="000177A2" w:rsidRDefault="000177A2" w:rsidP="00521755">
      <w:pPr>
        <w:spacing w:line="480" w:lineRule="auto"/>
      </w:pPr>
    </w:p>
    <w:sectPr w:rsidR="000177A2">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72464" w14:textId="77777777" w:rsidR="00594FC5" w:rsidRDefault="00594FC5">
      <w:pPr>
        <w:spacing w:line="240" w:lineRule="auto"/>
      </w:pPr>
      <w:r>
        <w:separator/>
      </w:r>
    </w:p>
  </w:endnote>
  <w:endnote w:type="continuationSeparator" w:id="0">
    <w:p w14:paraId="5FA6412E" w14:textId="77777777" w:rsidR="00594FC5" w:rsidRDefault="00594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853837"/>
      <w:docPartObj>
        <w:docPartGallery w:val="Page Numbers (Bottom of Page)"/>
        <w:docPartUnique/>
      </w:docPartObj>
    </w:sdtPr>
    <w:sdtContent>
      <w:sdt>
        <w:sdtPr>
          <w:id w:val="-1769616900"/>
          <w:docPartObj>
            <w:docPartGallery w:val="Page Numbers (Top of Page)"/>
            <w:docPartUnique/>
          </w:docPartObj>
        </w:sdtPr>
        <w:sdtContent>
          <w:p w14:paraId="3DB23759" w14:textId="02B9B75B" w:rsidR="006C4622" w:rsidRDefault="00000000">
            <w:pPr>
              <w:pStyle w:val="Footer"/>
              <w:jc w:val="right"/>
            </w:pPr>
            <w:r w:rsidRPr="006C4622">
              <w:rPr>
                <w:rFonts w:ascii="Times New Roman" w:hAnsi="Times New Roman" w:cs="Times New Roman"/>
                <w:sz w:val="24"/>
                <w:szCs w:val="24"/>
              </w:rPr>
              <w:t xml:space="preserve">Page </w:t>
            </w:r>
            <w:r w:rsidRPr="006C4622">
              <w:rPr>
                <w:rFonts w:ascii="Times New Roman" w:hAnsi="Times New Roman" w:cs="Times New Roman"/>
                <w:b/>
                <w:bCs/>
                <w:sz w:val="24"/>
                <w:szCs w:val="24"/>
              </w:rPr>
              <w:fldChar w:fldCharType="begin"/>
            </w:r>
            <w:r w:rsidRPr="006C4622">
              <w:rPr>
                <w:rFonts w:ascii="Times New Roman" w:hAnsi="Times New Roman" w:cs="Times New Roman"/>
                <w:b/>
                <w:bCs/>
                <w:sz w:val="24"/>
                <w:szCs w:val="24"/>
              </w:rPr>
              <w:instrText xml:space="preserve"> PAGE </w:instrText>
            </w:r>
            <w:r w:rsidRPr="006C4622">
              <w:rPr>
                <w:rFonts w:ascii="Times New Roman" w:hAnsi="Times New Roman" w:cs="Times New Roman"/>
                <w:b/>
                <w:bCs/>
                <w:sz w:val="24"/>
                <w:szCs w:val="24"/>
              </w:rPr>
              <w:fldChar w:fldCharType="separate"/>
            </w:r>
            <w:r w:rsidR="00521755">
              <w:rPr>
                <w:rFonts w:ascii="Times New Roman" w:hAnsi="Times New Roman" w:cs="Times New Roman"/>
                <w:b/>
                <w:bCs/>
                <w:noProof/>
                <w:sz w:val="24"/>
                <w:szCs w:val="24"/>
              </w:rPr>
              <w:t>13</w:t>
            </w:r>
            <w:r w:rsidRPr="006C4622">
              <w:rPr>
                <w:rFonts w:ascii="Times New Roman" w:hAnsi="Times New Roman" w:cs="Times New Roman"/>
                <w:b/>
                <w:bCs/>
                <w:sz w:val="24"/>
                <w:szCs w:val="24"/>
              </w:rPr>
              <w:fldChar w:fldCharType="end"/>
            </w:r>
            <w:r w:rsidRPr="006C4622">
              <w:rPr>
                <w:rFonts w:ascii="Times New Roman" w:hAnsi="Times New Roman" w:cs="Times New Roman"/>
                <w:sz w:val="24"/>
                <w:szCs w:val="24"/>
              </w:rPr>
              <w:t xml:space="preserve"> of </w:t>
            </w:r>
            <w:r w:rsidRPr="006C4622">
              <w:rPr>
                <w:rFonts w:ascii="Times New Roman" w:hAnsi="Times New Roman" w:cs="Times New Roman"/>
                <w:b/>
                <w:bCs/>
                <w:sz w:val="24"/>
                <w:szCs w:val="24"/>
              </w:rPr>
              <w:fldChar w:fldCharType="begin"/>
            </w:r>
            <w:r w:rsidRPr="006C4622">
              <w:rPr>
                <w:rFonts w:ascii="Times New Roman" w:hAnsi="Times New Roman" w:cs="Times New Roman"/>
                <w:b/>
                <w:bCs/>
                <w:sz w:val="24"/>
                <w:szCs w:val="24"/>
              </w:rPr>
              <w:instrText xml:space="preserve"> NUMPAGES  </w:instrText>
            </w:r>
            <w:r w:rsidRPr="006C4622">
              <w:rPr>
                <w:rFonts w:ascii="Times New Roman" w:hAnsi="Times New Roman" w:cs="Times New Roman"/>
                <w:b/>
                <w:bCs/>
                <w:sz w:val="24"/>
                <w:szCs w:val="24"/>
              </w:rPr>
              <w:fldChar w:fldCharType="separate"/>
            </w:r>
            <w:r w:rsidR="00521755">
              <w:rPr>
                <w:rFonts w:ascii="Times New Roman" w:hAnsi="Times New Roman" w:cs="Times New Roman"/>
                <w:b/>
                <w:bCs/>
                <w:noProof/>
                <w:sz w:val="24"/>
                <w:szCs w:val="24"/>
              </w:rPr>
              <w:t>13</w:t>
            </w:r>
            <w:r w:rsidRPr="006C4622">
              <w:rPr>
                <w:rFonts w:ascii="Times New Roman" w:hAnsi="Times New Roman" w:cs="Times New Roman"/>
                <w:b/>
                <w:bCs/>
                <w:sz w:val="24"/>
                <w:szCs w:val="24"/>
              </w:rPr>
              <w:fldChar w:fldCharType="end"/>
            </w:r>
          </w:p>
        </w:sdtContent>
      </w:sdt>
    </w:sdtContent>
  </w:sdt>
  <w:p w14:paraId="43C6DB70" w14:textId="77777777" w:rsidR="006C4622" w:rsidRDefault="006C4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B614E" w14:textId="77777777" w:rsidR="00594FC5" w:rsidRDefault="00594FC5">
      <w:pPr>
        <w:spacing w:line="240" w:lineRule="auto"/>
      </w:pPr>
      <w:r>
        <w:separator/>
      </w:r>
    </w:p>
  </w:footnote>
  <w:footnote w:type="continuationSeparator" w:id="0">
    <w:p w14:paraId="3E0280AC" w14:textId="77777777" w:rsidR="00594FC5" w:rsidRDefault="00594F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328C30FC" w:rsidR="000177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F" w14:textId="77777777" w:rsidR="000177A2" w:rsidRDefault="000177A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A2"/>
    <w:rsid w:val="000177A2"/>
    <w:rsid w:val="00315C27"/>
    <w:rsid w:val="00521755"/>
    <w:rsid w:val="00594FC5"/>
    <w:rsid w:val="006C4622"/>
    <w:rsid w:val="00735578"/>
    <w:rsid w:val="00906185"/>
    <w:rsid w:val="00D14F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BE93"/>
  <w15:docId w15:val="{F360ED01-13BF-424F-837C-B0DE968E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6C4622"/>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C4622"/>
    <w:pPr>
      <w:spacing w:after="100"/>
    </w:pPr>
  </w:style>
  <w:style w:type="paragraph" w:styleId="TOC2">
    <w:name w:val="toc 2"/>
    <w:basedOn w:val="Normal"/>
    <w:next w:val="Normal"/>
    <w:autoRedefine/>
    <w:uiPriority w:val="39"/>
    <w:unhideWhenUsed/>
    <w:rsid w:val="006C4622"/>
    <w:pPr>
      <w:spacing w:after="100"/>
      <w:ind w:left="220"/>
    </w:pPr>
  </w:style>
  <w:style w:type="character" w:styleId="Hyperlink">
    <w:name w:val="Hyperlink"/>
    <w:basedOn w:val="DefaultParagraphFont"/>
    <w:uiPriority w:val="99"/>
    <w:unhideWhenUsed/>
    <w:rsid w:val="006C4622"/>
    <w:rPr>
      <w:color w:val="0000FF" w:themeColor="hyperlink"/>
      <w:u w:val="single"/>
    </w:rPr>
  </w:style>
  <w:style w:type="paragraph" w:styleId="Header">
    <w:name w:val="header"/>
    <w:basedOn w:val="Normal"/>
    <w:link w:val="HeaderChar"/>
    <w:uiPriority w:val="99"/>
    <w:unhideWhenUsed/>
    <w:rsid w:val="006C4622"/>
    <w:pPr>
      <w:tabs>
        <w:tab w:val="center" w:pos="4513"/>
        <w:tab w:val="right" w:pos="9026"/>
      </w:tabs>
      <w:spacing w:line="240" w:lineRule="auto"/>
    </w:pPr>
  </w:style>
  <w:style w:type="character" w:customStyle="1" w:styleId="HeaderChar">
    <w:name w:val="Header Char"/>
    <w:basedOn w:val="DefaultParagraphFont"/>
    <w:link w:val="Header"/>
    <w:uiPriority w:val="99"/>
    <w:rsid w:val="006C4622"/>
  </w:style>
  <w:style w:type="paragraph" w:styleId="Footer">
    <w:name w:val="footer"/>
    <w:basedOn w:val="Normal"/>
    <w:link w:val="FooterChar"/>
    <w:uiPriority w:val="99"/>
    <w:unhideWhenUsed/>
    <w:rsid w:val="006C4622"/>
    <w:pPr>
      <w:tabs>
        <w:tab w:val="center" w:pos="4513"/>
        <w:tab w:val="right" w:pos="9026"/>
      </w:tabs>
      <w:spacing w:line="240" w:lineRule="auto"/>
    </w:pPr>
  </w:style>
  <w:style w:type="character" w:customStyle="1" w:styleId="FooterChar">
    <w:name w:val="Footer Char"/>
    <w:basedOn w:val="DefaultParagraphFont"/>
    <w:link w:val="Footer"/>
    <w:uiPriority w:val="99"/>
    <w:rsid w:val="006C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5F4C2-3B10-4CAD-BB5A-472FF961A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2468</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Creanga</dc:creator>
  <cp:lastModifiedBy>Alexandra Creangă</cp:lastModifiedBy>
  <cp:revision>2</cp:revision>
  <dcterms:created xsi:type="dcterms:W3CDTF">2023-11-07T20:20:00Z</dcterms:created>
  <dcterms:modified xsi:type="dcterms:W3CDTF">2023-11-07T20:20:00Z</dcterms:modified>
</cp:coreProperties>
</file>