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DE7396" w14:textId="37044C89" w:rsidR="009E66F6" w:rsidRPr="009E66F6" w:rsidRDefault="009E66F6" w:rsidP="009E66F6">
      <w:pPr>
        <w:pStyle w:val="ListParagraph"/>
        <w:numPr>
          <w:ilvl w:val="0"/>
          <w:numId w:val="11"/>
        </w:numPr>
        <w:shd w:val="clear" w:color="auto" w:fill="FFFFFF"/>
        <w:spacing w:line="480" w:lineRule="auto"/>
        <w:textAlignment w:val="baseline"/>
        <w:rPr>
          <w:rFonts w:asciiTheme="majorBidi" w:hAnsiTheme="majorBidi" w:cstheme="majorBidi"/>
          <w:color w:val="000000"/>
          <w:u w:val="single"/>
          <w:bdr w:val="none" w:sz="0" w:space="0" w:color="auto" w:frame="1"/>
          <w:shd w:val="clear" w:color="auto" w:fill="FFFFFF"/>
        </w:rPr>
      </w:pPr>
      <w:r w:rsidRPr="009E66F6">
        <w:rPr>
          <w:rFonts w:asciiTheme="majorBidi" w:eastAsia="Arial" w:hAnsiTheme="majorBidi" w:cstheme="majorBidi"/>
          <w:b/>
          <w:bCs/>
          <w:u w:val="single"/>
        </w:rPr>
        <w:t xml:space="preserve">Profitability </w:t>
      </w:r>
      <w:r w:rsidRPr="009E66F6">
        <w:rPr>
          <w:rFonts w:asciiTheme="majorBidi" w:eastAsia="Arial" w:hAnsiTheme="majorBidi" w:cstheme="majorBidi"/>
          <w:b/>
          <w:bCs/>
          <w:u w:val="single"/>
        </w:rPr>
        <w:t xml:space="preserve">Ratios: </w:t>
      </w:r>
    </w:p>
    <w:p w14:paraId="2328BAF6" w14:textId="6B2A2FF9" w:rsidR="009E66F6" w:rsidRPr="009E66F6" w:rsidRDefault="009E66F6" w:rsidP="009E66F6">
      <w:pPr>
        <w:shd w:val="clear" w:color="auto" w:fill="FFFFFF"/>
        <w:spacing w:line="480" w:lineRule="auto"/>
        <w:textAlignment w:val="baseline"/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 xml:space="preserve">Gross Profit Margin Ratio 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 xml:space="preserve">= 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>Total sales</w:t>
      </w:r>
      <w:r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 xml:space="preserve"> 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>-</w:t>
      </w:r>
      <w:r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 xml:space="preserve"> 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 xml:space="preserve">COGS/Total 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>sales x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>100</w:t>
      </w:r>
    </w:p>
    <w:p w14:paraId="6EFA507D" w14:textId="77777777" w:rsidR="009E66F6" w:rsidRPr="009E66F6" w:rsidRDefault="009E66F6" w:rsidP="009E66F6">
      <w:pPr>
        <w:shd w:val="clear" w:color="auto" w:fill="FFFFFF"/>
        <w:spacing w:line="480" w:lineRule="auto"/>
        <w:textAlignment w:val="baseline"/>
        <w:rPr>
          <w:rFonts w:asciiTheme="majorBidi" w:hAnsiTheme="majorBidi" w:cstheme="majorBidi"/>
          <w:color w:val="000000"/>
          <w:bdr w:val="none" w:sz="0" w:space="0" w:color="auto" w:frame="1"/>
          <w:shd w:val="clear" w:color="auto" w:fill="FFFFFF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>Operating Profit Margin Ratio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 xml:space="preserve"> = </w:t>
      </w:r>
      <w:r w:rsidRPr="009E66F6">
        <w:rPr>
          <w:rFonts w:asciiTheme="majorBidi" w:hAnsiTheme="majorBidi" w:cstheme="majorBidi"/>
          <w:color w:val="000000"/>
          <w:bdr w:val="none" w:sz="0" w:space="0" w:color="auto" w:frame="1"/>
          <w:shd w:val="clear" w:color="auto" w:fill="FFFFFF"/>
        </w:rPr>
        <w:t>Operating profit/Net sales</w:t>
      </w:r>
    </w:p>
    <w:p w14:paraId="7AA95CC9" w14:textId="6B1FCB88" w:rsidR="009E66F6" w:rsidRPr="009E66F6" w:rsidRDefault="009E66F6" w:rsidP="009E66F6">
      <w:pPr>
        <w:shd w:val="clear" w:color="auto" w:fill="FFFFFF"/>
        <w:spacing w:line="480" w:lineRule="auto"/>
        <w:textAlignment w:val="baseline"/>
        <w:rPr>
          <w:rFonts w:asciiTheme="majorBidi" w:hAnsiTheme="majorBidi" w:cstheme="majorBidi"/>
          <w:color w:val="000000"/>
          <w:bdr w:val="none" w:sz="0" w:space="0" w:color="auto" w:frame="1"/>
          <w:shd w:val="clear" w:color="auto" w:fill="FFFFFF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>Return on Assets (ROA)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 xml:space="preserve"> = </w:t>
      </w:r>
      <w:r w:rsidRPr="009E66F6">
        <w:rPr>
          <w:rFonts w:asciiTheme="majorBidi" w:hAnsiTheme="majorBidi" w:cstheme="majorBidi"/>
          <w:color w:val="000000"/>
          <w:bdr w:val="none" w:sz="0" w:space="0" w:color="auto" w:frame="1"/>
          <w:shd w:val="clear" w:color="auto" w:fill="FFFFFF"/>
        </w:rPr>
        <w:t>Net Income/Average Total Assets</w:t>
      </w:r>
    </w:p>
    <w:p w14:paraId="30A9704E" w14:textId="75A0FE58" w:rsidR="009E66F6" w:rsidRPr="009E66F6" w:rsidRDefault="009E66F6" w:rsidP="009E66F6">
      <w:pPr>
        <w:shd w:val="clear" w:color="auto" w:fill="FFFFFF"/>
        <w:spacing w:line="480" w:lineRule="auto"/>
        <w:textAlignment w:val="baseline"/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>Net profit margin ratios = Net profit / Revenue x100 </w:t>
      </w:r>
    </w:p>
    <w:p w14:paraId="6E42DACC" w14:textId="2E2557CA" w:rsidR="009E66F6" w:rsidRPr="009E66F6" w:rsidRDefault="009E66F6" w:rsidP="009E66F6">
      <w:pPr>
        <w:shd w:val="clear" w:color="auto" w:fill="FFFFFF"/>
        <w:spacing w:line="480" w:lineRule="auto"/>
        <w:textAlignment w:val="baseline"/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 xml:space="preserve">Return on Capital employed = EBIT/Capital employed (Total 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>Assets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t xml:space="preserve"> - Current Liabilities) 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shd w:val="clear" w:color="auto" w:fill="FFFFFF"/>
          <w:lang w:eastAsia="en-GB"/>
        </w:rPr>
        <w:br/>
        <w:t>Return on equity = Net income / Equity </w:t>
      </w:r>
    </w:p>
    <w:p w14:paraId="69A5A4CA" w14:textId="4CA2AC0E" w:rsidR="009E66F6" w:rsidRPr="009E66F6" w:rsidRDefault="009E66F6" w:rsidP="009E66F6">
      <w:pPr>
        <w:pStyle w:val="ListParagraph"/>
        <w:numPr>
          <w:ilvl w:val="0"/>
          <w:numId w:val="11"/>
        </w:numPr>
        <w:shd w:val="clear" w:color="auto" w:fill="FFFFFF"/>
        <w:spacing w:line="480" w:lineRule="auto"/>
        <w:textAlignment w:val="baseline"/>
        <w:rPr>
          <w:rFonts w:asciiTheme="majorBidi" w:hAnsiTheme="majorBidi" w:cstheme="majorBidi"/>
          <w:color w:val="000000"/>
          <w:u w:val="single"/>
        </w:rPr>
      </w:pPr>
      <w:r w:rsidRPr="009E66F6">
        <w:rPr>
          <w:rFonts w:asciiTheme="majorBidi" w:eastAsia="Arial" w:hAnsiTheme="majorBidi" w:cstheme="majorBidi"/>
          <w:b/>
          <w:bCs/>
          <w:u w:val="single"/>
        </w:rPr>
        <w:t>Liquidity Ratios</w:t>
      </w:r>
    </w:p>
    <w:p w14:paraId="546B97D6" w14:textId="77777777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hAnsiTheme="majorBidi" w:cstheme="majorBidi"/>
          <w:color w:val="000000"/>
          <w:bdr w:val="none" w:sz="0" w:space="0" w:color="auto" w:frame="1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lang w:eastAsia="en-GB"/>
        </w:rPr>
        <w:t>Current Ratio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lang w:eastAsia="en-GB"/>
        </w:rPr>
        <w:t xml:space="preserve"> = </w:t>
      </w:r>
      <w:r w:rsidRPr="009E66F6">
        <w:rPr>
          <w:rFonts w:asciiTheme="majorBidi" w:hAnsiTheme="majorBidi" w:cstheme="majorBidi"/>
          <w:color w:val="000000"/>
          <w:bdr w:val="none" w:sz="0" w:space="0" w:color="auto" w:frame="1"/>
        </w:rPr>
        <w:t>Current Ratio=Current Assets/Current Liabilities</w:t>
      </w:r>
    </w:p>
    <w:p w14:paraId="48F47784" w14:textId="77D57EBA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hAnsiTheme="majorBidi" w:cstheme="majorBidi"/>
          <w:color w:val="000000"/>
          <w:bdr w:val="none" w:sz="0" w:space="0" w:color="auto" w:frame="1"/>
        </w:rPr>
      </w:pPr>
      <w:r w:rsidRPr="009E66F6">
        <w:rPr>
          <w:rFonts w:asciiTheme="majorBidi" w:hAnsiTheme="majorBidi" w:cstheme="majorBidi"/>
          <w:color w:val="000000"/>
          <w:bdr w:val="none" w:sz="0" w:space="0" w:color="auto" w:frame="1"/>
        </w:rPr>
        <w:t>Quick Ratio (Acid Test Ratio)</w:t>
      </w:r>
      <w:r w:rsidRPr="009E66F6">
        <w:rPr>
          <w:rFonts w:asciiTheme="majorBidi" w:hAnsiTheme="majorBidi" w:cstheme="majorBidi"/>
          <w:color w:val="000000"/>
          <w:bdr w:val="none" w:sz="0" w:space="0" w:color="auto" w:frame="1"/>
        </w:rPr>
        <w:t xml:space="preserve"> = </w:t>
      </w:r>
      <w:r w:rsidRPr="009E66F6">
        <w:rPr>
          <w:rFonts w:asciiTheme="majorBidi" w:hAnsiTheme="majorBidi" w:cstheme="majorBidi"/>
          <w:color w:val="000000"/>
          <w:bdr w:val="none" w:sz="0" w:space="0" w:color="auto" w:frame="1"/>
        </w:rPr>
        <w:t>Cash+ Cash Equivalents+ Short Term Investments + Current Receivables /Current Liabilities </w:t>
      </w:r>
    </w:p>
    <w:p w14:paraId="321901AA" w14:textId="2FEE8F87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hAnsiTheme="majorBidi" w:cstheme="majorBidi"/>
          <w:color w:val="000000"/>
          <w:bdr w:val="none" w:sz="0" w:space="0" w:color="auto" w:frame="1"/>
        </w:rPr>
      </w:pPr>
      <w:r w:rsidRPr="009E66F6">
        <w:rPr>
          <w:rFonts w:asciiTheme="majorBidi" w:hAnsiTheme="majorBidi" w:cstheme="majorBidi"/>
          <w:color w:val="000000"/>
          <w:bdr w:val="none" w:sz="0" w:space="0" w:color="auto" w:frame="1"/>
        </w:rPr>
        <w:t>Quick Ratio=Total Current Assets−Inventory − Prepaid Expenses / Current Liabilities </w:t>
      </w:r>
    </w:p>
    <w:p w14:paraId="46CDF78D" w14:textId="76FA645B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hAnsiTheme="majorBidi" w:cstheme="majorBidi"/>
          <w:color w:val="000000"/>
          <w:bdr w:val="none" w:sz="0" w:space="0" w:color="auto" w:frame="1"/>
        </w:rPr>
      </w:pPr>
      <w:r w:rsidRPr="009E66F6">
        <w:rPr>
          <w:rFonts w:asciiTheme="majorBidi" w:hAnsiTheme="majorBidi" w:cstheme="majorBidi"/>
          <w:color w:val="000000"/>
          <w:bdr w:val="none" w:sz="0" w:space="0" w:color="auto" w:frame="1"/>
        </w:rPr>
        <w:t>Cash Ratio</w:t>
      </w:r>
      <w:r w:rsidRPr="009E66F6">
        <w:rPr>
          <w:rFonts w:asciiTheme="majorBidi" w:hAnsiTheme="majorBidi" w:cstheme="majorBidi"/>
          <w:color w:val="000000"/>
          <w:bdr w:val="none" w:sz="0" w:space="0" w:color="auto" w:frame="1"/>
        </w:rPr>
        <w:t xml:space="preserve"> = </w:t>
      </w:r>
      <w:r w:rsidRPr="009E66F6">
        <w:rPr>
          <w:rFonts w:asciiTheme="majorBidi" w:hAnsiTheme="majorBidi" w:cstheme="majorBidi"/>
          <w:color w:val="000000"/>
          <w:bdr w:val="none" w:sz="0" w:space="0" w:color="auto" w:frame="1"/>
        </w:rPr>
        <w:t xml:space="preserve">Cash +Cash Equivalents /Total Current Liabilities. </w:t>
      </w:r>
    </w:p>
    <w:p w14:paraId="7EE8E2E0" w14:textId="7AA8259A" w:rsidR="009E66F6" w:rsidRPr="009E66F6" w:rsidRDefault="009E66F6" w:rsidP="009E66F6">
      <w:pPr>
        <w:pStyle w:val="ListParagraph"/>
        <w:numPr>
          <w:ilvl w:val="0"/>
          <w:numId w:val="11"/>
        </w:numPr>
        <w:shd w:val="clear" w:color="auto" w:fill="FFFFFF"/>
        <w:spacing w:beforeAutospacing="1" w:afterAutospacing="1"/>
        <w:rPr>
          <w:rFonts w:asciiTheme="majorBidi" w:hAnsiTheme="majorBidi" w:cstheme="majorBidi"/>
          <w:color w:val="000000"/>
          <w:u w:val="single"/>
          <w:bdr w:val="none" w:sz="0" w:space="0" w:color="auto" w:frame="1"/>
        </w:rPr>
      </w:pPr>
      <w:r w:rsidRPr="009E66F6">
        <w:rPr>
          <w:rFonts w:asciiTheme="majorBidi" w:eastAsia="Arial" w:hAnsiTheme="majorBidi" w:cstheme="majorBidi"/>
          <w:b/>
          <w:bCs/>
          <w:u w:val="single"/>
        </w:rPr>
        <w:t>Efficiency Ratios</w:t>
      </w:r>
    </w:p>
    <w:p w14:paraId="1DAB7AFE" w14:textId="77777777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eastAsia="Times New Roman" w:hAnsiTheme="majorBidi" w:cstheme="majorBidi"/>
          <w:color w:val="000000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lang w:eastAsia="en-GB"/>
        </w:rPr>
        <w:t>A</w:t>
      </w: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lang w:eastAsia="en-GB"/>
        </w:rPr>
        <w:t>ccounts Receivable Turnover = Net Credit Sales / Average Account Receivable </w:t>
      </w:r>
    </w:p>
    <w:p w14:paraId="1CF9C3D7" w14:textId="42A060B9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eastAsia="Times New Roman" w:hAnsiTheme="majorBidi" w:cstheme="majorBidi"/>
          <w:color w:val="000000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lang w:eastAsia="en-GB"/>
        </w:rPr>
        <w:t>Accounts Payable Turnover = Net Credit Purchases / Average Accounts Payable </w:t>
      </w:r>
    </w:p>
    <w:p w14:paraId="34DADFE1" w14:textId="77777777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eastAsia="Times New Roman" w:hAnsiTheme="majorBidi" w:cstheme="majorBidi"/>
          <w:color w:val="000000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lang w:eastAsia="en-GB"/>
        </w:rPr>
        <w:t>Asset Turnover Ratio = Net Sales / Average Total Assets </w:t>
      </w:r>
    </w:p>
    <w:p w14:paraId="4BCB8D3C" w14:textId="77777777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eastAsia="Times New Roman" w:hAnsiTheme="majorBidi" w:cstheme="majorBidi"/>
          <w:color w:val="000000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lang w:eastAsia="en-GB"/>
        </w:rPr>
        <w:t>Capital Turnover Ratio = Total Sales / Shareholder’s Equity </w:t>
      </w:r>
    </w:p>
    <w:p w14:paraId="5AF6101C" w14:textId="77777777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eastAsia="Times New Roman" w:hAnsiTheme="majorBidi" w:cstheme="majorBidi"/>
          <w:color w:val="000000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lang w:eastAsia="en-GB"/>
        </w:rPr>
        <w:t>Inventory Turnover Ratio = Cost of Goods Sold / Average Inventory </w:t>
      </w:r>
    </w:p>
    <w:p w14:paraId="2CD4EFCB" w14:textId="2CA75F73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eastAsia="Times New Roman" w:hAnsiTheme="majorBidi" w:cstheme="majorBidi"/>
          <w:color w:val="000000"/>
          <w:bdr w:val="none" w:sz="0" w:space="0" w:color="auto" w:frame="1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bdr w:val="none" w:sz="0" w:space="0" w:color="auto" w:frame="1"/>
          <w:lang w:eastAsia="en-GB"/>
        </w:rPr>
        <w:t>Working Capital Turnover Ratio = Sales / Average Working Capital </w:t>
      </w:r>
    </w:p>
    <w:p w14:paraId="5A8752DE" w14:textId="1FC52105" w:rsidR="009E66F6" w:rsidRPr="009E66F6" w:rsidRDefault="009E66F6" w:rsidP="009E66F6">
      <w:pPr>
        <w:pStyle w:val="ListParagraph"/>
        <w:numPr>
          <w:ilvl w:val="0"/>
          <w:numId w:val="11"/>
        </w:numPr>
        <w:shd w:val="clear" w:color="auto" w:fill="FFFFFF"/>
        <w:spacing w:beforeAutospacing="1" w:afterAutospacing="1"/>
        <w:rPr>
          <w:rFonts w:asciiTheme="majorBidi" w:hAnsiTheme="majorBidi" w:cstheme="majorBidi"/>
          <w:color w:val="000000"/>
          <w:bdr w:val="none" w:sz="0" w:space="0" w:color="auto" w:frame="1"/>
        </w:rPr>
      </w:pPr>
      <w:r w:rsidRPr="009E66F6">
        <w:rPr>
          <w:rFonts w:asciiTheme="majorBidi" w:eastAsia="Arial" w:hAnsiTheme="majorBidi" w:cstheme="majorBidi"/>
          <w:b/>
          <w:bCs/>
        </w:rPr>
        <w:t>Solvency Ratios</w:t>
      </w:r>
    </w:p>
    <w:p w14:paraId="29C0BBB8" w14:textId="23003894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eastAsia="Times New Roman" w:hAnsiTheme="majorBidi" w:cstheme="majorBidi"/>
          <w:color w:val="000000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lang w:eastAsia="en-GB"/>
        </w:rPr>
        <w:t>Debt Ratio</w:t>
      </w:r>
      <w:r w:rsidRPr="009E66F6">
        <w:rPr>
          <w:rFonts w:asciiTheme="majorBidi" w:eastAsia="Times New Roman" w:hAnsiTheme="majorBidi" w:cstheme="majorBidi"/>
          <w:color w:val="000000"/>
          <w:lang w:eastAsia="en-GB"/>
        </w:rPr>
        <w:t xml:space="preserve"> = </w:t>
      </w:r>
      <w:r w:rsidRPr="009E66F6">
        <w:rPr>
          <w:rFonts w:asciiTheme="majorBidi" w:eastAsia="Times New Roman" w:hAnsiTheme="majorBidi" w:cstheme="majorBidi"/>
          <w:color w:val="000000"/>
          <w:lang w:eastAsia="en-GB"/>
        </w:rPr>
        <w:t>Total Liabilities / Total Assets </w:t>
      </w:r>
    </w:p>
    <w:p w14:paraId="14C2F1FD" w14:textId="1AD33A16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eastAsia="Times New Roman" w:hAnsiTheme="majorBidi" w:cstheme="majorBidi"/>
          <w:color w:val="000000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lang w:eastAsia="en-GB"/>
        </w:rPr>
        <w:t>Equity Ratio=Total Equity / Total Assets</w:t>
      </w:r>
    </w:p>
    <w:p w14:paraId="1B43C2C4" w14:textId="10A6C3D6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eastAsia="Times New Roman" w:hAnsiTheme="majorBidi" w:cstheme="majorBidi"/>
          <w:color w:val="000000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lang w:eastAsia="en-GB"/>
        </w:rPr>
        <w:t>Debt to Equity Ratio = Total Liabilities / Total Equity </w:t>
      </w:r>
    </w:p>
    <w:p w14:paraId="049A672C" w14:textId="326F497B" w:rsidR="009E66F6" w:rsidRPr="009E66F6" w:rsidRDefault="009E66F6" w:rsidP="009E66F6">
      <w:pPr>
        <w:shd w:val="clear" w:color="auto" w:fill="FFFFFF"/>
        <w:spacing w:beforeAutospacing="1" w:afterAutospacing="1"/>
        <w:rPr>
          <w:rFonts w:asciiTheme="majorBidi" w:eastAsia="Times New Roman" w:hAnsiTheme="majorBidi" w:cstheme="majorBidi"/>
          <w:color w:val="000000"/>
          <w:lang w:eastAsia="en-GB"/>
        </w:rPr>
      </w:pPr>
      <w:r w:rsidRPr="009E66F6">
        <w:rPr>
          <w:rFonts w:asciiTheme="majorBidi" w:eastAsia="Times New Roman" w:hAnsiTheme="majorBidi" w:cstheme="majorBidi"/>
          <w:color w:val="000000"/>
          <w:lang w:eastAsia="en-GB"/>
        </w:rPr>
        <w:t>Interest Coverage Ratio = EBIT / Interest Expense </w:t>
      </w:r>
      <w:r w:rsidRPr="009E66F6">
        <w:rPr>
          <w:rFonts w:asciiTheme="majorBidi" w:eastAsia="Times New Roman" w:hAnsiTheme="majorBidi" w:cstheme="majorBidi"/>
          <w:color w:val="000000"/>
          <w:lang w:eastAsia="en-GB"/>
        </w:rPr>
        <w:t xml:space="preserve">(Finance Expenses) </w:t>
      </w:r>
      <w:r w:rsidRPr="009E66F6">
        <w:rPr>
          <w:rFonts w:asciiTheme="majorBidi" w:eastAsia="Times New Roman" w:hAnsiTheme="majorBidi" w:cstheme="majorBidi"/>
          <w:color w:val="000000"/>
          <w:lang w:eastAsia="en-GB"/>
        </w:rPr>
        <w:t> </w:t>
      </w:r>
    </w:p>
    <w:sectPr w:rsidR="009E66F6" w:rsidRPr="009E66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541FC"/>
    <w:multiLevelType w:val="multilevel"/>
    <w:tmpl w:val="38BCD1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83B7031"/>
    <w:multiLevelType w:val="hybridMultilevel"/>
    <w:tmpl w:val="C4241530"/>
    <w:lvl w:ilvl="0" w:tplc="3AD0B3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1EEFE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BC72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D469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E4E98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0D879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4ED2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96E9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2032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16730FA"/>
    <w:multiLevelType w:val="hybridMultilevel"/>
    <w:tmpl w:val="3BCC5162"/>
    <w:lvl w:ilvl="0" w:tplc="1BBA0580">
      <w:start w:val="1"/>
      <w:numFmt w:val="decimal"/>
      <w:lvlText w:val="%1-"/>
      <w:lvlJc w:val="left"/>
      <w:pPr>
        <w:ind w:left="360" w:hanging="360"/>
      </w:pPr>
      <w:rPr>
        <w:rFonts w:ascii="Arial" w:eastAsia="Arial" w:hAnsi="Arial" w:cs="Arial"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6F36A53"/>
    <w:multiLevelType w:val="hybridMultilevel"/>
    <w:tmpl w:val="7318C0A6"/>
    <w:lvl w:ilvl="0" w:tplc="2EACCD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ED6F8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9F49B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E2C4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34B2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7613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E6E2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AA08D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16CA1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87F318A"/>
    <w:multiLevelType w:val="hybridMultilevel"/>
    <w:tmpl w:val="766EF58A"/>
    <w:lvl w:ilvl="0" w:tplc="7690F6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2B637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B6886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9B851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3CA6E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A8462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75EB9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6E693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7BA11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3B057358"/>
    <w:multiLevelType w:val="hybridMultilevel"/>
    <w:tmpl w:val="B178D03E"/>
    <w:lvl w:ilvl="0" w:tplc="5A4800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7664B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DC0A2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FA2B7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35620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2141F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5F247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6146B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6C223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536D3C65"/>
    <w:multiLevelType w:val="hybridMultilevel"/>
    <w:tmpl w:val="7E1C603C"/>
    <w:lvl w:ilvl="0" w:tplc="68A858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4A227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AB440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C40A0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49A57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4704A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BDEF4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35C5C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4CCD0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657E6948"/>
    <w:multiLevelType w:val="hybridMultilevel"/>
    <w:tmpl w:val="8E3036FA"/>
    <w:lvl w:ilvl="0" w:tplc="9FD2CC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612D4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166EB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CC868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A5E1D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2CC59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AD2A4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4AE81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06ECA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68182550"/>
    <w:multiLevelType w:val="hybridMultilevel"/>
    <w:tmpl w:val="38C2C9AE"/>
    <w:lvl w:ilvl="0" w:tplc="BDE0C8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2873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821F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698DC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934D0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02613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B62B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42E73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9C71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72B7E4F"/>
    <w:multiLevelType w:val="hybridMultilevel"/>
    <w:tmpl w:val="C6424E44"/>
    <w:lvl w:ilvl="0" w:tplc="11AC32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2F6FB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B7AD9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DC48E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52A98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E168A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31C4A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DA6BF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1AAE6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782D20EC"/>
    <w:multiLevelType w:val="hybridMultilevel"/>
    <w:tmpl w:val="7C460A38"/>
    <w:lvl w:ilvl="0" w:tplc="8682B0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DAA74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F8836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85860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B9248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D24C1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46C7F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D4C47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F5C60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7485">
    <w:abstractNumId w:val="0"/>
  </w:num>
  <w:num w:numId="2" w16cid:durableId="1085541545">
    <w:abstractNumId w:val="4"/>
  </w:num>
  <w:num w:numId="3" w16cid:durableId="876236741">
    <w:abstractNumId w:val="10"/>
  </w:num>
  <w:num w:numId="4" w16cid:durableId="1153176435">
    <w:abstractNumId w:val="6"/>
  </w:num>
  <w:num w:numId="5" w16cid:durableId="1597790417">
    <w:abstractNumId w:val="9"/>
  </w:num>
  <w:num w:numId="6" w16cid:durableId="105393633">
    <w:abstractNumId w:val="5"/>
  </w:num>
  <w:num w:numId="7" w16cid:durableId="667292164">
    <w:abstractNumId w:val="1"/>
  </w:num>
  <w:num w:numId="8" w16cid:durableId="1003321566">
    <w:abstractNumId w:val="8"/>
  </w:num>
  <w:num w:numId="9" w16cid:durableId="1261721234">
    <w:abstractNumId w:val="3"/>
  </w:num>
  <w:num w:numId="10" w16cid:durableId="2060207447">
    <w:abstractNumId w:val="7"/>
  </w:num>
  <w:num w:numId="11" w16cid:durableId="37404418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66F6"/>
    <w:rsid w:val="000111E6"/>
    <w:rsid w:val="0027210D"/>
    <w:rsid w:val="00291BEB"/>
    <w:rsid w:val="00295A6E"/>
    <w:rsid w:val="003821F0"/>
    <w:rsid w:val="003D1EBD"/>
    <w:rsid w:val="004939E9"/>
    <w:rsid w:val="005300D1"/>
    <w:rsid w:val="006417AB"/>
    <w:rsid w:val="007417B6"/>
    <w:rsid w:val="007825B1"/>
    <w:rsid w:val="009E66F6"/>
    <w:rsid w:val="00B64185"/>
    <w:rsid w:val="00D2033C"/>
    <w:rsid w:val="00E16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F4D516"/>
  <w15:chartTrackingRefBased/>
  <w15:docId w15:val="{9F4A8479-907E-8E45-BDCE-BD7E4BF57E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xcontentpasted0">
    <w:name w:val="x_contentpasted0"/>
    <w:basedOn w:val="DefaultParagraphFont"/>
    <w:rsid w:val="009E66F6"/>
  </w:style>
  <w:style w:type="paragraph" w:styleId="ListParagraph">
    <w:name w:val="List Paragraph"/>
    <w:basedOn w:val="Normal"/>
    <w:uiPriority w:val="34"/>
    <w:qFormat/>
    <w:rsid w:val="009E66F6"/>
    <w:pPr>
      <w:ind w:left="720"/>
      <w:contextualSpacing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55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78798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24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11665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095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5353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133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72424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137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78384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131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0702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980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27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83388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889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20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875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489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527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7218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57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6780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452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05264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208</Words>
  <Characters>1189</Characters>
  <Application>Microsoft Office Word</Application>
  <DocSecurity>0</DocSecurity>
  <Lines>9</Lines>
  <Paragraphs>2</Paragraphs>
  <ScaleCrop>false</ScaleCrop>
  <Company/>
  <LinksUpToDate>false</LinksUpToDate>
  <CharactersWithSpaces>1395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Badir Miftah</dc:creator>
  <cp:keywords/>
  <dc:description/>
  <cp:lastModifiedBy>Badir Miftah</cp:lastModifiedBy>
  <cp:revision>1</cp:revision>
  <dcterms:created xsi:type="dcterms:W3CDTF">2023-03-07T21:08:00Z</dcterms:created>
  <dcterms:modified xsi:type="dcterms:W3CDTF">2023-03-07T21:32:00Z</dcterms:modified>
</cp:coreProperties>
</file>