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Times New Roman" w:hAnsi="Times New Roman" w:eastAsia="宋体" w:cs="Times New Roman"/>
          <w:i w:val="0"/>
          <w:iCs w:val="0"/>
          <w:caps w:val="0"/>
          <w:color w:val="auto"/>
          <w:spacing w:val="0"/>
          <w:sz w:val="24"/>
          <w:szCs w:val="24"/>
          <w:shd w:val="clear" w:fill="FFFFFF"/>
          <w:lang w:val="en-US" w:eastAsia="zh-CN"/>
        </w:rPr>
      </w:pPr>
    </w:p>
    <w:p>
      <w:pPr>
        <w:rPr>
          <w:rFonts w:hint="default" w:ascii="Times New Roman" w:hAnsi="Times New Roman" w:eastAsia="宋体" w:cs="Times New Roman"/>
          <w:i w:val="0"/>
          <w:iCs w:val="0"/>
          <w:caps w:val="0"/>
          <w:color w:val="auto"/>
          <w:spacing w:val="0"/>
          <w:sz w:val="28"/>
          <w:szCs w:val="28"/>
          <w:shd w:val="clear" w:fill="FFFFFF"/>
          <w:lang w:val="en-US" w:eastAsia="zh-CN"/>
        </w:rPr>
      </w:pPr>
    </w:p>
    <w:p>
      <w:pPr>
        <w:jc w:val="center"/>
        <w:rPr>
          <w:rFonts w:hint="default" w:ascii="Times New Roman" w:hAnsi="Times New Roman" w:eastAsia="宋体" w:cs="Times New Roman"/>
          <w:b/>
          <w:bCs/>
          <w:i w:val="0"/>
          <w:iCs w:val="0"/>
          <w:caps w:val="0"/>
          <w:color w:val="auto"/>
          <w:spacing w:val="0"/>
          <w:sz w:val="28"/>
          <w:szCs w:val="28"/>
          <w:shd w:val="clear" w:fill="FFFFFF"/>
          <w:lang w:val="en-US" w:eastAsia="zh-CN"/>
        </w:rPr>
      </w:pPr>
      <w:r>
        <w:rPr>
          <w:rFonts w:hint="default" w:ascii="Times New Roman" w:hAnsi="Times New Roman" w:eastAsia="宋体" w:cs="Times New Roman"/>
          <w:b/>
          <w:bCs/>
          <w:i w:val="0"/>
          <w:iCs w:val="0"/>
          <w:caps w:val="0"/>
          <w:color w:val="auto"/>
          <w:spacing w:val="0"/>
          <w:sz w:val="28"/>
          <w:szCs w:val="28"/>
          <w:shd w:val="clear" w:fill="FFFFFF"/>
          <w:lang w:val="en-US" w:eastAsia="zh-CN"/>
        </w:rPr>
        <w:t>Actions on Artistic Exploration Based on the Theory of Embodied Consciousness: Qigong and Painting Creation</w:t>
      </w:r>
    </w:p>
    <w:p>
      <w:pPr>
        <w:rPr>
          <w:rFonts w:hint="default" w:ascii="Times New Roman" w:hAnsi="Times New Roman" w:eastAsia="宋体" w:cs="Times New Roman"/>
          <w:sz w:val="28"/>
          <w:szCs w:val="28"/>
          <w:lang w:val="en-US" w:eastAsia="zh-CN"/>
        </w:rPr>
      </w:pPr>
      <w:r>
        <w:rPr>
          <w:rFonts w:hint="default" w:ascii="Times New Roman" w:hAnsi="Times New Roman" w:eastAsia="宋体" w:cs="Times New Roman"/>
          <w:sz w:val="28"/>
          <w:szCs w:val="28"/>
        </w:rPr>
        <w:t xml:space="preserve">Author(s): </w:t>
      </w:r>
      <w:r>
        <w:rPr>
          <w:rFonts w:hint="default" w:ascii="Times New Roman" w:hAnsi="Times New Roman" w:eastAsia="宋体" w:cs="Times New Roman"/>
          <w:sz w:val="28"/>
          <w:szCs w:val="28"/>
          <w:lang w:val="en-US" w:eastAsia="zh-CN"/>
        </w:rPr>
        <w:t>Xinyu Yang，PHD</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yxy1702@outlook.com</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University of Wales Trinity St Davids, </w:t>
      </w:r>
    </w:p>
    <w:p>
      <w:pPr>
        <w:rPr>
          <w:rFonts w:hint="default" w:ascii="Times New Roman" w:hAnsi="Times New Roman" w:cs="Times New Roman"/>
          <w:sz w:val="24"/>
          <w:szCs w:val="24"/>
        </w:rPr>
      </w:pPr>
      <w:r>
        <w:rPr>
          <w:rFonts w:hint="default" w:ascii="Times New Roman" w:hAnsi="Times New Roman" w:cs="Times New Roman"/>
          <w:sz w:val="24"/>
          <w:szCs w:val="24"/>
        </w:rPr>
        <w:t>United Kingdom</w:t>
      </w:r>
    </w:p>
    <w:p>
      <w:pPr>
        <w:rPr>
          <w:rFonts w:hint="default" w:ascii="Times New Roman" w:hAnsi="Times New Roman" w:eastAsia="宋体" w:cs="Times New Roman"/>
          <w:i w:val="0"/>
          <w:iCs w:val="0"/>
          <w:caps w:val="0"/>
          <w:color w:val="auto"/>
          <w:spacing w:val="0"/>
          <w:sz w:val="24"/>
          <w:szCs w:val="24"/>
          <w:shd w:val="clear" w:fill="FFFFFF"/>
          <w:lang w:val="en-US" w:eastAsia="zh-CN"/>
        </w:rPr>
      </w:pPr>
    </w:p>
    <w:p>
      <w:pPr>
        <w:rPr>
          <w:rFonts w:hint="default" w:ascii="Times New Roman" w:hAnsi="Times New Roman" w:eastAsia="宋体" w:cs="Times New Roman"/>
          <w:i w:val="0"/>
          <w:iCs w:val="0"/>
          <w:caps w:val="0"/>
          <w:color w:val="auto"/>
          <w:spacing w:val="0"/>
          <w:sz w:val="24"/>
          <w:szCs w:val="24"/>
          <w:shd w:val="clear" w:fill="FFFFFF"/>
          <w:lang w:val="en-US" w:eastAsia="zh-CN"/>
        </w:rPr>
      </w:pP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Abstract</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research is based on the theory of embodiment and reflects on specific aspects of the integration of painting creation with qigong movement, aiming to explore the relationship between qigong and artistic expression. Through a serendipitous process, I discovered that practicing qigong could bring about a state of tranquility and enhanced concentration for art creation within a short period. I realized that this might be a new approach to accessing creative inspiration in artistic creation. Qigong encompasses the combination of breath and harmonious movements that attune to the environment, serving as a dynamic immersive method of bodily regulation. By employing the concept of "qi," which does not represent a specific organ or part of the body but rather an energy derived from Taoism, qigong achieves a profound unity of the body and mind. When explaining "qigong" to my foreign friends, I focused on the application of "qi." Based on their feedback, I realized the difficulty of explaining this concept to individuals with a Western dualistic perspective. After reviewing relevant literature, I concluded that both painting creation and qigong movement are actions rooted in embodiment theory. While Western countries may have more knowledge of Chinese martial arts such as kung fu, including tai chi and Five Animal Frolics, which also originate from Taoist wisdom, the categories of martial arts (qigong) I mentioned are equally derived from ancient Chinese Taoist wisdom. The author believes that these viewpoints are positively significant in explaining the theoretical relevance between the two, but embodiment theory alone has limitations in explaining the non-conscious aspects that arise from this theory. Further research is needed, incorporating additional practical supplements for explanation. During my experimental research process, this topic was identified as the focus of my study. Building upon this foundation, I initiated an action exploring the combination of qigong and painting creation. In my practice, combining my previous experiences, I confirmed my interest in qigong and its significance. This interest led me to undertake an exploratory practice-based research called "Qigong and Art": image creation through qigong practice. I particularly investigated two specific questions: 1) How does qigong influence a person's bodily movements during the artistic creation process? 2) Can the exploration of "qi" affect the expressive quality of a person's artistic creation? The author combined self-practice with autoethnography and embodiment theory to explore these questions. This exploration process resembles the Taoist pursuit of unity between heaven and humanity, which is akin to an unsolved puzzle to be pursued during qigong practice. In the upcoming practice, I will invite my research subjects to cultivate an awareness of the existence of "qi" during the practice of the Eight Section Brocade qigong, and then engage in painting practice, allowing the insights gained from qigong to guide their actions and perception in self-painting. The research findings revealed positive feedback from the practice of qigong exercises in terms of bodily adjustment and artistic expression throughout the art performance. This conclusion holds advanced implications in the process of exploring inspiration for painting creation. However, due to the limited sample size in this individual-based study, there may be subjective and generalizability issues. In summary, I believe that all the data collected will provide valuable insights for artists and interdisciplinary practitioners engaged in research.</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Methodology and Methods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research methodology employed in this study is based on the theories of embodiment and autoethnography, utilizing a combination of literature analysis and case study. The first methodological approach is grounded in embodiment theory and focuses on investigating artistic creation behavior. It involves a comprehensive analysis using conceptual analysis, literature analysis, and case study, with a primary emphasis on  literature analysis.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second methodological approach utilizes autoethnography to guide the research, with the author and ten participants serving as research subjects. A pilot study is conducted, and a practical framework is established for the research, involving hands-on activities and data collection. Reflective thinking and analysis are then employed to derive conclusions from the collected data.</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combination of these two methodological approaches provides a comprehensive understanding of the relationship between qigong and artistic expression, encompassing both theoretical analysis and practical exploration.</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Theory of Embodied Consciousness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Theory of Embodied Consciousness, rooted in phenomenology, posits that the brain constantly receives bodily sensations (perceptions, emotions, self-awareness) which form the basis of bodily experiences. Embodiment theory provides fundamental reasons and specific mechanisms for the emergence of consciousness, emphasizing the role of the body and sensory factors. It also addresses critical limitations in other theories of consciousness (Zhang et al., 2016). Merleau-Ponty (1962) introduced the concept of "joint aesthetic perception," suggesting that perceptual experiences always involve dynamic blends of changing figures and spaces. These experiences are not independent but rather a fusion and resonance of various senses. Seamon (2014), building upon Merleau-Ponty's phenomenology, explored the relationship between the body and the environment. He argued that pre-reflective bodily consciousness, expressed through action, synchronizes with the physical world in which actions unfold, thus manifesting embodiment consciousness. As evidence, he provided the example: "My body is the fabric into which all objects are woven, and it is, at least in relation to the perceived world, the general instrument of my 'comprehension'" (Merleau-Ponty, 1962, p. 235).</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Merleau-Ponty claims that the world resonates directly with the living body, conveying immediate meaning and atmosphere. This communication occurs on a pre-reflective, non-self-conscious level (Zhang et al., 2016). Zhang and colleagues summarized the four types of consciousness generated by the mirror neuron system (MNS): (1) somatic sensations and predictions of perceptual-motor features of external/internal stimuli, (2) consciousness of meaning and intentions of external/internal stimuli, (3) consciousness of motivation and emotions through the interaction of motor and emotion MNS, and (4) language representation through the interaction of motor/emotion and language MNS (Zhang et al., 2016). These aspects, viewed from a biological perspective, constitute lower-level perceptual-motor consciousness. When they interact and intertwine, complex consciousness emerges, interacting with cognitive control and affective systems, giving rise to higher-level consciousness, such as implicit sequence learning rule consciousness. It is believed that embodied consciousness may serve as the origin of implicit sequence learning consciousness. If this is the case, it opens up more possibilities related to the body, providing a deeper theoretical foundation for analyzing artistic behavior and the integration of qigong movements (Zhang et al., 2016).</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b/>
          <w:bCs/>
          <w:sz w:val="24"/>
          <w:szCs w:val="24"/>
        </w:rPr>
      </w:pPr>
      <w:r>
        <w:rPr>
          <w:rFonts w:hint="default" w:ascii="Times New Roman" w:hAnsi="Times New Roman" w:cs="Times New Roman"/>
          <w:b/>
          <w:bCs/>
          <w:sz w:val="24"/>
          <w:szCs w:val="24"/>
        </w:rPr>
        <w:t>The Significance and Limitations of Embodiment Theory in Painting Creation and Qigong Practices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Embodiment theory emphasizes the crucial role of bodily perception and motor control in behavior. In the context of painting creation, artists utilize bodily movements and postures to control the brush and express their thoughts and emotions. Similarly, Qigong practices emphasize body posture, movement, and breath to regulate energy flow and enhance vitality. By analyzing the role of bodily perception and motor control in painting creation and Qigong practices, we can gain a deeper understanding of the impact of Qigong on painting creation.</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In contemporary medical research, Qigong is regarded as a preventive and alternative medicine, with Tai Chi being the most well-known form. Qigong encompasses elements of philosophy and martial arts, closely tied to traditional Chinese medicine. It integrates movement, breath, meditation, and coordinated body postures to achieve targeted positive effects such as self-improvement, relaxation, exercise, and martial arts training (Nenova, G., Minkova, S., &amp; Kurteva, I., 2022). Embodiment theory focuses on the influence of bodily perception, imagery, and sensory experiences on behavior and subjective experiences. Consequently, Qigong practices can be viewed as a form of embodied consciousness. On the other hand, painting itself involves the artistic output of creation through specific bodily actions. Kontos (2003), in a study on De Kooning's late-stage Alzheimer's disease and his creative process, suggests that the body itself can be understood as a source of creative energy, a "subconscious source of creative power" (Ignatieff, 1993, p. 149). Kontos also asserts that this source is the origin of the impulse to paint, driven not by reflective knowledge but by bodily knowledge. As an artist, the significance of bodily experience in painting creation is self-evident, encompassing factors such as hand movements, tactile sensations, postures, and so on, which influence painting techniques and creative expression. Furthermore, painting involves the artist's emotional experiences and expressions, which can be regarded as essential components of individuality and uniqueness. Embodiment theory can aid in understanding the complexity and multidimensionality of painting behavior, thereby facilitating an in-depth exploration of an artist's creative thinking, modes of expression, and individual differences.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Importance of Linear Activity in the Creative Process as described by Richter (2004), he explains that painting is unrelated to thinking because in painting, thinking is painting. This form of "thinking" is grounded in practice and must encompass our subjective will, imagination, intuition, fluency, emotions, and even the unconscious. Robinson (2022) suggests that every artwork bears the trace of the creator, comprising deliberate and practiced elements as well as intuitive, instinctive, accidental, and even unintentional elements. Lawrence (2012) describes intuition as the essence of embodied consciousness. Our brains constantly receive bodily sensations, and it is evident that painting behavior is a form of embodied consciousness. While embodiment theory has been applied in various specific movement domains, it defines consciousness as the perception of bodily states, primarily focusing on relatively early stages of consciousness generation (Zhang et al., 2016). Further specific research on the body is scarce, indicating the need for further exploration.</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When considering whether embodiment theory applies to inspiring bodily creative inspiration, it appears that Eastern philosophies have delved further in this regard. For instance, the ultimate states pursued in Qigong, such as "wuwei" (effortless action) and "wuxin" (no-mindedness), emphasize relaxation, naturalness, and an internal attitude of cultivation. By regulating breath, body postures, and mental focus, individuals can align with the flow of energy and natural rhythms within the body, reaching a state of "wuwei" and "wuxin" to achieve physical and mental balance and health. When artists create their works, they often enter a state of intense spiritual and physical unity, as if they forget about time and self, allowing their bodies and minds to become immensely powerful, thus enhancing creative efficiency. Whether it is "wuwei," "wuxin," or the state of heightened unity between the body and mind, explaining them using embodiment theory may have certain limitations, requiring further refinement through specific case studies and analysis.</w:t>
      </w:r>
    </w:p>
    <w:p>
      <w:pPr>
        <w:rPr>
          <w:rFonts w:hint="default" w:ascii="Times New Roman" w:hAnsi="Times New Roman" w:cs="Times New Roman"/>
          <w:sz w:val="24"/>
          <w:szCs w:val="24"/>
          <w:lang w:val="en-US" w:eastAsia="zh-CN"/>
        </w:rPr>
      </w:pP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Literature Analysis Method</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this section, the author will summarize the existing literature on the relationship between painting creation and Qigong theory. Relevant studies will be collected, and the core viewpoints will be extracted and analyzed based on the research topic of the article. Academic databases, library resources, professional journals, research reports, and other sources of information will be used to gather the latest and reliable sources. Important conclusions or themes will be extracted for analysis in order to explore the theoretical relationship between painting creation and consciousness. The following is an analysis of the collected literature and relevant data.</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Robinson (2022) quotes Pallasmaa, stating, "I have learned to admire [artists] for their ability to grasp the essence of things through their hands and bodies, through their nonconceptual understanding of existence, rather than through intellectual and verbal analysis. [Artists] rely on the silent intelligence of the hand and the body" (Pallasmaa, 2009, p.117). The "silent intelligence" in the hands may refer to skill, sensation, and the accumulation of the artist's everyday experiences and emotional "leakage." I use the term "leakage" because I have created a work without much emotional involvement, similar to a state of "no-mindedness." It can be understood as being too immersed. This state is not achieved in an instant but is more like a product of meditation. During this time, work efficiency is greatly enhanced.</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Sakuta's (2017) description of the performance of dancers, it is believed that through repeated training, the mind and body are harmonized, leading to unconscious movement of the limbs. This is a state of single-mindedness. At the beginning of painting, artists need to hone their skills, study numerous artworks and books to understand painting techniques and theories. When they pick up the brush, they consciously conceive the direction their artwork will develop. Everything seems to be conscious actions. However, once an artist's style or personality is formed, there is an inherent theory and set of rules that support how the creator works. It becomes spontaneous bodily movement, integrating the artist's preferences, emotions, personality, intentions, and more. At this point, it seems that the choice of the next color is not important anymore; everything appears natural and effortless.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rPr>
      </w:pPr>
      <w:r>
        <w:rPr>
          <w:rFonts w:hint="default" w:ascii="Times New Roman" w:hAnsi="Times New Roman" w:cs="Times New Roman"/>
          <w:sz w:val="24"/>
          <w:szCs w:val="24"/>
        </w:rPr>
        <w:t>Kasai (1999) suggests that the Japanese Butoh movement is a process of refining bodily intuition. Rachel Sweeney (2009) states that the state of emptiness in Butoh, referred to as butoh-tai (Butoh-body), involves a process of stripping away habitual thoughts, intentions, and actions. Sakuta (2017) quotes Sweeney, stating that in this state, there is no unified or continuous self-awareness, and movement is not actively mediated. In this state, the mind and body are considered to be in harmony with natural laws, which is reflected in the performance as the performer smoothly and seamlessly changes their existence. The harmony between the body and nature seems to be an ancient description, and in the context of Eastern Taoism, there is a term that encapsulates this state, known as "Unity of Heaven and Humanity," which means the integration of the body with nature. In this state, the body's awareness and potential are maximally stimulated. Allen (2015) observes a close connection between the state of unconsciousness and exceptional performance in Eastern martial arts practice. In Allen's description, the Chinese term for the ability of unconsciousness is "wuxin," which means no intention or unconsciousness. Here, unconsciousness does not mean complete absence of consciousness, but rather, the less action relies on consciousness, the more proficient and perfect it becomes. This leads the author to associate Qi Gong with a direct connection to "wuxin."</w:t>
      </w:r>
    </w:p>
    <w:p>
      <w:pPr>
        <w:rPr>
          <w:rFonts w:hint="default" w:ascii="Times New Roman" w:hAnsi="Times New Roman" w:cs="Times New Roman"/>
          <w:sz w:val="24"/>
          <w:szCs w:val="24"/>
        </w:rPr>
      </w:pPr>
    </w:p>
    <w:p>
      <w:pPr>
        <w:rPr>
          <w:rFonts w:hint="default" w:ascii="Times New Roman" w:hAnsi="Times New Roman" w:cs="Times New Roman"/>
          <w:sz w:val="24"/>
          <w:szCs w:val="24"/>
        </w:rPr>
      </w:pPr>
      <w:bookmarkStart w:id="0" w:name="OLE_LINK2"/>
      <w:r>
        <w:rPr>
          <w:rFonts w:hint="default" w:ascii="Times New Roman" w:hAnsi="Times New Roman" w:cs="Times New Roman"/>
          <w:sz w:val="24"/>
          <w:szCs w:val="24"/>
        </w:rPr>
        <w:t>The relationship between Qi Gong and "wuwei" (non-action) and "wuxin" (unconsciousness) lies in their shared emphasis on relaxation, naturalness, and internal cultivation. Qi Gong achieves a state of "wuwei" and "wuxin" by regulating breathing, body posture, and guiding intention, allowing individuals to harmonize with the energy flow and natural rhythms within their bodies, thus achieving a state of balance and health for the mind and body.In contemporary medical research, Qi Gong is regarded as a preventive and alternative medicine, with Tai Chi being the most well-known practice. Qi Gong encompasses elements of philosophy and martial arts and is closely associated with traditional Chinese medicine or considered a part of it. It combines movement, breathing, meditation, and coordinated body postures to achieve self-improvement, relaxation, exercise, and targeted positive effects in martial arts training (Nenova, G., Minkova, S., &amp; Kurteva, I., 2022).</w:t>
      </w:r>
    </w:p>
    <w:bookmarkEnd w:id="0"/>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this article, it is necessary to explain the concepts of "wuwei" and "wuxin" in order to provide readers with a clearer understanding. In essence, these two terms represent the ultimate ideal states of the body and mind to some extent. According to Ito (2021), "wuwei" refers to a state of natural or peacefulness. It emphasizes the individual's harmonious coexistence with nature and achieving optimal actions by aligning with the natural changes and following the principles of the Dao.The term "wuxin" consists of two Chinese characters: "wu" meaning "nothingness" and "xin" meaning "mind" or "heart." Therefore, the literal meaning of "wuxin" is a state without thoughts. In this context, the absence of thoughts can be understood as inner tranquility and a clear state of mind. It involves letting go of all distractions and achieving a calm mental state without desires or fluctuations of thoughts.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Pallasmaa's (2009) description, there is an opportunity to observe the thoughts generated by the hands and body, which are distinctly different from those generated by the mind. The mind often produces geometric, knowledge-based, and conceptual thoughts, while the hands and body usually express spontaneous, sensory, and tactile qualities. Occasionally, in the process of creative behavior, there is a sense of "automatic" feeling. This "automatic" feeling resembles an impulse in painting, and when the creator enters this state, it can reach an extremely efficient level. Pallasmaa further describes a self-consciousness of the creator, as if the presence of the individual permeates the work or performance. In the best cases, there is such an alluring flow of spirit and matter between the creator and the work that the work seems to be self-generating (Pallasmaa, 2009, p. 82).Pallasmaa seems to provide a general description of this "self-consciousness," which informs us of the existence of such a state. However, he cannot provide further explanation to prove the exact reasons behind the emergence of this highly efficient state.</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current practice of bodily movement, many practitioners have come into contact with the distant heritage of Eastern philosophy. Scientists like Laura Schmalzl emphasize the need to pay attention to movement-based meditation practices. An operational definition of movement-based meditation practice has been proposed for cognitive science-based research (Sakuta, 2017). This type of meditation practice is likely a re-enlightenment of the body and consciousness and, if possible, can be studied as a scientific discipline. Psychologist Shannon Len Deets (2015) focuses on the phenomenon of consciousness change induced through movement. Deets points out the lack of interdisciplinary research in this area and, for the purpose of this research, has defined two concepts. The first concept can be defined as "movement events" based on the core of Zen's movement philosophy, which involves embedding meditation elements within movement. The second concept, according to Deets, is a profound state of embodiment that can be summarized by the concept of "wuxin," and expectations are set to establish connections with other similar theories. Whether it is exploring deep states of consciousness or inspiring new patterns of movement, these are ways pursued by artistic creators. Undoubtedly, this opens up a new door for finding a new mode of creative behavior, namely, qigong movement.</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summary, through the collection of relevant literature and data, as well as the analysis of their interconnections, the author has been able to establish theoretical connections between qigong and painting creation, and further deduce potential outcomes. This process represents an interdisciplinary exploration that continues until a possibility is reached. Although the literature analysis method has enabled the author to gather and organize relevant data and draw corresponding conclusions, suggesting that the application of qigong movement in the process of painting creation may yield positive results, it lacks practical validation through actual practice, thus potentially lacking deeper persuasiveness. Therefore, the author intends to further investigate through the integration of Autoethnography and case study, approaching the research from a practical perspective that combines practice and theory. The author will serve as the research subject, analyzing the process of practice and proposing potential research outcomes.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Practice-based autoethnography</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Based on practice-based autoethnography, Ellis and Adams (2011) argue that personal narratives are stories about the authors themselves, considering themselves as phenomena. They pay particular attention to their academic, research, and personal lives (e.g., Berry, 2007; Goodall, 2006; Poulos, 2008; Tillmann, 2009). These forms often generate controversy among traditional social scientists, especially if they lack more traditional analysis and/or connections to academic literature, intersect with cultural backgrounds, and establish genuine connections with other participants (Ellis &amp; Adams, 2011). Personal narratives attempt to understand aspects of the self or life as a theoretical basis and invite readers into the author's world. The author of this paper believes that it is one of the most intuitive and effective ways to help readers understand the author's thoughts by combining the self-narration of the research subject, thus making the research more three-dimensional. Although subjectivity is inevitably present, its exploratory role cannot be ignored.</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a research method, autoethnography combines the characteristics of autobiography and ethnography (Ellis and Adams et al., 2011). When writing an autobiography, authors selectively trace their past experiences. Often, these experiences are collected through practice and reflection, rather than being created solely for inclusion in published works (Bruner, 1993; Freeman, 2004). In the writing process, authors may also conduct interviews with others or refer to texts such as photographs, diaries, and recordings to aid in recollection (Delany, 2004). These firsthand recollections by the author often serve as powerful stimuli, unlike dissecting theories in lengthy academic discussions, as they are more creative in nature.</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Autobiographical authors can use "showing" techniques to make their texts aesthetically pleasing and evocative (Adams, 2006), with the purpose of bringing "readers into the scene" - particularly into the thoughts, emotions, and actions (Ellis, 2004, p. 142) - to "experience an experience" (Ellis, 1993, p. 711). By employing dialogue and showcasing, authors can make events engaging and emotionally rich. "Telling" is a complementary writing strategy to "showing" that allows readers to maintain a certain distance from the described events, enabling them to contemplate the events in a more abstract manner. Adding some "Telling" to the "showing" narrative is an effective way to convey information, allowing for the communication of messages without direct dialogue and sensory involvement (Ellis and Adams et al., 2011).</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Ellis (2011), autobiographical authors may sometimes use the first person to narrate a story, particularly when they have personally observed or experienced an interaction and are providing an intimate and direct "eyewitness account." At times, autobiographical authors may employ the second person to involve readers in a scene, actively witnessing an experience alongside the author and becoming a part of the event rather than remaining detached (Glave, 2005). Autobiographical authors may also use the second person to describe moments that are difficult to articulate (Glave, 2005). Additionally, authors may use the third person to establish the background of interactions, report findings, and present the actions or statements of others. Regardless of the chosen perspective, this information possesses valuable references to theory or behavior, allowing for greater possibilities in the research and facilitating a streamlined research process.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Previously, Ito (2021) conducted a doctoral study on the integration of Dantian breathing exercises with painting practice. His research involved contemplative breathing, applying the Dantian breathing technique in artistic creation, and he found that combining the "wuwei" and "wu xin" aspects of breathing benefited both artistic flow and therapeutic environments. Based on Ito's (2021) practice-based analytical research, he referred to his study as a pilot study, inviting five individuals as research participants and conducting five offline practice sessions. He analyzed the entire research process, including his research participants and himself, and arrived at potential applications of Dantian breathing exercises in art therapy. He explored possibilities from a small number of studies to provide a blueprint for further exploration of the combination of art creation and art therapy. This research is commendable for an art practitioner, as literature exploring the artistic creation process is not widespread, with researchers often focusing more on the visual aspects and history of art. In my study, I will initially conduct a practice-based self-analysis through autoethnography to explore the potential for further research on the combination of qigong and painting creation and provide practical data.</w:t>
      </w:r>
    </w:p>
    <w:p>
      <w:pPr>
        <w:rPr>
          <w:rFonts w:hint="default" w:ascii="Times New Roman" w:hAnsi="Times New Roman" w:cs="Times New Roman"/>
          <w:sz w:val="24"/>
          <w:szCs w:val="24"/>
          <w:lang w:val="en-US" w:eastAsia="zh-CN"/>
        </w:rPr>
      </w:pPr>
      <w:bookmarkStart w:id="6" w:name="_GoBack"/>
      <w:bookmarkEnd w:id="6"/>
    </w:p>
    <w:p>
      <w:pPr>
        <w:rPr>
          <w:rFonts w:hint="default" w:ascii="Times New Roman" w:hAnsi="Times New Roman" w:cs="Times New Roman"/>
          <w:sz w:val="24"/>
          <w:szCs w:val="24"/>
        </w:rPr>
      </w:pPr>
      <w:r>
        <w:rPr>
          <w:rFonts w:hint="default" w:ascii="Times New Roman" w:hAnsi="Times New Roman" w:cs="Times New Roman"/>
          <w:sz w:val="24"/>
          <w:szCs w:val="24"/>
        </w:rPr>
        <w:t>While discussing the Dantian breathing technique, Ito (2021) touched upon Taoist theories, but most of the references were drawn from Buddhist literature. Although Buddhism has significant influence in the East and even globally, Taoism has long presented the philosophical viewpoints and practices related to "Dantian breathing." The Dao De Jing, a prominent Taoist text, dates back to around 300 BCE (Lao Tzu, L. E., 1997) and provides guidance on bodily and mental balance, natural flow, and the concept of wu wei, offering a philosophical foundation for understanding and exploring the essence of Dantian breathing. Traditional Chinese medicine, with its practices of qigong and breathwork, has also contributed to the development of Dantian breathing. The term "qi" is often translated as "vital energy" or simply "energy," and Sakade (1993) suggests that Taoism is a spiritual practice that utilizes qi, being particularly beneficial for self-healing. In Chinese philosophy, qi is considered the fundamental substance permeating the universe and all things, possessing a dynamic nature characterized by continuous flow and change. Understanding this concept is deeply ingrained in the Chinese culture. It goes beyond the simple notion of breath and extends to the realms of the body, sensations, and the spiritual (McNiff, 2016). The study of energy directly extends to the concept of life force or qi in Eastern philosophy. Qigong can be understood as a movement practice that involves the utilization of qi. Ohnishi and Ohnishi (2009) also provided an example of an additional qi study conducted with a group of American students using a practice-based approach to highlight the significance of qi in the body. The results of their research found that students with a background in music and dance were able to perceive "qi" more quickly. They suggested that incorporating music and dance enhances learners' awareness of qi, emphasizing the importance of rhythm. McNiff (1998b) affirmed the value of rhythm, including the body's inherent rhythm, personal improvisational movements, and the freedom of artistic expression (McNiff, 1998b). One action can trigger another, resulting in a sense of flow (McNiff, 1998b, 2003). This indirectly confirms that the artistic creation process is an embodiment of the theory of embodied consciousness.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In conclusion, although autoethnography is inherently subjective as it relies on the researcher's personal experiences and interpretations, this subjectivity introduces biases in the research process and outcomes. Therefore, this study will strive to maintain objectivity, remaining aware of personal biases and actively engaging in reflexivity throughout the research process. It should be noted that personal artistic practices may not easily generalize to larger populations or different cultural backgrounds. Therefore, the author will employ autoethnography as a research method to provide in-depth insights into specific cases, which are often more valuable than generalizations.</w:t>
      </w:r>
    </w:p>
    <w:p>
      <w:pPr>
        <w:rPr>
          <w:rFonts w:hint="default" w:ascii="Times New Roman" w:hAnsi="Times New Roman" w:cs="Times New Roman"/>
          <w:sz w:val="24"/>
          <w:szCs w:val="24"/>
          <w:lang w:val="en-US" w:eastAsia="zh-CN"/>
        </w:rPr>
      </w:pPr>
    </w:p>
    <w:p>
      <w:pPr>
        <w:rPr>
          <w:rFonts w:hint="default" w:ascii="Times New Roman" w:hAnsi="Times New Roman" w:cs="Times New Roman"/>
          <w:b/>
          <w:bCs/>
          <w:sz w:val="24"/>
          <w:szCs w:val="24"/>
          <w:lang w:eastAsia="zh-CN"/>
        </w:rPr>
      </w:pPr>
      <w:r>
        <w:rPr>
          <w:rFonts w:hint="default" w:ascii="Times New Roman" w:hAnsi="Times New Roman" w:cs="Times New Roman"/>
          <w:b/>
          <w:bCs/>
          <w:sz w:val="24"/>
          <w:szCs w:val="24"/>
          <w:lang w:eastAsia="zh-CN"/>
        </w:rPr>
        <w:t>Practice-Based Case Studies</w:t>
      </w:r>
    </w:p>
    <w:p>
      <w:pPr>
        <w:rPr>
          <w:rFonts w:hint="default" w:ascii="Times New Roman" w:hAnsi="Times New Roman" w:cs="Times New Roman"/>
          <w:sz w:val="24"/>
          <w:szCs w:val="24"/>
          <w:lang w:eastAsia="zh-CN"/>
        </w:rPr>
      </w:pPr>
    </w:p>
    <w:p>
      <w:pPr>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Linda Candy explains that “If a creative artefact is the basis of the contribution to knowledge, the research is practice-based. […] If the research leads primarily to new understandings about practice, it is practice-led” (</w:t>
      </w:r>
      <w:bookmarkStart w:id="1" w:name="OLE_LINK20"/>
      <w:r>
        <w:rPr>
          <w:rFonts w:hint="default" w:ascii="Times New Roman" w:hAnsi="Times New Roman" w:cs="Times New Roman"/>
          <w:sz w:val="24"/>
          <w:szCs w:val="24"/>
          <w:lang w:eastAsia="zh-CN"/>
        </w:rPr>
        <w:t>Candy</w:t>
      </w:r>
      <w:bookmarkEnd w:id="1"/>
      <w:r>
        <w:rPr>
          <w:rFonts w:hint="default" w:ascii="Times New Roman" w:hAnsi="Times New Roman" w:cs="Times New Roman"/>
          <w:sz w:val="24"/>
          <w:szCs w:val="24"/>
          <w:lang w:eastAsia="zh-CN"/>
        </w:rPr>
        <w:t>, 2001, p.1)</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Therefore, I will construct a framework based on practice to investigate the relationship between qigong and artistic creation for my research. Utilizing the approach of autoethnography, I will document the entire practice, reflecting upon and observing it from the perspectives of qigong practice and artistic creation. Through this process, I aim to arrive at potential research findings. While the results of autoethnography may vary depending on the individual and possess subjective elements, this step will provide valuable guidance and references for my subsequent research. Additionally, it will offer diverse insights for other researchers in related fields.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Consequently, I will further explore my practice-based research, which investigates the following questions: 1. How does qigong impact an individual's bodily movements during the process of artistic creation? 2. Can the exploration of "qi" influence the expressive quality of an individual's artistic creation?This experimental study will involve an independent review of procedures and artistic materials, followed by the collection of outcomes.This study serves as an initial exploration and lays the foundation for testing my research approach and analysis processes. The following section provides a detailed account of my research process.</w:t>
      </w:r>
    </w:p>
    <w:p>
      <w:pPr>
        <w:rPr>
          <w:rFonts w:hint="default" w:ascii="Times New Roman" w:hAnsi="Times New Roman" w:cs="Times New Roman"/>
          <w:sz w:val="24"/>
          <w:szCs w:val="24"/>
          <w:lang w:val="en-US" w:eastAsia="zh-CN"/>
        </w:rPr>
      </w:pP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Artistic Materials</w:t>
      </w:r>
    </w:p>
    <w:p>
      <w:pPr>
        <w:rPr>
          <w:rFonts w:hint="default" w:ascii="Times New Roman" w:hAnsi="Times New Roman" w:cs="Times New Roman"/>
          <w:b/>
          <w:bCs/>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 will utilize traditional Chinese artistic materials, including Chinese black ink, a Chinese brush, and traditional Chinese rice paper (xuan paper). I have chosen these simple mediums to foster focus on the act of painting, without the distraction of deliberate color selection, allowing participants, including myself, to concentrate on the movements, breath, and utilization of qi in the process of painting. Using uncomplicated painting materials will facilitate easier observation of the composition, lines, bodily movements, and the application of qi.</w:t>
      </w:r>
    </w:p>
    <w:p>
      <w:pPr>
        <w:rPr>
          <w:rFonts w:hint="default" w:ascii="Times New Roman" w:hAnsi="Times New Roman" w:cs="Times New Roman"/>
          <w:sz w:val="24"/>
          <w:szCs w:val="24"/>
          <w:lang w:val="en-US" w:eastAsia="zh-CN"/>
        </w:rPr>
      </w:pP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Equipment for Recording the Research</w:t>
      </w:r>
    </w:p>
    <w:p>
      <w:pPr>
        <w:rPr>
          <w:rFonts w:hint="default" w:ascii="Times New Roman" w:hAnsi="Times New Roman" w:cs="Times New Roman"/>
          <w:b/>
          <w:bCs/>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To document the practice process, I will collect visual and audio content, including visual expressions of participants' bodily movements, audio recordings of their breath during the process, recorded dialogues during reflective interviews, visual documentation of participants' artworks, as well as my own reflections and observations. Therefore, video and audio recording equipment, specifically five GoPro cameras, will play a crucial role in capturing the practice records.</w:t>
      </w:r>
    </w:p>
    <w:p>
      <w:pPr>
        <w:rPr>
          <w:rFonts w:hint="default" w:ascii="Times New Roman" w:hAnsi="Times New Roman" w:cs="Times New Roman"/>
          <w:sz w:val="24"/>
          <w:szCs w:val="24"/>
          <w:lang w:val="en-US" w:eastAsia="zh-CN"/>
        </w:rPr>
      </w:pPr>
    </w:p>
    <w:p>
      <w:pPr>
        <w:numPr>
          <w:ilvl w:val="0"/>
          <w:numId w:val="1"/>
        </w:numPr>
        <w:rPr>
          <w:rFonts w:hint="eastAsia"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Minute Immersive Qigong Practice</w:t>
      </w:r>
      <w:r>
        <w:rPr>
          <w:rFonts w:hint="eastAsia" w:ascii="Times New Roman" w:hAnsi="Times New Roman" w:cs="Times New Roman"/>
          <w:b/>
          <w:bCs/>
          <w:sz w:val="24"/>
          <w:szCs w:val="24"/>
          <w:lang w:val="en-US" w:eastAsia="zh-CN"/>
        </w:rPr>
        <w:t xml:space="preserve"> </w:t>
      </w:r>
    </w:p>
    <w:p>
      <w:pPr>
        <w:numPr>
          <w:numId w:val="0"/>
        </w:numPr>
        <w:rPr>
          <w:rFonts w:hint="default" w:ascii="Times New Roman" w:hAnsi="Times New Roman" w:cs="Times New Roman"/>
          <w:b/>
          <w:bCs/>
          <w:sz w:val="24"/>
          <w:szCs w:val="24"/>
          <w:lang w:val="en-US" w:eastAsia="zh-CN"/>
        </w:rPr>
      </w:pPr>
    </w:p>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In the initial stage before painting begins, I will design a 25-minute qigong practice. For the first 20 minutes, participants will engage in basic qigong movements, attuning to the rhythm of qigong, which includes adjusting bodily movements and practicing breath rhythms. The remaining five minutes will involve contemplation and meditation, enabling participants to better connect with themselves and their surroundings. In this stage, I have chosen the qigong style of Ba Duan Jin，also called Eight-Brocade Exercise, Eight Section Brocades or Eight-Treasured Exer-cises (Koh, 1982), developed from the I-Ching philosophy (Koh, 1982) regarding a balance between yin and yang. Its origin is impossible to trace but a similar exercise is docu-mented in Chinese literature written in the Wei and Jin Dynasties (220 A.D. e289 A.D.) (Zhou, 2011). A consensus of legend suggests that General Yue Fei (岳飛) promoted Baduanjin in his army in the 12th century (Zhou, 2011), thus making it a conventional physical activity for health training.</w:t>
      </w:r>
      <w:r>
        <w:rPr>
          <w:rFonts w:hint="default" w:ascii="Times New Roman" w:hAnsi="Times New Roman" w:cs="Times New Roman"/>
          <w:sz w:val="24"/>
          <w:szCs w:val="24"/>
        </w:rPr>
        <w:t>This “mind-in-body” (Kerr, 2002, p. 419) technique evolved many centuries ago and aims at regulating breathing, heart and body (Ministry of Foreign Affairs (2014)), resulting in an enhancement of physical and mental health.Cheng, F. K. (2015)</w:t>
      </w:r>
    </w:p>
    <w:p>
      <w:pPr>
        <w:rPr>
          <w:rFonts w:hint="default" w:ascii="Times New Roman" w:hAnsi="Times New Roman" w:cs="Times New Roman"/>
          <w:sz w:val="24"/>
          <w:szCs w:val="24"/>
          <w:lang w:val="en-US" w:eastAsia="zh-CN"/>
        </w:rPr>
      </w:pP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Art making activities and qigong</w:t>
      </w:r>
    </w:p>
    <w:p>
      <w:pPr>
        <w:rPr>
          <w:rFonts w:hint="default" w:ascii="Times New Roman" w:hAnsi="Times New Roman" w:cs="Times New Roman"/>
          <w:b/>
          <w:bCs/>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After the 25-minute qigong practice, I will invite participants to stand or sit at their designated art tables (equipped with art materials) and engage in free drawing while continuing to apply qigong principles (such as movement awareness, breath control, and meditation) to their artistic process. The art materials will consist of a Chinese brush and a stack of black ink. The activity will be recorded using a video camera.</w:t>
      </w:r>
    </w:p>
    <w:p>
      <w:pPr>
        <w:rPr>
          <w:rFonts w:hint="default" w:ascii="Times New Roman" w:hAnsi="Times New Roman" w:cs="Times New Roman"/>
          <w:sz w:val="24"/>
          <w:szCs w:val="24"/>
          <w:lang w:val="en-US" w:eastAsia="zh-CN"/>
        </w:rPr>
      </w:pP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Reflection and observation</w:t>
      </w:r>
    </w:p>
    <w:p>
      <w:pPr>
        <w:rPr>
          <w:rFonts w:hint="default" w:ascii="Times New Roman" w:hAnsi="Times New Roman" w:cs="Times New Roman"/>
          <w:b/>
          <w:bCs/>
          <w:sz w:val="24"/>
          <w:szCs w:val="24"/>
          <w:lang w:val="en-US" w:eastAsia="zh-CN"/>
        </w:rPr>
      </w:pPr>
    </w:p>
    <w:p>
      <w:pPr>
        <w:rPr>
          <w:rFonts w:hint="default" w:ascii="Times New Roman" w:hAnsi="Times New Roman" w:cs="Times New Roman"/>
          <w:sz w:val="24"/>
          <w:szCs w:val="24"/>
          <w:lang w:val="en-US" w:eastAsia="zh-CN"/>
        </w:rPr>
      </w:pPr>
      <w:bookmarkStart w:id="2" w:name="OLE_LINK21"/>
      <w:r>
        <w:rPr>
          <w:rFonts w:hint="default" w:ascii="Times New Roman" w:hAnsi="Times New Roman" w:cs="Times New Roman"/>
          <w:sz w:val="24"/>
          <w:szCs w:val="24"/>
          <w:lang w:val="en-US" w:eastAsia="zh-CN"/>
        </w:rPr>
        <w:t>Reflection and observation</w:t>
      </w:r>
      <w:bookmarkEnd w:id="2"/>
      <w:r>
        <w:rPr>
          <w:rFonts w:hint="default" w:ascii="Times New Roman" w:hAnsi="Times New Roman" w:cs="Times New Roman"/>
          <w:sz w:val="24"/>
          <w:szCs w:val="24"/>
          <w:lang w:val="en-US" w:eastAsia="zh-CN"/>
        </w:rPr>
        <w:t xml:space="preserve"> will be an integral part of the process. At the end of each practice session, I will photograph the artwork and initiate a reflective dialogue with the participants, recording the conversation using an audio recorder. I will also engage in self-reflection and observation. During our discussions, participants and I will review the artwork, focusing on the impact on the quality of artistic creation. We will summarize the bodily perceptions, emotional experiences, and inner transformations that emerged during the creative process and document these experiences in written form. Additionally, any questions that arise during the day will be raised, and tentative solutions will be attempted in the next practice session. This process will continue for five days, and prior to the final day, I will compile all the data, including videos, images, notes, and written reflections, for an in-depth conversation and dialogue with all participants to draw conclusions.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Conclusion</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section summarizes the main findings and significance of the research, emphasizing its contribution to the field. It may also provide directions for future research or artistic practice. Thus far, there is reason to believe that embodied consciousness plays a significant role in facilitating states of "oneness with nature," "wuxin and "wuwei" However, achieving these states is a probabilistic event that involves the interaction of body movements, sensations, and environmental factors, shaping and expressing conscious and cognitive processes. It can be viewed as a holistic experience of the interaction between behavior and consciousness, leading to deeper levels of practice (wuxin, wuwei). In the context of painting creation, the integration of meditation movements with the medium and artwork through bodily actions and perceptual experiences ultimately realizes the intended artistic expression, elevating the artistic practice to a higher level.</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article, based on the theory of autoethnography, focuses on the series of impacts arising from the application of "qi" and the conscious effects observed through artistic creation. The current observations in the practice of self-ethnography suggest that qigong can be employed to find specific frequencies that induce calmness, and this approach can be applied to painting. The connection between breath and movement is crucial as it directly affects the stability, smoothness, and rhythm of the artist's brushwork, thereby providing a pathway for fluent artistic expression. Qigong establishes a better connection between the mind and body, revealing bold and rhythmic expression. This rhythm aligns with elements of ancient Eastern spiritual knowledge, particularly Taoism. These findings are likely beneficial for artistic creation. Despite the limitations of the research, it demonstrates the potential for further exploration of qi within an art-based creative environment. Whether exploring profound states of consciousness or inspiring new forms of movement, it represents a pursuit sought by artists. Undoubtedly, this opens a new door for discovering novel modes of creative behavior. In future research, I will continue to explore in-depth through practice-based inquiry, providing more practical foundations."</w:t>
      </w:r>
    </w:p>
    <w:p>
      <w:pPr>
        <w:rPr>
          <w:rFonts w:hint="default" w:ascii="Times New Roman" w:hAnsi="Times New Roman" w:eastAsia="宋体" w:cs="Times New Roman"/>
          <w:b/>
          <w:bCs/>
          <w:i w:val="0"/>
          <w:iCs w:val="0"/>
          <w:caps w:val="0"/>
          <w:color w:val="auto"/>
          <w:spacing w:val="0"/>
          <w:sz w:val="24"/>
          <w:szCs w:val="24"/>
          <w:shd w:val="clear" w:fill="FFFFFF"/>
          <w:lang w:val="en-US" w:eastAsia="zh-CN"/>
        </w:rPr>
      </w:pPr>
    </w:p>
    <w:p>
      <w:pPr>
        <w:rPr>
          <w:rFonts w:hint="default" w:ascii="Times New Roman" w:hAnsi="Times New Roman" w:eastAsia="宋体" w:cs="Times New Roman"/>
          <w:b/>
          <w:bCs/>
          <w:i w:val="0"/>
          <w:iCs w:val="0"/>
          <w:caps w:val="0"/>
          <w:color w:val="auto"/>
          <w:spacing w:val="0"/>
          <w:sz w:val="24"/>
          <w:szCs w:val="24"/>
          <w:shd w:val="clear" w:fill="FFFFFF"/>
          <w:lang w:val="en-US" w:eastAsia="zh-CN"/>
        </w:rPr>
      </w:pPr>
    </w:p>
    <w:p>
      <w:pPr>
        <w:rPr>
          <w:rFonts w:hint="default" w:ascii="Times New Roman" w:hAnsi="Times New Roman" w:eastAsia="宋体" w:cs="Times New Roman"/>
          <w:b/>
          <w:bCs/>
          <w:i w:val="0"/>
          <w:iCs w:val="0"/>
          <w:caps w:val="0"/>
          <w:color w:val="auto"/>
          <w:spacing w:val="0"/>
          <w:sz w:val="24"/>
          <w:szCs w:val="24"/>
          <w:shd w:val="clear" w:fill="FFFFFF"/>
          <w:lang w:val="en-US" w:eastAsia="zh-CN"/>
        </w:rPr>
      </w:pPr>
    </w:p>
    <w:p>
      <w:pPr>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Adams, Tony E. 2006. Seeking father: Relationaliy reframing a troubled love story. Qualitative Inquiry 12 (4): 704-7</w:t>
      </w:r>
    </w:p>
    <w:p>
      <w:pPr>
        <w:rPr>
          <w:rFonts w:hint="default" w:ascii="Times New Roman" w:hAnsi="Times New Roman" w:eastAsia="宋体" w:cs="Times New Roman"/>
          <w:i w:val="0"/>
          <w:iCs w:val="0"/>
          <w:caps w:val="0"/>
          <w:color w:val="auto"/>
          <w:spacing w:val="0"/>
          <w:sz w:val="24"/>
          <w:szCs w:val="24"/>
          <w:shd w:val="clear" w:fill="FFFFFF"/>
          <w:lang w:val="en-US" w:eastAsia="zh-CN"/>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Allen, B. (2015). Striking beauty: A philosophical look at the Asian martial arts. Columbia University Press.</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Allen, B. (2015). Striking beauty: A philosophical look at the Asian martial arts. Columbia University Press.</w:t>
      </w:r>
    </w:p>
    <w:p>
      <w:pPr>
        <w:rPr>
          <w:rFonts w:hint="default" w:ascii="Times New Roman" w:hAnsi="Times New Roman" w:cs="Times New Roman"/>
          <w:color w:val="auto"/>
          <w:sz w:val="24"/>
          <w:szCs w:val="24"/>
        </w:rPr>
      </w:pPr>
    </w:p>
    <w:p>
      <w:pPr>
        <w:jc w:val="left"/>
        <w:rPr>
          <w:rFonts w:hint="default" w:ascii="Times New Roman" w:hAnsi="Times New Roman" w:eastAsia="宋体" w:cs="Times New Roman"/>
          <w:i w:val="0"/>
          <w:iCs w:val="0"/>
          <w:caps w:val="0"/>
          <w:color w:val="auto"/>
          <w:spacing w:val="0"/>
          <w:sz w:val="24"/>
          <w:szCs w:val="24"/>
          <w:shd w:val="clear" w:fill="FFFFFF"/>
        </w:rPr>
      </w:pPr>
      <w:r>
        <w:rPr>
          <w:rFonts w:hint="default" w:ascii="Times New Roman" w:hAnsi="Times New Roman" w:eastAsia="宋体" w:cs="Times New Roman"/>
          <w:i w:val="0"/>
          <w:iCs w:val="0"/>
          <w:caps w:val="0"/>
          <w:color w:val="auto"/>
          <w:spacing w:val="0"/>
          <w:sz w:val="24"/>
          <w:szCs w:val="24"/>
          <w:shd w:val="clear" w:fill="FFFFFF"/>
        </w:rPr>
        <w:t>Berry, Keith. 2007. Embracing the catastrophe: Gay body seeks acceptance. Qualitative Inquiry 13 (2): 259-281.</w:t>
      </w:r>
    </w:p>
    <w:p>
      <w:pPr>
        <w:jc w:val="left"/>
        <w:rPr>
          <w:rFonts w:hint="default" w:ascii="Times New Roman" w:hAnsi="Times New Roman" w:eastAsia="宋体" w:cs="Times New Roman"/>
          <w:i w:val="0"/>
          <w:iCs w:val="0"/>
          <w:caps w:val="0"/>
          <w:color w:val="auto"/>
          <w:spacing w:val="0"/>
          <w:sz w:val="24"/>
          <w:szCs w:val="24"/>
          <w:shd w:val="clear" w:fill="FFFFFF"/>
        </w:rPr>
      </w:pPr>
    </w:p>
    <w:p>
      <w:pPr>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Bruner, Jerome. 1993. The autobiographical process. In The culture of autobiography: Constructions of self-representation, ed. Robert Folkenflik, 38-56. Stanford, CA: Stanford University Press.</w:t>
      </w:r>
    </w:p>
    <w:p>
      <w:pPr>
        <w:rPr>
          <w:rFonts w:hint="default" w:ascii="Times New Roman" w:hAnsi="Times New Roman" w:eastAsia="宋体" w:cs="Times New Roman"/>
          <w:i w:val="0"/>
          <w:iCs w:val="0"/>
          <w:caps w:val="0"/>
          <w:color w:val="auto"/>
          <w:spacing w:val="0"/>
          <w:sz w:val="24"/>
          <w:szCs w:val="24"/>
          <w:shd w:val="clear" w:fill="FFFFFF"/>
          <w:lang w:val="en-US" w:eastAsia="zh-CN"/>
        </w:rPr>
      </w:pPr>
    </w:p>
    <w:p>
      <w:pPr>
        <w:rPr>
          <w:rFonts w:hint="default" w:ascii="Times New Roman" w:hAnsi="Times New Roman" w:eastAsia="宋体" w:cs="Times New Roman"/>
          <w:i w:val="0"/>
          <w:iCs w:val="0"/>
          <w:caps w:val="0"/>
          <w:color w:val="auto"/>
          <w:spacing w:val="0"/>
          <w:sz w:val="24"/>
          <w:szCs w:val="24"/>
          <w:shd w:val="clear" w:fill="FFFFFF"/>
          <w:lang w:eastAsia="zh-CN"/>
        </w:rPr>
      </w:pPr>
      <w:r>
        <w:rPr>
          <w:rFonts w:hint="default" w:ascii="Times New Roman" w:hAnsi="Times New Roman" w:eastAsia="宋体" w:cs="Times New Roman"/>
          <w:i w:val="0"/>
          <w:iCs w:val="0"/>
          <w:caps w:val="0"/>
          <w:color w:val="auto"/>
          <w:spacing w:val="0"/>
          <w:sz w:val="24"/>
          <w:szCs w:val="24"/>
          <w:shd w:val="clear" w:fill="FFFFFF"/>
          <w:lang w:eastAsia="zh-CN"/>
        </w:rPr>
        <w:t xml:space="preserve">Candy, L. (2006). Practice Based Research: A Guide. Retrieved from </w:t>
      </w:r>
      <w:r>
        <w:rPr>
          <w:rFonts w:hint="default" w:ascii="Times New Roman" w:hAnsi="Times New Roman" w:eastAsia="宋体" w:cs="Times New Roman"/>
          <w:i w:val="0"/>
          <w:iCs w:val="0"/>
          <w:caps w:val="0"/>
          <w:color w:val="auto"/>
          <w:spacing w:val="0"/>
          <w:sz w:val="24"/>
          <w:szCs w:val="24"/>
          <w:shd w:val="clear" w:fill="FFFFFF"/>
          <w:lang w:eastAsia="zh-CN"/>
        </w:rPr>
        <w:fldChar w:fldCharType="begin"/>
      </w:r>
      <w:r>
        <w:rPr>
          <w:rFonts w:hint="default" w:ascii="Times New Roman" w:hAnsi="Times New Roman" w:eastAsia="宋体" w:cs="Times New Roman"/>
          <w:i w:val="0"/>
          <w:iCs w:val="0"/>
          <w:caps w:val="0"/>
          <w:color w:val="auto"/>
          <w:spacing w:val="0"/>
          <w:sz w:val="24"/>
          <w:szCs w:val="24"/>
          <w:shd w:val="clear" w:fill="FFFFFF"/>
          <w:lang w:eastAsia="zh-CN"/>
        </w:rPr>
        <w:instrText xml:space="preserve"> HYPERLINK "http://www.creativityandcognition.com" </w:instrText>
      </w:r>
      <w:r>
        <w:rPr>
          <w:rFonts w:hint="default" w:ascii="Times New Roman" w:hAnsi="Times New Roman" w:eastAsia="宋体" w:cs="Times New Roman"/>
          <w:i w:val="0"/>
          <w:iCs w:val="0"/>
          <w:caps w:val="0"/>
          <w:color w:val="auto"/>
          <w:spacing w:val="0"/>
          <w:sz w:val="24"/>
          <w:szCs w:val="24"/>
          <w:shd w:val="clear" w:fill="FFFFFF"/>
          <w:lang w:eastAsia="zh-CN"/>
        </w:rPr>
        <w:fldChar w:fldCharType="separate"/>
      </w:r>
      <w:r>
        <w:rPr>
          <w:rStyle w:val="4"/>
          <w:rFonts w:hint="default" w:ascii="Times New Roman" w:hAnsi="Times New Roman" w:eastAsia="宋体" w:cs="Times New Roman"/>
          <w:i w:val="0"/>
          <w:iCs w:val="0"/>
          <w:caps w:val="0"/>
          <w:spacing w:val="0"/>
          <w:sz w:val="24"/>
          <w:szCs w:val="24"/>
          <w:shd w:val="clear" w:fill="FFFFFF"/>
          <w:lang w:eastAsia="zh-CN"/>
        </w:rPr>
        <w:t>http://www.creativityandcognition.com</w:t>
      </w:r>
      <w:r>
        <w:rPr>
          <w:rFonts w:hint="default" w:ascii="Times New Roman" w:hAnsi="Times New Roman" w:eastAsia="宋体" w:cs="Times New Roman"/>
          <w:i w:val="0"/>
          <w:iCs w:val="0"/>
          <w:caps w:val="0"/>
          <w:color w:val="auto"/>
          <w:spacing w:val="0"/>
          <w:sz w:val="24"/>
          <w:szCs w:val="24"/>
          <w:shd w:val="clear" w:fill="FFFFFF"/>
          <w:lang w:eastAsia="zh-CN"/>
        </w:rPr>
        <w:fldChar w:fldCharType="end"/>
      </w:r>
    </w:p>
    <w:p>
      <w:pPr>
        <w:rPr>
          <w:rFonts w:hint="default" w:ascii="Times New Roman" w:hAnsi="Times New Roman" w:eastAsia="宋体" w:cs="Times New Roman"/>
          <w:i w:val="0"/>
          <w:iCs w:val="0"/>
          <w:caps w:val="0"/>
          <w:color w:val="auto"/>
          <w:spacing w:val="0"/>
          <w:sz w:val="24"/>
          <w:szCs w:val="24"/>
          <w:shd w:val="clear" w:fill="FFFFFF"/>
          <w:lang w:eastAsia="zh-CN"/>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Deets, S. L. (2015). A phenomenological study of altered consciousness induced</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through movement. </w:t>
      </w:r>
      <w:r>
        <w:rPr>
          <w:rFonts w:hint="default" w:ascii="Times New Roman" w:hAnsi="Times New Roman" w:cs="Times New Roman"/>
          <w:i/>
          <w:iCs/>
          <w:color w:val="auto"/>
          <w:sz w:val="24"/>
          <w:szCs w:val="24"/>
        </w:rPr>
        <w:t>Dance, Movement &amp; Spiritualities</w:t>
      </w:r>
      <w:r>
        <w:rPr>
          <w:rFonts w:hint="default" w:ascii="Times New Roman" w:hAnsi="Times New Roman" w:cs="Times New Roman"/>
          <w:color w:val="auto"/>
          <w:sz w:val="24"/>
          <w:szCs w:val="24"/>
        </w:rPr>
        <w:t>, 2(2), 181-197.</w:t>
      </w:r>
    </w:p>
    <w:p>
      <w:pPr>
        <w:rPr>
          <w:rFonts w:hint="default" w:ascii="Times New Roman" w:hAnsi="Times New Roman" w:cs="Times New Roman"/>
          <w:color w:val="auto"/>
          <w:sz w:val="24"/>
          <w:szCs w:val="24"/>
        </w:rPr>
      </w:pPr>
    </w:p>
    <w:p>
      <w:pPr>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 xml:space="preserve">Delany, Samuel R. 2004. The motion of light in water. Minneapolis: University of Minnesota Press。 </w:t>
      </w:r>
    </w:p>
    <w:p>
      <w:pPr>
        <w:jc w:val="left"/>
        <w:rPr>
          <w:rFonts w:hint="default" w:ascii="Times New Roman" w:hAnsi="Times New Roman" w:eastAsia="宋体" w:cs="Times New Roman"/>
          <w:i w:val="0"/>
          <w:iCs w:val="0"/>
          <w:caps w:val="0"/>
          <w:color w:val="auto"/>
          <w:spacing w:val="0"/>
          <w:sz w:val="24"/>
          <w:szCs w:val="24"/>
          <w:shd w:val="clear" w:fill="FFFFFF"/>
        </w:rPr>
      </w:pPr>
    </w:p>
    <w:p>
      <w:pPr>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rPr>
        <w:t>Ellis, C., Adams, T. E., &amp; Bochner, A. P. (2011). Autoethnography: an overview. </w:t>
      </w:r>
      <w:r>
        <w:rPr>
          <w:rFonts w:hint="default" w:ascii="Times New Roman" w:hAnsi="Times New Roman" w:eastAsia="宋体" w:cs="Times New Roman"/>
          <w:i/>
          <w:iCs/>
          <w:caps w:val="0"/>
          <w:color w:val="auto"/>
          <w:spacing w:val="0"/>
          <w:sz w:val="24"/>
          <w:szCs w:val="24"/>
          <w:shd w:val="clear" w:fill="FFFFFF"/>
        </w:rPr>
        <w:t>Historical social research/Historische sozialforschung</w:t>
      </w:r>
      <w:r>
        <w:rPr>
          <w:rFonts w:hint="default" w:ascii="Times New Roman" w:hAnsi="Times New Roman" w:eastAsia="宋体" w:cs="Times New Roman"/>
          <w:i w:val="0"/>
          <w:iCs w:val="0"/>
          <w:caps w:val="0"/>
          <w:color w:val="auto"/>
          <w:spacing w:val="0"/>
          <w:sz w:val="24"/>
          <w:szCs w:val="24"/>
          <w:shd w:val="clear" w:fill="FFFFFF"/>
        </w:rPr>
        <w:t>, 273-290.</w:t>
      </w:r>
      <w:r>
        <w:rPr>
          <w:rFonts w:hint="default" w:ascii="Times New Roman" w:hAnsi="Times New Roman" w:eastAsia="宋体" w:cs="Times New Roman"/>
          <w:i w:val="0"/>
          <w:iCs w:val="0"/>
          <w:caps w:val="0"/>
          <w:color w:val="auto"/>
          <w:spacing w:val="0"/>
          <w:sz w:val="24"/>
          <w:szCs w:val="24"/>
          <w:shd w:val="clear" w:fill="FFFFFF"/>
          <w:lang w:val="en-US" w:eastAsia="zh-CN"/>
        </w:rPr>
        <w:t xml:space="preserve">  </w:t>
      </w:r>
    </w:p>
    <w:p>
      <w:pPr>
        <w:rPr>
          <w:rFonts w:hint="default" w:ascii="Times New Roman" w:hAnsi="Times New Roman" w:eastAsia="宋体" w:cs="Times New Roman"/>
          <w:i w:val="0"/>
          <w:iCs w:val="0"/>
          <w:caps w:val="0"/>
          <w:color w:val="auto"/>
          <w:spacing w:val="0"/>
          <w:sz w:val="24"/>
          <w:szCs w:val="24"/>
          <w:shd w:val="clear" w:fill="FFFFFF"/>
          <w:lang w:val="en-US" w:eastAsia="zh-CN"/>
        </w:rPr>
      </w:pPr>
    </w:p>
    <w:p>
      <w:pPr>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Ellis, Carolyn. 1993. "There are survivors": Telling a story of a sudden death. The Sociological Quarterly 34 (4): 711-730.</w:t>
      </w:r>
    </w:p>
    <w:p>
      <w:pPr>
        <w:rPr>
          <w:rFonts w:hint="default" w:ascii="Times New Roman" w:hAnsi="Times New Roman" w:eastAsia="宋体" w:cs="Times New Roman"/>
          <w:i w:val="0"/>
          <w:iCs w:val="0"/>
          <w:caps w:val="0"/>
          <w:color w:val="auto"/>
          <w:spacing w:val="0"/>
          <w:sz w:val="24"/>
          <w:szCs w:val="24"/>
          <w:shd w:val="clear" w:fill="FFFFFF"/>
          <w:lang w:val="en-US" w:eastAsia="zh-CN"/>
        </w:rPr>
      </w:pPr>
    </w:p>
    <w:p>
      <w:pPr>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 xml:space="preserve">Ellis, Carolyn. 2004. The ethnographic I: A methodological novel about autoethnography. Walnut Creek, CA: AltaMira </w:t>
      </w:r>
    </w:p>
    <w:p>
      <w:pPr>
        <w:rPr>
          <w:rFonts w:hint="default" w:ascii="Times New Roman" w:hAnsi="Times New Roman" w:eastAsia="宋体" w:cs="Times New Roman"/>
          <w:i w:val="0"/>
          <w:iCs w:val="0"/>
          <w:caps w:val="0"/>
          <w:color w:val="auto"/>
          <w:spacing w:val="0"/>
          <w:sz w:val="24"/>
          <w:szCs w:val="24"/>
          <w:shd w:val="clear" w:fill="FFFFFF"/>
          <w:lang w:val="en-US" w:eastAsia="zh-CN"/>
        </w:rPr>
      </w:pPr>
    </w:p>
    <w:p>
      <w:pPr>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Freeman, Mark. 2004. Data are everywhere: Narrative criticism in the literature of experience. In Narrative analysis: Studying the development of individ</w:t>
      </w:r>
      <w:bookmarkStart w:id="3" w:name="OLE_LINK1"/>
      <w:r>
        <w:rPr>
          <w:rFonts w:hint="default" w:ascii="Times New Roman" w:hAnsi="Times New Roman" w:eastAsia="宋体" w:cs="Times New Roman"/>
          <w:i w:val="0"/>
          <w:iCs w:val="0"/>
          <w:caps w:val="0"/>
          <w:color w:val="auto"/>
          <w:spacing w:val="0"/>
          <w:sz w:val="24"/>
          <w:szCs w:val="24"/>
          <w:shd w:val="clear" w:fill="FFFFFF"/>
          <w:lang w:val="en-US" w:eastAsia="zh-CN"/>
        </w:rPr>
        <w:t>uals in so ciety,</w:t>
      </w:r>
      <w:bookmarkEnd w:id="3"/>
      <w:r>
        <w:rPr>
          <w:rFonts w:hint="default" w:ascii="Times New Roman" w:hAnsi="Times New Roman" w:eastAsia="宋体" w:cs="Times New Roman"/>
          <w:i w:val="0"/>
          <w:iCs w:val="0"/>
          <w:caps w:val="0"/>
          <w:color w:val="auto"/>
          <w:spacing w:val="0"/>
          <w:sz w:val="24"/>
          <w:szCs w:val="24"/>
          <w:shd w:val="clear" w:fill="FFFFFF"/>
          <w:lang w:val="en-US" w:eastAsia="zh-CN"/>
        </w:rPr>
        <w:t xml:space="preserve"> ed. Colette Daiute and Cynthia Lightfoot, 63-81. Thousand Oaks, CA:Sage.</w:t>
      </w:r>
    </w:p>
    <w:p>
      <w:pPr>
        <w:rPr>
          <w:rFonts w:hint="default" w:ascii="Times New Roman" w:hAnsi="Times New Roman" w:eastAsia="宋体" w:cs="Times New Roman"/>
          <w:i w:val="0"/>
          <w:iCs w:val="0"/>
          <w:caps w:val="0"/>
          <w:color w:val="auto"/>
          <w:spacing w:val="0"/>
          <w:sz w:val="24"/>
          <w:szCs w:val="24"/>
          <w:shd w:val="clear" w:fill="FFFFFF"/>
          <w:lang w:val="en-US" w:eastAsia="zh-CN"/>
        </w:rPr>
      </w:pPr>
    </w:p>
    <w:p>
      <w:pPr>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Glave, Thomas. 2005. Words to our now: Imagination and dissent. Minneapolis: University of Minneapolis Press.</w:t>
      </w:r>
    </w:p>
    <w:p>
      <w:pPr>
        <w:rPr>
          <w:rFonts w:hint="default" w:ascii="Times New Roman" w:hAnsi="Times New Roman" w:eastAsia="宋体" w:cs="Times New Roman"/>
          <w:i w:val="0"/>
          <w:iCs w:val="0"/>
          <w:caps w:val="0"/>
          <w:color w:val="auto"/>
          <w:spacing w:val="0"/>
          <w:sz w:val="24"/>
          <w:szCs w:val="24"/>
          <w:shd w:val="clear" w:fill="FFFFFF"/>
          <w:lang w:val="en-US" w:eastAsia="zh-CN"/>
        </w:rPr>
      </w:pPr>
    </w:p>
    <w:p>
      <w:pPr>
        <w:jc w:val="left"/>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Goodall, Bud H. L. 2006. A need to know: The clandestine history of a CIA family. Walnut Creek, CA: Left Coast Press</w:t>
      </w:r>
    </w:p>
    <w:p>
      <w:pPr>
        <w:jc w:val="left"/>
        <w:rPr>
          <w:rFonts w:hint="default" w:ascii="Times New Roman" w:hAnsi="Times New Roman" w:eastAsia="宋体" w:cs="Times New Roman"/>
          <w:i w:val="0"/>
          <w:iCs w:val="0"/>
          <w:caps w:val="0"/>
          <w:color w:val="auto"/>
          <w:spacing w:val="0"/>
          <w:sz w:val="24"/>
          <w:szCs w:val="24"/>
          <w:shd w:val="clear" w:fill="FFFFFF"/>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 xml:space="preserve">Ignatieff, M. (1993). Scar tissue. London: </w:t>
      </w:r>
      <w:r>
        <w:rPr>
          <w:rFonts w:hint="default" w:ascii="Times New Roman" w:hAnsi="Times New Roman" w:cs="Times New Roman"/>
          <w:i/>
          <w:iCs/>
          <w:color w:val="auto"/>
          <w:sz w:val="24"/>
          <w:szCs w:val="24"/>
          <w:lang w:val="en-US" w:eastAsia="zh-CN"/>
        </w:rPr>
        <w:t>Penguin Books</w:t>
      </w:r>
      <w:r>
        <w:rPr>
          <w:rFonts w:hint="default" w:ascii="Times New Roman" w:hAnsi="Times New Roman" w:cs="Times New Roman"/>
          <w:color w:val="auto"/>
          <w:sz w:val="24"/>
          <w:szCs w:val="24"/>
          <w:lang w:val="en-US" w:eastAsia="zh-CN"/>
        </w:rPr>
        <w:t>.</w:t>
      </w:r>
    </w:p>
    <w:p>
      <w:pPr>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Ito, R. (2021). </w:t>
      </w:r>
      <w:r>
        <w:rPr>
          <w:rFonts w:hint="default" w:ascii="Times New Roman" w:hAnsi="Times New Roman" w:cs="Times New Roman"/>
          <w:i/>
          <w:iCs/>
          <w:color w:val="auto"/>
          <w:sz w:val="24"/>
          <w:szCs w:val="24"/>
        </w:rPr>
        <w:t>Tanden art-making as contemplative practice</w:t>
      </w:r>
      <w:r>
        <w:rPr>
          <w:rFonts w:hint="default" w:ascii="Times New Roman" w:hAnsi="Times New Roman" w:cs="Times New Roman"/>
          <w:color w:val="auto"/>
          <w:sz w:val="24"/>
          <w:szCs w:val="24"/>
        </w:rPr>
        <w:t> (Doctoral dissertation, Lesley University).</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Kasai, T. (1999). A Butoh Dance Method for psychosomatic</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exploration. </w:t>
      </w:r>
      <w:r>
        <w:rPr>
          <w:rFonts w:hint="default" w:ascii="Times New Roman" w:hAnsi="Times New Roman" w:cs="Times New Roman"/>
          <w:i/>
          <w:iCs/>
          <w:color w:val="auto"/>
          <w:sz w:val="24"/>
          <w:szCs w:val="24"/>
        </w:rPr>
        <w:t>Memoirs-Hokkaido Institute of Technology</w:t>
      </w:r>
      <w:r>
        <w:rPr>
          <w:rFonts w:hint="default" w:ascii="Times New Roman" w:hAnsi="Times New Roman" w:cs="Times New Roman"/>
          <w:color w:val="auto"/>
          <w:sz w:val="24"/>
          <w:szCs w:val="24"/>
        </w:rPr>
        <w:t>, 27(1999), 309-316.</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rPr>
        <w:t>Kontos, P. C. (2003). “The painterly hand”: embodied consciousness and Alzheimer's disease.</w:t>
      </w:r>
      <w:r>
        <w:rPr>
          <w:rFonts w:hint="default" w:ascii="Times New Roman" w:hAnsi="Times New Roman" w:cs="Times New Roman"/>
          <w:i/>
          <w:iCs/>
          <w:color w:val="auto"/>
          <w:sz w:val="24"/>
          <w:szCs w:val="24"/>
        </w:rPr>
        <w:t> Journal of Aging Studies</w:t>
      </w:r>
      <w:r>
        <w:rPr>
          <w:rFonts w:hint="default" w:ascii="Times New Roman" w:hAnsi="Times New Roman" w:cs="Times New Roman"/>
          <w:color w:val="auto"/>
          <w:sz w:val="24"/>
          <w:szCs w:val="24"/>
        </w:rPr>
        <w:t>, 17(2), 151-170.</w:t>
      </w:r>
      <w:r>
        <w:rPr>
          <w:rFonts w:hint="default" w:ascii="Times New Roman" w:hAnsi="Times New Roman" w:cs="Times New Roman"/>
          <w:color w:val="auto"/>
          <w:sz w:val="24"/>
          <w:szCs w:val="24"/>
          <w:lang w:val="en-US" w:eastAsia="zh-CN"/>
        </w:rPr>
        <w:t xml:space="preserve"> </w:t>
      </w:r>
    </w:p>
    <w:p>
      <w:pPr>
        <w:rPr>
          <w:rFonts w:hint="default" w:ascii="Times New Roman" w:hAnsi="Times New Roman" w:cs="Times New Roman"/>
          <w:color w:val="auto"/>
          <w:sz w:val="24"/>
          <w:szCs w:val="24"/>
          <w:lang w:val="en-US" w:eastAsia="zh-CN"/>
        </w:rPr>
      </w:pPr>
    </w:p>
    <w:p>
      <w:pPr>
        <w:rPr>
          <w:rFonts w:hint="default" w:ascii="Times New Roman" w:hAnsi="Times New Roman" w:eastAsia="宋体" w:cs="Times New Roman"/>
          <w:i w:val="0"/>
          <w:iCs w:val="0"/>
          <w:caps w:val="0"/>
          <w:color w:val="auto"/>
          <w:spacing w:val="0"/>
          <w:sz w:val="24"/>
          <w:szCs w:val="24"/>
          <w:shd w:val="clear" w:fill="FFFFFF"/>
        </w:rPr>
      </w:pPr>
      <w:r>
        <w:rPr>
          <w:rFonts w:hint="default" w:ascii="Times New Roman" w:hAnsi="Times New Roman" w:eastAsia="宋体" w:cs="Times New Roman"/>
          <w:i w:val="0"/>
          <w:iCs w:val="0"/>
          <w:caps w:val="0"/>
          <w:color w:val="auto"/>
          <w:spacing w:val="0"/>
          <w:sz w:val="24"/>
          <w:szCs w:val="24"/>
          <w:shd w:val="clear" w:fill="FFFFFF"/>
        </w:rPr>
        <w:t>Lao Tzu, L. E. (1997). </w:t>
      </w:r>
      <w:r>
        <w:rPr>
          <w:rFonts w:hint="default" w:ascii="Times New Roman" w:hAnsi="Times New Roman" w:eastAsia="宋体" w:cs="Times New Roman"/>
          <w:i/>
          <w:iCs/>
          <w:caps w:val="0"/>
          <w:color w:val="auto"/>
          <w:spacing w:val="0"/>
          <w:sz w:val="24"/>
          <w:szCs w:val="24"/>
          <w:shd w:val="clear" w:fill="FFFFFF"/>
        </w:rPr>
        <w:t>Tao te ching</w:t>
      </w:r>
      <w:r>
        <w:rPr>
          <w:rFonts w:hint="default" w:ascii="Times New Roman" w:hAnsi="Times New Roman" w:eastAsia="宋体" w:cs="Times New Roman"/>
          <w:i w:val="0"/>
          <w:iCs w:val="0"/>
          <w:caps w:val="0"/>
          <w:color w:val="auto"/>
          <w:spacing w:val="0"/>
          <w:sz w:val="24"/>
          <w:szCs w:val="24"/>
          <w:shd w:val="clear" w:fill="FFFFFF"/>
        </w:rPr>
        <w:t> (pp. vii-xix). Wordsworth.</w:t>
      </w:r>
    </w:p>
    <w:p>
      <w:pPr>
        <w:rPr>
          <w:rFonts w:hint="default" w:ascii="Times New Roman" w:hAnsi="Times New Roman" w:eastAsia="宋体" w:cs="Times New Roman"/>
          <w:i w:val="0"/>
          <w:iCs w:val="0"/>
          <w:caps w:val="0"/>
          <w:color w:val="auto"/>
          <w:spacing w:val="0"/>
          <w:sz w:val="24"/>
          <w:szCs w:val="24"/>
          <w:shd w:val="clear" w:fill="FFFFFF"/>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 xml:space="preserve">Lawrence, R. L. (2012). Intuitive knowing and embodied consciousness. </w:t>
      </w:r>
      <w:r>
        <w:rPr>
          <w:rFonts w:hint="default" w:ascii="Times New Roman" w:hAnsi="Times New Roman" w:cs="Times New Roman"/>
          <w:i/>
          <w:iCs/>
          <w:color w:val="auto"/>
          <w:sz w:val="24"/>
          <w:szCs w:val="24"/>
          <w:lang w:val="en-US" w:eastAsia="zh-CN"/>
        </w:rPr>
        <w:t>New Directions for Adult and Continuing Education</w:t>
      </w:r>
      <w:r>
        <w:rPr>
          <w:rFonts w:hint="default" w:ascii="Times New Roman" w:hAnsi="Times New Roman" w:cs="Times New Roman"/>
          <w:color w:val="auto"/>
          <w:sz w:val="24"/>
          <w:szCs w:val="24"/>
          <w:lang w:val="en-US" w:eastAsia="zh-CN"/>
        </w:rPr>
        <w:t>, 134, 5–13.</w:t>
      </w:r>
    </w:p>
    <w:p>
      <w:pPr>
        <w:rPr>
          <w:rFonts w:hint="default" w:ascii="Times New Roman" w:hAnsi="Times New Roman" w:cs="Times New Roman"/>
          <w:color w:val="auto"/>
          <w:sz w:val="24"/>
          <w:szCs w:val="24"/>
          <w:lang w:val="en-US" w:eastAsia="zh-CN"/>
        </w:rPr>
      </w:pPr>
    </w:p>
    <w:p>
      <w:pPr>
        <w:spacing w:after="0" w:line="240" w:lineRule="auto"/>
        <w:rPr>
          <w:rFonts w:hint="default" w:ascii="Times New Roman" w:hAnsi="Times New Roman" w:eastAsia="宋体" w:cs="Times New Roman"/>
          <w:color w:val="auto"/>
          <w:sz w:val="24"/>
          <w:szCs w:val="24"/>
          <w:lang w:eastAsia="zh-CN"/>
        </w:rPr>
      </w:pPr>
      <w:r>
        <w:rPr>
          <w:rFonts w:hint="default" w:ascii="Times New Roman" w:hAnsi="Times New Roman" w:eastAsia="宋体" w:cs="Times New Roman"/>
          <w:color w:val="auto"/>
          <w:sz w:val="24"/>
          <w:szCs w:val="24"/>
          <w:lang w:eastAsia="zh-CN"/>
        </w:rPr>
        <w:t>McNiff (2016) echoed this East-Asian attitude of ki, and further approached ki from both Eastern and Western perspectives, aligning the East-Asian view of energy force with the idea of a soul in Western cultures.</w:t>
      </w:r>
    </w:p>
    <w:p>
      <w:pPr>
        <w:spacing w:after="0" w:line="240" w:lineRule="auto"/>
        <w:rPr>
          <w:rFonts w:hint="default" w:ascii="Times New Roman" w:hAnsi="Times New Roman" w:eastAsia="宋体" w:cs="Times New Roman"/>
          <w:color w:val="auto"/>
          <w:sz w:val="24"/>
          <w:szCs w:val="24"/>
          <w:lang w:eastAsia="zh-CN"/>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McNiff, S. (1998b). </w:t>
      </w:r>
      <w:bookmarkStart w:id="4" w:name="OLE_LINK36"/>
      <w:r>
        <w:rPr>
          <w:rFonts w:hint="default" w:ascii="Times New Roman" w:hAnsi="Times New Roman" w:cs="Times New Roman"/>
          <w:color w:val="auto"/>
          <w:sz w:val="24"/>
          <w:szCs w:val="24"/>
        </w:rPr>
        <w:t>Trust the process: An artist’s guide to letting go</w:t>
      </w:r>
      <w:bookmarkEnd w:id="4"/>
      <w:r>
        <w:rPr>
          <w:rFonts w:hint="default" w:ascii="Times New Roman" w:hAnsi="Times New Roman" w:cs="Times New Roman"/>
          <w:color w:val="auto"/>
          <w:sz w:val="24"/>
          <w:szCs w:val="24"/>
        </w:rPr>
        <w:t>. Shambhala Publications.</w:t>
      </w:r>
    </w:p>
    <w:p>
      <w:pPr>
        <w:rPr>
          <w:rFonts w:hint="default" w:ascii="Times New Roman" w:hAnsi="Times New Roman" w:cs="Times New Roman"/>
          <w:color w:val="auto"/>
          <w:sz w:val="24"/>
          <w:szCs w:val="24"/>
        </w:rPr>
      </w:pPr>
    </w:p>
    <w:p>
      <w:pPr>
        <w:spacing w:after="0" w:line="240" w:lineRule="auto"/>
        <w:rPr>
          <w:rFonts w:hint="default" w:ascii="Times New Roman" w:hAnsi="Times New Roman" w:eastAsia="宋体" w:cs="Times New Roman"/>
          <w:color w:val="auto"/>
          <w:sz w:val="24"/>
          <w:szCs w:val="24"/>
          <w:lang w:eastAsia="zh-CN"/>
        </w:rPr>
      </w:pPr>
      <w:bookmarkStart w:id="5" w:name="OLE_LINK33"/>
      <w:r>
        <w:rPr>
          <w:rFonts w:hint="default" w:ascii="Times New Roman" w:hAnsi="Times New Roman" w:eastAsia="宋体" w:cs="Times New Roman"/>
          <w:color w:val="auto"/>
          <w:sz w:val="24"/>
          <w:szCs w:val="24"/>
          <w:lang w:eastAsia="zh-CN"/>
        </w:rPr>
        <w:t xml:space="preserve">McNiff, S. (2003). Creating with others: The practice of imagination in life, art, and the workplace. Shambhala Publications. </w:t>
      </w:r>
    </w:p>
    <w:p>
      <w:pPr>
        <w:spacing w:after="0" w:line="240" w:lineRule="auto"/>
        <w:rPr>
          <w:rFonts w:hint="default" w:ascii="Times New Roman" w:hAnsi="Times New Roman" w:eastAsia="宋体" w:cs="Times New Roman"/>
          <w:color w:val="auto"/>
          <w:sz w:val="24"/>
          <w:szCs w:val="24"/>
          <w:lang w:eastAsia="zh-CN"/>
        </w:rPr>
      </w:pPr>
    </w:p>
    <w:bookmarkEnd w:id="5"/>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 xml:space="preserve">Merleau-Ponty, M. (1962). </w:t>
      </w:r>
      <w:r>
        <w:rPr>
          <w:rFonts w:hint="default" w:ascii="Times New Roman" w:hAnsi="Times New Roman" w:cs="Times New Roman"/>
          <w:i/>
          <w:iCs/>
          <w:color w:val="auto"/>
          <w:sz w:val="24"/>
          <w:szCs w:val="24"/>
          <w:lang w:val="en-US" w:eastAsia="zh-CN"/>
        </w:rPr>
        <w:t>Phenomenology of perception. London: Routledge and Kegan Paul</w:t>
      </w:r>
      <w:r>
        <w:rPr>
          <w:rFonts w:hint="default" w:ascii="Times New Roman" w:hAnsi="Times New Roman" w:cs="Times New Roman"/>
          <w:color w:val="auto"/>
          <w:sz w:val="24"/>
          <w:szCs w:val="24"/>
          <w:lang w:val="en-US" w:eastAsia="zh-CN"/>
        </w:rPr>
        <w:t>. Translated byC. Smith.</w:t>
      </w:r>
    </w:p>
    <w:p>
      <w:pPr>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Nenova, G., Minkova, S., &amp; Kurteva, I. (2022). Qigong: essence, theory, and practice. Journal of Varna Medical College, 5(1).</w:t>
      </w:r>
    </w:p>
    <w:p>
      <w:pPr>
        <w:rPr>
          <w:rFonts w:hint="default" w:ascii="Times New Roman" w:hAnsi="Times New Roman" w:cs="Times New Roman"/>
          <w:color w:val="auto"/>
          <w:sz w:val="24"/>
          <w:szCs w:val="24"/>
        </w:rPr>
      </w:pPr>
    </w:p>
    <w:p>
      <w:pPr>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Onishi, S.T. &amp; Onishi, T. (2009). Philosophy, psychology, physics and practice of ki.eCAM,6, (2). 175-183.</w:t>
      </w:r>
    </w:p>
    <w:p>
      <w:pPr>
        <w:rPr>
          <w:rFonts w:hint="default" w:ascii="Times New Roman" w:hAnsi="Times New Roman" w:eastAsia="宋体"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Pallasmaa, J. (2009). The Thinking Hand: Existential and Embodied Wisdom in Architecture.</w:t>
      </w:r>
      <w:r>
        <w:rPr>
          <w:rFonts w:hint="default" w:ascii="Times New Roman" w:hAnsi="Times New Roman" w:cs="Times New Roman"/>
          <w:i/>
          <w:iCs/>
          <w:color w:val="auto"/>
          <w:sz w:val="24"/>
          <w:szCs w:val="24"/>
          <w:lang w:val="en-US" w:eastAsia="zh-CN"/>
        </w:rPr>
        <w:t xml:space="preserve"> Chichester.</w:t>
      </w:r>
      <w:r>
        <w:rPr>
          <w:rFonts w:hint="default" w:ascii="Times New Roman" w:hAnsi="Times New Roman" w:cs="Times New Roman"/>
          <w:color w:val="auto"/>
          <w:sz w:val="24"/>
          <w:szCs w:val="24"/>
          <w:lang w:val="en-US" w:eastAsia="zh-CN"/>
        </w:rPr>
        <w:t xml:space="preserve"> UK: Wiley and Sons. </w:t>
      </w:r>
    </w:p>
    <w:p>
      <w:pPr>
        <w:rPr>
          <w:rFonts w:hint="default" w:ascii="Times New Roman" w:hAnsi="Times New Roman" w:cs="Times New Roman"/>
          <w:color w:val="auto"/>
          <w:sz w:val="24"/>
          <w:szCs w:val="24"/>
          <w:lang w:val="en-US" w:eastAsia="zh-CN"/>
        </w:rPr>
      </w:pPr>
    </w:p>
    <w:p>
      <w:pPr>
        <w:jc w:val="left"/>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Poulos, Christopher N. 2008. Accidental ethnography: An inquiry into family secrecy. Walnut Creek, CA: Left Coast Pr</w:t>
      </w:r>
    </w:p>
    <w:p>
      <w:pPr>
        <w:jc w:val="left"/>
        <w:rPr>
          <w:rFonts w:hint="default" w:ascii="Times New Roman" w:hAnsi="Times New Roman" w:eastAsia="宋体" w:cs="Times New Roman"/>
          <w:i w:val="0"/>
          <w:iCs w:val="0"/>
          <w:caps w:val="0"/>
          <w:color w:val="auto"/>
          <w:spacing w:val="0"/>
          <w:sz w:val="24"/>
          <w:szCs w:val="24"/>
          <w:shd w:val="clear" w:fill="FFFFFF"/>
          <w:lang w:val="en-US" w:eastAsia="zh-CN"/>
        </w:rPr>
      </w:pPr>
    </w:p>
    <w:p>
      <w:pPr>
        <w:keepNext w:val="0"/>
        <w:keepLines w:val="0"/>
        <w:widowControl/>
        <w:suppressLineNumbers w:val="0"/>
        <w:jc w:val="left"/>
        <w:rPr>
          <w:rFonts w:hint="default" w:ascii="Times New Roman" w:hAnsi="Times New Roman" w:eastAsia="宋体" w:cs="Times New Roman"/>
          <w:i w:val="0"/>
          <w:iCs w:val="0"/>
          <w:caps w:val="0"/>
          <w:color w:val="auto"/>
          <w:spacing w:val="0"/>
          <w:sz w:val="24"/>
          <w:szCs w:val="24"/>
          <w:shd w:val="clear" w:fill="FFFFFF"/>
        </w:rPr>
      </w:pPr>
      <w:r>
        <w:rPr>
          <w:rFonts w:hint="default" w:ascii="Times New Roman" w:hAnsi="Times New Roman" w:eastAsia="宋体" w:cs="Times New Roman"/>
          <w:i w:val="0"/>
          <w:iCs w:val="0"/>
          <w:caps w:val="0"/>
          <w:color w:val="auto"/>
          <w:spacing w:val="0"/>
          <w:sz w:val="24"/>
          <w:szCs w:val="24"/>
          <w:shd w:val="clear" w:fill="FFFFFF"/>
        </w:rPr>
        <w:t>Richter, G. (2004). Extracts from writings and interviews. </w:t>
      </w:r>
      <w:r>
        <w:rPr>
          <w:rFonts w:hint="default" w:ascii="Times New Roman" w:hAnsi="Times New Roman" w:eastAsia="宋体" w:cs="Times New Roman"/>
          <w:i/>
          <w:iCs/>
          <w:caps w:val="0"/>
          <w:color w:val="auto"/>
          <w:spacing w:val="0"/>
          <w:sz w:val="24"/>
          <w:szCs w:val="24"/>
          <w:shd w:val="clear" w:fill="FFFFFF"/>
        </w:rPr>
        <w:t>Gerhardt Richter: Atlas the Reader (London, Whitechapel Art Gallery, 2004)</w:t>
      </w:r>
      <w:r>
        <w:rPr>
          <w:rFonts w:hint="default" w:ascii="Times New Roman" w:hAnsi="Times New Roman" w:eastAsia="宋体" w:cs="Times New Roman"/>
          <w:i w:val="0"/>
          <w:iCs w:val="0"/>
          <w:caps w:val="0"/>
          <w:color w:val="auto"/>
          <w:spacing w:val="0"/>
          <w:sz w:val="24"/>
          <w:szCs w:val="24"/>
          <w:shd w:val="clear" w:fill="FFFFFF"/>
        </w:rPr>
        <w:t>, 17-36.</w:t>
      </w:r>
    </w:p>
    <w:p>
      <w:pPr>
        <w:keepNext w:val="0"/>
        <w:keepLines w:val="0"/>
        <w:widowControl/>
        <w:suppressLineNumbers w:val="0"/>
        <w:jc w:val="left"/>
        <w:rPr>
          <w:rFonts w:hint="default" w:ascii="Times New Roman" w:hAnsi="Times New Roman" w:eastAsia="宋体" w:cs="Times New Roman"/>
          <w:i w:val="0"/>
          <w:iCs w:val="0"/>
          <w:caps w:val="0"/>
          <w:color w:val="auto"/>
          <w:spacing w:val="0"/>
          <w:sz w:val="24"/>
          <w:szCs w:val="24"/>
          <w:shd w:val="clear" w:fill="FFFFFF"/>
        </w:rPr>
      </w:pPr>
    </w:p>
    <w:p>
      <w:pPr>
        <w:jc w:val="left"/>
        <w:rPr>
          <w:rFonts w:hint="default" w:ascii="Times New Roman" w:hAnsi="Times New Roman" w:eastAsia="宋体" w:cs="Times New Roman"/>
          <w:i w:val="0"/>
          <w:iCs w:val="0"/>
          <w:caps w:val="0"/>
          <w:color w:val="auto"/>
          <w:spacing w:val="0"/>
          <w:sz w:val="24"/>
          <w:szCs w:val="24"/>
          <w:shd w:val="clear" w:fill="FFFFFF"/>
        </w:rPr>
      </w:pPr>
    </w:p>
    <w:p>
      <w:pPr>
        <w:rPr>
          <w:rFonts w:hint="default" w:ascii="Times New Roman" w:hAnsi="Times New Roman" w:cs="Times New Roman"/>
          <w:i/>
          <w:iCs/>
          <w:color w:val="auto"/>
          <w:sz w:val="24"/>
          <w:szCs w:val="24"/>
          <w:lang w:val="en-US" w:eastAsia="zh-CN"/>
        </w:rPr>
      </w:pPr>
      <w:r>
        <w:rPr>
          <w:rFonts w:hint="default" w:ascii="Times New Roman" w:hAnsi="Times New Roman" w:cs="Times New Roman"/>
          <w:color w:val="auto"/>
          <w:sz w:val="24"/>
          <w:szCs w:val="24"/>
        </w:rPr>
        <w:t>Robinson, W. (2022). At the Painting’s Edge: A Practice-Based Investigation into Liminality, Inside-outness and the Painting as a Quasi Person.</w:t>
      </w:r>
      <w:r>
        <w:rPr>
          <w:rFonts w:hint="default" w:ascii="Times New Roman" w:hAnsi="Times New Roman" w:cs="Times New Roman"/>
          <w:i/>
          <w:iCs/>
          <w:color w:val="auto"/>
          <w:sz w:val="24"/>
          <w:szCs w:val="24"/>
        </w:rPr>
        <w:t>University of Chester</w:t>
      </w:r>
      <w:r>
        <w:rPr>
          <w:rFonts w:hint="default" w:ascii="Times New Roman" w:hAnsi="Times New Roman" w:cs="Times New Roman"/>
          <w:i/>
          <w:iCs/>
          <w:color w:val="auto"/>
          <w:sz w:val="24"/>
          <w:szCs w:val="24"/>
          <w:lang w:val="en-US" w:eastAsia="zh-CN"/>
        </w:rPr>
        <w:t>.https://chesterrep.openrepository.com/handle/10034/627063</w:t>
      </w:r>
    </w:p>
    <w:p>
      <w:pPr>
        <w:rPr>
          <w:rFonts w:hint="default" w:ascii="Times New Roman" w:hAnsi="Times New Roman" w:cs="Times New Roman"/>
          <w:i/>
          <w:iCs/>
          <w:color w:val="auto"/>
          <w:sz w:val="24"/>
          <w:szCs w:val="24"/>
          <w:lang w:val="en-US" w:eastAsia="zh-CN"/>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Sakade, Y. (1993). “</w:t>
      </w:r>
      <w:r>
        <w:rPr>
          <w:rFonts w:hint="default" w:ascii="Times New Roman" w:hAnsi="Times New Roman" w:cs="Times New Roman"/>
          <w:color w:val="auto"/>
          <w:sz w:val="24"/>
          <w:szCs w:val="24"/>
          <w:lang w:eastAsia="zh-CN"/>
        </w:rPr>
        <w:t>qi</w:t>
      </w:r>
      <w:r>
        <w:rPr>
          <w:rFonts w:hint="default" w:ascii="Times New Roman" w:hAnsi="Times New Roman" w:cs="Times New Roman"/>
          <w:color w:val="auto"/>
          <w:sz w:val="24"/>
          <w:szCs w:val="24"/>
        </w:rPr>
        <w:t>” to yojo: Dokyo no yojo-jutsu to jujutsu [</w:t>
      </w:r>
      <w:r>
        <w:rPr>
          <w:rFonts w:hint="default" w:ascii="Times New Roman" w:hAnsi="Times New Roman" w:cs="Times New Roman"/>
          <w:color w:val="auto"/>
          <w:sz w:val="24"/>
          <w:szCs w:val="24"/>
          <w:lang w:eastAsia="zh-CN"/>
        </w:rPr>
        <w:t>qi</w:t>
      </w:r>
      <w:r>
        <w:rPr>
          <w:rFonts w:hint="default" w:ascii="Times New Roman" w:hAnsi="Times New Roman" w:cs="Times New Roman"/>
          <w:color w:val="auto"/>
          <w:sz w:val="24"/>
          <w:szCs w:val="24"/>
        </w:rPr>
        <w:t xml:space="preserve"> and yangsheng in</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 xml:space="preserve">Daoism. Jinbun shoin. </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Sakuta, A. (2017). Embodied consciousness during meditation in movement: Neurocognitive theories. MOCO: </w:t>
      </w:r>
      <w:r>
        <w:rPr>
          <w:rFonts w:hint="default" w:ascii="Times New Roman" w:hAnsi="Times New Roman" w:cs="Times New Roman"/>
          <w:i/>
          <w:iCs/>
          <w:color w:val="auto"/>
          <w:sz w:val="24"/>
          <w:szCs w:val="24"/>
        </w:rPr>
        <w:t xml:space="preserve">Movement and Computing, University of Surrey, </w:t>
      </w:r>
      <w:r>
        <w:rPr>
          <w:rFonts w:hint="default" w:ascii="Times New Roman" w:hAnsi="Times New Roman" w:cs="Times New Roman"/>
          <w:color w:val="auto"/>
          <w:sz w:val="24"/>
          <w:szCs w:val="24"/>
        </w:rPr>
        <w:t>London, UK, 28-30.</w:t>
      </w:r>
    </w:p>
    <w:p>
      <w:pPr>
        <w:rPr>
          <w:rFonts w:hint="default" w:ascii="Times New Roman" w:hAnsi="Times New Roman" w:cs="Times New Roman"/>
          <w:color w:val="auto"/>
          <w:sz w:val="24"/>
          <w:szCs w:val="24"/>
        </w:rPr>
      </w:pPr>
    </w:p>
    <w:p>
      <w:pPr>
        <w:widowControl w:val="0"/>
        <w:numPr>
          <w:ilvl w:val="0"/>
          <w:numId w:val="0"/>
        </w:numPr>
        <w:jc w:val="left"/>
        <w:rPr>
          <w:rFonts w:hint="default" w:ascii="Times New Roman" w:hAnsi="Times New Roman" w:eastAsia="宋体" w:cs="Times New Roman"/>
          <w:b w:val="0"/>
          <w:bCs w:val="0"/>
          <w:i w:val="0"/>
          <w:iCs w:val="0"/>
          <w:caps w:val="0"/>
          <w:color w:val="auto"/>
          <w:spacing w:val="0"/>
          <w:sz w:val="24"/>
          <w:szCs w:val="24"/>
          <w:shd w:val="clear" w:fill="FFFFFF"/>
        </w:rPr>
      </w:pPr>
      <w:r>
        <w:rPr>
          <w:rFonts w:hint="default" w:ascii="Times New Roman" w:hAnsi="Times New Roman" w:eastAsia="宋体" w:cs="Times New Roman"/>
          <w:b w:val="0"/>
          <w:bCs w:val="0"/>
          <w:i w:val="0"/>
          <w:iCs w:val="0"/>
          <w:caps w:val="0"/>
          <w:color w:val="auto"/>
          <w:spacing w:val="0"/>
          <w:sz w:val="24"/>
          <w:szCs w:val="24"/>
          <w:shd w:val="clear" w:fill="FFFFFF"/>
        </w:rPr>
        <w:t>Seamon, D. (2014). Merleau-ponty, perception, and environmental embodiment: implications for architectural and environmental studies. </w:t>
      </w:r>
      <w:r>
        <w:rPr>
          <w:rFonts w:hint="default" w:ascii="Times New Roman" w:hAnsi="Times New Roman" w:eastAsia="宋体" w:cs="Times New Roman"/>
          <w:b w:val="0"/>
          <w:bCs w:val="0"/>
          <w:i/>
          <w:iCs/>
          <w:caps w:val="0"/>
          <w:color w:val="auto"/>
          <w:spacing w:val="0"/>
          <w:sz w:val="24"/>
          <w:szCs w:val="24"/>
          <w:shd w:val="clear" w:fill="FFFFFF"/>
        </w:rPr>
        <w:t>Carnal Echoes: Merleau-Ponty and the flesh of architecture</w:t>
      </w:r>
      <w:r>
        <w:rPr>
          <w:rFonts w:hint="default" w:ascii="Times New Roman" w:hAnsi="Times New Roman" w:eastAsia="宋体" w:cs="Times New Roman"/>
          <w:b w:val="0"/>
          <w:bCs w:val="0"/>
          <w:i w:val="0"/>
          <w:iCs w:val="0"/>
          <w:caps w:val="0"/>
          <w:color w:val="auto"/>
          <w:spacing w:val="0"/>
          <w:sz w:val="24"/>
          <w:szCs w:val="24"/>
          <w:shd w:val="clear" w:fill="FFFFFF"/>
        </w:rPr>
        <w:t>.</w:t>
      </w:r>
    </w:p>
    <w:p>
      <w:pPr>
        <w:widowControl w:val="0"/>
        <w:numPr>
          <w:ilvl w:val="0"/>
          <w:numId w:val="0"/>
        </w:numPr>
        <w:jc w:val="left"/>
        <w:rPr>
          <w:rFonts w:hint="default" w:ascii="Times New Roman" w:hAnsi="Times New Roman" w:eastAsia="宋体" w:cs="Times New Roman"/>
          <w:b w:val="0"/>
          <w:bCs w:val="0"/>
          <w:i w:val="0"/>
          <w:iCs w:val="0"/>
          <w:caps w:val="0"/>
          <w:color w:val="auto"/>
          <w:spacing w:val="0"/>
          <w:sz w:val="24"/>
          <w:szCs w:val="24"/>
          <w:shd w:val="clear" w:fill="FFFFFF"/>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 xml:space="preserve">Simonetti, N. (2014). Neurosciences and philosophy of mind: A reductive interpretation of the “Mirror Neurons System” (MNS). </w:t>
      </w:r>
      <w:r>
        <w:rPr>
          <w:rFonts w:hint="default" w:ascii="Times New Roman" w:hAnsi="Times New Roman" w:cs="Times New Roman"/>
          <w:i/>
          <w:iCs/>
          <w:color w:val="auto"/>
          <w:sz w:val="24"/>
          <w:szCs w:val="24"/>
          <w:lang w:val="en-US" w:eastAsia="zh-CN"/>
        </w:rPr>
        <w:t>Research in Psychology and Behavioral Sciences</w:t>
      </w:r>
      <w:r>
        <w:rPr>
          <w:rFonts w:hint="default" w:ascii="Times New Roman" w:hAnsi="Times New Roman" w:cs="Times New Roman"/>
          <w:color w:val="auto"/>
          <w:sz w:val="24"/>
          <w:szCs w:val="24"/>
          <w:lang w:val="en-US" w:eastAsia="zh-CN"/>
        </w:rPr>
        <w:t xml:space="preserve">, 2(2), 24–42. </w:t>
      </w:r>
    </w:p>
    <w:p>
      <w:pPr>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Sweeney, R. (2009). </w:t>
      </w:r>
      <w:r>
        <w:rPr>
          <w:rFonts w:hint="default" w:ascii="Times New Roman" w:hAnsi="Times New Roman" w:cs="Times New Roman"/>
          <w:i/>
          <w:iCs/>
          <w:color w:val="auto"/>
          <w:sz w:val="24"/>
          <w:szCs w:val="24"/>
        </w:rPr>
        <w:t>Transferring principles: the role of physical consciousness in Butoh and its application within contemporary performance praxis </w:t>
      </w:r>
      <w:r>
        <w:rPr>
          <w:rFonts w:hint="default" w:ascii="Times New Roman" w:hAnsi="Times New Roman" w:cs="Times New Roman"/>
          <w:color w:val="auto"/>
          <w:sz w:val="24"/>
          <w:szCs w:val="24"/>
        </w:rPr>
        <w:t>(Doctoral dissertation, Middlesex University).</w:t>
      </w:r>
    </w:p>
    <w:p>
      <w:pPr>
        <w:rPr>
          <w:rFonts w:hint="default" w:ascii="Times New Roman" w:hAnsi="Times New Roman" w:cs="Times New Roman"/>
          <w:color w:val="auto"/>
          <w:sz w:val="24"/>
          <w:szCs w:val="24"/>
        </w:rPr>
      </w:pPr>
    </w:p>
    <w:p>
      <w:pPr>
        <w:jc w:val="left"/>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Tillmann, Lisa M. 2009. Body and bulimia revisited: Reflections on "A Secret Life." Journal of Applied Communication Research 37 (1): 98-112.</w:t>
      </w:r>
    </w:p>
    <w:p>
      <w:pPr>
        <w:jc w:val="left"/>
        <w:rPr>
          <w:rFonts w:hint="default" w:ascii="Times New Roman" w:hAnsi="Times New Roman" w:eastAsia="宋体" w:cs="Times New Roman"/>
          <w:i w:val="0"/>
          <w:iCs w:val="0"/>
          <w:caps w:val="0"/>
          <w:color w:val="auto"/>
          <w:spacing w:val="0"/>
          <w:sz w:val="24"/>
          <w:szCs w:val="24"/>
          <w:shd w:val="clear" w:fill="FFFFFF"/>
          <w:lang w:val="en-US" w:eastAsia="zh-CN"/>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Zhang, J. X., Tang, D., Cha</w:t>
      </w:r>
      <w:r>
        <w:rPr>
          <w:rFonts w:hint="default" w:ascii="Times New Roman" w:hAnsi="Times New Roman" w:cs="Times New Roman"/>
          <w:color w:val="auto"/>
          <w:sz w:val="24"/>
          <w:szCs w:val="24"/>
          <w:lang w:eastAsia="zh-CN"/>
        </w:rPr>
        <w:t>，</w:t>
      </w:r>
      <w:r>
        <w:rPr>
          <w:rFonts w:hint="default" w:ascii="Times New Roman" w:hAnsi="Times New Roman" w:cs="Times New Roman"/>
          <w:color w:val="auto"/>
          <w:sz w:val="24"/>
          <w:szCs w:val="24"/>
          <w:lang w:val="en-US" w:eastAsia="zh-CN"/>
        </w:rPr>
        <w:t>D.</w:t>
      </w:r>
      <w:r>
        <w:rPr>
          <w:rFonts w:hint="default" w:ascii="Times New Roman" w:hAnsi="Times New Roman" w:cs="Times New Roman"/>
          <w:color w:val="auto"/>
          <w:sz w:val="24"/>
          <w:szCs w:val="24"/>
        </w:rPr>
        <w:t>H., Huang, J. P., &amp; Liu, D. Z. (2016). The embodied mechanisms of implicit sequence learning consciousness. Advances in Psychological Science, 24(2), 203.</w:t>
      </w:r>
    </w:p>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FC63845"/>
    <w:multiLevelType w:val="singleLevel"/>
    <w:tmpl w:val="5FC63845"/>
    <w:lvl w:ilvl="0" w:tentative="0">
      <w:start w:val="25"/>
      <w:numFmt w:val="decimal"/>
      <w:suff w:val="nothing"/>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5"/>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jhkY2FmYjJkZGU0NzkzNzdhZjIxMjBjOWFmZmY3ZGEifQ=="/>
  </w:docVars>
  <w:rsids>
    <w:rsidRoot w:val="00000000"/>
    <w:rsid w:val="0F0F5662"/>
    <w:rsid w:val="1AFA60ED"/>
    <w:rsid w:val="21D02A2F"/>
    <w:rsid w:val="28EF7C3E"/>
    <w:rsid w:val="42F56341"/>
    <w:rsid w:val="633F11E7"/>
    <w:rsid w:val="7F963AE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 w:type="character" w:styleId="4">
    <w:name w:val="Hyperlink"/>
    <w:basedOn w:val="3"/>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15</Pages>
  <Words>6097</Words>
  <Characters>36223</Characters>
  <Lines>0</Lines>
  <Paragraphs>0</Paragraphs>
  <TotalTime>10</TotalTime>
  <ScaleCrop>false</ScaleCrop>
  <LinksUpToDate>false</LinksUpToDate>
  <CharactersWithSpaces>42231</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2023-05-23T21:05:00Z</dcterms:created>
  <dc:creator>lenovo</dc:creator>
  <cp:lastModifiedBy>Y杨新宇</cp:lastModifiedBy>
  <dcterms:modified xsi:type="dcterms:W3CDTF">2023-05-24T16:15:08Z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C0DDCC6DD4F7472D9AFB841A98EE0F51_12</vt:lpwstr>
  </property>
</Properties>
</file>