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094BC6" w14:textId="6A88329B" w:rsidR="005A2823" w:rsidRDefault="00F43918">
      <w:pPr>
        <w:rPr>
          <w:rFonts w:ascii="Calibri" w:hAnsi="Calibri" w:cs="Calibri"/>
          <w:sz w:val="32"/>
          <w:szCs w:val="32"/>
        </w:rPr>
      </w:pPr>
      <w:r>
        <w:rPr>
          <w:rFonts w:ascii="Calibri" w:hAnsi="Calibri" w:cs="Calibri"/>
          <w:sz w:val="32"/>
          <w:szCs w:val="32"/>
        </w:rPr>
        <w:t>Dishonesty is central to theft offenses in the UK. According to the Theft Act 1968, a person is considered dishonest if they appropriate property belonging to another with the intention of permanently depriving the other of it, and they know that their actions are dishonest by the standards of ordinary reasonable people. In essence, dishonesty is a crucial element that must be proven for a theft conviction.</w:t>
      </w:r>
      <w:r w:rsidR="00921813">
        <w:rPr>
          <w:rFonts w:ascii="Calibri" w:hAnsi="Calibri" w:cs="Calibri"/>
          <w:sz w:val="32"/>
          <w:szCs w:val="32"/>
        </w:rPr>
        <w:t xml:space="preserve"> Dishonesty in the context of theft in the UK involves not just the act of taking someone </w:t>
      </w:r>
      <w:r w:rsidR="00740C0B">
        <w:rPr>
          <w:rFonts w:ascii="Calibri" w:hAnsi="Calibri" w:cs="Calibri"/>
          <w:sz w:val="32"/>
          <w:szCs w:val="32"/>
        </w:rPr>
        <w:t>else's</w:t>
      </w:r>
      <w:r w:rsidR="00921813">
        <w:rPr>
          <w:rFonts w:ascii="Calibri" w:hAnsi="Calibri" w:cs="Calibri"/>
          <w:sz w:val="32"/>
          <w:szCs w:val="32"/>
        </w:rPr>
        <w:t xml:space="preserve"> property but also the intention behind it. </w:t>
      </w:r>
      <w:r w:rsidR="008F019A">
        <w:rPr>
          <w:rFonts w:ascii="Calibri" w:hAnsi="Calibri" w:cs="Calibri"/>
          <w:sz w:val="32"/>
          <w:szCs w:val="32"/>
        </w:rPr>
        <w:t xml:space="preserve">This means they must have acted in a way that they knew would be considered dishonest. Therefore, dishonesty is both a subjective and an objective test, where the </w:t>
      </w:r>
      <w:r w:rsidR="00740C0B">
        <w:rPr>
          <w:rFonts w:ascii="Calibri" w:hAnsi="Calibri" w:cs="Calibri"/>
          <w:sz w:val="32"/>
          <w:szCs w:val="32"/>
        </w:rPr>
        <w:t>individual's</w:t>
      </w:r>
      <w:r w:rsidR="008F019A">
        <w:rPr>
          <w:rFonts w:ascii="Calibri" w:hAnsi="Calibri" w:cs="Calibri"/>
          <w:sz w:val="32"/>
          <w:szCs w:val="32"/>
        </w:rPr>
        <w:t xml:space="preserve"> own understanding of their actions is considered alongside societal </w:t>
      </w:r>
      <w:r w:rsidR="00740C0B">
        <w:rPr>
          <w:rFonts w:ascii="Calibri" w:hAnsi="Calibri" w:cs="Calibri"/>
          <w:sz w:val="32"/>
          <w:szCs w:val="32"/>
        </w:rPr>
        <w:t>norms</w:t>
      </w:r>
      <w:r w:rsidR="008F019A">
        <w:rPr>
          <w:rFonts w:ascii="Calibri" w:hAnsi="Calibri" w:cs="Calibri"/>
          <w:sz w:val="32"/>
          <w:szCs w:val="32"/>
        </w:rPr>
        <w:t xml:space="preserve"> of honesty.</w:t>
      </w:r>
    </w:p>
    <w:p w14:paraId="1B9D9BE6" w14:textId="78240999" w:rsidR="00740C0B" w:rsidRDefault="00740C0B">
      <w:pPr>
        <w:rPr>
          <w:rFonts w:ascii="Calibri" w:hAnsi="Calibri" w:cs="Calibri"/>
          <w:sz w:val="32"/>
          <w:szCs w:val="32"/>
        </w:rPr>
      </w:pPr>
      <w:r>
        <w:rPr>
          <w:rFonts w:ascii="Calibri" w:hAnsi="Calibri" w:cs="Calibri"/>
          <w:sz w:val="32"/>
          <w:szCs w:val="32"/>
        </w:rPr>
        <w:t xml:space="preserve">In addition to the statutory definition provided by the Theft Act 1968, the concept of dishonesty has also been shaped by common law and significant legal cases, such as R V Ghosh (1982) and Ivey V Genting </w:t>
      </w:r>
      <w:r w:rsidR="005D6C77">
        <w:rPr>
          <w:rFonts w:ascii="Calibri" w:hAnsi="Calibri" w:cs="Calibri"/>
          <w:sz w:val="32"/>
          <w:szCs w:val="32"/>
        </w:rPr>
        <w:t>Casinos</w:t>
      </w:r>
      <w:r>
        <w:rPr>
          <w:rFonts w:ascii="Calibri" w:hAnsi="Calibri" w:cs="Calibri"/>
          <w:sz w:val="32"/>
          <w:szCs w:val="32"/>
        </w:rPr>
        <w:t xml:space="preserve"> UK</w:t>
      </w:r>
      <w:r w:rsidR="005D6C77">
        <w:rPr>
          <w:rFonts w:ascii="Calibri" w:hAnsi="Calibri" w:cs="Calibri"/>
          <w:sz w:val="32"/>
          <w:szCs w:val="32"/>
        </w:rPr>
        <w:t xml:space="preserve"> Ltd</w:t>
      </w:r>
      <w:r>
        <w:rPr>
          <w:rFonts w:ascii="Calibri" w:hAnsi="Calibri" w:cs="Calibri"/>
          <w:sz w:val="32"/>
          <w:szCs w:val="32"/>
        </w:rPr>
        <w:t xml:space="preserve"> (2017).</w:t>
      </w:r>
    </w:p>
    <w:p w14:paraId="706A90CE" w14:textId="2B5BEBC6" w:rsidR="005D6C77" w:rsidRDefault="005D6C77">
      <w:pPr>
        <w:rPr>
          <w:rFonts w:ascii="Calibri" w:hAnsi="Calibri" w:cs="Calibri"/>
          <w:sz w:val="32"/>
          <w:szCs w:val="32"/>
        </w:rPr>
      </w:pPr>
      <w:r>
        <w:rPr>
          <w:rFonts w:ascii="Calibri" w:hAnsi="Calibri" w:cs="Calibri"/>
          <w:sz w:val="32"/>
          <w:szCs w:val="32"/>
        </w:rPr>
        <w:t xml:space="preserve">In the Ghosh case, the court established a two-part test for dishonesty. First, the jury must determine whether the </w:t>
      </w:r>
      <w:r w:rsidR="002949CB">
        <w:rPr>
          <w:rFonts w:ascii="Calibri" w:hAnsi="Calibri" w:cs="Calibri"/>
          <w:sz w:val="32"/>
          <w:szCs w:val="32"/>
        </w:rPr>
        <w:t>defendant's</w:t>
      </w:r>
      <w:r>
        <w:rPr>
          <w:rFonts w:ascii="Calibri" w:hAnsi="Calibri" w:cs="Calibri"/>
          <w:sz w:val="32"/>
          <w:szCs w:val="32"/>
        </w:rPr>
        <w:t xml:space="preserve"> action</w:t>
      </w:r>
      <w:r w:rsidR="000B15B0">
        <w:rPr>
          <w:rFonts w:ascii="Calibri" w:hAnsi="Calibri" w:cs="Calibri"/>
          <w:sz w:val="32"/>
          <w:szCs w:val="32"/>
        </w:rPr>
        <w:t>s would be considered dishonest by the standards of reasonable and honest people. If so, the second part of the test is to determine whether the defendant was aware that the actions would be considered dishonest by those standards. The subjective element introduced by Ghosh made it possible for defendants to argue that they did not realize their actions were dishonest, even if a reasonable person would deem them as such.</w:t>
      </w:r>
    </w:p>
    <w:p w14:paraId="5A862E29" w14:textId="63A6729F" w:rsidR="000B15B0" w:rsidRDefault="000B15B0">
      <w:pPr>
        <w:rPr>
          <w:rFonts w:ascii="Calibri" w:hAnsi="Calibri" w:cs="Calibri"/>
          <w:sz w:val="32"/>
          <w:szCs w:val="32"/>
        </w:rPr>
      </w:pPr>
      <w:r>
        <w:rPr>
          <w:rFonts w:ascii="Calibri" w:hAnsi="Calibri" w:cs="Calibri"/>
          <w:sz w:val="32"/>
          <w:szCs w:val="32"/>
        </w:rPr>
        <w:t xml:space="preserve">However, the case of Ivey V Genting Casinos UK Ltd (2017) fundamentally changed the approach to dishonesty. The </w:t>
      </w:r>
      <w:r w:rsidR="00123EC3">
        <w:rPr>
          <w:rFonts w:ascii="Calibri" w:hAnsi="Calibri" w:cs="Calibri"/>
          <w:sz w:val="32"/>
          <w:szCs w:val="32"/>
        </w:rPr>
        <w:t>Supreme Court</w:t>
      </w:r>
      <w:r>
        <w:rPr>
          <w:rFonts w:ascii="Calibri" w:hAnsi="Calibri" w:cs="Calibri"/>
          <w:sz w:val="32"/>
          <w:szCs w:val="32"/>
        </w:rPr>
        <w:t xml:space="preserve"> held that the second limb of the Ghosh test, focusing on the </w:t>
      </w:r>
      <w:r w:rsidR="00123EC3">
        <w:rPr>
          <w:rFonts w:ascii="Calibri" w:hAnsi="Calibri" w:cs="Calibri"/>
          <w:sz w:val="32"/>
          <w:szCs w:val="32"/>
        </w:rPr>
        <w:t>defendant's</w:t>
      </w:r>
      <w:r>
        <w:rPr>
          <w:rFonts w:ascii="Calibri" w:hAnsi="Calibri" w:cs="Calibri"/>
          <w:sz w:val="32"/>
          <w:szCs w:val="32"/>
        </w:rPr>
        <w:t xml:space="preserve"> subjective understanding of their actions, was incorrect. Instead, the court endorsed an objective test of dishonesty, aligning with the statutory language of the </w:t>
      </w:r>
      <w:r w:rsidR="00123EC3">
        <w:rPr>
          <w:rFonts w:ascii="Calibri" w:hAnsi="Calibri" w:cs="Calibri"/>
          <w:sz w:val="32"/>
          <w:szCs w:val="32"/>
        </w:rPr>
        <w:t>Theft Act</w:t>
      </w:r>
      <w:r>
        <w:rPr>
          <w:rFonts w:ascii="Calibri" w:hAnsi="Calibri" w:cs="Calibri"/>
          <w:sz w:val="32"/>
          <w:szCs w:val="32"/>
        </w:rPr>
        <w:t xml:space="preserve"> 1968. </w:t>
      </w:r>
      <w:r w:rsidR="00123EC3">
        <w:rPr>
          <w:rFonts w:ascii="Calibri" w:hAnsi="Calibri" w:cs="Calibri"/>
          <w:sz w:val="32"/>
          <w:szCs w:val="32"/>
        </w:rPr>
        <w:t>According</w:t>
      </w:r>
      <w:r>
        <w:rPr>
          <w:rFonts w:ascii="Calibri" w:hAnsi="Calibri" w:cs="Calibri"/>
          <w:sz w:val="32"/>
          <w:szCs w:val="32"/>
        </w:rPr>
        <w:t xml:space="preserve"> to </w:t>
      </w:r>
      <w:r w:rsidR="0018740A">
        <w:rPr>
          <w:rFonts w:ascii="Calibri" w:hAnsi="Calibri" w:cs="Calibri"/>
          <w:sz w:val="32"/>
          <w:szCs w:val="32"/>
        </w:rPr>
        <w:t xml:space="preserve">Ivey, </w:t>
      </w:r>
      <w:r w:rsidR="0018740A">
        <w:rPr>
          <w:rFonts w:ascii="Calibri" w:hAnsi="Calibri" w:cs="Calibri"/>
          <w:sz w:val="32"/>
          <w:szCs w:val="32"/>
        </w:rPr>
        <w:lastRenderedPageBreak/>
        <w:t>the</w:t>
      </w:r>
      <w:r w:rsidR="00123EC3">
        <w:rPr>
          <w:rFonts w:ascii="Calibri" w:hAnsi="Calibri" w:cs="Calibri"/>
          <w:sz w:val="32"/>
          <w:szCs w:val="32"/>
        </w:rPr>
        <w:t xml:space="preserve"> test for dishonesty is whether the defendant’s conduct would be regarded as dishonest by the standards of ordinary, reasonable people. This decision clarified that the defendant’s subjective belief about whether their actions were dishonest is irrelevant, what matters is how a reasonable person would perceive those actions. </w:t>
      </w:r>
      <w:r w:rsidR="005F4477">
        <w:rPr>
          <w:rFonts w:ascii="Calibri" w:hAnsi="Calibri" w:cs="Calibri"/>
          <w:sz w:val="32"/>
          <w:szCs w:val="32"/>
        </w:rPr>
        <w:t>Therefore,</w:t>
      </w:r>
      <w:r w:rsidR="00123EC3">
        <w:rPr>
          <w:rFonts w:ascii="Calibri" w:hAnsi="Calibri" w:cs="Calibri"/>
          <w:sz w:val="32"/>
          <w:szCs w:val="32"/>
        </w:rPr>
        <w:t xml:space="preserve"> </w:t>
      </w:r>
      <w:r w:rsidR="00915ACE">
        <w:rPr>
          <w:rFonts w:ascii="Calibri" w:hAnsi="Calibri" w:cs="Calibri"/>
          <w:sz w:val="32"/>
          <w:szCs w:val="32"/>
        </w:rPr>
        <w:t xml:space="preserve">in </w:t>
      </w:r>
      <w:r w:rsidR="00123EC3">
        <w:rPr>
          <w:rFonts w:ascii="Calibri" w:hAnsi="Calibri" w:cs="Calibri"/>
          <w:sz w:val="32"/>
          <w:szCs w:val="32"/>
        </w:rPr>
        <w:t>the context of theft offenses in the UK, the concept of dishonesty is shaped by both statutory law and common law precedent, with the Ivey case emphasizing the importance of an objective standard in determining dishonesty.</w:t>
      </w:r>
    </w:p>
    <w:p w14:paraId="1D5378D9" w14:textId="413EBA7F" w:rsidR="00C262FE" w:rsidRDefault="00C262FE">
      <w:pPr>
        <w:rPr>
          <w:rFonts w:ascii="Calibri" w:hAnsi="Calibri" w:cs="Calibri"/>
          <w:sz w:val="32"/>
          <w:szCs w:val="32"/>
        </w:rPr>
      </w:pPr>
      <w:r>
        <w:rPr>
          <w:rFonts w:ascii="Calibri" w:hAnsi="Calibri" w:cs="Calibri"/>
          <w:sz w:val="32"/>
          <w:szCs w:val="32"/>
        </w:rPr>
        <w:t xml:space="preserve">A recent ruling in Barton and Booth v R (2020) EWCA Crim 575 by a </w:t>
      </w:r>
      <w:r w:rsidR="00915ACE">
        <w:rPr>
          <w:rFonts w:ascii="Calibri" w:hAnsi="Calibri" w:cs="Calibri"/>
          <w:sz w:val="32"/>
          <w:szCs w:val="32"/>
        </w:rPr>
        <w:t>five-judge</w:t>
      </w:r>
      <w:r>
        <w:rPr>
          <w:rFonts w:ascii="Calibri" w:hAnsi="Calibri" w:cs="Calibri"/>
          <w:sz w:val="32"/>
          <w:szCs w:val="32"/>
        </w:rPr>
        <w:t xml:space="preserve"> court of appeal clarified the criteria for determining dishonesty in criminal cases. The law had been unclear due to remarks made by the </w:t>
      </w:r>
      <w:r w:rsidR="008A7D0A">
        <w:rPr>
          <w:rFonts w:ascii="Calibri" w:hAnsi="Calibri" w:cs="Calibri"/>
          <w:sz w:val="32"/>
          <w:szCs w:val="32"/>
        </w:rPr>
        <w:t>Supreme Court</w:t>
      </w:r>
      <w:r>
        <w:rPr>
          <w:rFonts w:ascii="Calibri" w:hAnsi="Calibri" w:cs="Calibri"/>
          <w:sz w:val="32"/>
          <w:szCs w:val="32"/>
        </w:rPr>
        <w:t xml:space="preserve"> in a civil case, Ivey v Genting Casinos (2018) A.C. 391, suggesting that the </w:t>
      </w:r>
      <w:r w:rsidR="00BB22FC">
        <w:rPr>
          <w:rFonts w:ascii="Calibri" w:hAnsi="Calibri" w:cs="Calibri"/>
          <w:sz w:val="32"/>
          <w:szCs w:val="32"/>
        </w:rPr>
        <w:t>long-standing</w:t>
      </w:r>
      <w:r>
        <w:rPr>
          <w:rFonts w:ascii="Calibri" w:hAnsi="Calibri" w:cs="Calibri"/>
          <w:sz w:val="32"/>
          <w:szCs w:val="32"/>
        </w:rPr>
        <w:t xml:space="preserve"> Ghosh test for dishonesty was no longer appropriate.</w:t>
      </w:r>
    </w:p>
    <w:p w14:paraId="05D4C13F" w14:textId="76527E26" w:rsidR="00123EC3" w:rsidRDefault="009D7E7B">
      <w:pPr>
        <w:rPr>
          <w:rFonts w:ascii="Calibri" w:hAnsi="Calibri" w:cs="Calibri"/>
          <w:sz w:val="32"/>
          <w:szCs w:val="32"/>
        </w:rPr>
      </w:pPr>
      <w:r>
        <w:rPr>
          <w:rFonts w:ascii="Calibri" w:hAnsi="Calibri" w:cs="Calibri"/>
          <w:sz w:val="32"/>
          <w:szCs w:val="32"/>
        </w:rPr>
        <w:t xml:space="preserve">David </w:t>
      </w:r>
      <w:r w:rsidR="009A004C">
        <w:rPr>
          <w:rFonts w:ascii="Calibri" w:hAnsi="Calibri" w:cs="Calibri"/>
          <w:sz w:val="32"/>
          <w:szCs w:val="32"/>
        </w:rPr>
        <w:t>Barton</w:t>
      </w:r>
      <w:r>
        <w:rPr>
          <w:rFonts w:ascii="Calibri" w:hAnsi="Calibri" w:cs="Calibri"/>
          <w:sz w:val="32"/>
          <w:szCs w:val="32"/>
        </w:rPr>
        <w:t xml:space="preserve">, who operated a luxury nursing home, was accused of exploiting his relationship with elderly residents for financial gain. He was alleged to have befriended and manipulated them to become the beneficiaries of their wills, take control of their finances, receive cash gifts, overcharge for services, and engage in other dishonest activities. Rosemary </w:t>
      </w:r>
      <w:r w:rsidR="009A004C">
        <w:rPr>
          <w:rFonts w:ascii="Calibri" w:hAnsi="Calibri" w:cs="Calibri"/>
          <w:sz w:val="32"/>
          <w:szCs w:val="32"/>
        </w:rPr>
        <w:t>Booth</w:t>
      </w:r>
      <w:r>
        <w:rPr>
          <w:rFonts w:ascii="Calibri" w:hAnsi="Calibri" w:cs="Calibri"/>
          <w:sz w:val="32"/>
          <w:szCs w:val="32"/>
        </w:rPr>
        <w:t xml:space="preserve">, the general manager of the home, was said to have assisted </w:t>
      </w:r>
      <w:r w:rsidR="009A004C">
        <w:rPr>
          <w:rFonts w:ascii="Calibri" w:hAnsi="Calibri" w:cs="Calibri"/>
          <w:sz w:val="32"/>
          <w:szCs w:val="32"/>
        </w:rPr>
        <w:t>Barton</w:t>
      </w:r>
      <w:r>
        <w:rPr>
          <w:rFonts w:ascii="Calibri" w:hAnsi="Calibri" w:cs="Calibri"/>
          <w:sz w:val="32"/>
          <w:szCs w:val="32"/>
        </w:rPr>
        <w:t xml:space="preserve"> in these fraudulent actions. After </w:t>
      </w:r>
      <w:r w:rsidR="009A004C">
        <w:rPr>
          <w:rFonts w:ascii="Calibri" w:hAnsi="Calibri" w:cs="Calibri"/>
          <w:sz w:val="32"/>
          <w:szCs w:val="32"/>
        </w:rPr>
        <w:t xml:space="preserve">the </w:t>
      </w:r>
      <w:r>
        <w:rPr>
          <w:rFonts w:ascii="Calibri" w:hAnsi="Calibri" w:cs="Calibri"/>
          <w:sz w:val="32"/>
          <w:szCs w:val="32"/>
        </w:rPr>
        <w:t xml:space="preserve">trial in 2018, </w:t>
      </w:r>
      <w:r w:rsidR="009A004C">
        <w:rPr>
          <w:rFonts w:ascii="Calibri" w:hAnsi="Calibri" w:cs="Calibri"/>
          <w:sz w:val="32"/>
          <w:szCs w:val="32"/>
        </w:rPr>
        <w:t>Barton</w:t>
      </w:r>
      <w:r>
        <w:rPr>
          <w:rFonts w:ascii="Calibri" w:hAnsi="Calibri" w:cs="Calibri"/>
          <w:sz w:val="32"/>
          <w:szCs w:val="32"/>
        </w:rPr>
        <w:t xml:space="preserve"> was found guilty of several charges including conspiracy to defraud, theft, fraud, false accounting, and transferring criminal property. Booth was convicted of conspiracy to defraud as well. The trial judge instructed the jury on dishonesty using the test from the Ivey case rather than the Ghosh test. One of the arguments in a wider appeal was that the trial judge should have used the Ghosh test instead of Ivey, as the observations in Ivey were considered </w:t>
      </w:r>
      <w:r w:rsidR="009A004C">
        <w:rPr>
          <w:rFonts w:ascii="Calibri" w:hAnsi="Calibri" w:cs="Calibri"/>
          <w:sz w:val="32"/>
          <w:szCs w:val="32"/>
        </w:rPr>
        <w:t>non-binding</w:t>
      </w:r>
      <w:r>
        <w:rPr>
          <w:rFonts w:ascii="Calibri" w:hAnsi="Calibri" w:cs="Calibri"/>
          <w:sz w:val="32"/>
          <w:szCs w:val="32"/>
        </w:rPr>
        <w:t>.</w:t>
      </w:r>
    </w:p>
    <w:p w14:paraId="7035DB47" w14:textId="799B8A36" w:rsidR="003C7A56" w:rsidRDefault="003C7A56">
      <w:pPr>
        <w:rPr>
          <w:rFonts w:ascii="Calibri" w:hAnsi="Calibri" w:cs="Calibri"/>
          <w:sz w:val="32"/>
          <w:szCs w:val="32"/>
        </w:rPr>
      </w:pPr>
      <w:r>
        <w:rPr>
          <w:rFonts w:ascii="Calibri" w:hAnsi="Calibri" w:cs="Calibri"/>
          <w:sz w:val="32"/>
          <w:szCs w:val="32"/>
        </w:rPr>
        <w:t xml:space="preserve">Lord </w:t>
      </w:r>
      <w:r w:rsidR="009A004C">
        <w:rPr>
          <w:rFonts w:ascii="Calibri" w:hAnsi="Calibri" w:cs="Calibri"/>
          <w:sz w:val="32"/>
          <w:szCs w:val="32"/>
        </w:rPr>
        <w:t>Hughes</w:t>
      </w:r>
      <w:r>
        <w:rPr>
          <w:rFonts w:ascii="Calibri" w:hAnsi="Calibri" w:cs="Calibri"/>
          <w:sz w:val="32"/>
          <w:szCs w:val="32"/>
        </w:rPr>
        <w:t xml:space="preserve"> in Ivey pointed out a flaw in the dishonesty test that resulted in a paradox where individuals with distorted moral </w:t>
      </w:r>
      <w:r>
        <w:rPr>
          <w:rFonts w:ascii="Calibri" w:hAnsi="Calibri" w:cs="Calibri"/>
          <w:sz w:val="32"/>
          <w:szCs w:val="32"/>
        </w:rPr>
        <w:lastRenderedPageBreak/>
        <w:t xml:space="preserve">standards were less likely to be convicted of dishonesty. The </w:t>
      </w:r>
      <w:r w:rsidR="009A004C">
        <w:rPr>
          <w:rFonts w:ascii="Calibri" w:hAnsi="Calibri" w:cs="Calibri"/>
          <w:sz w:val="32"/>
          <w:szCs w:val="32"/>
        </w:rPr>
        <w:t>Supreme Court</w:t>
      </w:r>
      <w:r>
        <w:rPr>
          <w:rFonts w:ascii="Calibri" w:hAnsi="Calibri" w:cs="Calibri"/>
          <w:sz w:val="32"/>
          <w:szCs w:val="32"/>
        </w:rPr>
        <w:t xml:space="preserve"> proposed the following as the correct test for dishonesty:</w:t>
      </w:r>
    </w:p>
    <w:p w14:paraId="21D8BE5F" w14:textId="0BFCC235" w:rsidR="003C7A56" w:rsidRDefault="003C7A56" w:rsidP="003C7A56">
      <w:pPr>
        <w:pStyle w:val="ListParagraph"/>
        <w:numPr>
          <w:ilvl w:val="0"/>
          <w:numId w:val="1"/>
        </w:numPr>
        <w:rPr>
          <w:rFonts w:ascii="Calibri" w:hAnsi="Calibri" w:cs="Calibri"/>
          <w:sz w:val="32"/>
          <w:szCs w:val="32"/>
        </w:rPr>
      </w:pPr>
      <w:r>
        <w:rPr>
          <w:rFonts w:ascii="Calibri" w:hAnsi="Calibri" w:cs="Calibri"/>
          <w:sz w:val="32"/>
          <w:szCs w:val="32"/>
        </w:rPr>
        <w:t>What did the defendant truly know or believe about the facts?</w:t>
      </w:r>
    </w:p>
    <w:p w14:paraId="45EAEF61" w14:textId="679D5B58" w:rsidR="003C7A56" w:rsidRDefault="003C7A56" w:rsidP="00FC768A">
      <w:pPr>
        <w:pStyle w:val="ListParagraph"/>
        <w:numPr>
          <w:ilvl w:val="0"/>
          <w:numId w:val="1"/>
        </w:numPr>
        <w:rPr>
          <w:rFonts w:ascii="Calibri" w:hAnsi="Calibri" w:cs="Calibri"/>
          <w:sz w:val="32"/>
          <w:szCs w:val="32"/>
        </w:rPr>
      </w:pPr>
      <w:r>
        <w:rPr>
          <w:rFonts w:ascii="Calibri" w:hAnsi="Calibri" w:cs="Calibri"/>
          <w:sz w:val="32"/>
          <w:szCs w:val="32"/>
        </w:rPr>
        <w:t xml:space="preserve">And was his </w:t>
      </w:r>
      <w:proofErr w:type="spellStart"/>
      <w:r w:rsidR="008A7D0A">
        <w:rPr>
          <w:rFonts w:ascii="Calibri" w:hAnsi="Calibri" w:cs="Calibri"/>
          <w:sz w:val="32"/>
          <w:szCs w:val="32"/>
        </w:rPr>
        <w:t>behavior</w:t>
      </w:r>
      <w:proofErr w:type="spellEnd"/>
      <w:r>
        <w:rPr>
          <w:rFonts w:ascii="Calibri" w:hAnsi="Calibri" w:cs="Calibri"/>
          <w:sz w:val="32"/>
          <w:szCs w:val="32"/>
        </w:rPr>
        <w:t xml:space="preserve"> considered reasonable according to the norms of average, moral individuals?</w:t>
      </w:r>
    </w:p>
    <w:p w14:paraId="73CA008F" w14:textId="769540E9" w:rsidR="00E24933" w:rsidRDefault="00E24933" w:rsidP="00E24933">
      <w:pPr>
        <w:ind w:left="360"/>
        <w:rPr>
          <w:rFonts w:ascii="Calibri" w:hAnsi="Calibri" w:cs="Calibri"/>
          <w:sz w:val="32"/>
          <w:szCs w:val="32"/>
        </w:rPr>
      </w:pPr>
      <w:r>
        <w:rPr>
          <w:rFonts w:ascii="Calibri" w:hAnsi="Calibri" w:cs="Calibri"/>
          <w:sz w:val="32"/>
          <w:szCs w:val="32"/>
        </w:rPr>
        <w:t xml:space="preserve">The </w:t>
      </w:r>
      <w:r w:rsidR="00EA1E24">
        <w:rPr>
          <w:rFonts w:ascii="Calibri" w:hAnsi="Calibri" w:cs="Calibri"/>
          <w:sz w:val="32"/>
          <w:szCs w:val="32"/>
        </w:rPr>
        <w:t xml:space="preserve">debate surrounding the </w:t>
      </w:r>
      <w:r w:rsidR="00B94339">
        <w:rPr>
          <w:rFonts w:ascii="Calibri" w:hAnsi="Calibri" w:cs="Calibri"/>
          <w:sz w:val="32"/>
          <w:szCs w:val="32"/>
        </w:rPr>
        <w:t>G</w:t>
      </w:r>
      <w:r w:rsidR="00EA1E24">
        <w:rPr>
          <w:rFonts w:ascii="Calibri" w:hAnsi="Calibri" w:cs="Calibri"/>
          <w:sz w:val="32"/>
          <w:szCs w:val="32"/>
        </w:rPr>
        <w:t xml:space="preserve">hosh test </w:t>
      </w:r>
      <w:r w:rsidR="00B94339">
        <w:rPr>
          <w:rFonts w:ascii="Calibri" w:hAnsi="Calibri" w:cs="Calibri"/>
          <w:sz w:val="32"/>
          <w:szCs w:val="32"/>
        </w:rPr>
        <w:t>for dishonesty, which has two</w:t>
      </w:r>
      <w:r w:rsidR="001037D2">
        <w:rPr>
          <w:rFonts w:ascii="Calibri" w:hAnsi="Calibri" w:cs="Calibri"/>
          <w:sz w:val="32"/>
          <w:szCs w:val="32"/>
        </w:rPr>
        <w:t xml:space="preserve"> prongs, has been a concern for both scholars and practitioners. Questions have been raised</w:t>
      </w:r>
      <w:r w:rsidR="00376E54">
        <w:rPr>
          <w:rFonts w:ascii="Calibri" w:hAnsi="Calibri" w:cs="Calibri"/>
          <w:sz w:val="32"/>
          <w:szCs w:val="32"/>
        </w:rPr>
        <w:t xml:space="preserve"> regarding the jury’s ability to assess both the objective standard of honesty and the</w:t>
      </w:r>
      <w:r w:rsidR="00DB7EF5">
        <w:rPr>
          <w:rFonts w:ascii="Calibri" w:hAnsi="Calibri" w:cs="Calibri"/>
          <w:sz w:val="32"/>
          <w:szCs w:val="32"/>
        </w:rPr>
        <w:t xml:space="preserve"> defendant’s personal adherence to it. This could potentially allow individuals with subjective</w:t>
      </w:r>
      <w:r w:rsidR="00DA38BA">
        <w:rPr>
          <w:rFonts w:ascii="Calibri" w:hAnsi="Calibri" w:cs="Calibri"/>
          <w:sz w:val="32"/>
          <w:szCs w:val="32"/>
        </w:rPr>
        <w:t xml:space="preserve"> views to avoid being convicted of dishonesty. Recent legal cases such as Ivey, Barton</w:t>
      </w:r>
      <w:r w:rsidR="003C2513">
        <w:rPr>
          <w:rFonts w:ascii="Calibri" w:hAnsi="Calibri" w:cs="Calibri"/>
          <w:sz w:val="32"/>
          <w:szCs w:val="32"/>
        </w:rPr>
        <w:t>,</w:t>
      </w:r>
      <w:r w:rsidR="00DA38BA">
        <w:rPr>
          <w:rFonts w:ascii="Calibri" w:hAnsi="Calibri" w:cs="Calibri"/>
          <w:sz w:val="32"/>
          <w:szCs w:val="32"/>
        </w:rPr>
        <w:t xml:space="preserve"> and Booth have done away</w:t>
      </w:r>
      <w:r w:rsidR="00A20DD4">
        <w:rPr>
          <w:rFonts w:ascii="Calibri" w:hAnsi="Calibri" w:cs="Calibri"/>
          <w:sz w:val="32"/>
          <w:szCs w:val="32"/>
        </w:rPr>
        <w:t xml:space="preserve"> with the subjective test, resulting in a wider scope of criminal liability without improving the legal</w:t>
      </w:r>
      <w:r w:rsidR="0099197B">
        <w:rPr>
          <w:rFonts w:ascii="Calibri" w:hAnsi="Calibri" w:cs="Calibri"/>
          <w:sz w:val="32"/>
          <w:szCs w:val="32"/>
        </w:rPr>
        <w:t xml:space="preserve"> framework. The idea of leaving it to the jury to determine a complex concept like</w:t>
      </w:r>
      <w:r w:rsidR="007922EF">
        <w:rPr>
          <w:rFonts w:ascii="Calibri" w:hAnsi="Calibri" w:cs="Calibri"/>
          <w:sz w:val="32"/>
          <w:szCs w:val="32"/>
        </w:rPr>
        <w:t xml:space="preserve"> dishonesty is seen as misguided since it requires making a normative </w:t>
      </w:r>
      <w:r w:rsidR="00394D48">
        <w:rPr>
          <w:rFonts w:ascii="Calibri" w:hAnsi="Calibri" w:cs="Calibri"/>
          <w:sz w:val="32"/>
          <w:szCs w:val="32"/>
        </w:rPr>
        <w:t>judgment</w:t>
      </w:r>
      <w:r w:rsidR="007922EF">
        <w:rPr>
          <w:rFonts w:ascii="Calibri" w:hAnsi="Calibri" w:cs="Calibri"/>
          <w:sz w:val="32"/>
          <w:szCs w:val="32"/>
        </w:rPr>
        <w:t>, which</w:t>
      </w:r>
      <w:r w:rsidR="005818CF">
        <w:rPr>
          <w:rFonts w:ascii="Calibri" w:hAnsi="Calibri" w:cs="Calibri"/>
          <w:sz w:val="32"/>
          <w:szCs w:val="32"/>
        </w:rPr>
        <w:t xml:space="preserve"> isn’t the jury’s role. </w:t>
      </w:r>
      <w:r w:rsidR="00394D48">
        <w:rPr>
          <w:rFonts w:ascii="Calibri" w:hAnsi="Calibri" w:cs="Calibri"/>
          <w:sz w:val="32"/>
          <w:szCs w:val="32"/>
        </w:rPr>
        <w:t>Compared</w:t>
      </w:r>
      <w:r w:rsidR="005818CF">
        <w:rPr>
          <w:rFonts w:ascii="Calibri" w:hAnsi="Calibri" w:cs="Calibri"/>
          <w:sz w:val="32"/>
          <w:szCs w:val="32"/>
        </w:rPr>
        <w:t xml:space="preserve"> with </w:t>
      </w:r>
      <w:r w:rsidR="00394D48">
        <w:rPr>
          <w:rFonts w:ascii="Calibri" w:hAnsi="Calibri" w:cs="Calibri"/>
          <w:sz w:val="32"/>
          <w:szCs w:val="32"/>
        </w:rPr>
        <w:t>German</w:t>
      </w:r>
      <w:r w:rsidR="005818CF">
        <w:rPr>
          <w:rFonts w:ascii="Calibri" w:hAnsi="Calibri" w:cs="Calibri"/>
          <w:sz w:val="32"/>
          <w:szCs w:val="32"/>
        </w:rPr>
        <w:t xml:space="preserve"> law on theft</w:t>
      </w:r>
      <w:r w:rsidR="00C11656">
        <w:rPr>
          <w:rFonts w:ascii="Calibri" w:hAnsi="Calibri" w:cs="Calibri"/>
          <w:sz w:val="32"/>
          <w:szCs w:val="32"/>
        </w:rPr>
        <w:t xml:space="preserve"> and fraud, the suggestion is made to replace</w:t>
      </w:r>
      <w:r w:rsidR="00E01BDF">
        <w:rPr>
          <w:rFonts w:ascii="Calibri" w:hAnsi="Calibri" w:cs="Calibri"/>
          <w:sz w:val="32"/>
          <w:szCs w:val="32"/>
        </w:rPr>
        <w:t xml:space="preserve"> dishonesty with a lawfulness element and apply rules from civil law on errors.</w:t>
      </w:r>
      <w:r w:rsidR="00B94339">
        <w:rPr>
          <w:rFonts w:ascii="Calibri" w:hAnsi="Calibri" w:cs="Calibri"/>
          <w:sz w:val="32"/>
          <w:szCs w:val="32"/>
        </w:rPr>
        <w:t xml:space="preserve"> </w:t>
      </w:r>
    </w:p>
    <w:p w14:paraId="1A65AD69" w14:textId="023DC1C2" w:rsidR="00B202EC" w:rsidRDefault="00803352" w:rsidP="00E24933">
      <w:pPr>
        <w:ind w:left="360"/>
        <w:rPr>
          <w:rFonts w:ascii="Calibri" w:hAnsi="Calibri" w:cs="Calibri"/>
          <w:sz w:val="32"/>
          <w:szCs w:val="32"/>
        </w:rPr>
      </w:pPr>
      <w:r>
        <w:rPr>
          <w:rFonts w:ascii="Calibri" w:hAnsi="Calibri" w:cs="Calibri"/>
          <w:sz w:val="32"/>
          <w:szCs w:val="32"/>
        </w:rPr>
        <w:t>The Ghosh test</w:t>
      </w:r>
      <w:r w:rsidR="00034408">
        <w:rPr>
          <w:rFonts w:ascii="Calibri" w:hAnsi="Calibri" w:cs="Calibri"/>
          <w:sz w:val="32"/>
          <w:szCs w:val="32"/>
        </w:rPr>
        <w:t xml:space="preserve">, which replaced the </w:t>
      </w:r>
      <w:r w:rsidR="00394D48">
        <w:rPr>
          <w:rFonts w:ascii="Calibri" w:hAnsi="Calibri" w:cs="Calibri"/>
          <w:sz w:val="32"/>
          <w:szCs w:val="32"/>
        </w:rPr>
        <w:t>free</w:t>
      </w:r>
      <w:r w:rsidR="00034408">
        <w:rPr>
          <w:rFonts w:ascii="Calibri" w:hAnsi="Calibri" w:cs="Calibri"/>
          <w:sz w:val="32"/>
          <w:szCs w:val="32"/>
        </w:rPr>
        <w:t xml:space="preserve"> test, sparked debates about how a defendant’s understanding of </w:t>
      </w:r>
      <w:r w:rsidR="008A73BF">
        <w:rPr>
          <w:rFonts w:ascii="Calibri" w:hAnsi="Calibri" w:cs="Calibri"/>
          <w:sz w:val="32"/>
          <w:szCs w:val="32"/>
        </w:rPr>
        <w:t xml:space="preserve">the </w:t>
      </w:r>
      <w:r w:rsidR="00034408">
        <w:rPr>
          <w:rFonts w:ascii="Calibri" w:hAnsi="Calibri" w:cs="Calibri"/>
          <w:sz w:val="32"/>
          <w:szCs w:val="32"/>
        </w:rPr>
        <w:t>objective</w:t>
      </w:r>
      <w:r w:rsidR="00864B30">
        <w:rPr>
          <w:rFonts w:ascii="Calibri" w:hAnsi="Calibri" w:cs="Calibri"/>
          <w:sz w:val="32"/>
          <w:szCs w:val="32"/>
        </w:rPr>
        <w:t xml:space="preserve"> standards of dishonesty should</w:t>
      </w:r>
      <w:r w:rsidR="00394D48">
        <w:rPr>
          <w:rFonts w:ascii="Calibri" w:hAnsi="Calibri" w:cs="Calibri"/>
          <w:sz w:val="32"/>
          <w:szCs w:val="32"/>
        </w:rPr>
        <w:t xml:space="preserve"> </w:t>
      </w:r>
      <w:r w:rsidR="00864B30">
        <w:rPr>
          <w:rFonts w:ascii="Calibri" w:hAnsi="Calibri" w:cs="Calibri"/>
          <w:sz w:val="32"/>
          <w:szCs w:val="32"/>
        </w:rPr>
        <w:t>be measured by the jury. Issues were raised</w:t>
      </w:r>
      <w:r w:rsidR="00861513">
        <w:rPr>
          <w:rFonts w:ascii="Calibri" w:hAnsi="Calibri" w:cs="Calibri"/>
          <w:sz w:val="32"/>
          <w:szCs w:val="32"/>
        </w:rPr>
        <w:t xml:space="preserve"> about potential </w:t>
      </w:r>
      <w:proofErr w:type="spellStart"/>
      <w:r w:rsidR="00394D48">
        <w:rPr>
          <w:rFonts w:ascii="Calibri" w:hAnsi="Calibri" w:cs="Calibri"/>
          <w:sz w:val="32"/>
          <w:szCs w:val="32"/>
        </w:rPr>
        <w:t>defenses</w:t>
      </w:r>
      <w:proofErr w:type="spellEnd"/>
      <w:r w:rsidR="00861513">
        <w:rPr>
          <w:rFonts w:ascii="Calibri" w:hAnsi="Calibri" w:cs="Calibri"/>
          <w:sz w:val="32"/>
          <w:szCs w:val="32"/>
        </w:rPr>
        <w:t xml:space="preserve"> like the ‘Robin Hood</w:t>
      </w:r>
      <w:r w:rsidR="00FD5771">
        <w:rPr>
          <w:rFonts w:ascii="Calibri" w:hAnsi="Calibri" w:cs="Calibri"/>
          <w:sz w:val="32"/>
          <w:szCs w:val="32"/>
        </w:rPr>
        <w:t xml:space="preserve">’ </w:t>
      </w:r>
      <w:proofErr w:type="spellStart"/>
      <w:r w:rsidR="00394D48">
        <w:rPr>
          <w:rFonts w:ascii="Calibri" w:hAnsi="Calibri" w:cs="Calibri"/>
          <w:sz w:val="32"/>
          <w:szCs w:val="32"/>
        </w:rPr>
        <w:t>defense</w:t>
      </w:r>
      <w:proofErr w:type="spellEnd"/>
      <w:r w:rsidR="00FD5771">
        <w:rPr>
          <w:rFonts w:ascii="Calibri" w:hAnsi="Calibri" w:cs="Calibri"/>
          <w:sz w:val="32"/>
          <w:szCs w:val="32"/>
        </w:rPr>
        <w:t xml:space="preserve"> and foreigners claiming ignorance while taking advantage</w:t>
      </w:r>
      <w:r w:rsidR="00166C45">
        <w:rPr>
          <w:rFonts w:ascii="Calibri" w:hAnsi="Calibri" w:cs="Calibri"/>
          <w:sz w:val="32"/>
          <w:szCs w:val="32"/>
        </w:rPr>
        <w:t xml:space="preserve"> of public transport. It was becoming less tolerable that individuals could avoid moral</w:t>
      </w:r>
      <w:r w:rsidR="00470F55">
        <w:rPr>
          <w:rFonts w:ascii="Calibri" w:hAnsi="Calibri" w:cs="Calibri"/>
          <w:sz w:val="32"/>
          <w:szCs w:val="32"/>
        </w:rPr>
        <w:t xml:space="preserve"> wrongdoing by claiming they were unaware of societal standards</w:t>
      </w:r>
      <w:r w:rsidR="00BE6EC6">
        <w:rPr>
          <w:rFonts w:ascii="Calibri" w:hAnsi="Calibri" w:cs="Calibri"/>
          <w:sz w:val="32"/>
          <w:szCs w:val="32"/>
        </w:rPr>
        <w:t>. In a society with diverse cultural influences and shifting beliefs</w:t>
      </w:r>
      <w:r w:rsidR="00C658C5">
        <w:rPr>
          <w:rFonts w:ascii="Calibri" w:hAnsi="Calibri" w:cs="Calibri"/>
          <w:sz w:val="32"/>
          <w:szCs w:val="32"/>
        </w:rPr>
        <w:t>, it may be challenging to establish universal moral norms.</w:t>
      </w:r>
    </w:p>
    <w:p w14:paraId="44FE4BDF" w14:textId="688CB814" w:rsidR="00A74C5D" w:rsidRDefault="00A74C5D" w:rsidP="00E24933">
      <w:pPr>
        <w:ind w:left="360"/>
        <w:rPr>
          <w:rFonts w:ascii="Calibri" w:hAnsi="Calibri" w:cs="Calibri"/>
          <w:sz w:val="32"/>
          <w:szCs w:val="32"/>
        </w:rPr>
      </w:pPr>
      <w:r>
        <w:rPr>
          <w:rFonts w:ascii="Calibri" w:hAnsi="Calibri" w:cs="Calibri"/>
          <w:sz w:val="32"/>
          <w:szCs w:val="32"/>
        </w:rPr>
        <w:lastRenderedPageBreak/>
        <w:t xml:space="preserve">The idea proposed in 1998 by the Law </w:t>
      </w:r>
      <w:r w:rsidR="00953C61">
        <w:rPr>
          <w:rFonts w:ascii="Calibri" w:hAnsi="Calibri" w:cs="Calibri"/>
          <w:sz w:val="32"/>
          <w:szCs w:val="32"/>
        </w:rPr>
        <w:t>Commission</w:t>
      </w:r>
      <w:r>
        <w:rPr>
          <w:rFonts w:ascii="Calibri" w:hAnsi="Calibri" w:cs="Calibri"/>
          <w:sz w:val="32"/>
          <w:szCs w:val="32"/>
        </w:rPr>
        <w:t xml:space="preserve"> about using a flexible concept</w:t>
      </w:r>
      <w:r w:rsidR="00953C61">
        <w:rPr>
          <w:rFonts w:ascii="Calibri" w:hAnsi="Calibri" w:cs="Calibri"/>
          <w:sz w:val="32"/>
          <w:szCs w:val="32"/>
        </w:rPr>
        <w:t xml:space="preserve"> to determine criminal activity was not entirely</w:t>
      </w:r>
      <w:r w:rsidR="00553A47">
        <w:rPr>
          <w:rFonts w:ascii="Calibri" w:hAnsi="Calibri" w:cs="Calibri"/>
          <w:sz w:val="32"/>
          <w:szCs w:val="32"/>
        </w:rPr>
        <w:t xml:space="preserve"> sound, both in theory and in practice. The notion of applying</w:t>
      </w:r>
      <w:r w:rsidR="00FA50DE">
        <w:rPr>
          <w:rFonts w:ascii="Calibri" w:hAnsi="Calibri" w:cs="Calibri"/>
          <w:sz w:val="32"/>
          <w:szCs w:val="32"/>
        </w:rPr>
        <w:t xml:space="preserve"> flexibility in deciding what constitutes criminal </w:t>
      </w:r>
      <w:r w:rsidR="00182CA7">
        <w:rPr>
          <w:rFonts w:ascii="Calibri" w:hAnsi="Calibri" w:cs="Calibri"/>
          <w:sz w:val="32"/>
          <w:szCs w:val="32"/>
        </w:rPr>
        <w:t>behaviour</w:t>
      </w:r>
      <w:r w:rsidR="00FA50DE">
        <w:rPr>
          <w:rFonts w:ascii="Calibri" w:hAnsi="Calibri" w:cs="Calibri"/>
          <w:sz w:val="32"/>
          <w:szCs w:val="32"/>
        </w:rPr>
        <w:t xml:space="preserve"> on a </w:t>
      </w:r>
      <w:r w:rsidR="00582982">
        <w:rPr>
          <w:rFonts w:ascii="Calibri" w:hAnsi="Calibri" w:cs="Calibri"/>
          <w:sz w:val="32"/>
          <w:szCs w:val="32"/>
        </w:rPr>
        <w:t>case-by-case</w:t>
      </w:r>
      <w:r w:rsidR="00FA50DE">
        <w:rPr>
          <w:rFonts w:ascii="Calibri" w:hAnsi="Calibri" w:cs="Calibri"/>
          <w:sz w:val="32"/>
          <w:szCs w:val="32"/>
        </w:rPr>
        <w:t xml:space="preserve"> basis does not align</w:t>
      </w:r>
      <w:r w:rsidR="00AD0A59">
        <w:rPr>
          <w:rFonts w:ascii="Calibri" w:hAnsi="Calibri" w:cs="Calibri"/>
          <w:sz w:val="32"/>
          <w:szCs w:val="32"/>
        </w:rPr>
        <w:t xml:space="preserve"> well with the rule of law. Concerns about defendants manipulating the concept of honesty to avoid prosecution</w:t>
      </w:r>
      <w:r w:rsidR="00D31316">
        <w:rPr>
          <w:rFonts w:ascii="Calibri" w:hAnsi="Calibri" w:cs="Calibri"/>
          <w:sz w:val="32"/>
          <w:szCs w:val="32"/>
        </w:rPr>
        <w:t xml:space="preserve"> may have been exaggerated, as juries are not expected to believe</w:t>
      </w:r>
      <w:r w:rsidR="00582982">
        <w:rPr>
          <w:rFonts w:ascii="Calibri" w:hAnsi="Calibri" w:cs="Calibri"/>
          <w:sz w:val="32"/>
          <w:szCs w:val="32"/>
        </w:rPr>
        <w:t xml:space="preserve"> every far-fetched </w:t>
      </w:r>
      <w:r w:rsidR="00182CA7">
        <w:rPr>
          <w:rFonts w:ascii="Calibri" w:hAnsi="Calibri" w:cs="Calibri"/>
          <w:sz w:val="32"/>
          <w:szCs w:val="32"/>
        </w:rPr>
        <w:t>defence</w:t>
      </w:r>
      <w:r w:rsidR="00582982">
        <w:rPr>
          <w:rFonts w:ascii="Calibri" w:hAnsi="Calibri" w:cs="Calibri"/>
          <w:sz w:val="32"/>
          <w:szCs w:val="32"/>
        </w:rPr>
        <w:t xml:space="preserve"> </w:t>
      </w:r>
      <w:r w:rsidR="007F448B">
        <w:rPr>
          <w:rFonts w:ascii="Calibri" w:hAnsi="Calibri" w:cs="Calibri"/>
          <w:sz w:val="32"/>
          <w:szCs w:val="32"/>
        </w:rPr>
        <w:t>and the prosecution has discretion to filter</w:t>
      </w:r>
      <w:r w:rsidR="0067008A">
        <w:rPr>
          <w:rFonts w:ascii="Calibri" w:hAnsi="Calibri" w:cs="Calibri"/>
          <w:sz w:val="32"/>
          <w:szCs w:val="32"/>
        </w:rPr>
        <w:t xml:space="preserve"> out weak cases. Additionally, there has been a lack of empirical</w:t>
      </w:r>
      <w:r w:rsidR="00BB2C54">
        <w:rPr>
          <w:rFonts w:ascii="Calibri" w:hAnsi="Calibri" w:cs="Calibri"/>
          <w:sz w:val="32"/>
          <w:szCs w:val="32"/>
        </w:rPr>
        <w:t xml:space="preserve"> research to support claims about the impact of certain</w:t>
      </w:r>
      <w:r w:rsidR="00996D1E">
        <w:rPr>
          <w:rFonts w:ascii="Calibri" w:hAnsi="Calibri" w:cs="Calibri"/>
          <w:sz w:val="32"/>
          <w:szCs w:val="32"/>
        </w:rPr>
        <w:t xml:space="preserve"> legal principles on case outcomes.</w:t>
      </w:r>
    </w:p>
    <w:p w14:paraId="4E29832C" w14:textId="1436F894" w:rsidR="000253D0" w:rsidRDefault="008B539F" w:rsidP="00E24933">
      <w:pPr>
        <w:ind w:left="360"/>
        <w:rPr>
          <w:rFonts w:ascii="Calibri" w:hAnsi="Calibri" w:cs="Calibri"/>
          <w:sz w:val="32"/>
          <w:szCs w:val="32"/>
        </w:rPr>
      </w:pPr>
      <w:r>
        <w:rPr>
          <w:rFonts w:ascii="Calibri" w:hAnsi="Calibri" w:cs="Calibri"/>
          <w:sz w:val="32"/>
          <w:szCs w:val="32"/>
        </w:rPr>
        <w:t>However, the subjective aspect of the Ghosh test was ultima</w:t>
      </w:r>
      <w:r w:rsidR="003B17E6">
        <w:rPr>
          <w:rFonts w:ascii="Calibri" w:hAnsi="Calibri" w:cs="Calibri"/>
          <w:sz w:val="32"/>
          <w:szCs w:val="32"/>
        </w:rPr>
        <w:t xml:space="preserve">tely challenged in a UK </w:t>
      </w:r>
      <w:r w:rsidR="00BF023F">
        <w:rPr>
          <w:rFonts w:ascii="Calibri" w:hAnsi="Calibri" w:cs="Calibri"/>
          <w:sz w:val="32"/>
          <w:szCs w:val="32"/>
        </w:rPr>
        <w:t>Supreme</w:t>
      </w:r>
      <w:r w:rsidR="003B17E6">
        <w:rPr>
          <w:rFonts w:ascii="Calibri" w:hAnsi="Calibri" w:cs="Calibri"/>
          <w:sz w:val="32"/>
          <w:szCs w:val="32"/>
        </w:rPr>
        <w:t xml:space="preserve"> Court case, Ivey v Genting</w:t>
      </w:r>
      <w:r w:rsidR="005135AF">
        <w:rPr>
          <w:rFonts w:ascii="Calibri" w:hAnsi="Calibri" w:cs="Calibri"/>
          <w:sz w:val="32"/>
          <w:szCs w:val="32"/>
        </w:rPr>
        <w:t xml:space="preserve"> Casinos (UK), where it was suggested that consistency</w:t>
      </w:r>
      <w:r w:rsidR="002C249E">
        <w:rPr>
          <w:rFonts w:ascii="Calibri" w:hAnsi="Calibri" w:cs="Calibri"/>
          <w:sz w:val="32"/>
          <w:szCs w:val="32"/>
        </w:rPr>
        <w:t xml:space="preserve"> in the law required the standard to be the same for both civil and criminal cases. The court</w:t>
      </w:r>
      <w:r w:rsidR="00B40A31">
        <w:rPr>
          <w:rFonts w:ascii="Calibri" w:hAnsi="Calibri" w:cs="Calibri"/>
          <w:sz w:val="32"/>
          <w:szCs w:val="32"/>
        </w:rPr>
        <w:t xml:space="preserve"> of appeal followed suit in Barton and Booth, resulting in a pu</w:t>
      </w:r>
      <w:r w:rsidR="00495F40">
        <w:rPr>
          <w:rFonts w:ascii="Calibri" w:hAnsi="Calibri" w:cs="Calibri"/>
          <w:sz w:val="32"/>
          <w:szCs w:val="32"/>
        </w:rPr>
        <w:t>rely</w:t>
      </w:r>
      <w:r w:rsidR="00BF023F">
        <w:rPr>
          <w:rFonts w:ascii="Calibri" w:hAnsi="Calibri" w:cs="Calibri"/>
          <w:sz w:val="32"/>
          <w:szCs w:val="32"/>
        </w:rPr>
        <w:t xml:space="preserve"> </w:t>
      </w:r>
      <w:r w:rsidR="00495F40">
        <w:rPr>
          <w:rFonts w:ascii="Calibri" w:hAnsi="Calibri" w:cs="Calibri"/>
          <w:sz w:val="32"/>
          <w:szCs w:val="32"/>
        </w:rPr>
        <w:t>objective standard. This new standard requires the jury to determine</w:t>
      </w:r>
      <w:r w:rsidR="00DA7B55">
        <w:rPr>
          <w:rFonts w:ascii="Calibri" w:hAnsi="Calibri" w:cs="Calibri"/>
          <w:sz w:val="32"/>
          <w:szCs w:val="32"/>
        </w:rPr>
        <w:t xml:space="preserve"> the defendant’s actual state of mind first, which is an evidential issue common to any test, and then assess</w:t>
      </w:r>
      <w:r w:rsidR="00072ADC">
        <w:rPr>
          <w:rFonts w:ascii="Calibri" w:hAnsi="Calibri" w:cs="Calibri"/>
          <w:sz w:val="32"/>
          <w:szCs w:val="32"/>
        </w:rPr>
        <w:t xml:space="preserve"> whether their </w:t>
      </w:r>
      <w:r w:rsidR="00182CA7">
        <w:rPr>
          <w:rFonts w:ascii="Calibri" w:hAnsi="Calibri" w:cs="Calibri"/>
          <w:sz w:val="32"/>
          <w:szCs w:val="32"/>
        </w:rPr>
        <w:t>behaviour</w:t>
      </w:r>
      <w:r w:rsidR="00072ADC">
        <w:rPr>
          <w:rFonts w:ascii="Calibri" w:hAnsi="Calibri" w:cs="Calibri"/>
          <w:sz w:val="32"/>
          <w:szCs w:val="32"/>
        </w:rPr>
        <w:t xml:space="preserve"> aligns with </w:t>
      </w:r>
      <w:r w:rsidR="00985A8D">
        <w:rPr>
          <w:rFonts w:ascii="Calibri" w:hAnsi="Calibri" w:cs="Calibri"/>
          <w:sz w:val="32"/>
          <w:szCs w:val="32"/>
        </w:rPr>
        <w:t xml:space="preserve">what honest individuals in England and </w:t>
      </w:r>
      <w:r w:rsidR="00BF023F">
        <w:rPr>
          <w:rFonts w:ascii="Calibri" w:hAnsi="Calibri" w:cs="Calibri"/>
          <w:sz w:val="32"/>
          <w:szCs w:val="32"/>
        </w:rPr>
        <w:t>Wales</w:t>
      </w:r>
      <w:r w:rsidR="00985A8D">
        <w:rPr>
          <w:rFonts w:ascii="Calibri" w:hAnsi="Calibri" w:cs="Calibri"/>
          <w:sz w:val="32"/>
          <w:szCs w:val="32"/>
        </w:rPr>
        <w:t xml:space="preserve"> would consider appro</w:t>
      </w:r>
      <w:r w:rsidR="00C34044">
        <w:rPr>
          <w:rFonts w:ascii="Calibri" w:hAnsi="Calibri" w:cs="Calibri"/>
          <w:sz w:val="32"/>
          <w:szCs w:val="32"/>
        </w:rPr>
        <w:t xml:space="preserve">priate. While the issue with the initial prong of the Ghosh test </w:t>
      </w:r>
      <w:r w:rsidR="00BF023F">
        <w:rPr>
          <w:rFonts w:ascii="Calibri" w:hAnsi="Calibri" w:cs="Calibri"/>
          <w:sz w:val="32"/>
          <w:szCs w:val="32"/>
        </w:rPr>
        <w:t>remains</w:t>
      </w:r>
      <w:r w:rsidR="00F21985">
        <w:rPr>
          <w:rFonts w:ascii="Calibri" w:hAnsi="Calibri" w:cs="Calibri"/>
          <w:sz w:val="32"/>
          <w:szCs w:val="32"/>
        </w:rPr>
        <w:t xml:space="preserve">, the question arises whether a normative standard can be effectively dealt with </w:t>
      </w:r>
      <w:r w:rsidR="009D1E9C">
        <w:rPr>
          <w:rFonts w:ascii="Calibri" w:hAnsi="Calibri" w:cs="Calibri"/>
          <w:sz w:val="32"/>
          <w:szCs w:val="32"/>
        </w:rPr>
        <w:t xml:space="preserve">by allowing different lay groups to interpret and apply it on a </w:t>
      </w:r>
      <w:r w:rsidR="00520495">
        <w:rPr>
          <w:rFonts w:ascii="Calibri" w:hAnsi="Calibri" w:cs="Calibri"/>
          <w:sz w:val="32"/>
          <w:szCs w:val="32"/>
        </w:rPr>
        <w:t>case-by-case</w:t>
      </w:r>
      <w:r w:rsidR="00BF023F">
        <w:rPr>
          <w:rFonts w:ascii="Calibri" w:hAnsi="Calibri" w:cs="Calibri"/>
          <w:sz w:val="32"/>
          <w:szCs w:val="32"/>
        </w:rPr>
        <w:t xml:space="preserve"> basis.</w:t>
      </w:r>
      <w:r w:rsidR="002C249E">
        <w:rPr>
          <w:rFonts w:ascii="Calibri" w:hAnsi="Calibri" w:cs="Calibri"/>
          <w:sz w:val="32"/>
          <w:szCs w:val="32"/>
        </w:rPr>
        <w:t xml:space="preserve"> </w:t>
      </w:r>
    </w:p>
    <w:p w14:paraId="29CA824E" w14:textId="2D88CA6B" w:rsidR="00D4450D" w:rsidRDefault="00192095" w:rsidP="007C48E6">
      <w:pPr>
        <w:ind w:left="360"/>
        <w:rPr>
          <w:rFonts w:ascii="Calibri" w:hAnsi="Calibri" w:cs="Calibri"/>
          <w:sz w:val="32"/>
          <w:szCs w:val="32"/>
        </w:rPr>
      </w:pPr>
      <w:r>
        <w:rPr>
          <w:rFonts w:ascii="Calibri" w:hAnsi="Calibri" w:cs="Calibri"/>
          <w:sz w:val="32"/>
          <w:szCs w:val="32"/>
        </w:rPr>
        <w:t>This article discusses the impact of the rulings in R</w:t>
      </w:r>
      <w:r w:rsidR="00520495">
        <w:rPr>
          <w:rFonts w:ascii="Calibri" w:hAnsi="Calibri" w:cs="Calibri"/>
          <w:sz w:val="32"/>
          <w:szCs w:val="32"/>
        </w:rPr>
        <w:t xml:space="preserve"> </w:t>
      </w:r>
      <w:r>
        <w:rPr>
          <w:rFonts w:ascii="Calibri" w:hAnsi="Calibri" w:cs="Calibri"/>
          <w:sz w:val="32"/>
          <w:szCs w:val="32"/>
        </w:rPr>
        <w:t>v Barton and Ivey v Genting Casinos on the doctrine of mistake of fact</w:t>
      </w:r>
      <w:r w:rsidR="00552831">
        <w:rPr>
          <w:rFonts w:ascii="Calibri" w:hAnsi="Calibri" w:cs="Calibri"/>
          <w:sz w:val="32"/>
          <w:szCs w:val="32"/>
        </w:rPr>
        <w:t xml:space="preserve"> in criminal law. While </w:t>
      </w:r>
      <w:r w:rsidR="00520495">
        <w:rPr>
          <w:rFonts w:ascii="Calibri" w:hAnsi="Calibri" w:cs="Calibri"/>
          <w:sz w:val="32"/>
          <w:szCs w:val="32"/>
        </w:rPr>
        <w:t>mistakes</w:t>
      </w:r>
      <w:r w:rsidR="00552831">
        <w:rPr>
          <w:rFonts w:ascii="Calibri" w:hAnsi="Calibri" w:cs="Calibri"/>
          <w:sz w:val="32"/>
          <w:szCs w:val="32"/>
        </w:rPr>
        <w:t xml:space="preserve"> of fact can serve as a </w:t>
      </w:r>
      <w:r w:rsidR="00182CA7">
        <w:rPr>
          <w:rFonts w:ascii="Calibri" w:hAnsi="Calibri" w:cs="Calibri"/>
          <w:sz w:val="32"/>
          <w:szCs w:val="32"/>
        </w:rPr>
        <w:t>defence</w:t>
      </w:r>
      <w:r w:rsidR="00552831">
        <w:rPr>
          <w:rFonts w:ascii="Calibri" w:hAnsi="Calibri" w:cs="Calibri"/>
          <w:sz w:val="32"/>
          <w:szCs w:val="32"/>
        </w:rPr>
        <w:t>, dishonesty is a crucial aspect</w:t>
      </w:r>
      <w:r w:rsidR="004A228F">
        <w:rPr>
          <w:rFonts w:ascii="Calibri" w:hAnsi="Calibri" w:cs="Calibri"/>
          <w:sz w:val="32"/>
          <w:szCs w:val="32"/>
        </w:rPr>
        <w:t xml:space="preserve"> in crimes like theft and fraud. The author argues that these rulings do not alter mistake of fact laws, but they do</w:t>
      </w:r>
      <w:r w:rsidR="00520495">
        <w:rPr>
          <w:rFonts w:ascii="Calibri" w:hAnsi="Calibri" w:cs="Calibri"/>
          <w:sz w:val="32"/>
          <w:szCs w:val="32"/>
        </w:rPr>
        <w:t xml:space="preserve"> affect the interpretation of what constitutes honesty.</w:t>
      </w:r>
      <w:r w:rsidR="007C48E6">
        <w:rPr>
          <w:rFonts w:ascii="Calibri" w:hAnsi="Calibri" w:cs="Calibri"/>
          <w:sz w:val="32"/>
          <w:szCs w:val="32"/>
        </w:rPr>
        <w:t xml:space="preserve"> The objective test of dishonesty is highli</w:t>
      </w:r>
      <w:r w:rsidR="003D4B1B">
        <w:rPr>
          <w:rFonts w:ascii="Calibri" w:hAnsi="Calibri" w:cs="Calibri"/>
          <w:sz w:val="32"/>
          <w:szCs w:val="32"/>
        </w:rPr>
        <w:t>ghted, emphasizing</w:t>
      </w:r>
      <w:r w:rsidR="00D4450D">
        <w:rPr>
          <w:rFonts w:ascii="Calibri" w:hAnsi="Calibri" w:cs="Calibri"/>
          <w:sz w:val="32"/>
          <w:szCs w:val="32"/>
        </w:rPr>
        <w:t xml:space="preserve"> </w:t>
      </w:r>
      <w:r w:rsidR="003D4B1B">
        <w:rPr>
          <w:rFonts w:ascii="Calibri" w:hAnsi="Calibri" w:cs="Calibri"/>
          <w:sz w:val="32"/>
          <w:szCs w:val="32"/>
        </w:rPr>
        <w:t>that</w:t>
      </w:r>
      <w:r w:rsidR="00D4450D">
        <w:rPr>
          <w:rFonts w:ascii="Calibri" w:hAnsi="Calibri" w:cs="Calibri"/>
          <w:sz w:val="32"/>
          <w:szCs w:val="32"/>
        </w:rPr>
        <w:t xml:space="preserve"> </w:t>
      </w:r>
      <w:r w:rsidR="00D4450D">
        <w:rPr>
          <w:rFonts w:ascii="Calibri" w:hAnsi="Calibri" w:cs="Calibri"/>
          <w:sz w:val="32"/>
          <w:szCs w:val="32"/>
        </w:rPr>
        <w:lastRenderedPageBreak/>
        <w:t xml:space="preserve">genuine mistakes may excuse criminal liability. </w:t>
      </w:r>
      <w:r w:rsidR="00F409FB">
        <w:rPr>
          <w:rFonts w:ascii="Calibri" w:hAnsi="Calibri" w:cs="Calibri"/>
          <w:sz w:val="32"/>
          <w:szCs w:val="32"/>
        </w:rPr>
        <w:t>O</w:t>
      </w:r>
      <w:r w:rsidR="00D4450D">
        <w:rPr>
          <w:rFonts w:ascii="Calibri" w:hAnsi="Calibri" w:cs="Calibri"/>
          <w:sz w:val="32"/>
          <w:szCs w:val="32"/>
        </w:rPr>
        <w:t>verall</w:t>
      </w:r>
      <w:r w:rsidR="00F409FB">
        <w:rPr>
          <w:rFonts w:ascii="Calibri" w:hAnsi="Calibri" w:cs="Calibri"/>
          <w:sz w:val="32"/>
          <w:szCs w:val="32"/>
        </w:rPr>
        <w:t>, the article suggests that the rulings do not significantly expand the law</w:t>
      </w:r>
      <w:r w:rsidR="00A97ADE">
        <w:rPr>
          <w:rFonts w:ascii="Calibri" w:hAnsi="Calibri" w:cs="Calibri"/>
          <w:sz w:val="32"/>
          <w:szCs w:val="32"/>
        </w:rPr>
        <w:t>, as the concept of mistake of fact is already established. The barton decision is seen as a positive developm</w:t>
      </w:r>
      <w:r w:rsidR="0027583A">
        <w:rPr>
          <w:rFonts w:ascii="Calibri" w:hAnsi="Calibri" w:cs="Calibri"/>
          <w:sz w:val="32"/>
          <w:szCs w:val="32"/>
        </w:rPr>
        <w:t>ent, despite originating from a civil law case where dishonesty was not init</w:t>
      </w:r>
      <w:r w:rsidR="00C529A1">
        <w:rPr>
          <w:rFonts w:ascii="Calibri" w:hAnsi="Calibri" w:cs="Calibri"/>
          <w:sz w:val="32"/>
          <w:szCs w:val="32"/>
        </w:rPr>
        <w:t>ially the central issue.</w:t>
      </w:r>
    </w:p>
    <w:p w14:paraId="643AC922" w14:textId="5BE02B5A" w:rsidR="00D4450D" w:rsidRDefault="00AB48BC" w:rsidP="007C48E6">
      <w:pPr>
        <w:ind w:left="360"/>
        <w:rPr>
          <w:rFonts w:ascii="Calibri" w:hAnsi="Calibri" w:cs="Calibri"/>
          <w:sz w:val="32"/>
          <w:szCs w:val="32"/>
        </w:rPr>
      </w:pPr>
      <w:r>
        <w:rPr>
          <w:rFonts w:ascii="Calibri" w:hAnsi="Calibri" w:cs="Calibri"/>
          <w:sz w:val="32"/>
          <w:szCs w:val="32"/>
        </w:rPr>
        <w:t>In conclusion</w:t>
      </w:r>
      <w:r w:rsidR="002A1A72">
        <w:rPr>
          <w:rFonts w:ascii="Calibri" w:hAnsi="Calibri" w:cs="Calibri"/>
          <w:sz w:val="32"/>
          <w:szCs w:val="32"/>
        </w:rPr>
        <w:t>, the concept of dishonesty plays a crucial role in theft offenses in the UK, as outlined in the</w:t>
      </w:r>
      <w:r w:rsidR="000A20FD">
        <w:rPr>
          <w:rFonts w:ascii="Calibri" w:hAnsi="Calibri" w:cs="Calibri"/>
          <w:sz w:val="32"/>
          <w:szCs w:val="32"/>
        </w:rPr>
        <w:t xml:space="preserve"> Theft Act 1968. The interpretation of dishonesty has been shaped by both statutory law</w:t>
      </w:r>
      <w:r w:rsidR="00052540">
        <w:rPr>
          <w:rFonts w:ascii="Calibri" w:hAnsi="Calibri" w:cs="Calibri"/>
          <w:sz w:val="32"/>
          <w:szCs w:val="32"/>
        </w:rPr>
        <w:t xml:space="preserve"> and significant legal cases</w:t>
      </w:r>
      <w:r w:rsidR="00C024B7">
        <w:rPr>
          <w:rFonts w:ascii="Calibri" w:hAnsi="Calibri" w:cs="Calibri"/>
          <w:sz w:val="32"/>
          <w:szCs w:val="32"/>
        </w:rPr>
        <w:t xml:space="preserve"> such </w:t>
      </w:r>
      <w:r w:rsidR="0035627B">
        <w:rPr>
          <w:rFonts w:ascii="Calibri" w:hAnsi="Calibri" w:cs="Calibri"/>
          <w:sz w:val="32"/>
          <w:szCs w:val="32"/>
        </w:rPr>
        <w:t>as</w:t>
      </w:r>
      <w:r w:rsidR="00C024B7">
        <w:rPr>
          <w:rFonts w:ascii="Calibri" w:hAnsi="Calibri" w:cs="Calibri"/>
          <w:sz w:val="32"/>
          <w:szCs w:val="32"/>
        </w:rPr>
        <w:t xml:space="preserve"> R v Ghosh (1982) and </w:t>
      </w:r>
      <w:r w:rsidR="003776F4">
        <w:rPr>
          <w:rFonts w:ascii="Calibri" w:hAnsi="Calibri" w:cs="Calibri"/>
          <w:sz w:val="32"/>
          <w:szCs w:val="32"/>
        </w:rPr>
        <w:t xml:space="preserve">Ivey v Genting </w:t>
      </w:r>
      <w:r w:rsidR="0035627B">
        <w:rPr>
          <w:rFonts w:ascii="Calibri" w:hAnsi="Calibri" w:cs="Calibri"/>
          <w:sz w:val="32"/>
          <w:szCs w:val="32"/>
        </w:rPr>
        <w:t>Casinos</w:t>
      </w:r>
      <w:r w:rsidR="003776F4">
        <w:rPr>
          <w:rFonts w:ascii="Calibri" w:hAnsi="Calibri" w:cs="Calibri"/>
          <w:sz w:val="32"/>
          <w:szCs w:val="32"/>
        </w:rPr>
        <w:t xml:space="preserve"> UK Ltd (2017)</w:t>
      </w:r>
      <w:r w:rsidR="001A1FCD">
        <w:rPr>
          <w:rFonts w:ascii="Calibri" w:hAnsi="Calibri" w:cs="Calibri"/>
          <w:sz w:val="32"/>
          <w:szCs w:val="32"/>
        </w:rPr>
        <w:t>.</w:t>
      </w:r>
    </w:p>
    <w:p w14:paraId="567EC456" w14:textId="35F36BD5" w:rsidR="001A1FCD" w:rsidRDefault="001A1FCD" w:rsidP="007C48E6">
      <w:pPr>
        <w:ind w:left="360"/>
        <w:rPr>
          <w:rFonts w:ascii="Calibri" w:hAnsi="Calibri" w:cs="Calibri"/>
          <w:sz w:val="32"/>
          <w:szCs w:val="32"/>
        </w:rPr>
      </w:pPr>
      <w:r>
        <w:rPr>
          <w:rFonts w:ascii="Calibri" w:hAnsi="Calibri" w:cs="Calibri"/>
          <w:sz w:val="32"/>
          <w:szCs w:val="32"/>
        </w:rPr>
        <w:t>These cases established</w:t>
      </w:r>
      <w:r w:rsidR="001F318D">
        <w:rPr>
          <w:rFonts w:ascii="Calibri" w:hAnsi="Calibri" w:cs="Calibri"/>
          <w:sz w:val="32"/>
          <w:szCs w:val="32"/>
        </w:rPr>
        <w:t xml:space="preserve"> the framework</w:t>
      </w:r>
      <w:r w:rsidR="00694703">
        <w:rPr>
          <w:rFonts w:ascii="Calibri" w:hAnsi="Calibri" w:cs="Calibri"/>
          <w:sz w:val="32"/>
          <w:szCs w:val="32"/>
        </w:rPr>
        <w:t xml:space="preserve"> for</w:t>
      </w:r>
      <w:r w:rsidR="008334E7">
        <w:rPr>
          <w:rFonts w:ascii="Calibri" w:hAnsi="Calibri" w:cs="Calibri"/>
          <w:sz w:val="32"/>
          <w:szCs w:val="32"/>
        </w:rPr>
        <w:t xml:space="preserve"> determining dishonesty, with Ivey emphasizing an objective standard based on the perception</w:t>
      </w:r>
      <w:r w:rsidR="00321C91">
        <w:rPr>
          <w:rFonts w:ascii="Calibri" w:hAnsi="Calibri" w:cs="Calibri"/>
          <w:sz w:val="32"/>
          <w:szCs w:val="32"/>
        </w:rPr>
        <w:t xml:space="preserve">s of ordinary, reasonable people. Additionally, recent cases like Barton and Booth v R </w:t>
      </w:r>
      <w:r w:rsidR="000323A9">
        <w:rPr>
          <w:rFonts w:ascii="Calibri" w:hAnsi="Calibri" w:cs="Calibri"/>
          <w:sz w:val="32"/>
          <w:szCs w:val="32"/>
        </w:rPr>
        <w:t>(2020)</w:t>
      </w:r>
      <w:r w:rsidR="0056517A">
        <w:rPr>
          <w:rFonts w:ascii="Calibri" w:hAnsi="Calibri" w:cs="Calibri"/>
          <w:sz w:val="32"/>
          <w:szCs w:val="32"/>
        </w:rPr>
        <w:t xml:space="preserve"> EWCA Crim 575</w:t>
      </w:r>
      <w:r w:rsidR="002B307D">
        <w:rPr>
          <w:rFonts w:ascii="Calibri" w:hAnsi="Calibri" w:cs="Calibri"/>
          <w:sz w:val="32"/>
          <w:szCs w:val="32"/>
        </w:rPr>
        <w:t xml:space="preserve"> continue to contribute to the evolving understanding of dishonesty within the context</w:t>
      </w:r>
      <w:r w:rsidR="005C3FDB">
        <w:rPr>
          <w:rFonts w:ascii="Calibri" w:hAnsi="Calibri" w:cs="Calibri"/>
          <w:sz w:val="32"/>
          <w:szCs w:val="32"/>
        </w:rPr>
        <w:t xml:space="preserve"> of theft offenses. Overall, dishonesty remains a central element in establishing liability for theft under UK law.</w:t>
      </w:r>
    </w:p>
    <w:p w14:paraId="2EC64E49" w14:textId="77777777" w:rsidR="00D4450D" w:rsidRDefault="00D4450D" w:rsidP="007C48E6">
      <w:pPr>
        <w:ind w:left="360"/>
        <w:rPr>
          <w:rFonts w:ascii="Calibri" w:hAnsi="Calibri" w:cs="Calibri"/>
          <w:sz w:val="32"/>
          <w:szCs w:val="32"/>
        </w:rPr>
      </w:pPr>
    </w:p>
    <w:p w14:paraId="4DE49C84" w14:textId="77777777" w:rsidR="00D4450D" w:rsidRDefault="00D4450D" w:rsidP="007C48E6">
      <w:pPr>
        <w:ind w:left="360"/>
        <w:rPr>
          <w:rFonts w:ascii="Calibri" w:hAnsi="Calibri" w:cs="Calibri"/>
          <w:sz w:val="32"/>
          <w:szCs w:val="32"/>
        </w:rPr>
      </w:pPr>
    </w:p>
    <w:p w14:paraId="1F1378F2" w14:textId="08B61F8A" w:rsidR="00E24933" w:rsidRPr="007C48E6" w:rsidRDefault="003D4B1B" w:rsidP="007C48E6">
      <w:pPr>
        <w:ind w:left="360"/>
        <w:rPr>
          <w:rFonts w:ascii="Calibri" w:hAnsi="Calibri" w:cs="Calibri"/>
          <w:sz w:val="32"/>
          <w:szCs w:val="32"/>
        </w:rPr>
      </w:pPr>
      <w:r>
        <w:rPr>
          <w:rFonts w:ascii="Calibri" w:hAnsi="Calibri" w:cs="Calibri"/>
          <w:sz w:val="32"/>
          <w:szCs w:val="32"/>
        </w:rPr>
        <w:t xml:space="preserve"> </w:t>
      </w:r>
    </w:p>
    <w:p w14:paraId="59D53014" w14:textId="4864A219" w:rsidR="009D7E7B" w:rsidRDefault="00C529A1">
      <w:pPr>
        <w:rPr>
          <w:rFonts w:ascii="Calibri" w:hAnsi="Calibri" w:cs="Calibri"/>
          <w:sz w:val="32"/>
          <w:szCs w:val="32"/>
        </w:rPr>
      </w:pPr>
      <w:r>
        <w:rPr>
          <w:rFonts w:ascii="Calibri" w:hAnsi="Calibri" w:cs="Calibri"/>
          <w:sz w:val="32"/>
          <w:szCs w:val="32"/>
        </w:rPr>
        <w:t>Bo, Wang</w:t>
      </w:r>
      <w:r w:rsidR="00817703">
        <w:rPr>
          <w:rFonts w:ascii="Calibri" w:hAnsi="Calibri" w:cs="Calibri"/>
          <w:sz w:val="32"/>
          <w:szCs w:val="32"/>
        </w:rPr>
        <w:t>, volume 86, issue 1</w:t>
      </w:r>
      <w:r w:rsidR="003A432D">
        <w:rPr>
          <w:rFonts w:ascii="Calibri" w:hAnsi="Calibri" w:cs="Calibri"/>
          <w:sz w:val="32"/>
          <w:szCs w:val="32"/>
        </w:rPr>
        <w:t>.</w:t>
      </w:r>
    </w:p>
    <w:p w14:paraId="1492057C" w14:textId="1CC83C04" w:rsidR="005A32D1" w:rsidRDefault="0024799E">
      <w:pPr>
        <w:rPr>
          <w:rFonts w:ascii="Calibri" w:hAnsi="Calibri" w:cs="Calibri"/>
          <w:sz w:val="32"/>
          <w:szCs w:val="32"/>
        </w:rPr>
      </w:pPr>
      <w:r>
        <w:rPr>
          <w:rFonts w:ascii="Calibri" w:hAnsi="Calibri" w:cs="Calibri"/>
          <w:sz w:val="32"/>
          <w:szCs w:val="32"/>
        </w:rPr>
        <w:t>Micheal</w:t>
      </w:r>
      <w:r w:rsidR="00B5045D">
        <w:rPr>
          <w:rFonts w:ascii="Calibri" w:hAnsi="Calibri" w:cs="Calibri"/>
          <w:sz w:val="32"/>
          <w:szCs w:val="32"/>
        </w:rPr>
        <w:t>,</w:t>
      </w:r>
      <w:r w:rsidR="004148AA">
        <w:rPr>
          <w:rFonts w:ascii="Calibri" w:hAnsi="Calibri" w:cs="Calibri"/>
          <w:sz w:val="32"/>
          <w:szCs w:val="32"/>
        </w:rPr>
        <w:t xml:space="preserve"> Bohlander</w:t>
      </w:r>
      <w:r w:rsidR="00C101C7">
        <w:rPr>
          <w:rFonts w:ascii="Calibri" w:hAnsi="Calibri" w:cs="Calibri"/>
          <w:sz w:val="32"/>
          <w:szCs w:val="32"/>
        </w:rPr>
        <w:t>, volume</w:t>
      </w:r>
      <w:r w:rsidR="003141C0">
        <w:rPr>
          <w:rFonts w:ascii="Calibri" w:hAnsi="Calibri" w:cs="Calibri"/>
          <w:sz w:val="32"/>
          <w:szCs w:val="32"/>
        </w:rPr>
        <w:t xml:space="preserve"> 86, issue 3</w:t>
      </w:r>
      <w:r w:rsidR="004E6C83">
        <w:rPr>
          <w:rFonts w:ascii="Calibri" w:hAnsi="Calibri" w:cs="Calibri"/>
          <w:sz w:val="32"/>
          <w:szCs w:val="32"/>
        </w:rPr>
        <w:t>, (July 27</w:t>
      </w:r>
      <w:proofErr w:type="gramStart"/>
      <w:r w:rsidR="00B202EC">
        <w:rPr>
          <w:rFonts w:ascii="Calibri" w:hAnsi="Calibri" w:cs="Calibri"/>
          <w:sz w:val="32"/>
          <w:szCs w:val="32"/>
        </w:rPr>
        <w:t xml:space="preserve"> 2021</w:t>
      </w:r>
      <w:proofErr w:type="gramEnd"/>
      <w:r w:rsidR="00B202EC">
        <w:rPr>
          <w:rFonts w:ascii="Calibri" w:hAnsi="Calibri" w:cs="Calibri"/>
          <w:sz w:val="32"/>
          <w:szCs w:val="32"/>
        </w:rPr>
        <w:t>)</w:t>
      </w:r>
    </w:p>
    <w:p w14:paraId="7036250A" w14:textId="1C172EBE" w:rsidR="005A32D1" w:rsidRDefault="005A32D1">
      <w:pPr>
        <w:rPr>
          <w:rFonts w:ascii="Calibri" w:hAnsi="Calibri" w:cs="Calibri"/>
          <w:sz w:val="32"/>
          <w:szCs w:val="32"/>
        </w:rPr>
      </w:pPr>
      <w:r>
        <w:rPr>
          <w:rFonts w:ascii="Calibri" w:hAnsi="Calibri" w:cs="Calibri"/>
          <w:sz w:val="32"/>
          <w:szCs w:val="32"/>
        </w:rPr>
        <w:t>www.criminalsolicitor.co.uk</w:t>
      </w:r>
    </w:p>
    <w:p w14:paraId="14D4A50F" w14:textId="270DB218" w:rsidR="005A32D1" w:rsidRDefault="005A32D1">
      <w:pPr>
        <w:rPr>
          <w:rFonts w:ascii="Calibri" w:hAnsi="Calibri" w:cs="Calibri"/>
          <w:sz w:val="32"/>
          <w:szCs w:val="32"/>
        </w:rPr>
      </w:pPr>
      <w:r>
        <w:rPr>
          <w:rFonts w:ascii="Calibri" w:hAnsi="Calibri" w:cs="Calibri"/>
          <w:sz w:val="32"/>
          <w:szCs w:val="32"/>
        </w:rPr>
        <w:t>Ivey v Genting Casinos (UK) (trading as Crockfords Club) (2017) UKSC 67.</w:t>
      </w:r>
    </w:p>
    <w:p w14:paraId="6AFDD8AE" w14:textId="23F23534" w:rsidR="005A32D1" w:rsidRDefault="005A32D1">
      <w:pPr>
        <w:rPr>
          <w:rFonts w:ascii="Calibri" w:hAnsi="Calibri" w:cs="Calibri"/>
          <w:sz w:val="32"/>
          <w:szCs w:val="32"/>
        </w:rPr>
      </w:pPr>
      <w:r>
        <w:rPr>
          <w:rFonts w:ascii="Calibri" w:hAnsi="Calibri" w:cs="Calibri"/>
          <w:sz w:val="32"/>
          <w:szCs w:val="32"/>
        </w:rPr>
        <w:t xml:space="preserve">R v </w:t>
      </w:r>
      <w:proofErr w:type="spellStart"/>
      <w:r>
        <w:rPr>
          <w:rFonts w:ascii="Calibri" w:hAnsi="Calibri" w:cs="Calibri"/>
          <w:sz w:val="32"/>
          <w:szCs w:val="32"/>
        </w:rPr>
        <w:t>Jorgee</w:t>
      </w:r>
      <w:proofErr w:type="spellEnd"/>
      <w:r>
        <w:rPr>
          <w:rFonts w:ascii="Calibri" w:hAnsi="Calibri" w:cs="Calibri"/>
          <w:sz w:val="32"/>
          <w:szCs w:val="32"/>
        </w:rPr>
        <w:t xml:space="preserve"> (2016) UKSC 8.</w:t>
      </w:r>
    </w:p>
    <w:p w14:paraId="4C862314" w14:textId="1F3186A2" w:rsidR="00A26746" w:rsidRDefault="00A26746">
      <w:pPr>
        <w:rPr>
          <w:rFonts w:ascii="Calibri" w:hAnsi="Calibri" w:cs="Calibri"/>
          <w:sz w:val="32"/>
          <w:szCs w:val="32"/>
        </w:rPr>
      </w:pPr>
      <w:r>
        <w:rPr>
          <w:rFonts w:ascii="Calibri" w:hAnsi="Calibri" w:cs="Calibri"/>
          <w:sz w:val="32"/>
          <w:szCs w:val="32"/>
        </w:rPr>
        <w:t xml:space="preserve">Richard, </w:t>
      </w:r>
      <w:proofErr w:type="spellStart"/>
      <w:r>
        <w:rPr>
          <w:rFonts w:ascii="Calibri" w:hAnsi="Calibri" w:cs="Calibri"/>
          <w:sz w:val="32"/>
          <w:szCs w:val="32"/>
        </w:rPr>
        <w:t>Sallybanks</w:t>
      </w:r>
      <w:proofErr w:type="spellEnd"/>
      <w:r>
        <w:rPr>
          <w:rFonts w:ascii="Calibri" w:hAnsi="Calibri" w:cs="Calibri"/>
          <w:sz w:val="32"/>
          <w:szCs w:val="32"/>
        </w:rPr>
        <w:t>, Ami, Amin, (BCL partners)</w:t>
      </w:r>
    </w:p>
    <w:p w14:paraId="6C4E5830" w14:textId="1D4BF3A0" w:rsidR="00A26746" w:rsidRDefault="00A26746">
      <w:pPr>
        <w:rPr>
          <w:rFonts w:ascii="Calibri" w:hAnsi="Calibri" w:cs="Calibri"/>
          <w:sz w:val="32"/>
          <w:szCs w:val="32"/>
        </w:rPr>
      </w:pPr>
      <w:r>
        <w:rPr>
          <w:rFonts w:ascii="Calibri" w:hAnsi="Calibri" w:cs="Calibri"/>
          <w:sz w:val="32"/>
          <w:szCs w:val="32"/>
        </w:rPr>
        <w:lastRenderedPageBreak/>
        <w:t>www.bcl.com</w:t>
      </w:r>
    </w:p>
    <w:p w14:paraId="0AE913CC" w14:textId="39F0F75C" w:rsidR="009D7E7B" w:rsidRDefault="009D7E7B">
      <w:pPr>
        <w:rPr>
          <w:rFonts w:ascii="Calibri" w:hAnsi="Calibri" w:cs="Calibri"/>
          <w:sz w:val="32"/>
          <w:szCs w:val="32"/>
        </w:rPr>
      </w:pPr>
      <w:r>
        <w:rPr>
          <w:rFonts w:ascii="Calibri" w:hAnsi="Calibri" w:cs="Calibri"/>
          <w:sz w:val="32"/>
          <w:szCs w:val="32"/>
        </w:rPr>
        <w:t>Barton</w:t>
      </w:r>
      <w:r w:rsidR="00C262FE">
        <w:rPr>
          <w:rFonts w:ascii="Calibri" w:hAnsi="Calibri" w:cs="Calibri"/>
          <w:sz w:val="32"/>
          <w:szCs w:val="32"/>
        </w:rPr>
        <w:t xml:space="preserve"> </w:t>
      </w:r>
      <w:r>
        <w:rPr>
          <w:rFonts w:ascii="Calibri" w:hAnsi="Calibri" w:cs="Calibri"/>
          <w:sz w:val="32"/>
          <w:szCs w:val="32"/>
        </w:rPr>
        <w:t xml:space="preserve">and </w:t>
      </w:r>
      <w:r w:rsidR="00C262FE">
        <w:rPr>
          <w:rFonts w:ascii="Calibri" w:hAnsi="Calibri" w:cs="Calibri"/>
          <w:sz w:val="32"/>
          <w:szCs w:val="32"/>
        </w:rPr>
        <w:t>B</w:t>
      </w:r>
      <w:r>
        <w:rPr>
          <w:rFonts w:ascii="Calibri" w:hAnsi="Calibri" w:cs="Calibri"/>
          <w:sz w:val="32"/>
          <w:szCs w:val="32"/>
        </w:rPr>
        <w:t xml:space="preserve">ooth v </w:t>
      </w:r>
      <w:proofErr w:type="gramStart"/>
      <w:r>
        <w:rPr>
          <w:rFonts w:ascii="Calibri" w:hAnsi="Calibri" w:cs="Calibri"/>
          <w:sz w:val="32"/>
          <w:szCs w:val="32"/>
        </w:rPr>
        <w:t>R</w:t>
      </w:r>
      <w:r w:rsidR="00C262FE">
        <w:rPr>
          <w:rFonts w:ascii="Calibri" w:hAnsi="Calibri" w:cs="Calibri"/>
          <w:sz w:val="32"/>
          <w:szCs w:val="32"/>
        </w:rPr>
        <w:t>(</w:t>
      </w:r>
      <w:proofErr w:type="gramEnd"/>
      <w:r w:rsidR="00C262FE">
        <w:rPr>
          <w:rFonts w:ascii="Calibri" w:hAnsi="Calibri" w:cs="Calibri"/>
          <w:sz w:val="32"/>
          <w:szCs w:val="32"/>
        </w:rPr>
        <w:t>2020) EWCA crim 575</w:t>
      </w:r>
    </w:p>
    <w:p w14:paraId="5ECA5831" w14:textId="0B9C9D33" w:rsidR="00123EC3" w:rsidRDefault="00123EC3">
      <w:pPr>
        <w:rPr>
          <w:rFonts w:ascii="Calibri" w:hAnsi="Calibri" w:cs="Calibri"/>
          <w:sz w:val="32"/>
          <w:szCs w:val="32"/>
        </w:rPr>
      </w:pPr>
      <w:r>
        <w:rPr>
          <w:rFonts w:ascii="Calibri" w:hAnsi="Calibri" w:cs="Calibri"/>
          <w:sz w:val="32"/>
          <w:szCs w:val="32"/>
        </w:rPr>
        <w:t>The Theft Act 1968</w:t>
      </w:r>
    </w:p>
    <w:p w14:paraId="59DC7874" w14:textId="5A1219F9" w:rsidR="00123EC3" w:rsidRDefault="00123EC3">
      <w:pPr>
        <w:rPr>
          <w:rFonts w:ascii="Calibri" w:hAnsi="Calibri" w:cs="Calibri"/>
          <w:sz w:val="32"/>
          <w:szCs w:val="32"/>
        </w:rPr>
      </w:pPr>
      <w:r>
        <w:rPr>
          <w:rFonts w:ascii="Calibri" w:hAnsi="Calibri" w:cs="Calibri"/>
          <w:sz w:val="32"/>
          <w:szCs w:val="32"/>
        </w:rPr>
        <w:t>R v Ghosh (1982)</w:t>
      </w:r>
    </w:p>
    <w:p w14:paraId="2E9EE596" w14:textId="7B75268F" w:rsidR="00123EC3" w:rsidRDefault="00123EC3">
      <w:pPr>
        <w:rPr>
          <w:rFonts w:ascii="Calibri" w:hAnsi="Calibri" w:cs="Calibri"/>
          <w:sz w:val="32"/>
          <w:szCs w:val="32"/>
        </w:rPr>
      </w:pPr>
      <w:r>
        <w:rPr>
          <w:rFonts w:ascii="Calibri" w:hAnsi="Calibri" w:cs="Calibri"/>
          <w:sz w:val="32"/>
          <w:szCs w:val="32"/>
        </w:rPr>
        <w:t>Ivey v Genting Casinos UK Ltd (2017)</w:t>
      </w:r>
    </w:p>
    <w:p w14:paraId="068CFA94" w14:textId="77777777" w:rsidR="00740C0B" w:rsidRPr="00F43918" w:rsidRDefault="00740C0B">
      <w:pPr>
        <w:rPr>
          <w:rFonts w:ascii="Calibri" w:hAnsi="Calibri" w:cs="Calibri"/>
          <w:sz w:val="32"/>
          <w:szCs w:val="32"/>
        </w:rPr>
      </w:pPr>
    </w:p>
    <w:sectPr w:rsidR="00740C0B" w:rsidRPr="00F439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A545D6"/>
    <w:multiLevelType w:val="hybridMultilevel"/>
    <w:tmpl w:val="C4FA37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22500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918"/>
    <w:rsid w:val="000253D0"/>
    <w:rsid w:val="000323A9"/>
    <w:rsid w:val="00034408"/>
    <w:rsid w:val="00052540"/>
    <w:rsid w:val="00072ADC"/>
    <w:rsid w:val="000A20FD"/>
    <w:rsid w:val="000B15B0"/>
    <w:rsid w:val="001037D2"/>
    <w:rsid w:val="00123EC3"/>
    <w:rsid w:val="00166C45"/>
    <w:rsid w:val="00182CA7"/>
    <w:rsid w:val="0018740A"/>
    <w:rsid w:val="00192095"/>
    <w:rsid w:val="001945AE"/>
    <w:rsid w:val="001A1FCD"/>
    <w:rsid w:val="001F318D"/>
    <w:rsid w:val="0024799E"/>
    <w:rsid w:val="0027583A"/>
    <w:rsid w:val="002949CB"/>
    <w:rsid w:val="002A1A72"/>
    <w:rsid w:val="002B307D"/>
    <w:rsid w:val="002C249E"/>
    <w:rsid w:val="003141C0"/>
    <w:rsid w:val="00321C91"/>
    <w:rsid w:val="0035627B"/>
    <w:rsid w:val="00376E54"/>
    <w:rsid w:val="003776F4"/>
    <w:rsid w:val="00394D48"/>
    <w:rsid w:val="003A432D"/>
    <w:rsid w:val="003B17E6"/>
    <w:rsid w:val="003C2513"/>
    <w:rsid w:val="003C7A56"/>
    <w:rsid w:val="003D4B1B"/>
    <w:rsid w:val="004148AA"/>
    <w:rsid w:val="00470F55"/>
    <w:rsid w:val="00495F40"/>
    <w:rsid w:val="004A228F"/>
    <w:rsid w:val="004E6C83"/>
    <w:rsid w:val="005135AF"/>
    <w:rsid w:val="00520495"/>
    <w:rsid w:val="00552831"/>
    <w:rsid w:val="00553A47"/>
    <w:rsid w:val="0056517A"/>
    <w:rsid w:val="005818CF"/>
    <w:rsid w:val="00582982"/>
    <w:rsid w:val="005A2823"/>
    <w:rsid w:val="005A32D1"/>
    <w:rsid w:val="005C3FDB"/>
    <w:rsid w:val="005D6C77"/>
    <w:rsid w:val="005F4477"/>
    <w:rsid w:val="0067008A"/>
    <w:rsid w:val="00694703"/>
    <w:rsid w:val="00740C0B"/>
    <w:rsid w:val="007922EF"/>
    <w:rsid w:val="007C48E6"/>
    <w:rsid w:val="007F448B"/>
    <w:rsid w:val="00803352"/>
    <w:rsid w:val="00817703"/>
    <w:rsid w:val="008334E7"/>
    <w:rsid w:val="00861513"/>
    <w:rsid w:val="00864B30"/>
    <w:rsid w:val="008A73BF"/>
    <w:rsid w:val="008A7D0A"/>
    <w:rsid w:val="008B539F"/>
    <w:rsid w:val="008F019A"/>
    <w:rsid w:val="00915ACE"/>
    <w:rsid w:val="00921813"/>
    <w:rsid w:val="00953C61"/>
    <w:rsid w:val="00985A8D"/>
    <w:rsid w:val="0099197B"/>
    <w:rsid w:val="00996D1E"/>
    <w:rsid w:val="009A004C"/>
    <w:rsid w:val="009D1E9C"/>
    <w:rsid w:val="009D7E7B"/>
    <w:rsid w:val="00A20DD4"/>
    <w:rsid w:val="00A26746"/>
    <w:rsid w:val="00A74C5D"/>
    <w:rsid w:val="00A97ADE"/>
    <w:rsid w:val="00AB48BC"/>
    <w:rsid w:val="00AD0A59"/>
    <w:rsid w:val="00B202EC"/>
    <w:rsid w:val="00B40A31"/>
    <w:rsid w:val="00B5045D"/>
    <w:rsid w:val="00B94339"/>
    <w:rsid w:val="00BB22FC"/>
    <w:rsid w:val="00BB2C54"/>
    <w:rsid w:val="00BC4937"/>
    <w:rsid w:val="00BE6EC6"/>
    <w:rsid w:val="00BF023F"/>
    <w:rsid w:val="00C024B7"/>
    <w:rsid w:val="00C101C7"/>
    <w:rsid w:val="00C11656"/>
    <w:rsid w:val="00C262FE"/>
    <w:rsid w:val="00C34044"/>
    <w:rsid w:val="00C529A1"/>
    <w:rsid w:val="00C658C5"/>
    <w:rsid w:val="00D31316"/>
    <w:rsid w:val="00D4450D"/>
    <w:rsid w:val="00DA38BA"/>
    <w:rsid w:val="00DA7B55"/>
    <w:rsid w:val="00DB7EF5"/>
    <w:rsid w:val="00E01BDF"/>
    <w:rsid w:val="00E24933"/>
    <w:rsid w:val="00E61196"/>
    <w:rsid w:val="00EA1E24"/>
    <w:rsid w:val="00F21985"/>
    <w:rsid w:val="00F409FB"/>
    <w:rsid w:val="00F43918"/>
    <w:rsid w:val="00FA50DE"/>
    <w:rsid w:val="00FC768A"/>
    <w:rsid w:val="00FD57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762B30"/>
  <w15:chartTrackingRefBased/>
  <w15:docId w15:val="{2E267C80-42D7-4A22-AA21-D43B4A7DFD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39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39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39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39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39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39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39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39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39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39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39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39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39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39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39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39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39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3918"/>
    <w:rPr>
      <w:rFonts w:eastAsiaTheme="majorEastAsia" w:cstheme="majorBidi"/>
      <w:color w:val="272727" w:themeColor="text1" w:themeTint="D8"/>
    </w:rPr>
  </w:style>
  <w:style w:type="paragraph" w:styleId="Title">
    <w:name w:val="Title"/>
    <w:basedOn w:val="Normal"/>
    <w:next w:val="Normal"/>
    <w:link w:val="TitleChar"/>
    <w:uiPriority w:val="10"/>
    <w:qFormat/>
    <w:rsid w:val="00F439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39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39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39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3918"/>
    <w:pPr>
      <w:spacing w:before="160"/>
      <w:jc w:val="center"/>
    </w:pPr>
    <w:rPr>
      <w:i/>
      <w:iCs/>
      <w:color w:val="404040" w:themeColor="text1" w:themeTint="BF"/>
    </w:rPr>
  </w:style>
  <w:style w:type="character" w:customStyle="1" w:styleId="QuoteChar">
    <w:name w:val="Quote Char"/>
    <w:basedOn w:val="DefaultParagraphFont"/>
    <w:link w:val="Quote"/>
    <w:uiPriority w:val="29"/>
    <w:rsid w:val="00F43918"/>
    <w:rPr>
      <w:i/>
      <w:iCs/>
      <w:color w:val="404040" w:themeColor="text1" w:themeTint="BF"/>
    </w:rPr>
  </w:style>
  <w:style w:type="paragraph" w:styleId="ListParagraph">
    <w:name w:val="List Paragraph"/>
    <w:basedOn w:val="Normal"/>
    <w:uiPriority w:val="34"/>
    <w:qFormat/>
    <w:rsid w:val="00F43918"/>
    <w:pPr>
      <w:ind w:left="720"/>
      <w:contextualSpacing/>
    </w:pPr>
  </w:style>
  <w:style w:type="character" w:styleId="IntenseEmphasis">
    <w:name w:val="Intense Emphasis"/>
    <w:basedOn w:val="DefaultParagraphFont"/>
    <w:uiPriority w:val="21"/>
    <w:qFormat/>
    <w:rsid w:val="00F43918"/>
    <w:rPr>
      <w:i/>
      <w:iCs/>
      <w:color w:val="0F4761" w:themeColor="accent1" w:themeShade="BF"/>
    </w:rPr>
  </w:style>
  <w:style w:type="paragraph" w:styleId="IntenseQuote">
    <w:name w:val="Intense Quote"/>
    <w:basedOn w:val="Normal"/>
    <w:next w:val="Normal"/>
    <w:link w:val="IntenseQuoteChar"/>
    <w:uiPriority w:val="30"/>
    <w:qFormat/>
    <w:rsid w:val="00F439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3918"/>
    <w:rPr>
      <w:i/>
      <w:iCs/>
      <w:color w:val="0F4761" w:themeColor="accent1" w:themeShade="BF"/>
    </w:rPr>
  </w:style>
  <w:style w:type="character" w:styleId="IntenseReference">
    <w:name w:val="Intense Reference"/>
    <w:basedOn w:val="DefaultParagraphFont"/>
    <w:uiPriority w:val="32"/>
    <w:qFormat/>
    <w:rsid w:val="00F4391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1288</TotalTime>
  <Pages>6</Pages>
  <Words>1493</Words>
  <Characters>7779</Characters>
  <Application>Microsoft Office Word</Application>
  <DocSecurity>0</DocSecurity>
  <Lines>160</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richards</dc:creator>
  <cp:keywords/>
  <dc:description/>
  <cp:lastModifiedBy>laura richards</cp:lastModifiedBy>
  <cp:revision>97</cp:revision>
  <dcterms:created xsi:type="dcterms:W3CDTF">2024-04-27T15:17:00Z</dcterms:created>
  <dcterms:modified xsi:type="dcterms:W3CDTF">2024-04-30T10:16:00Z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562083ea-4347-48bf-a152-aef783c6aaa8</vt:lpwstr>
  </property>
</Properties>
</file>