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D0F6E" w14:textId="663A221C" w:rsidR="003A7E59" w:rsidRDefault="003A7E59" w:rsidP="003A7E59">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LCBB5001</w:t>
      </w:r>
    </w:p>
    <w:p w14:paraId="06913E13" w14:textId="77777777" w:rsidR="003A7E59" w:rsidRDefault="000C5A0F" w:rsidP="005F02E9">
      <w:pPr>
        <w:spacing w:line="360" w:lineRule="auto"/>
        <w:jc w:val="center"/>
        <w:rPr>
          <w:rFonts w:ascii="Times New Roman" w:hAnsi="Times New Roman" w:cs="Times New Roman"/>
          <w:b/>
          <w:bCs/>
          <w:sz w:val="28"/>
          <w:szCs w:val="28"/>
        </w:rPr>
      </w:pPr>
      <w:r w:rsidRPr="000C5A0F">
        <w:rPr>
          <w:rFonts w:ascii="Times New Roman" w:hAnsi="Times New Roman" w:cs="Times New Roman"/>
          <w:b/>
          <w:bCs/>
          <w:sz w:val="28"/>
          <w:szCs w:val="28"/>
        </w:rPr>
        <w:t>Entrepreneurship</w:t>
      </w:r>
    </w:p>
    <w:p w14:paraId="3AA66241" w14:textId="7515D202" w:rsidR="000C5A0F" w:rsidRPr="000C5A0F" w:rsidRDefault="003A7E59" w:rsidP="005F02E9">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Assessment 1</w:t>
      </w:r>
      <w:r w:rsidR="000C5A0F" w:rsidRPr="000C5A0F">
        <w:rPr>
          <w:rFonts w:ascii="Times New Roman" w:hAnsi="Times New Roman" w:cs="Times New Roman"/>
          <w:b/>
          <w:bCs/>
          <w:sz w:val="28"/>
          <w:szCs w:val="28"/>
        </w:rPr>
        <w:br w:type="page"/>
      </w:r>
    </w:p>
    <w:sdt>
      <w:sdtPr>
        <w:rPr>
          <w:rFonts w:asciiTheme="minorHAnsi" w:eastAsiaTheme="minorHAnsi" w:hAnsiTheme="minorHAnsi" w:cstheme="minorBidi"/>
          <w:b/>
          <w:bCs/>
          <w:i/>
          <w:iCs/>
          <w:color w:val="auto"/>
          <w:sz w:val="36"/>
          <w:szCs w:val="36"/>
        </w:rPr>
        <w:id w:val="278613686"/>
        <w:docPartObj>
          <w:docPartGallery w:val="Table of Contents"/>
          <w:docPartUnique/>
        </w:docPartObj>
      </w:sdtPr>
      <w:sdtEndPr>
        <w:rPr>
          <w:i w:val="0"/>
          <w:iCs w:val="0"/>
          <w:noProof/>
          <w:sz w:val="22"/>
          <w:szCs w:val="22"/>
        </w:rPr>
      </w:sdtEndPr>
      <w:sdtContent>
        <w:p w14:paraId="7FD8BD6E" w14:textId="57699388" w:rsidR="000C5A0F" w:rsidRPr="000C5A0F" w:rsidRDefault="000C5A0F" w:rsidP="005F02E9">
          <w:pPr>
            <w:pStyle w:val="TOCHeading"/>
            <w:spacing w:line="360" w:lineRule="auto"/>
            <w:jc w:val="center"/>
            <w:rPr>
              <w:b/>
              <w:bCs/>
              <w:i/>
              <w:iCs/>
              <w:sz w:val="36"/>
              <w:szCs w:val="36"/>
            </w:rPr>
          </w:pPr>
          <w:r w:rsidRPr="000C5A0F">
            <w:rPr>
              <w:b/>
              <w:bCs/>
              <w:i/>
              <w:iCs/>
              <w:sz w:val="36"/>
              <w:szCs w:val="36"/>
            </w:rPr>
            <w:t>Contents</w:t>
          </w:r>
        </w:p>
        <w:p w14:paraId="33AFBD07" w14:textId="2B0DC6CC" w:rsidR="000C5A0F" w:rsidRPr="005F02E9" w:rsidRDefault="000C5A0F" w:rsidP="005F02E9">
          <w:pPr>
            <w:pStyle w:val="TOC1"/>
            <w:tabs>
              <w:tab w:val="right" w:leader="dot" w:pos="9350"/>
            </w:tabs>
            <w:spacing w:line="360" w:lineRule="auto"/>
            <w:rPr>
              <w:noProof/>
              <w:sz w:val="24"/>
              <w:szCs w:val="24"/>
            </w:rPr>
          </w:pPr>
          <w:r>
            <w:fldChar w:fldCharType="begin"/>
          </w:r>
          <w:r>
            <w:instrText xml:space="preserve"> TOC \o "1-3" \h \z \u </w:instrText>
          </w:r>
          <w:r>
            <w:fldChar w:fldCharType="separate"/>
          </w:r>
          <w:hyperlink w:anchor="_Toc150977002" w:history="1">
            <w:r w:rsidRPr="005F02E9">
              <w:rPr>
                <w:rStyle w:val="Hyperlink"/>
                <w:i/>
                <w:iCs/>
                <w:noProof/>
                <w:sz w:val="24"/>
                <w:szCs w:val="24"/>
              </w:rPr>
              <w:t>1. Business Description / Market Opportunity</w:t>
            </w:r>
            <w:r w:rsidRPr="005F02E9">
              <w:rPr>
                <w:noProof/>
                <w:webHidden/>
                <w:sz w:val="24"/>
                <w:szCs w:val="24"/>
              </w:rPr>
              <w:tab/>
            </w:r>
            <w:r w:rsidRPr="005F02E9">
              <w:rPr>
                <w:noProof/>
                <w:webHidden/>
                <w:sz w:val="24"/>
                <w:szCs w:val="24"/>
              </w:rPr>
              <w:fldChar w:fldCharType="begin"/>
            </w:r>
            <w:r w:rsidRPr="005F02E9">
              <w:rPr>
                <w:noProof/>
                <w:webHidden/>
                <w:sz w:val="24"/>
                <w:szCs w:val="24"/>
              </w:rPr>
              <w:instrText xml:space="preserve"> PAGEREF _Toc150977002 \h </w:instrText>
            </w:r>
            <w:r w:rsidRPr="005F02E9">
              <w:rPr>
                <w:noProof/>
                <w:webHidden/>
                <w:sz w:val="24"/>
                <w:szCs w:val="24"/>
              </w:rPr>
            </w:r>
            <w:r w:rsidRPr="005F02E9">
              <w:rPr>
                <w:noProof/>
                <w:webHidden/>
                <w:sz w:val="24"/>
                <w:szCs w:val="24"/>
              </w:rPr>
              <w:fldChar w:fldCharType="separate"/>
            </w:r>
            <w:r w:rsidRPr="005F02E9">
              <w:rPr>
                <w:noProof/>
                <w:webHidden/>
                <w:sz w:val="24"/>
                <w:szCs w:val="24"/>
              </w:rPr>
              <w:t>3</w:t>
            </w:r>
            <w:r w:rsidRPr="005F02E9">
              <w:rPr>
                <w:noProof/>
                <w:webHidden/>
                <w:sz w:val="24"/>
                <w:szCs w:val="24"/>
              </w:rPr>
              <w:fldChar w:fldCharType="end"/>
            </w:r>
          </w:hyperlink>
        </w:p>
        <w:p w14:paraId="77F38869" w14:textId="4BCD7A2E" w:rsidR="000C5A0F" w:rsidRPr="005F02E9" w:rsidRDefault="00000000" w:rsidP="005F02E9">
          <w:pPr>
            <w:pStyle w:val="TOC2"/>
            <w:tabs>
              <w:tab w:val="right" w:leader="dot" w:pos="9350"/>
            </w:tabs>
            <w:spacing w:line="360" w:lineRule="auto"/>
            <w:rPr>
              <w:noProof/>
              <w:sz w:val="24"/>
              <w:szCs w:val="24"/>
            </w:rPr>
          </w:pPr>
          <w:hyperlink w:anchor="_Toc150977003" w:history="1">
            <w:r w:rsidR="000C5A0F" w:rsidRPr="005F02E9">
              <w:rPr>
                <w:rStyle w:val="Hyperlink"/>
                <w:i/>
                <w:iCs/>
                <w:noProof/>
                <w:sz w:val="24"/>
                <w:szCs w:val="24"/>
              </w:rPr>
              <w:t>Introduction</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_Toc150977003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3</w:t>
            </w:r>
            <w:r w:rsidR="000C5A0F" w:rsidRPr="005F02E9">
              <w:rPr>
                <w:noProof/>
                <w:webHidden/>
                <w:sz w:val="24"/>
                <w:szCs w:val="24"/>
              </w:rPr>
              <w:fldChar w:fldCharType="end"/>
            </w:r>
          </w:hyperlink>
        </w:p>
        <w:p w14:paraId="54C5204D" w14:textId="14AAF032" w:rsidR="000C5A0F" w:rsidRPr="005F02E9" w:rsidRDefault="00000000" w:rsidP="005F02E9">
          <w:pPr>
            <w:pStyle w:val="TOC2"/>
            <w:tabs>
              <w:tab w:val="right" w:leader="dot" w:pos="9350"/>
            </w:tabs>
            <w:spacing w:line="360" w:lineRule="auto"/>
            <w:rPr>
              <w:noProof/>
              <w:sz w:val="24"/>
              <w:szCs w:val="24"/>
            </w:rPr>
          </w:pPr>
          <w:hyperlink w:anchor="_Toc150977004" w:history="1">
            <w:r w:rsidR="000C5A0F" w:rsidRPr="005F02E9">
              <w:rPr>
                <w:rStyle w:val="Hyperlink"/>
                <w:i/>
                <w:iCs/>
                <w:noProof/>
                <w:sz w:val="24"/>
                <w:szCs w:val="24"/>
              </w:rPr>
              <w:t>Mission statement</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_Toc150977004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3</w:t>
            </w:r>
            <w:r w:rsidR="000C5A0F" w:rsidRPr="005F02E9">
              <w:rPr>
                <w:noProof/>
                <w:webHidden/>
                <w:sz w:val="24"/>
                <w:szCs w:val="24"/>
              </w:rPr>
              <w:fldChar w:fldCharType="end"/>
            </w:r>
          </w:hyperlink>
        </w:p>
        <w:p w14:paraId="29750310" w14:textId="598CA7CD" w:rsidR="000C5A0F" w:rsidRPr="005F02E9" w:rsidRDefault="00000000" w:rsidP="005F02E9">
          <w:pPr>
            <w:pStyle w:val="TOC2"/>
            <w:tabs>
              <w:tab w:val="right" w:leader="dot" w:pos="9350"/>
            </w:tabs>
            <w:spacing w:line="360" w:lineRule="auto"/>
            <w:rPr>
              <w:noProof/>
              <w:sz w:val="24"/>
              <w:szCs w:val="24"/>
            </w:rPr>
          </w:pPr>
          <w:hyperlink w:anchor="_Toc150977005" w:history="1">
            <w:r w:rsidR="000C5A0F" w:rsidRPr="005F02E9">
              <w:rPr>
                <w:rStyle w:val="Hyperlink"/>
                <w:i/>
                <w:iCs/>
                <w:noProof/>
                <w:sz w:val="24"/>
                <w:szCs w:val="24"/>
              </w:rPr>
              <w:t>Description of the Product or Service</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_Toc150977005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3</w:t>
            </w:r>
            <w:r w:rsidR="000C5A0F" w:rsidRPr="005F02E9">
              <w:rPr>
                <w:noProof/>
                <w:webHidden/>
                <w:sz w:val="24"/>
                <w:szCs w:val="24"/>
              </w:rPr>
              <w:fldChar w:fldCharType="end"/>
            </w:r>
          </w:hyperlink>
        </w:p>
        <w:p w14:paraId="09035588" w14:textId="315E7631" w:rsidR="000C5A0F" w:rsidRPr="005F02E9" w:rsidRDefault="00000000" w:rsidP="005F02E9">
          <w:pPr>
            <w:pStyle w:val="TOC2"/>
            <w:tabs>
              <w:tab w:val="right" w:leader="dot" w:pos="9350"/>
            </w:tabs>
            <w:spacing w:line="360" w:lineRule="auto"/>
            <w:rPr>
              <w:noProof/>
              <w:sz w:val="24"/>
              <w:szCs w:val="24"/>
            </w:rPr>
          </w:pPr>
          <w:hyperlink w:anchor="_Toc150977006" w:history="1">
            <w:r w:rsidR="000C5A0F" w:rsidRPr="005F02E9">
              <w:rPr>
                <w:rStyle w:val="Hyperlink"/>
                <w:i/>
                <w:iCs/>
                <w:noProof/>
                <w:sz w:val="24"/>
                <w:szCs w:val="24"/>
              </w:rPr>
              <w:t>Intellectual Property Considerations</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_Toc150977006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3</w:t>
            </w:r>
            <w:r w:rsidR="000C5A0F" w:rsidRPr="005F02E9">
              <w:rPr>
                <w:noProof/>
                <w:webHidden/>
                <w:sz w:val="24"/>
                <w:szCs w:val="24"/>
              </w:rPr>
              <w:fldChar w:fldCharType="end"/>
            </w:r>
          </w:hyperlink>
        </w:p>
        <w:p w14:paraId="5FF4F847" w14:textId="364A8F16" w:rsidR="000C5A0F" w:rsidRPr="005F02E9" w:rsidRDefault="00000000" w:rsidP="005F02E9">
          <w:pPr>
            <w:pStyle w:val="TOC2"/>
            <w:tabs>
              <w:tab w:val="right" w:leader="dot" w:pos="9350"/>
            </w:tabs>
            <w:spacing w:line="360" w:lineRule="auto"/>
            <w:rPr>
              <w:noProof/>
              <w:sz w:val="24"/>
              <w:szCs w:val="24"/>
            </w:rPr>
          </w:pPr>
          <w:hyperlink w:anchor="_Toc150977007" w:history="1">
            <w:r w:rsidR="000C5A0F" w:rsidRPr="005F02E9">
              <w:rPr>
                <w:rStyle w:val="Hyperlink"/>
                <w:i/>
                <w:iCs/>
                <w:noProof/>
                <w:sz w:val="24"/>
                <w:szCs w:val="24"/>
              </w:rPr>
              <w:t>Important legal considerations and ownership structures</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_Toc150977007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4</w:t>
            </w:r>
            <w:r w:rsidR="000C5A0F" w:rsidRPr="005F02E9">
              <w:rPr>
                <w:noProof/>
                <w:webHidden/>
                <w:sz w:val="24"/>
                <w:szCs w:val="24"/>
              </w:rPr>
              <w:fldChar w:fldCharType="end"/>
            </w:r>
          </w:hyperlink>
        </w:p>
        <w:p w14:paraId="53E5ACA2" w14:textId="7EEDD41B" w:rsidR="000C5A0F" w:rsidRPr="005F02E9" w:rsidRDefault="00000000" w:rsidP="005F02E9">
          <w:pPr>
            <w:pStyle w:val="TOC1"/>
            <w:tabs>
              <w:tab w:val="right" w:leader="dot" w:pos="9350"/>
            </w:tabs>
            <w:spacing w:line="360" w:lineRule="auto"/>
            <w:rPr>
              <w:noProof/>
              <w:sz w:val="24"/>
              <w:szCs w:val="24"/>
            </w:rPr>
          </w:pPr>
          <w:hyperlink w:anchor="_Toc150977008" w:history="1">
            <w:r w:rsidR="000C5A0F" w:rsidRPr="005F02E9">
              <w:rPr>
                <w:rStyle w:val="Hyperlink"/>
                <w:i/>
                <w:iCs/>
                <w:noProof/>
                <w:sz w:val="24"/>
                <w:szCs w:val="24"/>
              </w:rPr>
              <w:t>2. Industry Analysis</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_Toc150977008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4</w:t>
            </w:r>
            <w:r w:rsidR="000C5A0F" w:rsidRPr="005F02E9">
              <w:rPr>
                <w:noProof/>
                <w:webHidden/>
                <w:sz w:val="24"/>
                <w:szCs w:val="24"/>
              </w:rPr>
              <w:fldChar w:fldCharType="end"/>
            </w:r>
          </w:hyperlink>
        </w:p>
        <w:p w14:paraId="2D1CB1D2" w14:textId="25C4A430" w:rsidR="000C5A0F" w:rsidRPr="005F02E9" w:rsidRDefault="00000000" w:rsidP="005F02E9">
          <w:pPr>
            <w:pStyle w:val="TOC2"/>
            <w:tabs>
              <w:tab w:val="right" w:leader="dot" w:pos="9350"/>
            </w:tabs>
            <w:spacing w:line="360" w:lineRule="auto"/>
            <w:rPr>
              <w:noProof/>
              <w:sz w:val="24"/>
              <w:szCs w:val="24"/>
            </w:rPr>
          </w:pPr>
          <w:hyperlink w:anchor="_Toc150977009" w:history="1">
            <w:r w:rsidR="000C5A0F" w:rsidRPr="005F02E9">
              <w:rPr>
                <w:rStyle w:val="Hyperlink"/>
                <w:i/>
                <w:iCs/>
                <w:noProof/>
                <w:sz w:val="24"/>
                <w:szCs w:val="24"/>
              </w:rPr>
              <w:t>General industry description</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_Toc150977009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4</w:t>
            </w:r>
            <w:r w:rsidR="000C5A0F" w:rsidRPr="005F02E9">
              <w:rPr>
                <w:noProof/>
                <w:webHidden/>
                <w:sz w:val="24"/>
                <w:szCs w:val="24"/>
              </w:rPr>
              <w:fldChar w:fldCharType="end"/>
            </w:r>
          </w:hyperlink>
        </w:p>
        <w:p w14:paraId="40DE9F81" w14:textId="1A41A753" w:rsidR="000C5A0F" w:rsidRPr="005F02E9" w:rsidRDefault="00000000" w:rsidP="005F02E9">
          <w:pPr>
            <w:pStyle w:val="TOC2"/>
            <w:tabs>
              <w:tab w:val="right" w:leader="dot" w:pos="9350"/>
            </w:tabs>
            <w:spacing w:line="360" w:lineRule="auto"/>
            <w:rPr>
              <w:noProof/>
              <w:sz w:val="24"/>
              <w:szCs w:val="24"/>
            </w:rPr>
          </w:pPr>
          <w:hyperlink w:anchor="_Toc150977010" w:history="1">
            <w:r w:rsidR="000C5A0F" w:rsidRPr="005F02E9">
              <w:rPr>
                <w:rStyle w:val="Hyperlink"/>
                <w:i/>
                <w:iCs/>
                <w:noProof/>
                <w:sz w:val="24"/>
                <w:szCs w:val="24"/>
              </w:rPr>
              <w:t>VRIO test</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_Toc150977010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4</w:t>
            </w:r>
            <w:r w:rsidR="000C5A0F" w:rsidRPr="005F02E9">
              <w:rPr>
                <w:noProof/>
                <w:webHidden/>
                <w:sz w:val="24"/>
                <w:szCs w:val="24"/>
              </w:rPr>
              <w:fldChar w:fldCharType="end"/>
            </w:r>
          </w:hyperlink>
        </w:p>
        <w:p w14:paraId="3799E604" w14:textId="315E94D5" w:rsidR="000C5A0F" w:rsidRPr="005F02E9" w:rsidRDefault="00000000" w:rsidP="005F02E9">
          <w:pPr>
            <w:pStyle w:val="TOC2"/>
            <w:tabs>
              <w:tab w:val="right" w:leader="dot" w:pos="9350"/>
            </w:tabs>
            <w:spacing w:line="360" w:lineRule="auto"/>
            <w:rPr>
              <w:noProof/>
              <w:sz w:val="24"/>
              <w:szCs w:val="24"/>
            </w:rPr>
          </w:pPr>
          <w:hyperlink w:anchor="_Toc150977011" w:history="1">
            <w:r w:rsidR="000C5A0F" w:rsidRPr="005F02E9">
              <w:rPr>
                <w:rStyle w:val="Hyperlink"/>
                <w:i/>
                <w:iCs/>
                <w:noProof/>
                <w:sz w:val="24"/>
                <w:szCs w:val="24"/>
              </w:rPr>
              <w:t>Porter's Five Forces analysis.</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_Toc150977011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4</w:t>
            </w:r>
            <w:r w:rsidR="000C5A0F" w:rsidRPr="005F02E9">
              <w:rPr>
                <w:noProof/>
                <w:webHidden/>
                <w:sz w:val="24"/>
                <w:szCs w:val="24"/>
              </w:rPr>
              <w:fldChar w:fldCharType="end"/>
            </w:r>
          </w:hyperlink>
        </w:p>
        <w:p w14:paraId="2619EC3D" w14:textId="43542D86" w:rsidR="000C5A0F" w:rsidRPr="005F02E9" w:rsidRDefault="00000000" w:rsidP="005F02E9">
          <w:pPr>
            <w:pStyle w:val="TOC2"/>
            <w:tabs>
              <w:tab w:val="right" w:leader="dot" w:pos="9350"/>
            </w:tabs>
            <w:spacing w:line="360" w:lineRule="auto"/>
            <w:rPr>
              <w:noProof/>
              <w:sz w:val="24"/>
              <w:szCs w:val="24"/>
            </w:rPr>
          </w:pPr>
          <w:hyperlink w:anchor="_Toc150977012" w:history="1">
            <w:r w:rsidR="000C5A0F" w:rsidRPr="005F02E9">
              <w:rPr>
                <w:rStyle w:val="Hyperlink"/>
                <w:i/>
                <w:iCs/>
                <w:noProof/>
                <w:sz w:val="24"/>
                <w:szCs w:val="24"/>
              </w:rPr>
              <w:t>Competitors analysis</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_Toc150977012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5</w:t>
            </w:r>
            <w:r w:rsidR="000C5A0F" w:rsidRPr="005F02E9">
              <w:rPr>
                <w:noProof/>
                <w:webHidden/>
                <w:sz w:val="24"/>
                <w:szCs w:val="24"/>
              </w:rPr>
              <w:fldChar w:fldCharType="end"/>
            </w:r>
          </w:hyperlink>
        </w:p>
        <w:p w14:paraId="4B88B042" w14:textId="514912B0" w:rsidR="000C5A0F" w:rsidRPr="005F02E9" w:rsidRDefault="00000000" w:rsidP="005F02E9">
          <w:pPr>
            <w:pStyle w:val="TOC1"/>
            <w:tabs>
              <w:tab w:val="right" w:leader="dot" w:pos="9350"/>
            </w:tabs>
            <w:spacing w:line="360" w:lineRule="auto"/>
            <w:rPr>
              <w:noProof/>
              <w:sz w:val="24"/>
              <w:szCs w:val="24"/>
            </w:rPr>
          </w:pPr>
          <w:hyperlink w:anchor="_Toc150977013" w:history="1">
            <w:r w:rsidR="000C5A0F" w:rsidRPr="005F02E9">
              <w:rPr>
                <w:rStyle w:val="Hyperlink"/>
                <w:i/>
                <w:iCs/>
                <w:noProof/>
                <w:sz w:val="24"/>
                <w:szCs w:val="24"/>
              </w:rPr>
              <w:t>3. Operations and Management Team Plan</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_Toc150977013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5</w:t>
            </w:r>
            <w:r w:rsidR="000C5A0F" w:rsidRPr="005F02E9">
              <w:rPr>
                <w:noProof/>
                <w:webHidden/>
                <w:sz w:val="24"/>
                <w:szCs w:val="24"/>
              </w:rPr>
              <w:fldChar w:fldCharType="end"/>
            </w:r>
          </w:hyperlink>
        </w:p>
        <w:p w14:paraId="55DEB47C" w14:textId="7E5B90F6" w:rsidR="000C5A0F" w:rsidRPr="005F02E9" w:rsidRDefault="00000000" w:rsidP="005F02E9">
          <w:pPr>
            <w:pStyle w:val="TOC2"/>
            <w:tabs>
              <w:tab w:val="right" w:leader="dot" w:pos="9350"/>
            </w:tabs>
            <w:spacing w:line="360" w:lineRule="auto"/>
            <w:rPr>
              <w:noProof/>
              <w:sz w:val="24"/>
              <w:szCs w:val="24"/>
            </w:rPr>
          </w:pPr>
          <w:hyperlink w:anchor="_Toc150977014" w:history="1">
            <w:r w:rsidR="000C5A0F" w:rsidRPr="005F02E9">
              <w:rPr>
                <w:rStyle w:val="Hyperlink"/>
                <w:i/>
                <w:iCs/>
                <w:noProof/>
                <w:sz w:val="24"/>
                <w:szCs w:val="24"/>
              </w:rPr>
              <w:t>Detailed description of business processe</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_Toc150977014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5</w:t>
            </w:r>
            <w:r w:rsidR="000C5A0F" w:rsidRPr="005F02E9">
              <w:rPr>
                <w:noProof/>
                <w:webHidden/>
                <w:sz w:val="24"/>
                <w:szCs w:val="24"/>
              </w:rPr>
              <w:fldChar w:fldCharType="end"/>
            </w:r>
          </w:hyperlink>
        </w:p>
        <w:p w14:paraId="5BBED116" w14:textId="6A7E9350" w:rsidR="000C5A0F" w:rsidRPr="005F02E9" w:rsidRDefault="00000000" w:rsidP="005F02E9">
          <w:pPr>
            <w:pStyle w:val="TOC2"/>
            <w:tabs>
              <w:tab w:val="right" w:leader="dot" w:pos="9350"/>
            </w:tabs>
            <w:spacing w:line="360" w:lineRule="auto"/>
            <w:rPr>
              <w:noProof/>
              <w:sz w:val="24"/>
              <w:szCs w:val="24"/>
            </w:rPr>
          </w:pPr>
          <w:hyperlink w:anchor="_Toc150977015" w:history="1">
            <w:r w:rsidR="000C5A0F" w:rsidRPr="005F02E9">
              <w:rPr>
                <w:rStyle w:val="Hyperlink"/>
                <w:i/>
                <w:iCs/>
                <w:noProof/>
                <w:sz w:val="24"/>
                <w:szCs w:val="24"/>
              </w:rPr>
              <w:t>Revenue generation strategies</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_Toc150977015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5</w:t>
            </w:r>
            <w:r w:rsidR="000C5A0F" w:rsidRPr="005F02E9">
              <w:rPr>
                <w:noProof/>
                <w:webHidden/>
                <w:sz w:val="24"/>
                <w:szCs w:val="24"/>
              </w:rPr>
              <w:fldChar w:fldCharType="end"/>
            </w:r>
          </w:hyperlink>
        </w:p>
        <w:p w14:paraId="4268233E" w14:textId="523A85EB" w:rsidR="000C5A0F" w:rsidRPr="005F02E9" w:rsidRDefault="00000000" w:rsidP="005F02E9">
          <w:pPr>
            <w:pStyle w:val="TOC2"/>
            <w:tabs>
              <w:tab w:val="right" w:leader="dot" w:pos="9350"/>
            </w:tabs>
            <w:spacing w:line="360" w:lineRule="auto"/>
            <w:rPr>
              <w:noProof/>
              <w:sz w:val="24"/>
              <w:szCs w:val="24"/>
            </w:rPr>
          </w:pPr>
          <w:hyperlink w:anchor="_Toc150977016" w:history="1">
            <w:r w:rsidR="000C5A0F" w:rsidRPr="005F02E9">
              <w:rPr>
                <w:rStyle w:val="Hyperlink"/>
                <w:i/>
                <w:iCs/>
                <w:noProof/>
                <w:sz w:val="24"/>
                <w:szCs w:val="24"/>
              </w:rPr>
              <w:t>Loss prevention strategies.</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_Toc150977016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6</w:t>
            </w:r>
            <w:r w:rsidR="000C5A0F" w:rsidRPr="005F02E9">
              <w:rPr>
                <w:noProof/>
                <w:webHidden/>
                <w:sz w:val="24"/>
                <w:szCs w:val="24"/>
              </w:rPr>
              <w:fldChar w:fldCharType="end"/>
            </w:r>
          </w:hyperlink>
        </w:p>
        <w:p w14:paraId="301CCABB" w14:textId="068A6C83" w:rsidR="000C5A0F" w:rsidRPr="005F02E9" w:rsidRDefault="00000000" w:rsidP="005F02E9">
          <w:pPr>
            <w:pStyle w:val="TOC2"/>
            <w:tabs>
              <w:tab w:val="right" w:leader="dot" w:pos="9350"/>
            </w:tabs>
            <w:spacing w:line="360" w:lineRule="auto"/>
            <w:rPr>
              <w:noProof/>
              <w:sz w:val="24"/>
              <w:szCs w:val="24"/>
            </w:rPr>
          </w:pPr>
          <w:hyperlink w:anchor="_Toc150977017" w:history="1">
            <w:r w:rsidR="000C5A0F" w:rsidRPr="005F02E9">
              <w:rPr>
                <w:rStyle w:val="Hyperlink"/>
                <w:i/>
                <w:iCs/>
                <w:noProof/>
                <w:sz w:val="24"/>
                <w:szCs w:val="24"/>
              </w:rPr>
              <w:t>Background profiles of the top management team</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_Toc150977017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6</w:t>
            </w:r>
            <w:r w:rsidR="000C5A0F" w:rsidRPr="005F02E9">
              <w:rPr>
                <w:noProof/>
                <w:webHidden/>
                <w:sz w:val="24"/>
                <w:szCs w:val="24"/>
              </w:rPr>
              <w:fldChar w:fldCharType="end"/>
            </w:r>
          </w:hyperlink>
        </w:p>
        <w:p w14:paraId="5B9A2D2A" w14:textId="65C65D57" w:rsidR="000C5A0F" w:rsidRPr="005F02E9" w:rsidRDefault="00000000" w:rsidP="005F02E9">
          <w:pPr>
            <w:pStyle w:val="TOC1"/>
            <w:tabs>
              <w:tab w:val="right" w:leader="dot" w:pos="9350"/>
            </w:tabs>
            <w:spacing w:line="360" w:lineRule="auto"/>
            <w:rPr>
              <w:noProof/>
              <w:sz w:val="24"/>
              <w:szCs w:val="24"/>
            </w:rPr>
          </w:pPr>
          <w:hyperlink w:anchor="_Toc150977018" w:history="1">
            <w:r w:rsidR="000C5A0F" w:rsidRPr="005F02E9">
              <w:rPr>
                <w:rStyle w:val="Hyperlink"/>
                <w:i/>
                <w:iCs/>
                <w:noProof/>
                <w:sz w:val="24"/>
                <w:szCs w:val="24"/>
              </w:rPr>
              <w:t>4. Marketing strategy</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_Toc150977018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7</w:t>
            </w:r>
            <w:r w:rsidR="000C5A0F" w:rsidRPr="005F02E9">
              <w:rPr>
                <w:noProof/>
                <w:webHidden/>
                <w:sz w:val="24"/>
                <w:szCs w:val="24"/>
              </w:rPr>
              <w:fldChar w:fldCharType="end"/>
            </w:r>
          </w:hyperlink>
        </w:p>
        <w:p w14:paraId="44C39E2B" w14:textId="22A660F9" w:rsidR="000C5A0F" w:rsidRPr="005F02E9" w:rsidRDefault="00000000" w:rsidP="005F02E9">
          <w:pPr>
            <w:pStyle w:val="TOC2"/>
            <w:tabs>
              <w:tab w:val="right" w:leader="dot" w:pos="9350"/>
            </w:tabs>
            <w:spacing w:line="360" w:lineRule="auto"/>
            <w:rPr>
              <w:noProof/>
              <w:sz w:val="24"/>
              <w:szCs w:val="24"/>
            </w:rPr>
          </w:pPr>
          <w:hyperlink w:anchor="_Toc150977019" w:history="1">
            <w:r w:rsidR="000C5A0F" w:rsidRPr="005F02E9">
              <w:rPr>
                <w:rStyle w:val="Hyperlink"/>
                <w:i/>
                <w:iCs/>
                <w:noProof/>
                <w:sz w:val="24"/>
                <w:szCs w:val="24"/>
              </w:rPr>
              <w:t>Marketing Mix</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_Toc150977019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7</w:t>
            </w:r>
            <w:r w:rsidR="000C5A0F" w:rsidRPr="005F02E9">
              <w:rPr>
                <w:noProof/>
                <w:webHidden/>
                <w:sz w:val="24"/>
                <w:szCs w:val="24"/>
              </w:rPr>
              <w:fldChar w:fldCharType="end"/>
            </w:r>
          </w:hyperlink>
        </w:p>
        <w:p w14:paraId="1F979F68" w14:textId="013AA061" w:rsidR="000C5A0F" w:rsidRPr="005F02E9" w:rsidRDefault="00000000" w:rsidP="005F02E9">
          <w:pPr>
            <w:pStyle w:val="TOC2"/>
            <w:tabs>
              <w:tab w:val="right" w:leader="dot" w:pos="9350"/>
            </w:tabs>
            <w:spacing w:line="360" w:lineRule="auto"/>
            <w:rPr>
              <w:noProof/>
              <w:sz w:val="24"/>
              <w:szCs w:val="24"/>
            </w:rPr>
          </w:pPr>
          <w:hyperlink w:anchor="_Toc150977020" w:history="1">
            <w:r w:rsidR="000C5A0F" w:rsidRPr="005F02E9">
              <w:rPr>
                <w:rStyle w:val="Hyperlink"/>
                <w:i/>
                <w:iCs/>
                <w:noProof/>
                <w:sz w:val="24"/>
                <w:szCs w:val="24"/>
              </w:rPr>
              <w:t>Market positioning and differentiation.</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_Toc150977020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7</w:t>
            </w:r>
            <w:r w:rsidR="000C5A0F" w:rsidRPr="005F02E9">
              <w:rPr>
                <w:noProof/>
                <w:webHidden/>
                <w:sz w:val="24"/>
                <w:szCs w:val="24"/>
              </w:rPr>
              <w:fldChar w:fldCharType="end"/>
            </w:r>
          </w:hyperlink>
        </w:p>
        <w:p w14:paraId="16CB0CB6" w14:textId="038DEB34" w:rsidR="000C5A0F" w:rsidRPr="005F02E9" w:rsidRDefault="00000000" w:rsidP="005F02E9">
          <w:pPr>
            <w:pStyle w:val="TOC2"/>
            <w:tabs>
              <w:tab w:val="right" w:leader="dot" w:pos="9350"/>
            </w:tabs>
            <w:spacing w:line="360" w:lineRule="auto"/>
            <w:rPr>
              <w:noProof/>
              <w:sz w:val="24"/>
              <w:szCs w:val="24"/>
            </w:rPr>
          </w:pPr>
          <w:hyperlink w:anchor="_Toc150977021" w:history="1">
            <w:r w:rsidR="000C5A0F" w:rsidRPr="005F02E9">
              <w:rPr>
                <w:rStyle w:val="Hyperlink"/>
                <w:i/>
                <w:iCs/>
                <w:noProof/>
                <w:sz w:val="24"/>
                <w:szCs w:val="24"/>
              </w:rPr>
              <w:t>Sales strategies.</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_Toc150977021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7</w:t>
            </w:r>
            <w:r w:rsidR="000C5A0F" w:rsidRPr="005F02E9">
              <w:rPr>
                <w:noProof/>
                <w:webHidden/>
                <w:sz w:val="24"/>
                <w:szCs w:val="24"/>
              </w:rPr>
              <w:fldChar w:fldCharType="end"/>
            </w:r>
          </w:hyperlink>
        </w:p>
        <w:p w14:paraId="06B350E0" w14:textId="23FDB746" w:rsidR="000C5A0F" w:rsidRPr="005F02E9" w:rsidRDefault="00000000" w:rsidP="005F02E9">
          <w:pPr>
            <w:pStyle w:val="TOC1"/>
            <w:tabs>
              <w:tab w:val="right" w:leader="dot" w:pos="9350"/>
            </w:tabs>
            <w:spacing w:line="360" w:lineRule="auto"/>
            <w:rPr>
              <w:noProof/>
              <w:sz w:val="24"/>
              <w:szCs w:val="24"/>
            </w:rPr>
          </w:pPr>
          <w:hyperlink w:anchor="_Toc150977022" w:history="1">
            <w:r w:rsidR="000C5A0F" w:rsidRPr="005F02E9">
              <w:rPr>
                <w:rStyle w:val="Hyperlink"/>
                <w:i/>
                <w:iCs/>
                <w:noProof/>
                <w:sz w:val="24"/>
                <w:szCs w:val="24"/>
              </w:rPr>
              <w:t>5. Financial Plan</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_Toc150977022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8</w:t>
            </w:r>
            <w:r w:rsidR="000C5A0F" w:rsidRPr="005F02E9">
              <w:rPr>
                <w:noProof/>
                <w:webHidden/>
                <w:sz w:val="24"/>
                <w:szCs w:val="24"/>
              </w:rPr>
              <w:fldChar w:fldCharType="end"/>
            </w:r>
          </w:hyperlink>
        </w:p>
        <w:p w14:paraId="2832620A" w14:textId="187EF466" w:rsidR="000C5A0F" w:rsidRPr="005F02E9" w:rsidRDefault="00000000" w:rsidP="005F02E9">
          <w:pPr>
            <w:pStyle w:val="TOC2"/>
            <w:tabs>
              <w:tab w:val="right" w:leader="dot" w:pos="9350"/>
            </w:tabs>
            <w:spacing w:line="360" w:lineRule="auto"/>
            <w:rPr>
              <w:noProof/>
              <w:sz w:val="24"/>
              <w:szCs w:val="24"/>
            </w:rPr>
          </w:pPr>
          <w:hyperlink w:anchor="_Toc150977023" w:history="1">
            <w:r w:rsidR="000C5A0F" w:rsidRPr="005F02E9">
              <w:rPr>
                <w:rStyle w:val="Hyperlink"/>
                <w:rFonts w:eastAsia="MS Mincho"/>
                <w:i/>
                <w:iCs/>
                <w:noProof/>
                <w:sz w:val="24"/>
                <w:szCs w:val="24"/>
              </w:rPr>
              <w:t>Start-up Costs</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_Toc150977023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8</w:t>
            </w:r>
            <w:r w:rsidR="000C5A0F" w:rsidRPr="005F02E9">
              <w:rPr>
                <w:noProof/>
                <w:webHidden/>
                <w:sz w:val="24"/>
                <w:szCs w:val="24"/>
              </w:rPr>
              <w:fldChar w:fldCharType="end"/>
            </w:r>
          </w:hyperlink>
        </w:p>
        <w:p w14:paraId="2FE7EA1B" w14:textId="4DBE1684" w:rsidR="000C5A0F" w:rsidRPr="005F02E9" w:rsidRDefault="00000000" w:rsidP="005F02E9">
          <w:pPr>
            <w:pStyle w:val="TOC2"/>
            <w:tabs>
              <w:tab w:val="right" w:leader="dot" w:pos="9350"/>
            </w:tabs>
            <w:spacing w:line="360" w:lineRule="auto"/>
            <w:rPr>
              <w:noProof/>
              <w:sz w:val="24"/>
              <w:szCs w:val="24"/>
            </w:rPr>
          </w:pPr>
          <w:hyperlink w:anchor="_Toc150977024" w:history="1">
            <w:r w:rsidR="000C5A0F" w:rsidRPr="005F02E9">
              <w:rPr>
                <w:rStyle w:val="Hyperlink"/>
                <w:rFonts w:eastAsia="MS Mincho"/>
                <w:i/>
                <w:iCs/>
                <w:noProof/>
                <w:sz w:val="24"/>
                <w:szCs w:val="24"/>
              </w:rPr>
              <w:t>Source and Use of Funds Statement</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_Toc150977024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8</w:t>
            </w:r>
            <w:r w:rsidR="000C5A0F" w:rsidRPr="005F02E9">
              <w:rPr>
                <w:noProof/>
                <w:webHidden/>
                <w:sz w:val="24"/>
                <w:szCs w:val="24"/>
              </w:rPr>
              <w:fldChar w:fldCharType="end"/>
            </w:r>
          </w:hyperlink>
        </w:p>
        <w:p w14:paraId="6F0CEACB" w14:textId="49C5F976" w:rsidR="000C5A0F" w:rsidRPr="005F02E9" w:rsidRDefault="00000000" w:rsidP="005F02E9">
          <w:pPr>
            <w:pStyle w:val="TOC2"/>
            <w:tabs>
              <w:tab w:val="right" w:leader="dot" w:pos="9350"/>
            </w:tabs>
            <w:spacing w:line="360" w:lineRule="auto"/>
            <w:rPr>
              <w:noProof/>
              <w:sz w:val="24"/>
              <w:szCs w:val="24"/>
            </w:rPr>
          </w:pPr>
          <w:hyperlink w:anchor="_Toc150977025" w:history="1">
            <w:r w:rsidR="000C5A0F" w:rsidRPr="005F02E9">
              <w:rPr>
                <w:rStyle w:val="Hyperlink"/>
                <w:rFonts w:eastAsia="MS Mincho"/>
                <w:i/>
                <w:iCs/>
                <w:noProof/>
                <w:sz w:val="24"/>
                <w:szCs w:val="24"/>
              </w:rPr>
              <w:t>Six-Month Cash Budget Forecast</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_Toc150977025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9</w:t>
            </w:r>
            <w:r w:rsidR="000C5A0F" w:rsidRPr="005F02E9">
              <w:rPr>
                <w:noProof/>
                <w:webHidden/>
                <w:sz w:val="24"/>
                <w:szCs w:val="24"/>
              </w:rPr>
              <w:fldChar w:fldCharType="end"/>
            </w:r>
          </w:hyperlink>
        </w:p>
        <w:p w14:paraId="5D98578B" w14:textId="43A35FDF" w:rsidR="000C5A0F" w:rsidRPr="005F02E9" w:rsidRDefault="00000000" w:rsidP="005F02E9">
          <w:pPr>
            <w:pStyle w:val="TOC2"/>
            <w:tabs>
              <w:tab w:val="right" w:leader="dot" w:pos="9350"/>
            </w:tabs>
            <w:spacing w:line="360" w:lineRule="auto"/>
            <w:rPr>
              <w:noProof/>
              <w:sz w:val="24"/>
              <w:szCs w:val="24"/>
            </w:rPr>
          </w:pPr>
          <w:hyperlink w:anchor="_Toc150977026" w:history="1">
            <w:r w:rsidR="000C5A0F" w:rsidRPr="005F02E9">
              <w:rPr>
                <w:rStyle w:val="Hyperlink"/>
                <w:i/>
                <w:iCs/>
                <w:noProof/>
                <w:sz w:val="24"/>
                <w:szCs w:val="24"/>
              </w:rPr>
              <w:t>The ways to achieve financial sustainability.</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_Toc150977026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9</w:t>
            </w:r>
            <w:r w:rsidR="000C5A0F" w:rsidRPr="005F02E9">
              <w:rPr>
                <w:noProof/>
                <w:webHidden/>
                <w:sz w:val="24"/>
                <w:szCs w:val="24"/>
              </w:rPr>
              <w:fldChar w:fldCharType="end"/>
            </w:r>
          </w:hyperlink>
        </w:p>
        <w:p w14:paraId="38635B9E" w14:textId="2C64D671" w:rsidR="000C5A0F" w:rsidRPr="005F02E9" w:rsidRDefault="00000000" w:rsidP="005F02E9">
          <w:pPr>
            <w:pStyle w:val="TOC2"/>
            <w:tabs>
              <w:tab w:val="right" w:leader="dot" w:pos="9350"/>
            </w:tabs>
            <w:spacing w:line="360" w:lineRule="auto"/>
            <w:rPr>
              <w:noProof/>
              <w:sz w:val="24"/>
              <w:szCs w:val="24"/>
            </w:rPr>
          </w:pPr>
          <w:hyperlink w:anchor="_Toc150977027" w:history="1">
            <w:r w:rsidR="000C5A0F" w:rsidRPr="005F02E9">
              <w:rPr>
                <w:rStyle w:val="Hyperlink"/>
                <w:i/>
                <w:iCs/>
                <w:noProof/>
                <w:sz w:val="24"/>
                <w:szCs w:val="24"/>
              </w:rPr>
              <w:t>Conclusion</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_Toc150977027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10</w:t>
            </w:r>
            <w:r w:rsidR="000C5A0F" w:rsidRPr="005F02E9">
              <w:rPr>
                <w:noProof/>
                <w:webHidden/>
                <w:sz w:val="24"/>
                <w:szCs w:val="24"/>
              </w:rPr>
              <w:fldChar w:fldCharType="end"/>
            </w:r>
          </w:hyperlink>
        </w:p>
        <w:p w14:paraId="56BE9A5C" w14:textId="76FE01C2" w:rsidR="000C5A0F" w:rsidRPr="005F02E9" w:rsidRDefault="00000000" w:rsidP="005F02E9">
          <w:pPr>
            <w:pStyle w:val="TOC1"/>
            <w:tabs>
              <w:tab w:val="right" w:leader="dot" w:pos="9350"/>
            </w:tabs>
            <w:spacing w:line="360" w:lineRule="auto"/>
            <w:rPr>
              <w:noProof/>
            </w:rPr>
          </w:pPr>
          <w:hyperlink w:anchor="_Toc150977028" w:history="1">
            <w:r w:rsidR="000C5A0F" w:rsidRPr="005F02E9">
              <w:rPr>
                <w:rStyle w:val="Hyperlink"/>
                <w:i/>
                <w:iCs/>
                <w:noProof/>
                <w:sz w:val="24"/>
                <w:szCs w:val="24"/>
              </w:rPr>
              <w:t>References</w:t>
            </w:r>
            <w:r w:rsidR="000C5A0F" w:rsidRPr="005F02E9">
              <w:rPr>
                <w:noProof/>
                <w:webHidden/>
                <w:sz w:val="24"/>
                <w:szCs w:val="24"/>
              </w:rPr>
              <w:tab/>
            </w:r>
            <w:r w:rsidR="000C5A0F" w:rsidRPr="005F02E9">
              <w:rPr>
                <w:noProof/>
                <w:webHidden/>
                <w:sz w:val="24"/>
                <w:szCs w:val="24"/>
              </w:rPr>
              <w:fldChar w:fldCharType="begin"/>
            </w:r>
            <w:r w:rsidR="000C5A0F" w:rsidRPr="005F02E9">
              <w:rPr>
                <w:noProof/>
                <w:webHidden/>
                <w:sz w:val="24"/>
                <w:szCs w:val="24"/>
              </w:rPr>
              <w:instrText xml:space="preserve"> PAGEREF _Toc150977028 \h </w:instrText>
            </w:r>
            <w:r w:rsidR="000C5A0F" w:rsidRPr="005F02E9">
              <w:rPr>
                <w:noProof/>
                <w:webHidden/>
                <w:sz w:val="24"/>
                <w:szCs w:val="24"/>
              </w:rPr>
            </w:r>
            <w:r w:rsidR="000C5A0F" w:rsidRPr="005F02E9">
              <w:rPr>
                <w:noProof/>
                <w:webHidden/>
                <w:sz w:val="24"/>
                <w:szCs w:val="24"/>
              </w:rPr>
              <w:fldChar w:fldCharType="separate"/>
            </w:r>
            <w:r w:rsidR="000C5A0F" w:rsidRPr="005F02E9">
              <w:rPr>
                <w:noProof/>
                <w:webHidden/>
                <w:sz w:val="24"/>
                <w:szCs w:val="24"/>
              </w:rPr>
              <w:t>11</w:t>
            </w:r>
            <w:r w:rsidR="000C5A0F" w:rsidRPr="005F02E9">
              <w:rPr>
                <w:noProof/>
                <w:webHidden/>
                <w:sz w:val="24"/>
                <w:szCs w:val="24"/>
              </w:rPr>
              <w:fldChar w:fldCharType="end"/>
            </w:r>
          </w:hyperlink>
        </w:p>
        <w:p w14:paraId="38E81F3F" w14:textId="69348CB8" w:rsidR="000C5A0F" w:rsidRDefault="000C5A0F" w:rsidP="005F02E9">
          <w:pPr>
            <w:spacing w:line="360" w:lineRule="auto"/>
          </w:pPr>
          <w:r>
            <w:rPr>
              <w:b/>
              <w:bCs/>
              <w:noProof/>
            </w:rPr>
            <w:fldChar w:fldCharType="end"/>
          </w:r>
        </w:p>
      </w:sdtContent>
    </w:sdt>
    <w:p w14:paraId="4A2DA9AE" w14:textId="77777777" w:rsidR="000C5A0F" w:rsidRDefault="000C5A0F" w:rsidP="005F02E9">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4BE74BD6" w14:textId="1C1419C7" w:rsidR="008418AD" w:rsidRPr="000C5A0F" w:rsidRDefault="008418AD" w:rsidP="005F02E9">
      <w:pPr>
        <w:pStyle w:val="Heading1"/>
        <w:spacing w:line="360" w:lineRule="auto"/>
        <w:rPr>
          <w:b/>
          <w:bCs/>
          <w:i/>
          <w:iCs/>
          <w:sz w:val="28"/>
          <w:szCs w:val="28"/>
        </w:rPr>
      </w:pPr>
      <w:bookmarkStart w:id="0" w:name="_Toc150977002"/>
      <w:r w:rsidRPr="000C5A0F">
        <w:rPr>
          <w:b/>
          <w:bCs/>
          <w:i/>
          <w:iCs/>
          <w:sz w:val="28"/>
          <w:szCs w:val="28"/>
        </w:rPr>
        <w:lastRenderedPageBreak/>
        <w:t>1. Business Description / Market Opportunity</w:t>
      </w:r>
      <w:bookmarkEnd w:id="0"/>
    </w:p>
    <w:p w14:paraId="7BA41F31" w14:textId="5804D189" w:rsidR="00352109" w:rsidRPr="000C5A0F" w:rsidRDefault="008418AD" w:rsidP="005F02E9">
      <w:pPr>
        <w:pStyle w:val="Heading2"/>
        <w:spacing w:line="360" w:lineRule="auto"/>
        <w:rPr>
          <w:b/>
          <w:bCs/>
          <w:i/>
          <w:iCs/>
        </w:rPr>
      </w:pPr>
      <w:bookmarkStart w:id="1" w:name="_Toc150977003"/>
      <w:r w:rsidRPr="000C5A0F">
        <w:rPr>
          <w:b/>
          <w:bCs/>
          <w:i/>
          <w:iCs/>
        </w:rPr>
        <w:t>Introduction</w:t>
      </w:r>
      <w:bookmarkEnd w:id="1"/>
    </w:p>
    <w:p w14:paraId="09253680" w14:textId="31BCA333" w:rsidR="008418AD" w:rsidRPr="000C5A0F" w:rsidRDefault="008418AD"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"Green Grind on the Go" reinvents coffee establishments with eco-friendly mobile coffee carts. This environmentally conscious firm uses biodegradable materials, solar-powered carts, and ethically sourced food and coffee</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Chowdhury, 2023)</w:t>
      </w:r>
      <w:r w:rsidRPr="000C5A0F">
        <w:rPr>
          <w:rFonts w:ascii="Times New Roman" w:hAnsi="Times New Roman" w:cs="Times New Roman"/>
          <w:sz w:val="24"/>
          <w:szCs w:val="24"/>
        </w:rPr>
        <w:t xml:space="preserve">. Its mobility allows it to serve high-traffic urban areas, parks, and festivals, making high-quality coffee more accessible and environmentally friendly. The company </w:t>
      </w:r>
      <w:proofErr w:type="spellStart"/>
      <w:r w:rsidRPr="000C5A0F">
        <w:rPr>
          <w:rFonts w:ascii="Times New Roman" w:hAnsi="Times New Roman" w:cs="Times New Roman"/>
          <w:sz w:val="24"/>
          <w:szCs w:val="24"/>
        </w:rPr>
        <w:t>emphasises</w:t>
      </w:r>
      <w:proofErr w:type="spellEnd"/>
      <w:r w:rsidRPr="000C5A0F">
        <w:rPr>
          <w:rFonts w:ascii="Times New Roman" w:hAnsi="Times New Roman" w:cs="Times New Roman"/>
          <w:sz w:val="24"/>
          <w:szCs w:val="24"/>
        </w:rPr>
        <w:t xml:space="preserve"> sustainability and usability. The growing market of environmentally conscious clients is targeted by this technique. This method meets the need for portable coffee and aligns with societal shifts towards environmental responsibility.</w:t>
      </w:r>
    </w:p>
    <w:p w14:paraId="108156B5" w14:textId="1D0D958C" w:rsidR="008418AD" w:rsidRPr="000C5A0F" w:rsidRDefault="008418AD" w:rsidP="005F02E9">
      <w:pPr>
        <w:pStyle w:val="Heading2"/>
        <w:spacing w:line="360" w:lineRule="auto"/>
        <w:rPr>
          <w:b/>
          <w:bCs/>
          <w:i/>
          <w:iCs/>
        </w:rPr>
      </w:pPr>
      <w:bookmarkStart w:id="2" w:name="_Toc150977004"/>
      <w:r w:rsidRPr="000C5A0F">
        <w:rPr>
          <w:b/>
          <w:bCs/>
          <w:i/>
          <w:iCs/>
        </w:rPr>
        <w:t>Mission statement</w:t>
      </w:r>
      <w:bookmarkEnd w:id="2"/>
    </w:p>
    <w:p w14:paraId="00F7B2EF" w14:textId="666CF81E" w:rsidR="008418AD" w:rsidRPr="000C5A0F" w:rsidRDefault="008418AD"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 xml:space="preserve">"Green Grind on the Go" aims to redefine the coffee experience by providing high-quality, ethically produced </w:t>
      </w:r>
      <w:r w:rsidR="005F02E9" w:rsidRPr="000C5A0F">
        <w:rPr>
          <w:rFonts w:ascii="Times New Roman" w:hAnsi="Times New Roman" w:cs="Times New Roman"/>
          <w:sz w:val="24"/>
          <w:szCs w:val="24"/>
        </w:rPr>
        <w:t>coffee,</w:t>
      </w:r>
      <w:r w:rsidRPr="000C5A0F">
        <w:rPr>
          <w:rFonts w:ascii="Times New Roman" w:hAnsi="Times New Roman" w:cs="Times New Roman"/>
          <w:sz w:val="24"/>
          <w:szCs w:val="24"/>
        </w:rPr>
        <w:t xml:space="preserve"> and preserving the environment. We combine the convenience of mobile coffee services with a commitment to environmental responsibility</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Mills, 2010)</w:t>
      </w:r>
      <w:r w:rsidRPr="000C5A0F">
        <w:rPr>
          <w:rFonts w:ascii="Times New Roman" w:hAnsi="Times New Roman" w:cs="Times New Roman"/>
          <w:sz w:val="24"/>
          <w:szCs w:val="24"/>
        </w:rPr>
        <w:t xml:space="preserve">. We wish to instill responsibility and enjoyment in our coffee community. We intend to initiate a chain reaction of environmental benefits with each cup of coffee served while building </w:t>
      </w:r>
      <w:proofErr w:type="spellStart"/>
      <w:r w:rsidRPr="000C5A0F">
        <w:rPr>
          <w:rFonts w:ascii="Times New Roman" w:hAnsi="Times New Roman" w:cs="Times New Roman"/>
          <w:sz w:val="24"/>
          <w:szCs w:val="24"/>
        </w:rPr>
        <w:t>neighbourhood</w:t>
      </w:r>
      <w:proofErr w:type="spellEnd"/>
      <w:r w:rsidRPr="000C5A0F">
        <w:rPr>
          <w:rFonts w:ascii="Times New Roman" w:hAnsi="Times New Roman" w:cs="Times New Roman"/>
          <w:sz w:val="24"/>
          <w:szCs w:val="24"/>
        </w:rPr>
        <w:t xml:space="preserve"> bonds.</w:t>
      </w:r>
    </w:p>
    <w:p w14:paraId="39982576" w14:textId="77777777" w:rsidR="008418AD" w:rsidRPr="000C5A0F" w:rsidRDefault="008418AD" w:rsidP="005F02E9">
      <w:pPr>
        <w:pStyle w:val="Heading2"/>
        <w:spacing w:line="360" w:lineRule="auto"/>
        <w:rPr>
          <w:b/>
          <w:bCs/>
          <w:i/>
          <w:iCs/>
        </w:rPr>
      </w:pPr>
      <w:bookmarkStart w:id="3" w:name="_Toc150977005"/>
      <w:r w:rsidRPr="000C5A0F">
        <w:rPr>
          <w:b/>
          <w:bCs/>
          <w:i/>
          <w:iCs/>
        </w:rPr>
        <w:t>Description of the Product or Service</w:t>
      </w:r>
      <w:bookmarkEnd w:id="3"/>
    </w:p>
    <w:p w14:paraId="207DFCB3" w14:textId="745E67E1" w:rsidR="008418AD" w:rsidRPr="000C5A0F" w:rsidRDefault="008418AD"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 xml:space="preserve">Our service focuses on ethically sourced mobile coffee carts with high-quality coffee and food. These solar-powered carts serve espresso and </w:t>
      </w:r>
      <w:r w:rsidR="005F02E9" w:rsidRPr="000C5A0F">
        <w:rPr>
          <w:rFonts w:ascii="Times New Roman" w:hAnsi="Times New Roman" w:cs="Times New Roman"/>
          <w:sz w:val="24"/>
          <w:szCs w:val="24"/>
        </w:rPr>
        <w:t>specialized</w:t>
      </w:r>
      <w:r w:rsidRPr="000C5A0F">
        <w:rPr>
          <w:rFonts w:ascii="Times New Roman" w:hAnsi="Times New Roman" w:cs="Times New Roman"/>
          <w:sz w:val="24"/>
          <w:szCs w:val="24"/>
        </w:rPr>
        <w:t xml:space="preserve"> blends made from organic and fair-trade beans</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Mills, 2010)</w:t>
      </w:r>
      <w:r w:rsidRPr="000C5A0F">
        <w:rPr>
          <w:rFonts w:ascii="Times New Roman" w:hAnsi="Times New Roman" w:cs="Times New Roman"/>
          <w:sz w:val="24"/>
          <w:szCs w:val="24"/>
        </w:rPr>
        <w:t xml:space="preserve">. We also provide organic teas, </w:t>
      </w:r>
      <w:r w:rsidR="005F02E9" w:rsidRPr="000C5A0F">
        <w:rPr>
          <w:rFonts w:ascii="Times New Roman" w:hAnsi="Times New Roman" w:cs="Times New Roman"/>
          <w:sz w:val="24"/>
          <w:szCs w:val="24"/>
        </w:rPr>
        <w:t>locally</w:t>
      </w:r>
      <w:r w:rsidRPr="000C5A0F">
        <w:rPr>
          <w:rFonts w:ascii="Times New Roman" w:hAnsi="Times New Roman" w:cs="Times New Roman"/>
          <w:sz w:val="24"/>
          <w:szCs w:val="24"/>
        </w:rPr>
        <w:t xml:space="preserve"> baked products, and snacks, making our mobile eco-café a fun experience. Because of our mobility, we can serve clients in various metropolitan areas, responding to demand and </w:t>
      </w:r>
      <w:proofErr w:type="spellStart"/>
      <w:r w:rsidRPr="000C5A0F">
        <w:rPr>
          <w:rFonts w:ascii="Times New Roman" w:hAnsi="Times New Roman" w:cs="Times New Roman"/>
          <w:sz w:val="24"/>
          <w:szCs w:val="24"/>
        </w:rPr>
        <w:t>neighbourhood</w:t>
      </w:r>
      <w:proofErr w:type="spellEnd"/>
      <w:r w:rsidRPr="000C5A0F">
        <w:rPr>
          <w:rFonts w:ascii="Times New Roman" w:hAnsi="Times New Roman" w:cs="Times New Roman"/>
          <w:sz w:val="24"/>
          <w:szCs w:val="24"/>
        </w:rPr>
        <w:t xml:space="preserve"> activities. This lets us provide convenience without compromising quality or the environment.</w:t>
      </w:r>
    </w:p>
    <w:p w14:paraId="1C541F65" w14:textId="77777777" w:rsidR="008418AD" w:rsidRPr="000C5A0F" w:rsidRDefault="008418AD" w:rsidP="005F02E9">
      <w:pPr>
        <w:pStyle w:val="Heading2"/>
        <w:spacing w:line="360" w:lineRule="auto"/>
        <w:rPr>
          <w:b/>
          <w:bCs/>
          <w:i/>
          <w:iCs/>
        </w:rPr>
      </w:pPr>
      <w:bookmarkStart w:id="4" w:name="_Toc150977006"/>
      <w:r w:rsidRPr="000C5A0F">
        <w:rPr>
          <w:b/>
          <w:bCs/>
          <w:i/>
          <w:iCs/>
        </w:rPr>
        <w:t>Intellectual Property Considerations</w:t>
      </w:r>
      <w:bookmarkEnd w:id="4"/>
    </w:p>
    <w:p w14:paraId="100E765B" w14:textId="5312EE28" w:rsidR="008418AD" w:rsidRPr="000C5A0F" w:rsidRDefault="008418AD"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 xml:space="preserve">"Green Grind on the Go" </w:t>
      </w:r>
      <w:proofErr w:type="spellStart"/>
      <w:r w:rsidRPr="000C5A0F">
        <w:rPr>
          <w:rFonts w:ascii="Times New Roman" w:hAnsi="Times New Roman" w:cs="Times New Roman"/>
          <w:sz w:val="24"/>
          <w:szCs w:val="24"/>
        </w:rPr>
        <w:t>prioritises</w:t>
      </w:r>
      <w:proofErr w:type="spellEnd"/>
      <w:r w:rsidRPr="000C5A0F">
        <w:rPr>
          <w:rFonts w:ascii="Times New Roman" w:hAnsi="Times New Roman" w:cs="Times New Roman"/>
          <w:sz w:val="24"/>
          <w:szCs w:val="24"/>
        </w:rPr>
        <w:t xml:space="preserve"> protecting its unique brand identity and proprietary components. Registering the firm name and emblem for trademark protection will safeguard our brand's industry exclusivity</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Mills, 2010)</w:t>
      </w:r>
      <w:r w:rsidRPr="000C5A0F">
        <w:rPr>
          <w:rFonts w:ascii="Times New Roman" w:hAnsi="Times New Roman" w:cs="Times New Roman"/>
          <w:sz w:val="24"/>
          <w:szCs w:val="24"/>
        </w:rPr>
        <w:t xml:space="preserve">. Any unique designs or innovations of our solar-powered coffee carts, such as their energy-saving layout or use of environmentally friendly materials, would </w:t>
      </w:r>
      <w:r w:rsidRPr="000C5A0F">
        <w:rPr>
          <w:rFonts w:ascii="Times New Roman" w:hAnsi="Times New Roman" w:cs="Times New Roman"/>
          <w:sz w:val="24"/>
          <w:szCs w:val="24"/>
        </w:rPr>
        <w:lastRenderedPageBreak/>
        <w:t xml:space="preserve">be considered for patent protection. We will also safeguard our secret coffee blends and formulas to maintain our market edge and ensure that our distinctive </w:t>
      </w:r>
      <w:proofErr w:type="spellStart"/>
      <w:r w:rsidRPr="000C5A0F">
        <w:rPr>
          <w:rFonts w:ascii="Times New Roman" w:hAnsi="Times New Roman" w:cs="Times New Roman"/>
          <w:sz w:val="24"/>
          <w:szCs w:val="24"/>
        </w:rPr>
        <w:t>flavours</w:t>
      </w:r>
      <w:proofErr w:type="spellEnd"/>
      <w:r w:rsidRPr="000C5A0F">
        <w:rPr>
          <w:rFonts w:ascii="Times New Roman" w:hAnsi="Times New Roman" w:cs="Times New Roman"/>
          <w:sz w:val="24"/>
          <w:szCs w:val="24"/>
        </w:rPr>
        <w:t xml:space="preserve"> will remain.</w:t>
      </w:r>
    </w:p>
    <w:p w14:paraId="15DF4300" w14:textId="77777777" w:rsidR="008418AD" w:rsidRPr="000C5A0F" w:rsidRDefault="008418AD" w:rsidP="005F02E9">
      <w:pPr>
        <w:pStyle w:val="Heading2"/>
        <w:spacing w:line="360" w:lineRule="auto"/>
        <w:rPr>
          <w:b/>
          <w:bCs/>
          <w:i/>
          <w:iCs/>
        </w:rPr>
      </w:pPr>
      <w:bookmarkStart w:id="5" w:name="_Toc150977007"/>
      <w:r w:rsidRPr="000C5A0F">
        <w:rPr>
          <w:b/>
          <w:bCs/>
          <w:i/>
          <w:iCs/>
        </w:rPr>
        <w:t>Important legal considerations and ownership structures</w:t>
      </w:r>
      <w:bookmarkEnd w:id="5"/>
    </w:p>
    <w:p w14:paraId="311A047C" w14:textId="77777777" w:rsidR="008418AD" w:rsidRPr="000C5A0F" w:rsidRDefault="008418AD"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 xml:space="preserve">The intended LLC form for "Green Grind on the Go" is ideal for a growing small firm. This </w:t>
      </w:r>
      <w:proofErr w:type="spellStart"/>
      <w:r w:rsidRPr="000C5A0F">
        <w:rPr>
          <w:rFonts w:ascii="Times New Roman" w:hAnsi="Times New Roman" w:cs="Times New Roman"/>
          <w:sz w:val="24"/>
          <w:szCs w:val="24"/>
        </w:rPr>
        <w:t>organisational</w:t>
      </w:r>
      <w:proofErr w:type="spellEnd"/>
      <w:r w:rsidRPr="000C5A0F">
        <w:rPr>
          <w:rFonts w:ascii="Times New Roman" w:hAnsi="Times New Roman" w:cs="Times New Roman"/>
          <w:sz w:val="24"/>
          <w:szCs w:val="24"/>
        </w:rPr>
        <w:t xml:space="preserve"> structure protects owners' personal assets from the firm's commitments and liabilities, simplifying tax administration. The firm must comply with food service and health laws, including mobile vending permits and food safety certifications. As a second step towards sustainability, we will enforce all environmental laws, particularly those related to trash and energy consumption.</w:t>
      </w:r>
    </w:p>
    <w:p w14:paraId="4E2AC656" w14:textId="5B3AB741" w:rsidR="008418AD" w:rsidRPr="000C5A0F" w:rsidRDefault="008418AD" w:rsidP="005F02E9">
      <w:pPr>
        <w:pStyle w:val="Heading1"/>
        <w:spacing w:line="360" w:lineRule="auto"/>
        <w:rPr>
          <w:b/>
          <w:bCs/>
          <w:i/>
          <w:iCs/>
          <w:sz w:val="28"/>
          <w:szCs w:val="28"/>
        </w:rPr>
      </w:pPr>
      <w:bookmarkStart w:id="6" w:name="_Toc150977008"/>
      <w:r w:rsidRPr="000C5A0F">
        <w:rPr>
          <w:b/>
          <w:bCs/>
          <w:i/>
          <w:iCs/>
          <w:sz w:val="28"/>
          <w:szCs w:val="28"/>
        </w:rPr>
        <w:t>2. Industry Analysis</w:t>
      </w:r>
      <w:bookmarkEnd w:id="6"/>
    </w:p>
    <w:p w14:paraId="5163702C" w14:textId="1238906A" w:rsidR="008418AD" w:rsidRPr="000C5A0F" w:rsidRDefault="008418AD" w:rsidP="005F02E9">
      <w:pPr>
        <w:pStyle w:val="Heading2"/>
        <w:spacing w:line="360" w:lineRule="auto"/>
        <w:rPr>
          <w:b/>
          <w:bCs/>
          <w:i/>
          <w:iCs/>
        </w:rPr>
      </w:pPr>
      <w:bookmarkStart w:id="7" w:name="_Toc150977009"/>
      <w:r w:rsidRPr="000C5A0F">
        <w:rPr>
          <w:b/>
          <w:bCs/>
          <w:i/>
          <w:iCs/>
        </w:rPr>
        <w:t>General industry description</w:t>
      </w:r>
      <w:bookmarkEnd w:id="7"/>
    </w:p>
    <w:p w14:paraId="04189F8F" w14:textId="1D9B9729" w:rsidR="008418AD" w:rsidRPr="000C5A0F" w:rsidRDefault="008418AD"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Mobile and eco-friendly coffee services are growing rapidly. The worldwide coffee market is expected to rise at a CAGR of 5.5% between 2021 and 2026, reflecting its continued expansion. Mobile coffee services are growing in popularity, especially in cities and among millennials and Gen Z, who want quick, high-quality, and environmentally responsible options</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Morris, 2013)</w:t>
      </w:r>
      <w:r w:rsidRPr="000C5A0F">
        <w:rPr>
          <w:rFonts w:ascii="Times New Roman" w:hAnsi="Times New Roman" w:cs="Times New Roman"/>
          <w:sz w:val="24"/>
          <w:szCs w:val="24"/>
        </w:rPr>
        <w:t>. The mobile food vehicle market, which includes coffee carts, might reach $4 billion by 2026. Eco-conscious consumers and a need for handmade, ethical products are driving this trend. Consequently, "Green Grind on the Go" is in a promising market category with great growth potential.</w:t>
      </w:r>
    </w:p>
    <w:p w14:paraId="5A07C169" w14:textId="4EABCFC1" w:rsidR="008418AD" w:rsidRPr="000C5A0F" w:rsidRDefault="00D53865" w:rsidP="005F02E9">
      <w:pPr>
        <w:pStyle w:val="Heading2"/>
        <w:spacing w:line="360" w:lineRule="auto"/>
        <w:rPr>
          <w:b/>
          <w:bCs/>
          <w:i/>
          <w:iCs/>
        </w:rPr>
      </w:pPr>
      <w:bookmarkStart w:id="8" w:name="_Toc150977010"/>
      <w:r w:rsidRPr="000C5A0F">
        <w:rPr>
          <w:b/>
          <w:bCs/>
          <w:i/>
          <w:iCs/>
        </w:rPr>
        <w:t>VRIO test</w:t>
      </w:r>
      <w:bookmarkEnd w:id="8"/>
    </w:p>
    <w:p w14:paraId="78843117" w14:textId="58828D81" w:rsidR="00D53865" w:rsidRPr="000C5A0F" w:rsidRDefault="00D53865"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VRIO found that "Green Grind on the Go" outperforms its rivals. In terms of Value, the firm offers a unique blend of portability, environmental friendliness, and high-quality coffee to meet the growing need for sustainable, convenient solutions. Because it uses solar energy and ethically sourced materials, it is rare. This sets it apart from coffee shops and mobile cafés</w:t>
      </w:r>
      <w:r w:rsidR="005F02E9">
        <w:rPr>
          <w:rFonts w:ascii="Times New Roman" w:hAnsi="Times New Roman" w:cs="Times New Roman"/>
          <w:sz w:val="24"/>
          <w:szCs w:val="24"/>
        </w:rPr>
        <w:t xml:space="preserve"> (</w:t>
      </w:r>
      <w:proofErr w:type="spellStart"/>
      <w:r w:rsidR="005F02E9">
        <w:rPr>
          <w:rFonts w:ascii="Times New Roman" w:hAnsi="Times New Roman" w:cs="Times New Roman"/>
          <w:color w:val="222222"/>
          <w:sz w:val="24"/>
          <w:szCs w:val="20"/>
          <w:shd w:val="clear" w:color="auto" w:fill="FFFFFF"/>
        </w:rPr>
        <w:t>Daoming</w:t>
      </w:r>
      <w:proofErr w:type="spellEnd"/>
      <w:r w:rsidR="005F02E9">
        <w:rPr>
          <w:rFonts w:ascii="Times New Roman" w:hAnsi="Times New Roman" w:cs="Times New Roman"/>
          <w:color w:val="222222"/>
          <w:sz w:val="24"/>
          <w:szCs w:val="20"/>
          <w:shd w:val="clear" w:color="auto" w:fill="FFFFFF"/>
        </w:rPr>
        <w:t xml:space="preserve"> and Forster, 1993)</w:t>
      </w:r>
      <w:r w:rsidRPr="000C5A0F">
        <w:rPr>
          <w:rFonts w:ascii="Times New Roman" w:hAnsi="Times New Roman" w:cs="Times New Roman"/>
          <w:sz w:val="24"/>
          <w:szCs w:val="24"/>
        </w:rPr>
        <w:t xml:space="preserve">. Since it requires a large financial investment and long-term commitment to maintain sustainability, quality, and portability, this business model is difficult to reproduce. Finally, the firm is well-organized to leverage these resources, </w:t>
      </w:r>
      <w:proofErr w:type="spellStart"/>
      <w:r w:rsidRPr="000C5A0F">
        <w:rPr>
          <w:rFonts w:ascii="Times New Roman" w:hAnsi="Times New Roman" w:cs="Times New Roman"/>
          <w:sz w:val="24"/>
          <w:szCs w:val="24"/>
        </w:rPr>
        <w:t>emphasising</w:t>
      </w:r>
      <w:proofErr w:type="spellEnd"/>
      <w:r w:rsidRPr="000C5A0F">
        <w:rPr>
          <w:rFonts w:ascii="Times New Roman" w:hAnsi="Times New Roman" w:cs="Times New Roman"/>
          <w:sz w:val="24"/>
          <w:szCs w:val="24"/>
        </w:rPr>
        <w:t xml:space="preserve"> community engagement and brand identity. This boosts the company's market standing.</w:t>
      </w:r>
    </w:p>
    <w:p w14:paraId="025C4721" w14:textId="70AF9ACE" w:rsidR="00D53865" w:rsidRPr="000C5A0F" w:rsidRDefault="00D53865" w:rsidP="005F02E9">
      <w:pPr>
        <w:pStyle w:val="Heading2"/>
        <w:spacing w:line="360" w:lineRule="auto"/>
        <w:rPr>
          <w:b/>
          <w:bCs/>
          <w:i/>
          <w:iCs/>
        </w:rPr>
      </w:pPr>
      <w:bookmarkStart w:id="9" w:name="_Toc150977011"/>
      <w:r w:rsidRPr="000C5A0F">
        <w:rPr>
          <w:b/>
          <w:bCs/>
          <w:i/>
          <w:iCs/>
        </w:rPr>
        <w:lastRenderedPageBreak/>
        <w:t>Porter's Five Forces analysis.</w:t>
      </w:r>
      <w:bookmarkEnd w:id="9"/>
    </w:p>
    <w:p w14:paraId="29217590" w14:textId="73591E49" w:rsidR="00D53865" w:rsidRPr="000C5A0F" w:rsidRDefault="00D53865"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Porter's Five Forces study reveals mobile coffee business characteristics. Mobile food services are popular and have minimal entry barriers, thus new competitors are likely. Due to its unique eco-friendly approach, "Green Grind on the Go" makes up for this shortfall. Although there are many coffee and snack vendors, the need for ethically manufactured and organic products limits negotiating power</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Mullins, 2017)</w:t>
      </w:r>
      <w:r w:rsidRPr="000C5A0F">
        <w:rPr>
          <w:rFonts w:ascii="Times New Roman" w:hAnsi="Times New Roman" w:cs="Times New Roman"/>
          <w:sz w:val="24"/>
          <w:szCs w:val="24"/>
        </w:rPr>
        <w:t>. Suppliers have modest bargaining leverage. Customers have a lot of power in negotiations owing to the variety of coffee alternatives, but a unique product may counteract this. Competition from coffee cafes and other home brewing techniques is a serious possibility. Finally, "Green Grind on the Go" stands out in the coffee industry because of its ecologically friendly and portable business model.</w:t>
      </w:r>
    </w:p>
    <w:p w14:paraId="03A7CE1D" w14:textId="0EA19809" w:rsidR="00D53865" w:rsidRPr="000C5A0F" w:rsidRDefault="00D53865" w:rsidP="005F02E9">
      <w:pPr>
        <w:pStyle w:val="Heading2"/>
        <w:spacing w:line="360" w:lineRule="auto"/>
        <w:rPr>
          <w:b/>
          <w:bCs/>
          <w:i/>
          <w:iCs/>
        </w:rPr>
      </w:pPr>
      <w:bookmarkStart w:id="10" w:name="_Toc150977012"/>
      <w:r w:rsidRPr="000C5A0F">
        <w:rPr>
          <w:b/>
          <w:bCs/>
          <w:i/>
          <w:iCs/>
        </w:rPr>
        <w:t>Competitors analysis</w:t>
      </w:r>
      <w:bookmarkEnd w:id="10"/>
    </w:p>
    <w:p w14:paraId="579AECE0" w14:textId="39526380" w:rsidR="00D53865" w:rsidRPr="000C5A0F" w:rsidRDefault="00D53865"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 xml:space="preserve">"Green Grind on the Go" competes with Starbucks, local cafés, and other mobile coffee businesses. Starbucks is a competitor with a significant customer base, but it does not </w:t>
      </w:r>
      <w:proofErr w:type="spellStart"/>
      <w:r w:rsidRPr="000C5A0F">
        <w:rPr>
          <w:rFonts w:ascii="Times New Roman" w:hAnsi="Times New Roman" w:cs="Times New Roman"/>
          <w:sz w:val="24"/>
          <w:szCs w:val="24"/>
        </w:rPr>
        <w:t>prioritise</w:t>
      </w:r>
      <w:proofErr w:type="spellEnd"/>
      <w:r w:rsidRPr="000C5A0F">
        <w:rPr>
          <w:rFonts w:ascii="Times New Roman" w:hAnsi="Times New Roman" w:cs="Times New Roman"/>
          <w:sz w:val="24"/>
          <w:szCs w:val="24"/>
        </w:rPr>
        <w:t xml:space="preserve"> mobility or sustainability</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Huynh, 2019)</w:t>
      </w:r>
      <w:r w:rsidRPr="000C5A0F">
        <w:rPr>
          <w:rFonts w:ascii="Times New Roman" w:hAnsi="Times New Roman" w:cs="Times New Roman"/>
          <w:sz w:val="24"/>
          <w:szCs w:val="24"/>
        </w:rPr>
        <w:t xml:space="preserve">. Local cafés may provide a more </w:t>
      </w:r>
      <w:proofErr w:type="spellStart"/>
      <w:r w:rsidRPr="000C5A0F">
        <w:rPr>
          <w:rFonts w:ascii="Times New Roman" w:hAnsi="Times New Roman" w:cs="Times New Roman"/>
          <w:sz w:val="24"/>
          <w:szCs w:val="24"/>
        </w:rPr>
        <w:t>individualised</w:t>
      </w:r>
      <w:proofErr w:type="spellEnd"/>
      <w:r w:rsidRPr="000C5A0F">
        <w:rPr>
          <w:rFonts w:ascii="Times New Roman" w:hAnsi="Times New Roman" w:cs="Times New Roman"/>
          <w:sz w:val="24"/>
          <w:szCs w:val="24"/>
        </w:rPr>
        <w:t xml:space="preserve"> coffee experience and be ecologically conscientious, but they cannot move like mobile carts. Other mobile coffee suppliers may provide convenience and a unique experience, but "Green Grind on the Go." may </w:t>
      </w:r>
      <w:proofErr w:type="spellStart"/>
      <w:r w:rsidRPr="000C5A0F">
        <w:rPr>
          <w:rFonts w:ascii="Times New Roman" w:hAnsi="Times New Roman" w:cs="Times New Roman"/>
          <w:sz w:val="24"/>
          <w:szCs w:val="24"/>
        </w:rPr>
        <w:t>emphasise</w:t>
      </w:r>
      <w:proofErr w:type="spellEnd"/>
      <w:r w:rsidRPr="000C5A0F">
        <w:rPr>
          <w:rFonts w:ascii="Times New Roman" w:hAnsi="Times New Roman" w:cs="Times New Roman"/>
          <w:sz w:val="24"/>
          <w:szCs w:val="24"/>
        </w:rPr>
        <w:t xml:space="preserve"> environmental responsibility more. "Green Grind on the Go" offers a commercial advantage by </w:t>
      </w:r>
      <w:proofErr w:type="spellStart"/>
      <w:r w:rsidRPr="000C5A0F">
        <w:rPr>
          <w:rFonts w:ascii="Times New Roman" w:hAnsi="Times New Roman" w:cs="Times New Roman"/>
          <w:sz w:val="24"/>
          <w:szCs w:val="24"/>
        </w:rPr>
        <w:t>emphasising</w:t>
      </w:r>
      <w:proofErr w:type="spellEnd"/>
      <w:r w:rsidRPr="000C5A0F">
        <w:rPr>
          <w:rFonts w:ascii="Times New Roman" w:hAnsi="Times New Roman" w:cs="Times New Roman"/>
          <w:sz w:val="24"/>
          <w:szCs w:val="24"/>
        </w:rPr>
        <w:t xml:space="preserve"> sustainability, quality, and portability.</w:t>
      </w:r>
    </w:p>
    <w:p w14:paraId="3871900A" w14:textId="3D884C07" w:rsidR="00D53865" w:rsidRPr="000C5A0F" w:rsidRDefault="00D53865" w:rsidP="005F02E9">
      <w:pPr>
        <w:pStyle w:val="Heading1"/>
        <w:spacing w:line="360" w:lineRule="auto"/>
        <w:rPr>
          <w:b/>
          <w:bCs/>
          <w:i/>
          <w:iCs/>
          <w:sz w:val="28"/>
          <w:szCs w:val="28"/>
        </w:rPr>
      </w:pPr>
      <w:bookmarkStart w:id="11" w:name="_Toc150977013"/>
      <w:r w:rsidRPr="000C5A0F">
        <w:rPr>
          <w:b/>
          <w:bCs/>
          <w:i/>
          <w:iCs/>
          <w:sz w:val="28"/>
          <w:szCs w:val="28"/>
        </w:rPr>
        <w:t>3. Operations and Management Team Plan</w:t>
      </w:r>
      <w:bookmarkEnd w:id="11"/>
    </w:p>
    <w:p w14:paraId="3D7635C8" w14:textId="50A309A7" w:rsidR="00D53865" w:rsidRPr="000C5A0F" w:rsidRDefault="00D53865" w:rsidP="005F02E9">
      <w:pPr>
        <w:pStyle w:val="Heading2"/>
        <w:spacing w:line="360" w:lineRule="auto"/>
        <w:rPr>
          <w:b/>
          <w:bCs/>
          <w:i/>
          <w:iCs/>
        </w:rPr>
      </w:pPr>
      <w:bookmarkStart w:id="12" w:name="_Toc150977014"/>
      <w:r w:rsidRPr="000C5A0F">
        <w:rPr>
          <w:b/>
          <w:bCs/>
          <w:i/>
          <w:iCs/>
        </w:rPr>
        <w:t xml:space="preserve">Detailed description of business </w:t>
      </w:r>
      <w:proofErr w:type="spellStart"/>
      <w:r w:rsidRPr="000C5A0F">
        <w:rPr>
          <w:b/>
          <w:bCs/>
          <w:i/>
          <w:iCs/>
        </w:rPr>
        <w:t>processe</w:t>
      </w:r>
      <w:bookmarkEnd w:id="12"/>
      <w:proofErr w:type="spellEnd"/>
    </w:p>
    <w:p w14:paraId="2E91CEC9" w14:textId="1513DF45" w:rsidR="00D53865" w:rsidRPr="000C5A0F" w:rsidRDefault="00D53865"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The "Green Grind on the Go" company runs well due to its well-oiled operations. We start by selecting high-quality, ethically produced coffee beans and organic ingredients from local farmers and fair-trade vendors</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Huynh, 2019)</w:t>
      </w:r>
      <w:r w:rsidRPr="000C5A0F">
        <w:rPr>
          <w:rFonts w:ascii="Times New Roman" w:hAnsi="Times New Roman" w:cs="Times New Roman"/>
          <w:sz w:val="24"/>
          <w:szCs w:val="24"/>
        </w:rPr>
        <w:t xml:space="preserve">. This keeps the product fresh and sustainable. Following that, the coffee is roasted to perfection in tiny amounts to retain its quality and taste, according to the unique features of each blend. Collaborations with regional bakeries and artisanal food producers provide fresh, eco-friendly snack options. In a central kitchen, the production process </w:t>
      </w:r>
      <w:proofErr w:type="spellStart"/>
      <w:r w:rsidRPr="000C5A0F">
        <w:rPr>
          <w:rFonts w:ascii="Times New Roman" w:hAnsi="Times New Roman" w:cs="Times New Roman"/>
          <w:sz w:val="24"/>
          <w:szCs w:val="24"/>
        </w:rPr>
        <w:t>emphasises</w:t>
      </w:r>
      <w:proofErr w:type="spellEnd"/>
      <w:r w:rsidRPr="000C5A0F">
        <w:rPr>
          <w:rFonts w:ascii="Times New Roman" w:hAnsi="Times New Roman" w:cs="Times New Roman"/>
          <w:sz w:val="24"/>
          <w:szCs w:val="24"/>
        </w:rPr>
        <w:t xml:space="preserve"> efficiency, waste reduction, and ecologically friendly packaging. Transferring goods to mobile carts is done using a fleet of eco-friendly automobiles, </w:t>
      </w:r>
      <w:proofErr w:type="spellStart"/>
      <w:r w:rsidRPr="000C5A0F">
        <w:rPr>
          <w:rFonts w:ascii="Times New Roman" w:hAnsi="Times New Roman" w:cs="Times New Roman"/>
          <w:sz w:val="24"/>
          <w:szCs w:val="24"/>
        </w:rPr>
        <w:t>minimising</w:t>
      </w:r>
      <w:proofErr w:type="spellEnd"/>
      <w:r w:rsidRPr="000C5A0F">
        <w:rPr>
          <w:rFonts w:ascii="Times New Roman" w:hAnsi="Times New Roman" w:cs="Times New Roman"/>
          <w:sz w:val="24"/>
          <w:szCs w:val="24"/>
        </w:rPr>
        <w:t xml:space="preserve"> environmental effect. Mobile carts driven by solar energy are designed for maximum energy efficiency and mobility. </w:t>
      </w:r>
      <w:r w:rsidRPr="000C5A0F">
        <w:rPr>
          <w:rFonts w:ascii="Times New Roman" w:hAnsi="Times New Roman" w:cs="Times New Roman"/>
          <w:sz w:val="24"/>
          <w:szCs w:val="24"/>
        </w:rPr>
        <w:lastRenderedPageBreak/>
        <w:t>This makes it easy to go to other cities, events, and meetings, improving customer accessibility and lowering environmental impact. Due to the streamlined process, every snack and coffee we sell reflects our commitment to quality, environmental responsibility, and community participation.</w:t>
      </w:r>
    </w:p>
    <w:p w14:paraId="35285B39" w14:textId="39EEDCD1" w:rsidR="00C55E19" w:rsidRPr="000C5A0F" w:rsidRDefault="00C55E19" w:rsidP="005F02E9">
      <w:pPr>
        <w:pStyle w:val="Heading2"/>
        <w:spacing w:line="360" w:lineRule="auto"/>
        <w:rPr>
          <w:b/>
          <w:bCs/>
          <w:i/>
          <w:iCs/>
        </w:rPr>
      </w:pPr>
      <w:bookmarkStart w:id="13" w:name="_Toc150977015"/>
      <w:r w:rsidRPr="000C5A0F">
        <w:rPr>
          <w:b/>
          <w:bCs/>
          <w:i/>
          <w:iCs/>
        </w:rPr>
        <w:t>Revenue generation strategies</w:t>
      </w:r>
      <w:bookmarkEnd w:id="13"/>
    </w:p>
    <w:p w14:paraId="4A3D8A42" w14:textId="79334867" w:rsidR="00C55E19" w:rsidRPr="000C5A0F" w:rsidRDefault="00C55E19"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"Green Grind on the Go" uses many revenue streams to ensure profitability and growth. Customers should be encouraged to try premium blends or larger quantities and given free organic food or reusable cups. Seasonal and specialty drinks frequently encourage customers to purchase more</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Huynh, 2019)</w:t>
      </w:r>
      <w:r w:rsidRPr="000C5A0F">
        <w:rPr>
          <w:rFonts w:ascii="Times New Roman" w:hAnsi="Times New Roman" w:cs="Times New Roman"/>
          <w:sz w:val="24"/>
          <w:szCs w:val="24"/>
        </w:rPr>
        <w:t xml:space="preserve">. The firm buys ingredients in bulk from regional suppliers to </w:t>
      </w:r>
      <w:proofErr w:type="spellStart"/>
      <w:r w:rsidRPr="000C5A0F">
        <w:rPr>
          <w:rFonts w:ascii="Times New Roman" w:hAnsi="Times New Roman" w:cs="Times New Roman"/>
          <w:sz w:val="24"/>
          <w:szCs w:val="24"/>
        </w:rPr>
        <w:t>maximise</w:t>
      </w:r>
      <w:proofErr w:type="spellEnd"/>
      <w:r w:rsidRPr="000C5A0F">
        <w:rPr>
          <w:rFonts w:ascii="Times New Roman" w:hAnsi="Times New Roman" w:cs="Times New Roman"/>
          <w:sz w:val="24"/>
          <w:szCs w:val="24"/>
        </w:rPr>
        <w:t xml:space="preserve"> economies of scale. This decreases unit costs and lets the </w:t>
      </w:r>
      <w:proofErr w:type="spellStart"/>
      <w:r w:rsidRPr="000C5A0F">
        <w:rPr>
          <w:rFonts w:ascii="Times New Roman" w:hAnsi="Times New Roman" w:cs="Times New Roman"/>
          <w:sz w:val="24"/>
          <w:szCs w:val="24"/>
        </w:rPr>
        <w:t>organisation</w:t>
      </w:r>
      <w:proofErr w:type="spellEnd"/>
      <w:r w:rsidRPr="000C5A0F">
        <w:rPr>
          <w:rFonts w:ascii="Times New Roman" w:hAnsi="Times New Roman" w:cs="Times New Roman"/>
          <w:sz w:val="24"/>
          <w:szCs w:val="24"/>
        </w:rPr>
        <w:t xml:space="preserve"> provide competitive pricing without compromising quality. Catering firms may diversify their revenue by partnering with event </w:t>
      </w:r>
      <w:proofErr w:type="spellStart"/>
      <w:r w:rsidRPr="000C5A0F">
        <w:rPr>
          <w:rFonts w:ascii="Times New Roman" w:hAnsi="Times New Roman" w:cs="Times New Roman"/>
          <w:sz w:val="24"/>
          <w:szCs w:val="24"/>
        </w:rPr>
        <w:t>organisers</w:t>
      </w:r>
      <w:proofErr w:type="spellEnd"/>
      <w:r w:rsidRPr="000C5A0F">
        <w:rPr>
          <w:rFonts w:ascii="Times New Roman" w:hAnsi="Times New Roman" w:cs="Times New Roman"/>
          <w:sz w:val="24"/>
          <w:szCs w:val="24"/>
        </w:rPr>
        <w:t xml:space="preserve"> and local businesses to provide culinary services at events, festivals, and corporate settings. The firm can employ dynamic location targeting since it uses mobile carts. This lets the corporation generate income by placing carts in high-traffic areas during peak hours.</w:t>
      </w:r>
    </w:p>
    <w:p w14:paraId="1BC4A618" w14:textId="77777777" w:rsidR="00C55E19" w:rsidRPr="000C5A0F" w:rsidRDefault="00C55E19" w:rsidP="005F02E9">
      <w:pPr>
        <w:pStyle w:val="Heading2"/>
        <w:spacing w:line="360" w:lineRule="auto"/>
        <w:rPr>
          <w:b/>
          <w:bCs/>
          <w:i/>
          <w:iCs/>
        </w:rPr>
      </w:pPr>
      <w:bookmarkStart w:id="14" w:name="_Toc150977016"/>
      <w:r w:rsidRPr="000C5A0F">
        <w:rPr>
          <w:b/>
          <w:bCs/>
          <w:i/>
          <w:iCs/>
        </w:rPr>
        <w:t>Loss prevention strategies.</w:t>
      </w:r>
      <w:bookmarkEnd w:id="14"/>
    </w:p>
    <w:p w14:paraId="041D0AAB" w14:textId="6AD73B13" w:rsidR="00C55E19" w:rsidRPr="000C5A0F" w:rsidRDefault="00C55E19"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Inventory management must be done carefully to prevent theft. Regular audits ensure proper stock levels, reducing waste and loss</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Huynh, 2019)</w:t>
      </w:r>
      <w:r w:rsidRPr="000C5A0F">
        <w:rPr>
          <w:rFonts w:ascii="Times New Roman" w:hAnsi="Times New Roman" w:cs="Times New Roman"/>
          <w:sz w:val="24"/>
          <w:szCs w:val="24"/>
        </w:rPr>
        <w:t xml:space="preserve">. Technology simplifies inventory management and sales forecasting, enabling informed purchases, resource </w:t>
      </w:r>
      <w:proofErr w:type="spellStart"/>
      <w:r w:rsidRPr="000C5A0F">
        <w:rPr>
          <w:rFonts w:ascii="Times New Roman" w:hAnsi="Times New Roman" w:cs="Times New Roman"/>
          <w:sz w:val="24"/>
          <w:szCs w:val="24"/>
        </w:rPr>
        <w:t>optimisation</w:t>
      </w:r>
      <w:proofErr w:type="spellEnd"/>
      <w:r w:rsidRPr="000C5A0F">
        <w:rPr>
          <w:rFonts w:ascii="Times New Roman" w:hAnsi="Times New Roman" w:cs="Times New Roman"/>
          <w:sz w:val="24"/>
          <w:szCs w:val="24"/>
        </w:rPr>
        <w:t xml:space="preserve">, and overstocking prevention. Staff training in proper handling and storage may further decrease product waste. Safe payment mechanisms and shopping cart monitoring may avoid theft. To avoid unplanned downtime, the company routinely maintains all its gear. In a mobile </w:t>
      </w:r>
      <w:proofErr w:type="spellStart"/>
      <w:r w:rsidRPr="000C5A0F">
        <w:rPr>
          <w:rFonts w:ascii="Times New Roman" w:hAnsi="Times New Roman" w:cs="Times New Roman"/>
          <w:sz w:val="24"/>
          <w:szCs w:val="24"/>
        </w:rPr>
        <w:t>organisation</w:t>
      </w:r>
      <w:proofErr w:type="spellEnd"/>
      <w:r w:rsidRPr="000C5A0F">
        <w:rPr>
          <w:rFonts w:ascii="Times New Roman" w:hAnsi="Times New Roman" w:cs="Times New Roman"/>
          <w:sz w:val="24"/>
          <w:szCs w:val="24"/>
        </w:rPr>
        <w:t>, reliability is key to customer happiness.</w:t>
      </w:r>
    </w:p>
    <w:p w14:paraId="30F46512" w14:textId="52C33DE5" w:rsidR="00C55E19" w:rsidRPr="000C5A0F" w:rsidRDefault="00C55E19" w:rsidP="005F02E9">
      <w:pPr>
        <w:pStyle w:val="Heading2"/>
        <w:spacing w:line="360" w:lineRule="auto"/>
        <w:rPr>
          <w:b/>
          <w:bCs/>
          <w:i/>
          <w:iCs/>
        </w:rPr>
      </w:pPr>
      <w:bookmarkStart w:id="15" w:name="_Toc150977017"/>
      <w:r w:rsidRPr="000C5A0F">
        <w:rPr>
          <w:b/>
          <w:bCs/>
          <w:i/>
          <w:iCs/>
        </w:rPr>
        <w:t>Background profiles of the top management team</w:t>
      </w:r>
      <w:bookmarkEnd w:id="15"/>
    </w:p>
    <w:p w14:paraId="48548E7B" w14:textId="3A2B1629" w:rsidR="00C55E19" w:rsidRPr="000C5A0F" w:rsidRDefault="00C55E19"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The "Green Grind on the Go" senior management team has several skills that may be combined. A business administration graduate and hotel industry veteran, the CEO provides strategic leadership and a deep understanding of customer service</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 xml:space="preserve">Hernández and </w:t>
      </w:r>
      <w:proofErr w:type="spellStart"/>
      <w:r w:rsidR="005F02E9">
        <w:rPr>
          <w:rFonts w:ascii="Times New Roman" w:hAnsi="Times New Roman" w:cs="Times New Roman"/>
          <w:color w:val="222222"/>
          <w:sz w:val="24"/>
          <w:szCs w:val="20"/>
          <w:shd w:val="clear" w:color="auto" w:fill="FFFFFF"/>
        </w:rPr>
        <w:t>Carrà</w:t>
      </w:r>
      <w:proofErr w:type="spellEnd"/>
      <w:r w:rsidR="005F02E9">
        <w:rPr>
          <w:rFonts w:ascii="Times New Roman" w:hAnsi="Times New Roman" w:cs="Times New Roman"/>
          <w:color w:val="222222"/>
          <w:sz w:val="24"/>
          <w:szCs w:val="20"/>
          <w:shd w:val="clear" w:color="auto" w:fill="FFFFFF"/>
        </w:rPr>
        <w:t>, 2016)</w:t>
      </w:r>
      <w:r w:rsidRPr="000C5A0F">
        <w:rPr>
          <w:rFonts w:ascii="Times New Roman" w:hAnsi="Times New Roman" w:cs="Times New Roman"/>
          <w:sz w:val="24"/>
          <w:szCs w:val="24"/>
        </w:rPr>
        <w:t xml:space="preserve">. The COO leverages his supply chain management and environmental science degrees to guarantee the company's operations are profitable and environmentally friendly. He loves eco-friendly practises also. The CFO, who has worked in finance and the food and beverage business, has expertise in </w:t>
      </w:r>
      <w:r w:rsidRPr="000C5A0F">
        <w:rPr>
          <w:rFonts w:ascii="Times New Roman" w:hAnsi="Times New Roman" w:cs="Times New Roman"/>
          <w:sz w:val="24"/>
          <w:szCs w:val="24"/>
        </w:rPr>
        <w:lastRenderedPageBreak/>
        <w:t>financial planning, budgeting, and growth strategies. The commercial acumen, sustainability focus, and industry knowledge of Green Grind on the Go's leadership team position it for success in the highly competitive coffee market. The leadership team's aim of supplying high-quality, ecologically friendly coffee will drive this success.</w:t>
      </w:r>
    </w:p>
    <w:p w14:paraId="13ED4599" w14:textId="6130794E" w:rsidR="00C55E19" w:rsidRPr="000C5A0F" w:rsidRDefault="00C55E19" w:rsidP="005F02E9">
      <w:pPr>
        <w:pStyle w:val="Heading1"/>
        <w:spacing w:line="360" w:lineRule="auto"/>
        <w:rPr>
          <w:b/>
          <w:bCs/>
          <w:i/>
          <w:iCs/>
          <w:sz w:val="28"/>
          <w:szCs w:val="28"/>
        </w:rPr>
      </w:pPr>
      <w:bookmarkStart w:id="16" w:name="_Toc150977018"/>
      <w:r w:rsidRPr="000C5A0F">
        <w:rPr>
          <w:b/>
          <w:bCs/>
          <w:i/>
          <w:iCs/>
          <w:sz w:val="28"/>
          <w:szCs w:val="28"/>
        </w:rPr>
        <w:t>4. Marketing strategy</w:t>
      </w:r>
      <w:bookmarkEnd w:id="16"/>
    </w:p>
    <w:p w14:paraId="1D9C6876" w14:textId="46FB7ADB" w:rsidR="00C55E19" w:rsidRPr="000C5A0F" w:rsidRDefault="00C55E19" w:rsidP="005F02E9">
      <w:pPr>
        <w:pStyle w:val="Heading2"/>
        <w:spacing w:line="360" w:lineRule="auto"/>
        <w:rPr>
          <w:b/>
          <w:bCs/>
          <w:i/>
          <w:iCs/>
        </w:rPr>
      </w:pPr>
      <w:bookmarkStart w:id="17" w:name="_Toc150977019"/>
      <w:r w:rsidRPr="000C5A0F">
        <w:rPr>
          <w:b/>
          <w:bCs/>
          <w:i/>
          <w:iCs/>
        </w:rPr>
        <w:t xml:space="preserve">Marketing </w:t>
      </w:r>
      <w:r w:rsidR="000C5A0F" w:rsidRPr="000C5A0F">
        <w:rPr>
          <w:b/>
          <w:bCs/>
          <w:i/>
          <w:iCs/>
        </w:rPr>
        <w:t>Mix</w:t>
      </w:r>
      <w:bookmarkEnd w:id="17"/>
    </w:p>
    <w:p w14:paraId="33A99C9E" w14:textId="1E7344C4" w:rsidR="00C55E19" w:rsidRPr="000C5A0F" w:rsidRDefault="00C55E19"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 xml:space="preserve">"Green Grind on the Go" skillfully uses the Four Ps of marketing. Product: The firm </w:t>
      </w:r>
      <w:proofErr w:type="spellStart"/>
      <w:r w:rsidRPr="000C5A0F">
        <w:rPr>
          <w:rFonts w:ascii="Times New Roman" w:hAnsi="Times New Roman" w:cs="Times New Roman"/>
          <w:sz w:val="24"/>
          <w:szCs w:val="24"/>
        </w:rPr>
        <w:t>emphasises</w:t>
      </w:r>
      <w:proofErr w:type="spellEnd"/>
      <w:r w:rsidRPr="000C5A0F">
        <w:rPr>
          <w:rFonts w:ascii="Times New Roman" w:hAnsi="Times New Roman" w:cs="Times New Roman"/>
          <w:sz w:val="24"/>
          <w:szCs w:val="24"/>
        </w:rPr>
        <w:t xml:space="preserve"> eco-friendly, sustainable </w:t>
      </w:r>
      <w:proofErr w:type="spellStart"/>
      <w:r w:rsidRPr="000C5A0F">
        <w:rPr>
          <w:rFonts w:ascii="Times New Roman" w:hAnsi="Times New Roman" w:cs="Times New Roman"/>
          <w:sz w:val="24"/>
          <w:szCs w:val="24"/>
        </w:rPr>
        <w:t>practises</w:t>
      </w:r>
      <w:proofErr w:type="spellEnd"/>
      <w:r w:rsidRPr="000C5A0F">
        <w:rPr>
          <w:rFonts w:ascii="Times New Roman" w:hAnsi="Times New Roman" w:cs="Times New Roman"/>
          <w:sz w:val="24"/>
          <w:szCs w:val="24"/>
        </w:rPr>
        <w:t xml:space="preserve"> and sells organic goodies and premium coffee. Mobile trolleys provide a unique and useful user experience as part of the product</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 xml:space="preserve">Hernández and </w:t>
      </w:r>
      <w:proofErr w:type="spellStart"/>
      <w:r w:rsidR="005F02E9">
        <w:rPr>
          <w:rFonts w:ascii="Times New Roman" w:hAnsi="Times New Roman" w:cs="Times New Roman"/>
          <w:color w:val="222222"/>
          <w:sz w:val="24"/>
          <w:szCs w:val="20"/>
          <w:shd w:val="clear" w:color="auto" w:fill="FFFFFF"/>
        </w:rPr>
        <w:t>Carrà</w:t>
      </w:r>
      <w:proofErr w:type="spellEnd"/>
      <w:r w:rsidR="005F02E9">
        <w:rPr>
          <w:rFonts w:ascii="Times New Roman" w:hAnsi="Times New Roman" w:cs="Times New Roman"/>
          <w:color w:val="222222"/>
          <w:sz w:val="24"/>
          <w:szCs w:val="20"/>
          <w:shd w:val="clear" w:color="auto" w:fill="FFFFFF"/>
        </w:rPr>
        <w:t>, 2016)</w:t>
      </w:r>
      <w:r w:rsidRPr="000C5A0F">
        <w:rPr>
          <w:rFonts w:ascii="Times New Roman" w:hAnsi="Times New Roman" w:cs="Times New Roman"/>
          <w:sz w:val="24"/>
          <w:szCs w:val="24"/>
        </w:rPr>
        <w:t xml:space="preserve">. The establishment targets environmentally concerned customers who value sustainability and quality with competitive pricing that represents the product's premium quality and ethical sourcing. The focus of promotional efforts is digital marketing, which uses social media to build brand community and notify fans about cart locations and new goods. Promotion is heavily affected by local influencer collaborations, community activities, and appealing, eco-friendly content. The </w:t>
      </w:r>
      <w:proofErr w:type="spellStart"/>
      <w:r w:rsidRPr="000C5A0F">
        <w:rPr>
          <w:rFonts w:ascii="Times New Roman" w:hAnsi="Times New Roman" w:cs="Times New Roman"/>
          <w:sz w:val="24"/>
          <w:szCs w:val="24"/>
        </w:rPr>
        <w:t>waggons'</w:t>
      </w:r>
      <w:proofErr w:type="spellEnd"/>
      <w:r w:rsidRPr="000C5A0F">
        <w:rPr>
          <w:rFonts w:ascii="Times New Roman" w:hAnsi="Times New Roman" w:cs="Times New Roman"/>
          <w:sz w:val="24"/>
          <w:szCs w:val="24"/>
        </w:rPr>
        <w:t xml:space="preserve"> mobility allows them to operate in high-traffic metropolitan areas, events, and festivals, ensuring wide exposure and accessible to a diverse clientele. This is key to the company concept.</w:t>
      </w:r>
    </w:p>
    <w:p w14:paraId="0CEA1F3C" w14:textId="24CC5F20" w:rsidR="00C55E19" w:rsidRPr="000C5A0F" w:rsidRDefault="00C55E19" w:rsidP="005F02E9">
      <w:pPr>
        <w:pStyle w:val="Heading2"/>
        <w:spacing w:line="360" w:lineRule="auto"/>
        <w:rPr>
          <w:b/>
          <w:bCs/>
          <w:i/>
          <w:iCs/>
        </w:rPr>
      </w:pPr>
      <w:bookmarkStart w:id="18" w:name="_Toc150977020"/>
      <w:r w:rsidRPr="000C5A0F">
        <w:rPr>
          <w:b/>
          <w:bCs/>
          <w:i/>
          <w:iCs/>
        </w:rPr>
        <w:t>Market positioning and differentiation.</w:t>
      </w:r>
      <w:bookmarkEnd w:id="18"/>
    </w:p>
    <w:p w14:paraId="0CBCFF5E" w14:textId="0E9B8899" w:rsidR="00C55E19" w:rsidRPr="000C5A0F" w:rsidRDefault="00C55E19"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Market positioning and differentiation: "Green Grind on the Go" promotes a sustainable lifestyle in addition to coffee. This is achieved by a strong brand identity that aligns with ecological stewardship, community participation, and high-quality goods</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Popowska and Nalepa, 2015)</w:t>
      </w:r>
      <w:r w:rsidRPr="000C5A0F">
        <w:rPr>
          <w:rFonts w:ascii="Times New Roman" w:hAnsi="Times New Roman" w:cs="Times New Roman"/>
          <w:sz w:val="24"/>
          <w:szCs w:val="24"/>
        </w:rPr>
        <w:t>. Eco-friendly practises and solar-powered carts set the brand apart in the competitive coffee sector. The brand targets environmentally conscious millennials and Generation Z who want quality coffee and ethical consumption. The brand's unique positioning allows it to attract loyal customers who share its values and ethics.</w:t>
      </w:r>
    </w:p>
    <w:p w14:paraId="499D5FF6" w14:textId="23BE6E82" w:rsidR="00C55E19" w:rsidRPr="000C5A0F" w:rsidRDefault="00C55E19" w:rsidP="005F02E9">
      <w:pPr>
        <w:pStyle w:val="Heading2"/>
        <w:spacing w:line="360" w:lineRule="auto"/>
        <w:rPr>
          <w:b/>
          <w:bCs/>
          <w:i/>
          <w:iCs/>
        </w:rPr>
      </w:pPr>
      <w:bookmarkStart w:id="19" w:name="_Toc150977021"/>
      <w:r w:rsidRPr="000C5A0F">
        <w:rPr>
          <w:b/>
          <w:bCs/>
          <w:i/>
          <w:iCs/>
        </w:rPr>
        <w:t>Sales strategies.</w:t>
      </w:r>
      <w:bookmarkEnd w:id="19"/>
    </w:p>
    <w:p w14:paraId="35773DA7" w14:textId="51DC82B3" w:rsidR="00C55E19" w:rsidRPr="000C5A0F" w:rsidRDefault="00C55E19" w:rsidP="005F02E9">
      <w:pPr>
        <w:spacing w:line="360" w:lineRule="auto"/>
        <w:jc w:val="both"/>
        <w:rPr>
          <w:rFonts w:ascii="Times New Roman" w:hAnsi="Times New Roman" w:cs="Times New Roman"/>
          <w:sz w:val="24"/>
          <w:szCs w:val="24"/>
        </w:rPr>
      </w:pPr>
      <w:proofErr w:type="spellStart"/>
      <w:r w:rsidRPr="000C5A0F">
        <w:rPr>
          <w:rFonts w:ascii="Times New Roman" w:hAnsi="Times New Roman" w:cs="Times New Roman"/>
          <w:sz w:val="24"/>
          <w:szCs w:val="24"/>
        </w:rPr>
        <w:t>Optimising</w:t>
      </w:r>
      <w:proofErr w:type="spellEnd"/>
      <w:r w:rsidRPr="000C5A0F">
        <w:rPr>
          <w:rFonts w:ascii="Times New Roman" w:hAnsi="Times New Roman" w:cs="Times New Roman"/>
          <w:sz w:val="24"/>
          <w:szCs w:val="24"/>
        </w:rPr>
        <w:t xml:space="preserve"> the mobile coffee service's unique attributes is the sales approach. Dynamic location targeting based on client density and events boosts sales. Mobile carts' versatility lets them quickly respond to market movements and client demand</w:t>
      </w:r>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Popowska and Nalepa, 2015)</w:t>
      </w:r>
      <w:r w:rsidRPr="000C5A0F">
        <w:rPr>
          <w:rFonts w:ascii="Times New Roman" w:hAnsi="Times New Roman" w:cs="Times New Roman"/>
          <w:sz w:val="24"/>
          <w:szCs w:val="24"/>
        </w:rPr>
        <w:t xml:space="preserve">. Cross-selling and upselling are used during transactions to encourage customers to buy more or bigger things. The </w:t>
      </w:r>
      <w:r w:rsidRPr="000C5A0F">
        <w:rPr>
          <w:rFonts w:ascii="Times New Roman" w:hAnsi="Times New Roman" w:cs="Times New Roman"/>
          <w:sz w:val="24"/>
          <w:szCs w:val="24"/>
        </w:rPr>
        <w:lastRenderedPageBreak/>
        <w:t xml:space="preserve">firm also studies subscription models and loyalty </w:t>
      </w:r>
      <w:proofErr w:type="spellStart"/>
      <w:r w:rsidRPr="000C5A0F">
        <w:rPr>
          <w:rFonts w:ascii="Times New Roman" w:hAnsi="Times New Roman" w:cs="Times New Roman"/>
          <w:sz w:val="24"/>
          <w:szCs w:val="24"/>
        </w:rPr>
        <w:t>programmes</w:t>
      </w:r>
      <w:proofErr w:type="spellEnd"/>
      <w:r w:rsidRPr="000C5A0F">
        <w:rPr>
          <w:rFonts w:ascii="Times New Roman" w:hAnsi="Times New Roman" w:cs="Times New Roman"/>
          <w:sz w:val="24"/>
          <w:szCs w:val="24"/>
        </w:rPr>
        <w:t xml:space="preserve"> that give discounts and special incentives to promote repeat business. The brand grows its client base and earnings by delivering corporate and event catering. This complete sales approach generates constant income without sacrificing market dynamics and customer preferences.</w:t>
      </w:r>
    </w:p>
    <w:p w14:paraId="1519CD54" w14:textId="38E0DE90" w:rsidR="00D53865" w:rsidRPr="005F02E9" w:rsidRDefault="00C55E19" w:rsidP="005F02E9">
      <w:pPr>
        <w:pStyle w:val="Heading1"/>
        <w:rPr>
          <w:rFonts w:ascii="Times New Roman" w:hAnsi="Times New Roman" w:cs="Times New Roman"/>
          <w:b/>
          <w:bCs/>
          <w:i/>
          <w:iCs/>
          <w:sz w:val="22"/>
          <w:szCs w:val="22"/>
        </w:rPr>
      </w:pPr>
      <w:r w:rsidRPr="005F02E9">
        <w:rPr>
          <w:rFonts w:ascii="Times New Roman" w:hAnsi="Times New Roman" w:cs="Times New Roman"/>
          <w:b/>
          <w:bCs/>
          <w:i/>
          <w:iCs/>
          <w:sz w:val="22"/>
          <w:szCs w:val="22"/>
        </w:rPr>
        <w:br w:type="page"/>
      </w:r>
      <w:bookmarkStart w:id="20" w:name="_Toc150977022"/>
      <w:r w:rsidR="005F02E9" w:rsidRPr="005F02E9">
        <w:rPr>
          <w:rFonts w:ascii="Times New Roman" w:hAnsi="Times New Roman" w:cs="Times New Roman"/>
          <w:b/>
          <w:bCs/>
          <w:i/>
          <w:iCs/>
          <w:sz w:val="28"/>
          <w:szCs w:val="28"/>
        </w:rPr>
        <w:lastRenderedPageBreak/>
        <w:t>5.</w:t>
      </w:r>
      <w:r w:rsidR="009A1951" w:rsidRPr="005F02E9">
        <w:rPr>
          <w:rFonts w:ascii="Times New Roman" w:hAnsi="Times New Roman" w:cs="Times New Roman"/>
          <w:b/>
          <w:bCs/>
          <w:i/>
          <w:iCs/>
          <w:sz w:val="36"/>
          <w:szCs w:val="36"/>
        </w:rPr>
        <w:t xml:space="preserve"> </w:t>
      </w:r>
      <w:r w:rsidR="009A1951" w:rsidRPr="005F02E9">
        <w:rPr>
          <w:rFonts w:ascii="Times New Roman" w:hAnsi="Times New Roman" w:cs="Times New Roman"/>
          <w:b/>
          <w:bCs/>
          <w:i/>
          <w:iCs/>
          <w:sz w:val="28"/>
          <w:szCs w:val="28"/>
        </w:rPr>
        <w:t>Financial Plan</w:t>
      </w:r>
      <w:bookmarkEnd w:id="20"/>
    </w:p>
    <w:p w14:paraId="2171CE9A" w14:textId="77777777" w:rsidR="00C55E19" w:rsidRPr="000C5A0F" w:rsidRDefault="00C55E19" w:rsidP="005F02E9">
      <w:pPr>
        <w:pStyle w:val="Heading2"/>
        <w:spacing w:line="360" w:lineRule="auto"/>
        <w:rPr>
          <w:rFonts w:eastAsia="MS Mincho"/>
          <w:b/>
          <w:bCs/>
          <w:i/>
          <w:iCs/>
        </w:rPr>
      </w:pPr>
      <w:bookmarkStart w:id="21" w:name="_Toc150977023"/>
      <w:r w:rsidRPr="000C5A0F">
        <w:rPr>
          <w:rFonts w:eastAsia="MS Mincho"/>
          <w:b/>
          <w:bCs/>
          <w:i/>
          <w:iCs/>
        </w:rPr>
        <w:t>Start-up Costs</w:t>
      </w:r>
      <w:bookmarkEnd w:id="21"/>
    </w:p>
    <w:tbl>
      <w:tblPr>
        <w:tblStyle w:val="TableGrid"/>
        <w:tblW w:w="0" w:type="auto"/>
        <w:tblInd w:w="108" w:type="dxa"/>
        <w:tblLook w:val="04A0" w:firstRow="1" w:lastRow="0" w:firstColumn="1" w:lastColumn="0" w:noHBand="0" w:noVBand="1"/>
      </w:tblPr>
      <w:tblGrid>
        <w:gridCol w:w="4212"/>
        <w:gridCol w:w="4320"/>
      </w:tblGrid>
      <w:tr w:rsidR="00C55E19" w:rsidRPr="00C55E19" w14:paraId="1978E622"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260FA763" w14:textId="77777777" w:rsidR="00C55E19" w:rsidRPr="00C55E19" w:rsidRDefault="00C55E19" w:rsidP="005F02E9">
            <w:pPr>
              <w:spacing w:line="360" w:lineRule="auto"/>
              <w:jc w:val="both"/>
              <w:rPr>
                <w:rFonts w:ascii="Times New Roman" w:hAnsi="Times New Roman"/>
                <w:b/>
                <w:bCs/>
                <w:sz w:val="24"/>
                <w:szCs w:val="24"/>
              </w:rPr>
            </w:pPr>
            <w:r w:rsidRPr="00C55E19">
              <w:rPr>
                <w:rFonts w:ascii="Times New Roman" w:hAnsi="Times New Roman"/>
                <w:b/>
                <w:bCs/>
                <w:sz w:val="24"/>
                <w:szCs w:val="24"/>
              </w:rPr>
              <w:t>Item</w:t>
            </w:r>
          </w:p>
        </w:tc>
        <w:tc>
          <w:tcPr>
            <w:tcW w:w="4320" w:type="dxa"/>
            <w:tcBorders>
              <w:top w:val="single" w:sz="4" w:space="0" w:color="auto"/>
              <w:left w:val="single" w:sz="4" w:space="0" w:color="auto"/>
              <w:bottom w:val="single" w:sz="4" w:space="0" w:color="auto"/>
              <w:right w:val="single" w:sz="4" w:space="0" w:color="auto"/>
            </w:tcBorders>
            <w:hideMark/>
          </w:tcPr>
          <w:p w14:paraId="419558B5" w14:textId="1559383A" w:rsidR="00C55E19" w:rsidRPr="00C55E19" w:rsidRDefault="00C55E19" w:rsidP="005F02E9">
            <w:pPr>
              <w:spacing w:line="360" w:lineRule="auto"/>
              <w:jc w:val="both"/>
              <w:rPr>
                <w:rFonts w:ascii="Times New Roman" w:hAnsi="Times New Roman"/>
                <w:b/>
                <w:bCs/>
                <w:sz w:val="24"/>
                <w:szCs w:val="24"/>
              </w:rPr>
            </w:pPr>
            <w:r w:rsidRPr="00C55E19">
              <w:rPr>
                <w:rFonts w:ascii="Times New Roman" w:hAnsi="Times New Roman"/>
                <w:b/>
                <w:bCs/>
                <w:sz w:val="24"/>
                <w:szCs w:val="24"/>
              </w:rPr>
              <w:t>Cost</w:t>
            </w:r>
            <w:r w:rsidR="000C5A0F" w:rsidRPr="000C5A0F">
              <w:rPr>
                <w:rFonts w:ascii="Times New Roman" w:hAnsi="Times New Roman"/>
                <w:b/>
                <w:bCs/>
                <w:sz w:val="24"/>
                <w:szCs w:val="24"/>
              </w:rPr>
              <w:t xml:space="preserve"> </w:t>
            </w:r>
            <w:r w:rsidR="000C5A0F" w:rsidRPr="009A1951">
              <w:rPr>
                <w:rFonts w:ascii="Times New Roman" w:hAnsi="Times New Roman"/>
                <w:b/>
                <w:bCs/>
                <w:sz w:val="24"/>
                <w:szCs w:val="24"/>
              </w:rPr>
              <w:t>(£)</w:t>
            </w:r>
          </w:p>
        </w:tc>
      </w:tr>
      <w:tr w:rsidR="00C55E19" w:rsidRPr="00C55E19" w14:paraId="19F4C48C"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4E2159AD" w14:textId="77777777" w:rsidR="00C55E19" w:rsidRPr="00C55E19" w:rsidRDefault="00C55E19" w:rsidP="005F02E9">
            <w:pPr>
              <w:spacing w:line="360" w:lineRule="auto"/>
              <w:jc w:val="both"/>
              <w:rPr>
                <w:rFonts w:ascii="Times New Roman" w:hAnsi="Times New Roman"/>
                <w:sz w:val="24"/>
                <w:szCs w:val="24"/>
              </w:rPr>
            </w:pPr>
            <w:r w:rsidRPr="00C55E19">
              <w:rPr>
                <w:rFonts w:ascii="Times New Roman" w:hAnsi="Times New Roman"/>
                <w:sz w:val="24"/>
                <w:szCs w:val="24"/>
              </w:rPr>
              <w:t>Mobile Coffee Carts</w:t>
            </w:r>
          </w:p>
        </w:tc>
        <w:tc>
          <w:tcPr>
            <w:tcW w:w="4320" w:type="dxa"/>
            <w:tcBorders>
              <w:top w:val="single" w:sz="4" w:space="0" w:color="auto"/>
              <w:left w:val="single" w:sz="4" w:space="0" w:color="auto"/>
              <w:bottom w:val="single" w:sz="4" w:space="0" w:color="auto"/>
              <w:right w:val="single" w:sz="4" w:space="0" w:color="auto"/>
            </w:tcBorders>
            <w:hideMark/>
          </w:tcPr>
          <w:p w14:paraId="707A2BF2" w14:textId="79DDFADD" w:rsidR="00C55E19" w:rsidRPr="00C55E19" w:rsidRDefault="00C55E19" w:rsidP="005F02E9">
            <w:pPr>
              <w:spacing w:line="360" w:lineRule="auto"/>
              <w:jc w:val="center"/>
              <w:rPr>
                <w:rFonts w:ascii="Times New Roman" w:hAnsi="Times New Roman"/>
                <w:sz w:val="24"/>
                <w:szCs w:val="24"/>
              </w:rPr>
            </w:pPr>
            <w:r w:rsidRPr="00C55E19">
              <w:rPr>
                <w:rFonts w:ascii="Times New Roman" w:hAnsi="Times New Roman"/>
                <w:sz w:val="24"/>
                <w:szCs w:val="24"/>
              </w:rPr>
              <w:t>25,000 each</w:t>
            </w:r>
          </w:p>
        </w:tc>
      </w:tr>
      <w:tr w:rsidR="00C55E19" w:rsidRPr="00C55E19" w14:paraId="6FC5B258"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5E24FC69" w14:textId="77777777" w:rsidR="00C55E19" w:rsidRPr="00C55E19" w:rsidRDefault="00C55E19" w:rsidP="005F02E9">
            <w:pPr>
              <w:spacing w:line="360" w:lineRule="auto"/>
              <w:jc w:val="both"/>
              <w:rPr>
                <w:rFonts w:ascii="Times New Roman" w:hAnsi="Times New Roman"/>
                <w:sz w:val="24"/>
                <w:szCs w:val="24"/>
              </w:rPr>
            </w:pPr>
            <w:r w:rsidRPr="00C55E19">
              <w:rPr>
                <w:rFonts w:ascii="Times New Roman" w:hAnsi="Times New Roman"/>
                <w:sz w:val="24"/>
                <w:szCs w:val="24"/>
              </w:rPr>
              <w:t>Coffee Beans &amp; Ingredients</w:t>
            </w:r>
          </w:p>
        </w:tc>
        <w:tc>
          <w:tcPr>
            <w:tcW w:w="4320" w:type="dxa"/>
            <w:tcBorders>
              <w:top w:val="single" w:sz="4" w:space="0" w:color="auto"/>
              <w:left w:val="single" w:sz="4" w:space="0" w:color="auto"/>
              <w:bottom w:val="single" w:sz="4" w:space="0" w:color="auto"/>
              <w:right w:val="single" w:sz="4" w:space="0" w:color="auto"/>
            </w:tcBorders>
            <w:hideMark/>
          </w:tcPr>
          <w:p w14:paraId="4BF421E9" w14:textId="53EDF223" w:rsidR="00C55E19" w:rsidRPr="00C55E19" w:rsidRDefault="00C55E19" w:rsidP="005F02E9">
            <w:pPr>
              <w:spacing w:line="360" w:lineRule="auto"/>
              <w:jc w:val="center"/>
              <w:rPr>
                <w:rFonts w:ascii="Times New Roman" w:hAnsi="Times New Roman"/>
                <w:sz w:val="24"/>
                <w:szCs w:val="24"/>
              </w:rPr>
            </w:pPr>
            <w:r w:rsidRPr="00C55E19">
              <w:rPr>
                <w:rFonts w:ascii="Times New Roman" w:hAnsi="Times New Roman"/>
                <w:sz w:val="24"/>
                <w:szCs w:val="24"/>
              </w:rPr>
              <w:t>5,000</w:t>
            </w:r>
          </w:p>
        </w:tc>
      </w:tr>
      <w:tr w:rsidR="00C55E19" w:rsidRPr="00C55E19" w14:paraId="332F9A10"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0E57DDD9" w14:textId="77777777" w:rsidR="00C55E19" w:rsidRPr="00C55E19" w:rsidRDefault="00C55E19" w:rsidP="005F02E9">
            <w:pPr>
              <w:spacing w:line="360" w:lineRule="auto"/>
              <w:jc w:val="both"/>
              <w:rPr>
                <w:rFonts w:ascii="Times New Roman" w:hAnsi="Times New Roman"/>
                <w:sz w:val="24"/>
                <w:szCs w:val="24"/>
              </w:rPr>
            </w:pPr>
            <w:r w:rsidRPr="00C55E19">
              <w:rPr>
                <w:rFonts w:ascii="Times New Roman" w:hAnsi="Times New Roman"/>
                <w:sz w:val="24"/>
                <w:szCs w:val="24"/>
              </w:rPr>
              <w:t>Equipment (coffee machines, grinders, etc.)</w:t>
            </w:r>
          </w:p>
        </w:tc>
        <w:tc>
          <w:tcPr>
            <w:tcW w:w="4320" w:type="dxa"/>
            <w:tcBorders>
              <w:top w:val="single" w:sz="4" w:space="0" w:color="auto"/>
              <w:left w:val="single" w:sz="4" w:space="0" w:color="auto"/>
              <w:bottom w:val="single" w:sz="4" w:space="0" w:color="auto"/>
              <w:right w:val="single" w:sz="4" w:space="0" w:color="auto"/>
            </w:tcBorders>
            <w:hideMark/>
          </w:tcPr>
          <w:p w14:paraId="5BE67551" w14:textId="6A6EFA4F" w:rsidR="00C55E19" w:rsidRPr="00C55E19" w:rsidRDefault="00C55E19" w:rsidP="005F02E9">
            <w:pPr>
              <w:spacing w:line="360" w:lineRule="auto"/>
              <w:jc w:val="center"/>
              <w:rPr>
                <w:rFonts w:ascii="Times New Roman" w:hAnsi="Times New Roman"/>
                <w:sz w:val="24"/>
                <w:szCs w:val="24"/>
              </w:rPr>
            </w:pPr>
            <w:r w:rsidRPr="00C55E19">
              <w:rPr>
                <w:rFonts w:ascii="Times New Roman" w:hAnsi="Times New Roman"/>
                <w:sz w:val="24"/>
                <w:szCs w:val="24"/>
              </w:rPr>
              <w:t>15,000</w:t>
            </w:r>
          </w:p>
        </w:tc>
      </w:tr>
      <w:tr w:rsidR="00C55E19" w:rsidRPr="00C55E19" w14:paraId="7A640E27"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44363865" w14:textId="77777777" w:rsidR="00C55E19" w:rsidRPr="00C55E19" w:rsidRDefault="00C55E19" w:rsidP="005F02E9">
            <w:pPr>
              <w:spacing w:line="360" w:lineRule="auto"/>
              <w:jc w:val="both"/>
              <w:rPr>
                <w:rFonts w:ascii="Times New Roman" w:hAnsi="Times New Roman"/>
                <w:sz w:val="24"/>
                <w:szCs w:val="24"/>
              </w:rPr>
            </w:pPr>
            <w:r w:rsidRPr="00C55E19">
              <w:rPr>
                <w:rFonts w:ascii="Times New Roman" w:hAnsi="Times New Roman"/>
                <w:sz w:val="24"/>
                <w:szCs w:val="24"/>
              </w:rPr>
              <w:t>Initial Marketing &amp; Branding</w:t>
            </w:r>
          </w:p>
        </w:tc>
        <w:tc>
          <w:tcPr>
            <w:tcW w:w="4320" w:type="dxa"/>
            <w:tcBorders>
              <w:top w:val="single" w:sz="4" w:space="0" w:color="auto"/>
              <w:left w:val="single" w:sz="4" w:space="0" w:color="auto"/>
              <w:bottom w:val="single" w:sz="4" w:space="0" w:color="auto"/>
              <w:right w:val="single" w:sz="4" w:space="0" w:color="auto"/>
            </w:tcBorders>
            <w:hideMark/>
          </w:tcPr>
          <w:p w14:paraId="6F1E59B3" w14:textId="3E85A17C" w:rsidR="00C55E19" w:rsidRPr="00C55E19" w:rsidRDefault="00C55E19" w:rsidP="005F02E9">
            <w:pPr>
              <w:spacing w:line="360" w:lineRule="auto"/>
              <w:jc w:val="center"/>
              <w:rPr>
                <w:rFonts w:ascii="Times New Roman" w:hAnsi="Times New Roman"/>
                <w:sz w:val="24"/>
                <w:szCs w:val="24"/>
              </w:rPr>
            </w:pPr>
            <w:r w:rsidRPr="00C55E19">
              <w:rPr>
                <w:rFonts w:ascii="Times New Roman" w:hAnsi="Times New Roman"/>
                <w:sz w:val="24"/>
                <w:szCs w:val="24"/>
              </w:rPr>
              <w:t>3,000</w:t>
            </w:r>
          </w:p>
        </w:tc>
      </w:tr>
      <w:tr w:rsidR="00C55E19" w:rsidRPr="00C55E19" w14:paraId="58BD6006"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6B7FDE2F" w14:textId="77777777" w:rsidR="00C55E19" w:rsidRPr="00C55E19" w:rsidRDefault="00C55E19" w:rsidP="005F02E9">
            <w:pPr>
              <w:spacing w:line="360" w:lineRule="auto"/>
              <w:jc w:val="both"/>
              <w:rPr>
                <w:rFonts w:ascii="Times New Roman" w:hAnsi="Times New Roman"/>
                <w:sz w:val="24"/>
                <w:szCs w:val="24"/>
              </w:rPr>
            </w:pPr>
            <w:r w:rsidRPr="00C55E19">
              <w:rPr>
                <w:rFonts w:ascii="Times New Roman" w:hAnsi="Times New Roman"/>
                <w:sz w:val="24"/>
                <w:szCs w:val="24"/>
              </w:rPr>
              <w:t>Licenses and Permits</w:t>
            </w:r>
          </w:p>
        </w:tc>
        <w:tc>
          <w:tcPr>
            <w:tcW w:w="4320" w:type="dxa"/>
            <w:tcBorders>
              <w:top w:val="single" w:sz="4" w:space="0" w:color="auto"/>
              <w:left w:val="single" w:sz="4" w:space="0" w:color="auto"/>
              <w:bottom w:val="single" w:sz="4" w:space="0" w:color="auto"/>
              <w:right w:val="single" w:sz="4" w:space="0" w:color="auto"/>
            </w:tcBorders>
            <w:hideMark/>
          </w:tcPr>
          <w:p w14:paraId="237BA032" w14:textId="2790E465" w:rsidR="00C55E19" w:rsidRPr="00C55E19" w:rsidRDefault="00C55E19" w:rsidP="005F02E9">
            <w:pPr>
              <w:spacing w:line="360" w:lineRule="auto"/>
              <w:jc w:val="center"/>
              <w:rPr>
                <w:rFonts w:ascii="Times New Roman" w:hAnsi="Times New Roman"/>
                <w:sz w:val="24"/>
                <w:szCs w:val="24"/>
              </w:rPr>
            </w:pPr>
            <w:r w:rsidRPr="00C55E19">
              <w:rPr>
                <w:rFonts w:ascii="Times New Roman" w:hAnsi="Times New Roman"/>
                <w:sz w:val="24"/>
                <w:szCs w:val="24"/>
              </w:rPr>
              <w:t>2,000</w:t>
            </w:r>
          </w:p>
        </w:tc>
      </w:tr>
      <w:tr w:rsidR="00C55E19" w:rsidRPr="00C55E19" w14:paraId="6D101ACF"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7419B96B" w14:textId="77777777" w:rsidR="00C55E19" w:rsidRPr="00C55E19" w:rsidRDefault="00C55E19" w:rsidP="005F02E9">
            <w:pPr>
              <w:spacing w:line="360" w:lineRule="auto"/>
              <w:jc w:val="both"/>
              <w:rPr>
                <w:rFonts w:ascii="Times New Roman" w:hAnsi="Times New Roman"/>
                <w:sz w:val="24"/>
                <w:szCs w:val="24"/>
              </w:rPr>
            </w:pPr>
            <w:r w:rsidRPr="00C55E19">
              <w:rPr>
                <w:rFonts w:ascii="Times New Roman" w:hAnsi="Times New Roman"/>
                <w:sz w:val="24"/>
                <w:szCs w:val="24"/>
              </w:rPr>
              <w:t>Website and Social Media Setup</w:t>
            </w:r>
          </w:p>
        </w:tc>
        <w:tc>
          <w:tcPr>
            <w:tcW w:w="4320" w:type="dxa"/>
            <w:tcBorders>
              <w:top w:val="single" w:sz="4" w:space="0" w:color="auto"/>
              <w:left w:val="single" w:sz="4" w:space="0" w:color="auto"/>
              <w:bottom w:val="single" w:sz="4" w:space="0" w:color="auto"/>
              <w:right w:val="single" w:sz="4" w:space="0" w:color="auto"/>
            </w:tcBorders>
            <w:hideMark/>
          </w:tcPr>
          <w:p w14:paraId="19EB25A6" w14:textId="7C96C211" w:rsidR="00C55E19" w:rsidRPr="00C55E19" w:rsidRDefault="00C55E19" w:rsidP="005F02E9">
            <w:pPr>
              <w:spacing w:line="360" w:lineRule="auto"/>
              <w:jc w:val="center"/>
              <w:rPr>
                <w:rFonts w:ascii="Times New Roman" w:hAnsi="Times New Roman"/>
                <w:sz w:val="24"/>
                <w:szCs w:val="24"/>
              </w:rPr>
            </w:pPr>
            <w:r w:rsidRPr="00C55E19">
              <w:rPr>
                <w:rFonts w:ascii="Times New Roman" w:hAnsi="Times New Roman"/>
                <w:sz w:val="24"/>
                <w:szCs w:val="24"/>
              </w:rPr>
              <w:t>1,500</w:t>
            </w:r>
          </w:p>
        </w:tc>
      </w:tr>
      <w:tr w:rsidR="00C55E19" w:rsidRPr="00C55E19" w14:paraId="15B5AF1F"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1DE1584F" w14:textId="77777777" w:rsidR="00C55E19" w:rsidRPr="00C55E19" w:rsidRDefault="00C55E19" w:rsidP="005F02E9">
            <w:pPr>
              <w:spacing w:line="360" w:lineRule="auto"/>
              <w:jc w:val="both"/>
              <w:rPr>
                <w:rFonts w:ascii="Times New Roman" w:hAnsi="Times New Roman"/>
                <w:sz w:val="24"/>
                <w:szCs w:val="24"/>
              </w:rPr>
            </w:pPr>
            <w:r w:rsidRPr="00C55E19">
              <w:rPr>
                <w:rFonts w:ascii="Times New Roman" w:hAnsi="Times New Roman"/>
                <w:sz w:val="24"/>
                <w:szCs w:val="24"/>
              </w:rPr>
              <w:t>Insurance</w:t>
            </w:r>
          </w:p>
        </w:tc>
        <w:tc>
          <w:tcPr>
            <w:tcW w:w="4320" w:type="dxa"/>
            <w:tcBorders>
              <w:top w:val="single" w:sz="4" w:space="0" w:color="auto"/>
              <w:left w:val="single" w:sz="4" w:space="0" w:color="auto"/>
              <w:bottom w:val="single" w:sz="4" w:space="0" w:color="auto"/>
              <w:right w:val="single" w:sz="4" w:space="0" w:color="auto"/>
            </w:tcBorders>
            <w:hideMark/>
          </w:tcPr>
          <w:p w14:paraId="690591C2" w14:textId="3E9FFC0A" w:rsidR="00C55E19" w:rsidRPr="00C55E19" w:rsidRDefault="00C55E19" w:rsidP="005F02E9">
            <w:pPr>
              <w:spacing w:line="360" w:lineRule="auto"/>
              <w:jc w:val="center"/>
              <w:rPr>
                <w:rFonts w:ascii="Times New Roman" w:hAnsi="Times New Roman"/>
                <w:sz w:val="24"/>
                <w:szCs w:val="24"/>
              </w:rPr>
            </w:pPr>
            <w:r w:rsidRPr="00C55E19">
              <w:rPr>
                <w:rFonts w:ascii="Times New Roman" w:hAnsi="Times New Roman"/>
                <w:sz w:val="24"/>
                <w:szCs w:val="24"/>
              </w:rPr>
              <w:t>2,500</w:t>
            </w:r>
          </w:p>
        </w:tc>
      </w:tr>
      <w:tr w:rsidR="00C55E19" w:rsidRPr="00C55E19" w14:paraId="0C02AD31"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760C0476" w14:textId="77777777" w:rsidR="00C55E19" w:rsidRPr="00C55E19" w:rsidRDefault="00C55E19" w:rsidP="005F02E9">
            <w:pPr>
              <w:spacing w:line="360" w:lineRule="auto"/>
              <w:jc w:val="both"/>
              <w:rPr>
                <w:rFonts w:ascii="Times New Roman" w:hAnsi="Times New Roman"/>
                <w:sz w:val="24"/>
                <w:szCs w:val="24"/>
              </w:rPr>
            </w:pPr>
            <w:r w:rsidRPr="00C55E19">
              <w:rPr>
                <w:rFonts w:ascii="Times New Roman" w:hAnsi="Times New Roman"/>
                <w:sz w:val="24"/>
                <w:szCs w:val="24"/>
              </w:rPr>
              <w:t>Miscellaneous</w:t>
            </w:r>
          </w:p>
        </w:tc>
        <w:tc>
          <w:tcPr>
            <w:tcW w:w="4320" w:type="dxa"/>
            <w:tcBorders>
              <w:top w:val="single" w:sz="4" w:space="0" w:color="auto"/>
              <w:left w:val="single" w:sz="4" w:space="0" w:color="auto"/>
              <w:bottom w:val="single" w:sz="4" w:space="0" w:color="auto"/>
              <w:right w:val="single" w:sz="4" w:space="0" w:color="auto"/>
            </w:tcBorders>
            <w:hideMark/>
          </w:tcPr>
          <w:p w14:paraId="461418A8" w14:textId="529FDF16" w:rsidR="00C55E19" w:rsidRPr="00C55E19" w:rsidRDefault="00C55E19" w:rsidP="005F02E9">
            <w:pPr>
              <w:spacing w:line="360" w:lineRule="auto"/>
              <w:jc w:val="center"/>
              <w:rPr>
                <w:rFonts w:ascii="Times New Roman" w:hAnsi="Times New Roman"/>
                <w:sz w:val="24"/>
                <w:szCs w:val="24"/>
              </w:rPr>
            </w:pPr>
            <w:r w:rsidRPr="00C55E19">
              <w:rPr>
                <w:rFonts w:ascii="Times New Roman" w:hAnsi="Times New Roman"/>
                <w:sz w:val="24"/>
                <w:szCs w:val="24"/>
              </w:rPr>
              <w:t>1,000</w:t>
            </w:r>
          </w:p>
        </w:tc>
      </w:tr>
    </w:tbl>
    <w:p w14:paraId="07462AB5" w14:textId="77777777" w:rsidR="000C5A0F" w:rsidRDefault="000C5A0F" w:rsidP="005F02E9">
      <w:pPr>
        <w:pStyle w:val="Heading2"/>
        <w:spacing w:line="360" w:lineRule="auto"/>
        <w:rPr>
          <w:rFonts w:eastAsia="MS Mincho"/>
          <w:b/>
          <w:bCs/>
          <w:i/>
          <w:iCs/>
        </w:rPr>
      </w:pPr>
    </w:p>
    <w:p w14:paraId="5DBAE134" w14:textId="3CF467FD" w:rsidR="00C55E19" w:rsidRPr="000C5A0F" w:rsidRDefault="00C55E19" w:rsidP="005F02E9">
      <w:pPr>
        <w:pStyle w:val="Heading2"/>
        <w:spacing w:line="360" w:lineRule="auto"/>
        <w:rPr>
          <w:rFonts w:eastAsia="MS Mincho"/>
          <w:b/>
          <w:bCs/>
          <w:i/>
          <w:iCs/>
        </w:rPr>
      </w:pPr>
      <w:bookmarkStart w:id="22" w:name="_Toc150977024"/>
      <w:r w:rsidRPr="000C5A0F">
        <w:rPr>
          <w:rFonts w:eastAsia="MS Mincho"/>
          <w:b/>
          <w:bCs/>
          <w:i/>
          <w:iCs/>
        </w:rPr>
        <w:t>Source and Use of Funds Statement</w:t>
      </w:r>
      <w:bookmarkEnd w:id="22"/>
    </w:p>
    <w:tbl>
      <w:tblPr>
        <w:tblStyle w:val="TableGrid"/>
        <w:tblW w:w="0" w:type="auto"/>
        <w:tblInd w:w="108" w:type="dxa"/>
        <w:tblLook w:val="04A0" w:firstRow="1" w:lastRow="0" w:firstColumn="1" w:lastColumn="0" w:noHBand="0" w:noVBand="1"/>
      </w:tblPr>
      <w:tblGrid>
        <w:gridCol w:w="4212"/>
        <w:gridCol w:w="4320"/>
      </w:tblGrid>
      <w:tr w:rsidR="00C55E19" w:rsidRPr="00C55E19" w14:paraId="207750AD"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655E6EC4" w14:textId="77777777" w:rsidR="00C55E19" w:rsidRPr="00C55E19" w:rsidRDefault="00C55E19" w:rsidP="005F02E9">
            <w:pPr>
              <w:spacing w:line="360" w:lineRule="auto"/>
              <w:jc w:val="both"/>
              <w:rPr>
                <w:rFonts w:ascii="Times New Roman" w:hAnsi="Times New Roman"/>
                <w:b/>
                <w:bCs/>
                <w:sz w:val="24"/>
                <w:szCs w:val="24"/>
              </w:rPr>
            </w:pPr>
            <w:r w:rsidRPr="00C55E19">
              <w:rPr>
                <w:rFonts w:ascii="Times New Roman" w:hAnsi="Times New Roman"/>
                <w:b/>
                <w:bCs/>
                <w:sz w:val="24"/>
                <w:szCs w:val="24"/>
              </w:rPr>
              <w:t>Source of Funds</w:t>
            </w:r>
          </w:p>
        </w:tc>
        <w:tc>
          <w:tcPr>
            <w:tcW w:w="4320" w:type="dxa"/>
            <w:tcBorders>
              <w:top w:val="single" w:sz="4" w:space="0" w:color="auto"/>
              <w:left w:val="single" w:sz="4" w:space="0" w:color="auto"/>
              <w:bottom w:val="single" w:sz="4" w:space="0" w:color="auto"/>
              <w:right w:val="single" w:sz="4" w:space="0" w:color="auto"/>
            </w:tcBorders>
            <w:hideMark/>
          </w:tcPr>
          <w:p w14:paraId="72CC3E1A" w14:textId="05974736" w:rsidR="00C55E19" w:rsidRPr="00C55E19" w:rsidRDefault="00C55E19" w:rsidP="005F02E9">
            <w:pPr>
              <w:spacing w:line="360" w:lineRule="auto"/>
              <w:jc w:val="both"/>
              <w:rPr>
                <w:rFonts w:ascii="Times New Roman" w:hAnsi="Times New Roman"/>
                <w:b/>
                <w:bCs/>
                <w:sz w:val="24"/>
                <w:szCs w:val="24"/>
              </w:rPr>
            </w:pPr>
            <w:r w:rsidRPr="00C55E19">
              <w:rPr>
                <w:rFonts w:ascii="Times New Roman" w:hAnsi="Times New Roman"/>
                <w:b/>
                <w:bCs/>
                <w:sz w:val="24"/>
                <w:szCs w:val="24"/>
              </w:rPr>
              <w:t>Amount</w:t>
            </w:r>
            <w:r w:rsidR="000C5A0F" w:rsidRPr="000C5A0F">
              <w:rPr>
                <w:rFonts w:ascii="Times New Roman" w:hAnsi="Times New Roman"/>
                <w:b/>
                <w:bCs/>
                <w:sz w:val="24"/>
                <w:szCs w:val="24"/>
              </w:rPr>
              <w:t xml:space="preserve"> </w:t>
            </w:r>
            <w:r w:rsidR="000C5A0F" w:rsidRPr="009A1951">
              <w:rPr>
                <w:rFonts w:ascii="Times New Roman" w:hAnsi="Times New Roman"/>
                <w:b/>
                <w:bCs/>
                <w:sz w:val="24"/>
                <w:szCs w:val="24"/>
              </w:rPr>
              <w:t>(£)</w:t>
            </w:r>
          </w:p>
        </w:tc>
      </w:tr>
      <w:tr w:rsidR="00C55E19" w:rsidRPr="00C55E19" w14:paraId="1163A6BE"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1C5EBF9C" w14:textId="77777777" w:rsidR="00C55E19" w:rsidRPr="00C55E19" w:rsidRDefault="00C55E19" w:rsidP="005F02E9">
            <w:pPr>
              <w:spacing w:line="360" w:lineRule="auto"/>
              <w:jc w:val="both"/>
              <w:rPr>
                <w:rFonts w:ascii="Times New Roman" w:hAnsi="Times New Roman"/>
                <w:sz w:val="24"/>
                <w:szCs w:val="24"/>
              </w:rPr>
            </w:pPr>
            <w:r w:rsidRPr="00C55E19">
              <w:rPr>
                <w:rFonts w:ascii="Times New Roman" w:hAnsi="Times New Roman"/>
                <w:sz w:val="24"/>
                <w:szCs w:val="24"/>
              </w:rPr>
              <w:t>Owner’s Equity</w:t>
            </w:r>
          </w:p>
        </w:tc>
        <w:tc>
          <w:tcPr>
            <w:tcW w:w="4320" w:type="dxa"/>
            <w:tcBorders>
              <w:top w:val="single" w:sz="4" w:space="0" w:color="auto"/>
              <w:left w:val="single" w:sz="4" w:space="0" w:color="auto"/>
              <w:bottom w:val="single" w:sz="4" w:space="0" w:color="auto"/>
              <w:right w:val="single" w:sz="4" w:space="0" w:color="auto"/>
            </w:tcBorders>
            <w:hideMark/>
          </w:tcPr>
          <w:p w14:paraId="79E99770" w14:textId="5A3E254F" w:rsidR="00C55E19" w:rsidRPr="00C55E19" w:rsidRDefault="00C55E19" w:rsidP="005F02E9">
            <w:pPr>
              <w:spacing w:line="360" w:lineRule="auto"/>
              <w:jc w:val="center"/>
              <w:rPr>
                <w:rFonts w:ascii="Times New Roman" w:hAnsi="Times New Roman"/>
                <w:sz w:val="24"/>
                <w:szCs w:val="24"/>
              </w:rPr>
            </w:pPr>
            <w:r w:rsidRPr="00C55E19">
              <w:rPr>
                <w:rFonts w:ascii="Times New Roman" w:hAnsi="Times New Roman"/>
                <w:sz w:val="24"/>
                <w:szCs w:val="24"/>
              </w:rPr>
              <w:t>30,000</w:t>
            </w:r>
          </w:p>
        </w:tc>
      </w:tr>
      <w:tr w:rsidR="00C55E19" w:rsidRPr="00C55E19" w14:paraId="35AFE0A6"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37006EA9" w14:textId="77777777" w:rsidR="00C55E19" w:rsidRPr="00C55E19" w:rsidRDefault="00C55E19" w:rsidP="005F02E9">
            <w:pPr>
              <w:spacing w:line="360" w:lineRule="auto"/>
              <w:jc w:val="both"/>
              <w:rPr>
                <w:rFonts w:ascii="Times New Roman" w:hAnsi="Times New Roman"/>
                <w:sz w:val="24"/>
                <w:szCs w:val="24"/>
              </w:rPr>
            </w:pPr>
            <w:r w:rsidRPr="00C55E19">
              <w:rPr>
                <w:rFonts w:ascii="Times New Roman" w:hAnsi="Times New Roman"/>
                <w:sz w:val="24"/>
                <w:szCs w:val="24"/>
              </w:rPr>
              <w:t>Small Business Loan</w:t>
            </w:r>
          </w:p>
        </w:tc>
        <w:tc>
          <w:tcPr>
            <w:tcW w:w="4320" w:type="dxa"/>
            <w:tcBorders>
              <w:top w:val="single" w:sz="4" w:space="0" w:color="auto"/>
              <w:left w:val="single" w:sz="4" w:space="0" w:color="auto"/>
              <w:bottom w:val="single" w:sz="4" w:space="0" w:color="auto"/>
              <w:right w:val="single" w:sz="4" w:space="0" w:color="auto"/>
            </w:tcBorders>
            <w:hideMark/>
          </w:tcPr>
          <w:p w14:paraId="26A2269B" w14:textId="1D2A2B22" w:rsidR="00C55E19" w:rsidRPr="00C55E19" w:rsidRDefault="00C55E19" w:rsidP="005F02E9">
            <w:pPr>
              <w:spacing w:line="360" w:lineRule="auto"/>
              <w:jc w:val="center"/>
              <w:rPr>
                <w:rFonts w:ascii="Times New Roman" w:hAnsi="Times New Roman"/>
                <w:sz w:val="24"/>
                <w:szCs w:val="24"/>
              </w:rPr>
            </w:pPr>
            <w:r w:rsidRPr="00C55E19">
              <w:rPr>
                <w:rFonts w:ascii="Times New Roman" w:hAnsi="Times New Roman"/>
                <w:sz w:val="24"/>
                <w:szCs w:val="24"/>
              </w:rPr>
              <w:t>20,000</w:t>
            </w:r>
          </w:p>
        </w:tc>
      </w:tr>
      <w:tr w:rsidR="00C55E19" w:rsidRPr="00C55E19" w14:paraId="36A6124A" w14:textId="77777777" w:rsidTr="009A1951">
        <w:tc>
          <w:tcPr>
            <w:tcW w:w="4212" w:type="dxa"/>
            <w:tcBorders>
              <w:top w:val="single" w:sz="4" w:space="0" w:color="auto"/>
              <w:left w:val="single" w:sz="4" w:space="0" w:color="auto"/>
              <w:bottom w:val="single" w:sz="4" w:space="0" w:color="auto"/>
              <w:right w:val="single" w:sz="4" w:space="0" w:color="auto"/>
            </w:tcBorders>
            <w:hideMark/>
          </w:tcPr>
          <w:p w14:paraId="374A2010" w14:textId="77777777" w:rsidR="00C55E19" w:rsidRPr="00C55E19" w:rsidRDefault="00C55E19" w:rsidP="005F02E9">
            <w:pPr>
              <w:spacing w:line="360" w:lineRule="auto"/>
              <w:jc w:val="both"/>
              <w:rPr>
                <w:rFonts w:ascii="Times New Roman" w:hAnsi="Times New Roman"/>
                <w:sz w:val="24"/>
                <w:szCs w:val="24"/>
              </w:rPr>
            </w:pPr>
            <w:r w:rsidRPr="00C55E19">
              <w:rPr>
                <w:rFonts w:ascii="Times New Roman" w:hAnsi="Times New Roman"/>
                <w:sz w:val="24"/>
                <w:szCs w:val="24"/>
              </w:rPr>
              <w:t>Crowdfunding</w:t>
            </w:r>
          </w:p>
        </w:tc>
        <w:tc>
          <w:tcPr>
            <w:tcW w:w="4320" w:type="dxa"/>
            <w:tcBorders>
              <w:top w:val="single" w:sz="4" w:space="0" w:color="auto"/>
              <w:left w:val="single" w:sz="4" w:space="0" w:color="auto"/>
              <w:bottom w:val="single" w:sz="4" w:space="0" w:color="auto"/>
              <w:right w:val="single" w:sz="4" w:space="0" w:color="auto"/>
            </w:tcBorders>
            <w:hideMark/>
          </w:tcPr>
          <w:p w14:paraId="31BCE4E6" w14:textId="75C56C3F" w:rsidR="00C55E19" w:rsidRPr="00C55E19" w:rsidRDefault="00C55E19" w:rsidP="005F02E9">
            <w:pPr>
              <w:spacing w:line="360" w:lineRule="auto"/>
              <w:jc w:val="center"/>
              <w:rPr>
                <w:rFonts w:ascii="Times New Roman" w:hAnsi="Times New Roman"/>
                <w:sz w:val="24"/>
                <w:szCs w:val="24"/>
              </w:rPr>
            </w:pPr>
            <w:r w:rsidRPr="00C55E19">
              <w:rPr>
                <w:rFonts w:ascii="Times New Roman" w:hAnsi="Times New Roman"/>
                <w:sz w:val="24"/>
                <w:szCs w:val="24"/>
              </w:rPr>
              <w:t>5,000</w:t>
            </w:r>
          </w:p>
        </w:tc>
      </w:tr>
    </w:tbl>
    <w:p w14:paraId="4BF825CF" w14:textId="719F40F2" w:rsidR="000C5A0F" w:rsidRPr="000C5A0F" w:rsidRDefault="000C5A0F" w:rsidP="005F02E9">
      <w:pPr>
        <w:spacing w:line="360" w:lineRule="auto"/>
        <w:jc w:val="both"/>
        <w:rPr>
          <w:rFonts w:ascii="Times New Roman" w:eastAsia="MS Mincho" w:hAnsi="Times New Roman" w:cs="Times New Roman"/>
          <w:sz w:val="24"/>
          <w:szCs w:val="24"/>
        </w:rPr>
      </w:pPr>
      <w:r w:rsidRPr="000C5A0F">
        <w:rPr>
          <w:rFonts w:ascii="Times New Roman" w:eastAsia="MS Mincho" w:hAnsi="Times New Roman" w:cs="Times New Roman"/>
          <w:sz w:val="24"/>
          <w:szCs w:val="24"/>
        </w:rPr>
        <w:t>The financial strategy for "Green Grind on the Go" stresses three main funding sources for initial money. Owner's Equity, £30,000, represents the founders' investment and shows their confidence in the business. This company's ownership contributed significantly to the original investment and boosts its reputation while seeking more funds</w:t>
      </w:r>
      <w:r w:rsidR="005F02E9">
        <w:rPr>
          <w:rFonts w:ascii="Times New Roman" w:eastAsia="MS Mincho" w:hAnsi="Times New Roman" w:cs="Times New Roman"/>
          <w:sz w:val="24"/>
          <w:szCs w:val="24"/>
        </w:rPr>
        <w:t xml:space="preserve"> (</w:t>
      </w:r>
      <w:r w:rsidR="005F02E9">
        <w:rPr>
          <w:rFonts w:ascii="Times New Roman" w:hAnsi="Times New Roman" w:cs="Times New Roman"/>
          <w:color w:val="222222"/>
          <w:sz w:val="24"/>
          <w:szCs w:val="20"/>
          <w:shd w:val="clear" w:color="auto" w:fill="FFFFFF"/>
        </w:rPr>
        <w:t>Pereira, 2022)</w:t>
      </w:r>
      <w:r w:rsidRPr="000C5A0F">
        <w:rPr>
          <w:rFonts w:ascii="Times New Roman" w:eastAsia="MS Mincho" w:hAnsi="Times New Roman" w:cs="Times New Roman"/>
          <w:sz w:val="24"/>
          <w:szCs w:val="24"/>
        </w:rPr>
        <w:t>. The owner receives a £20,000 Small Business Loan to support their original investment. This loan has predefined terms and interest rates and is usually given by banks. It provides reliable financial and operational autonomy to the business. With a £5,000 donation, crowdfunding leverages the community and prospective consumers. This raises cash and builds brand awareness and client loyalty. Crowdfunding assists companies like "Green Grind on the Go," whose goals of community participation and sustainability match several campaign donors. All of these financing sources are crucial to the company's financial foundation, enabling early investment and growth.</w:t>
      </w:r>
    </w:p>
    <w:p w14:paraId="6924E00F" w14:textId="353EF98B" w:rsidR="009A1951" w:rsidRPr="000C5A0F" w:rsidRDefault="009A1951" w:rsidP="005F02E9">
      <w:pPr>
        <w:pStyle w:val="Heading2"/>
        <w:spacing w:line="360" w:lineRule="auto"/>
        <w:rPr>
          <w:rFonts w:eastAsia="MS Mincho"/>
          <w:b/>
          <w:bCs/>
          <w:i/>
          <w:iCs/>
        </w:rPr>
      </w:pPr>
      <w:bookmarkStart w:id="23" w:name="_Toc150977025"/>
      <w:r w:rsidRPr="000C5A0F">
        <w:rPr>
          <w:rFonts w:eastAsia="MS Mincho"/>
          <w:b/>
          <w:bCs/>
          <w:i/>
          <w:iCs/>
        </w:rPr>
        <w:lastRenderedPageBreak/>
        <w:t>Six-Month Cash Budget Forecast</w:t>
      </w:r>
      <w:bookmarkEnd w:id="23"/>
    </w:p>
    <w:tbl>
      <w:tblPr>
        <w:tblStyle w:val="TableGrid"/>
        <w:tblW w:w="0" w:type="auto"/>
        <w:tblInd w:w="108" w:type="dxa"/>
        <w:tblLook w:val="04A0" w:firstRow="1" w:lastRow="0" w:firstColumn="1" w:lastColumn="0" w:noHBand="0" w:noVBand="1"/>
      </w:tblPr>
      <w:tblGrid>
        <w:gridCol w:w="1126"/>
        <w:gridCol w:w="1234"/>
        <w:gridCol w:w="1234"/>
        <w:gridCol w:w="1234"/>
        <w:gridCol w:w="1270"/>
        <w:gridCol w:w="1234"/>
        <w:gridCol w:w="1416"/>
      </w:tblGrid>
      <w:tr w:rsidR="009A1951" w:rsidRPr="009A1951" w14:paraId="5650CD3F" w14:textId="77777777" w:rsidTr="009A1951">
        <w:tc>
          <w:tcPr>
            <w:tcW w:w="1126" w:type="dxa"/>
            <w:tcBorders>
              <w:top w:val="single" w:sz="4" w:space="0" w:color="auto"/>
              <w:left w:val="single" w:sz="4" w:space="0" w:color="auto"/>
              <w:bottom w:val="single" w:sz="4" w:space="0" w:color="auto"/>
              <w:right w:val="single" w:sz="4" w:space="0" w:color="auto"/>
            </w:tcBorders>
            <w:hideMark/>
          </w:tcPr>
          <w:p w14:paraId="46B48341" w14:textId="77777777" w:rsidR="009A1951" w:rsidRPr="009A1951" w:rsidRDefault="009A1951" w:rsidP="005F02E9">
            <w:pPr>
              <w:spacing w:line="360" w:lineRule="auto"/>
              <w:jc w:val="both"/>
              <w:rPr>
                <w:rFonts w:ascii="Times New Roman" w:hAnsi="Times New Roman"/>
                <w:b/>
                <w:bCs/>
                <w:sz w:val="24"/>
                <w:szCs w:val="24"/>
              </w:rPr>
            </w:pPr>
            <w:r w:rsidRPr="009A1951">
              <w:rPr>
                <w:rFonts w:ascii="Times New Roman" w:hAnsi="Times New Roman"/>
                <w:b/>
                <w:bCs/>
                <w:sz w:val="24"/>
                <w:szCs w:val="24"/>
              </w:rPr>
              <w:t>Month</w:t>
            </w:r>
          </w:p>
        </w:tc>
        <w:tc>
          <w:tcPr>
            <w:tcW w:w="1234" w:type="dxa"/>
            <w:tcBorders>
              <w:top w:val="single" w:sz="4" w:space="0" w:color="auto"/>
              <w:left w:val="single" w:sz="4" w:space="0" w:color="auto"/>
              <w:bottom w:val="single" w:sz="4" w:space="0" w:color="auto"/>
              <w:right w:val="single" w:sz="4" w:space="0" w:color="auto"/>
            </w:tcBorders>
            <w:hideMark/>
          </w:tcPr>
          <w:p w14:paraId="161C2C5B" w14:textId="77777777" w:rsidR="009A1951" w:rsidRPr="009A1951" w:rsidRDefault="009A1951" w:rsidP="005F02E9">
            <w:pPr>
              <w:spacing w:line="360" w:lineRule="auto"/>
              <w:jc w:val="both"/>
              <w:rPr>
                <w:rFonts w:ascii="Times New Roman" w:hAnsi="Times New Roman"/>
                <w:b/>
                <w:bCs/>
                <w:sz w:val="24"/>
                <w:szCs w:val="24"/>
              </w:rPr>
            </w:pPr>
            <w:r w:rsidRPr="009A1951">
              <w:rPr>
                <w:rFonts w:ascii="Times New Roman" w:hAnsi="Times New Roman"/>
                <w:b/>
                <w:bCs/>
                <w:sz w:val="24"/>
                <w:szCs w:val="24"/>
              </w:rPr>
              <w:t>Revenue (£)</w:t>
            </w:r>
          </w:p>
        </w:tc>
        <w:tc>
          <w:tcPr>
            <w:tcW w:w="1234" w:type="dxa"/>
            <w:tcBorders>
              <w:top w:val="single" w:sz="4" w:space="0" w:color="auto"/>
              <w:left w:val="single" w:sz="4" w:space="0" w:color="auto"/>
              <w:bottom w:val="single" w:sz="4" w:space="0" w:color="auto"/>
              <w:right w:val="single" w:sz="4" w:space="0" w:color="auto"/>
            </w:tcBorders>
            <w:hideMark/>
          </w:tcPr>
          <w:p w14:paraId="51DE6D6F" w14:textId="77777777" w:rsidR="009A1951" w:rsidRPr="009A1951" w:rsidRDefault="009A1951" w:rsidP="005F02E9">
            <w:pPr>
              <w:spacing w:line="360" w:lineRule="auto"/>
              <w:jc w:val="both"/>
              <w:rPr>
                <w:rFonts w:ascii="Times New Roman" w:hAnsi="Times New Roman"/>
                <w:b/>
                <w:bCs/>
                <w:sz w:val="24"/>
                <w:szCs w:val="24"/>
              </w:rPr>
            </w:pPr>
            <w:r w:rsidRPr="009A1951">
              <w:rPr>
                <w:rFonts w:ascii="Times New Roman" w:hAnsi="Times New Roman"/>
                <w:b/>
                <w:bCs/>
                <w:sz w:val="24"/>
                <w:szCs w:val="24"/>
              </w:rPr>
              <w:t>Cost of Goods Sold (£)</w:t>
            </w:r>
          </w:p>
        </w:tc>
        <w:tc>
          <w:tcPr>
            <w:tcW w:w="1234" w:type="dxa"/>
            <w:tcBorders>
              <w:top w:val="single" w:sz="4" w:space="0" w:color="auto"/>
              <w:left w:val="single" w:sz="4" w:space="0" w:color="auto"/>
              <w:bottom w:val="single" w:sz="4" w:space="0" w:color="auto"/>
              <w:right w:val="single" w:sz="4" w:space="0" w:color="auto"/>
            </w:tcBorders>
            <w:hideMark/>
          </w:tcPr>
          <w:p w14:paraId="5D191503" w14:textId="77777777" w:rsidR="009A1951" w:rsidRPr="009A1951" w:rsidRDefault="009A1951" w:rsidP="005F02E9">
            <w:pPr>
              <w:spacing w:line="360" w:lineRule="auto"/>
              <w:jc w:val="both"/>
              <w:rPr>
                <w:rFonts w:ascii="Times New Roman" w:hAnsi="Times New Roman"/>
                <w:b/>
                <w:bCs/>
                <w:sz w:val="24"/>
                <w:szCs w:val="24"/>
              </w:rPr>
            </w:pPr>
            <w:r w:rsidRPr="009A1951">
              <w:rPr>
                <w:rFonts w:ascii="Times New Roman" w:hAnsi="Times New Roman"/>
                <w:b/>
                <w:bCs/>
                <w:sz w:val="24"/>
                <w:szCs w:val="24"/>
              </w:rPr>
              <w:t>Gross Profit (£)</w:t>
            </w:r>
          </w:p>
        </w:tc>
        <w:tc>
          <w:tcPr>
            <w:tcW w:w="1234" w:type="dxa"/>
            <w:tcBorders>
              <w:top w:val="single" w:sz="4" w:space="0" w:color="auto"/>
              <w:left w:val="single" w:sz="4" w:space="0" w:color="auto"/>
              <w:bottom w:val="single" w:sz="4" w:space="0" w:color="auto"/>
              <w:right w:val="single" w:sz="4" w:space="0" w:color="auto"/>
            </w:tcBorders>
            <w:hideMark/>
          </w:tcPr>
          <w:p w14:paraId="2647FE31" w14:textId="77777777" w:rsidR="009A1951" w:rsidRPr="009A1951" w:rsidRDefault="009A1951" w:rsidP="005F02E9">
            <w:pPr>
              <w:spacing w:line="360" w:lineRule="auto"/>
              <w:jc w:val="both"/>
              <w:rPr>
                <w:rFonts w:ascii="Times New Roman" w:hAnsi="Times New Roman"/>
                <w:b/>
                <w:bCs/>
                <w:sz w:val="24"/>
                <w:szCs w:val="24"/>
              </w:rPr>
            </w:pPr>
            <w:r w:rsidRPr="009A1951">
              <w:rPr>
                <w:rFonts w:ascii="Times New Roman" w:hAnsi="Times New Roman"/>
                <w:b/>
                <w:bCs/>
                <w:sz w:val="24"/>
                <w:szCs w:val="24"/>
              </w:rPr>
              <w:t>Operating Expenses (£)</w:t>
            </w:r>
          </w:p>
        </w:tc>
        <w:tc>
          <w:tcPr>
            <w:tcW w:w="1234" w:type="dxa"/>
            <w:tcBorders>
              <w:top w:val="single" w:sz="4" w:space="0" w:color="auto"/>
              <w:left w:val="single" w:sz="4" w:space="0" w:color="auto"/>
              <w:bottom w:val="single" w:sz="4" w:space="0" w:color="auto"/>
              <w:right w:val="single" w:sz="4" w:space="0" w:color="auto"/>
            </w:tcBorders>
            <w:hideMark/>
          </w:tcPr>
          <w:p w14:paraId="32EF5912" w14:textId="77777777" w:rsidR="009A1951" w:rsidRPr="009A1951" w:rsidRDefault="009A1951" w:rsidP="005F02E9">
            <w:pPr>
              <w:spacing w:line="360" w:lineRule="auto"/>
              <w:jc w:val="both"/>
              <w:rPr>
                <w:rFonts w:ascii="Times New Roman" w:hAnsi="Times New Roman"/>
                <w:b/>
                <w:bCs/>
                <w:sz w:val="24"/>
                <w:szCs w:val="24"/>
              </w:rPr>
            </w:pPr>
            <w:r w:rsidRPr="009A1951">
              <w:rPr>
                <w:rFonts w:ascii="Times New Roman" w:hAnsi="Times New Roman"/>
                <w:b/>
                <w:bCs/>
                <w:sz w:val="24"/>
                <w:szCs w:val="24"/>
              </w:rPr>
              <w:t>Net Profit (£)</w:t>
            </w:r>
          </w:p>
        </w:tc>
        <w:tc>
          <w:tcPr>
            <w:tcW w:w="1287" w:type="dxa"/>
            <w:tcBorders>
              <w:top w:val="single" w:sz="4" w:space="0" w:color="auto"/>
              <w:left w:val="single" w:sz="4" w:space="0" w:color="auto"/>
              <w:bottom w:val="single" w:sz="4" w:space="0" w:color="auto"/>
              <w:right w:val="single" w:sz="4" w:space="0" w:color="auto"/>
            </w:tcBorders>
            <w:hideMark/>
          </w:tcPr>
          <w:p w14:paraId="2338D504" w14:textId="77777777" w:rsidR="009A1951" w:rsidRPr="009A1951" w:rsidRDefault="009A1951" w:rsidP="005F02E9">
            <w:pPr>
              <w:spacing w:line="360" w:lineRule="auto"/>
              <w:jc w:val="both"/>
              <w:rPr>
                <w:rFonts w:ascii="Times New Roman" w:hAnsi="Times New Roman"/>
                <w:b/>
                <w:bCs/>
                <w:sz w:val="24"/>
                <w:szCs w:val="24"/>
              </w:rPr>
            </w:pPr>
            <w:r w:rsidRPr="009A1951">
              <w:rPr>
                <w:rFonts w:ascii="Times New Roman" w:hAnsi="Times New Roman"/>
                <w:b/>
                <w:bCs/>
                <w:sz w:val="24"/>
                <w:szCs w:val="24"/>
              </w:rPr>
              <w:t>Cumulative Net Profit (£)</w:t>
            </w:r>
          </w:p>
        </w:tc>
      </w:tr>
      <w:tr w:rsidR="009A1951" w:rsidRPr="009A1951" w14:paraId="29F511E9" w14:textId="77777777" w:rsidTr="009A1951">
        <w:tc>
          <w:tcPr>
            <w:tcW w:w="1126" w:type="dxa"/>
            <w:tcBorders>
              <w:top w:val="single" w:sz="4" w:space="0" w:color="auto"/>
              <w:left w:val="single" w:sz="4" w:space="0" w:color="auto"/>
              <w:bottom w:val="single" w:sz="4" w:space="0" w:color="auto"/>
              <w:right w:val="single" w:sz="4" w:space="0" w:color="auto"/>
            </w:tcBorders>
            <w:hideMark/>
          </w:tcPr>
          <w:p w14:paraId="74DEDF12"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Month 1</w:t>
            </w:r>
          </w:p>
        </w:tc>
        <w:tc>
          <w:tcPr>
            <w:tcW w:w="1234" w:type="dxa"/>
            <w:tcBorders>
              <w:top w:val="single" w:sz="4" w:space="0" w:color="auto"/>
              <w:left w:val="single" w:sz="4" w:space="0" w:color="auto"/>
              <w:bottom w:val="single" w:sz="4" w:space="0" w:color="auto"/>
              <w:right w:val="single" w:sz="4" w:space="0" w:color="auto"/>
            </w:tcBorders>
            <w:hideMark/>
          </w:tcPr>
          <w:p w14:paraId="2520B90A"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10,000</w:t>
            </w:r>
          </w:p>
        </w:tc>
        <w:tc>
          <w:tcPr>
            <w:tcW w:w="1234" w:type="dxa"/>
            <w:tcBorders>
              <w:top w:val="single" w:sz="4" w:space="0" w:color="auto"/>
              <w:left w:val="single" w:sz="4" w:space="0" w:color="auto"/>
              <w:bottom w:val="single" w:sz="4" w:space="0" w:color="auto"/>
              <w:right w:val="single" w:sz="4" w:space="0" w:color="auto"/>
            </w:tcBorders>
            <w:hideMark/>
          </w:tcPr>
          <w:p w14:paraId="73678614"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4,000</w:t>
            </w:r>
          </w:p>
        </w:tc>
        <w:tc>
          <w:tcPr>
            <w:tcW w:w="1234" w:type="dxa"/>
            <w:tcBorders>
              <w:top w:val="single" w:sz="4" w:space="0" w:color="auto"/>
              <w:left w:val="single" w:sz="4" w:space="0" w:color="auto"/>
              <w:bottom w:val="single" w:sz="4" w:space="0" w:color="auto"/>
              <w:right w:val="single" w:sz="4" w:space="0" w:color="auto"/>
            </w:tcBorders>
            <w:hideMark/>
          </w:tcPr>
          <w:p w14:paraId="658F981D"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6,000</w:t>
            </w:r>
          </w:p>
        </w:tc>
        <w:tc>
          <w:tcPr>
            <w:tcW w:w="1234" w:type="dxa"/>
            <w:tcBorders>
              <w:top w:val="single" w:sz="4" w:space="0" w:color="auto"/>
              <w:left w:val="single" w:sz="4" w:space="0" w:color="auto"/>
              <w:bottom w:val="single" w:sz="4" w:space="0" w:color="auto"/>
              <w:right w:val="single" w:sz="4" w:space="0" w:color="auto"/>
            </w:tcBorders>
            <w:hideMark/>
          </w:tcPr>
          <w:p w14:paraId="50CB6B46"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3,000</w:t>
            </w:r>
          </w:p>
        </w:tc>
        <w:tc>
          <w:tcPr>
            <w:tcW w:w="1234" w:type="dxa"/>
            <w:tcBorders>
              <w:top w:val="single" w:sz="4" w:space="0" w:color="auto"/>
              <w:left w:val="single" w:sz="4" w:space="0" w:color="auto"/>
              <w:bottom w:val="single" w:sz="4" w:space="0" w:color="auto"/>
              <w:right w:val="single" w:sz="4" w:space="0" w:color="auto"/>
            </w:tcBorders>
            <w:hideMark/>
          </w:tcPr>
          <w:p w14:paraId="26DF34FF"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3,000</w:t>
            </w:r>
          </w:p>
        </w:tc>
        <w:tc>
          <w:tcPr>
            <w:tcW w:w="1287" w:type="dxa"/>
            <w:tcBorders>
              <w:top w:val="single" w:sz="4" w:space="0" w:color="auto"/>
              <w:left w:val="single" w:sz="4" w:space="0" w:color="auto"/>
              <w:bottom w:val="single" w:sz="4" w:space="0" w:color="auto"/>
              <w:right w:val="single" w:sz="4" w:space="0" w:color="auto"/>
            </w:tcBorders>
            <w:hideMark/>
          </w:tcPr>
          <w:p w14:paraId="5C00E8EF"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3,000</w:t>
            </w:r>
          </w:p>
        </w:tc>
      </w:tr>
      <w:tr w:rsidR="009A1951" w:rsidRPr="009A1951" w14:paraId="20432309" w14:textId="77777777" w:rsidTr="009A1951">
        <w:tc>
          <w:tcPr>
            <w:tcW w:w="1126" w:type="dxa"/>
            <w:tcBorders>
              <w:top w:val="single" w:sz="4" w:space="0" w:color="auto"/>
              <w:left w:val="single" w:sz="4" w:space="0" w:color="auto"/>
              <w:bottom w:val="single" w:sz="4" w:space="0" w:color="auto"/>
              <w:right w:val="single" w:sz="4" w:space="0" w:color="auto"/>
            </w:tcBorders>
            <w:hideMark/>
          </w:tcPr>
          <w:p w14:paraId="39BCDF80"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Month 2</w:t>
            </w:r>
          </w:p>
        </w:tc>
        <w:tc>
          <w:tcPr>
            <w:tcW w:w="1234" w:type="dxa"/>
            <w:tcBorders>
              <w:top w:val="single" w:sz="4" w:space="0" w:color="auto"/>
              <w:left w:val="single" w:sz="4" w:space="0" w:color="auto"/>
              <w:bottom w:val="single" w:sz="4" w:space="0" w:color="auto"/>
              <w:right w:val="single" w:sz="4" w:space="0" w:color="auto"/>
            </w:tcBorders>
            <w:hideMark/>
          </w:tcPr>
          <w:p w14:paraId="1DD712C2"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12,000</w:t>
            </w:r>
          </w:p>
        </w:tc>
        <w:tc>
          <w:tcPr>
            <w:tcW w:w="1234" w:type="dxa"/>
            <w:tcBorders>
              <w:top w:val="single" w:sz="4" w:space="0" w:color="auto"/>
              <w:left w:val="single" w:sz="4" w:space="0" w:color="auto"/>
              <w:bottom w:val="single" w:sz="4" w:space="0" w:color="auto"/>
              <w:right w:val="single" w:sz="4" w:space="0" w:color="auto"/>
            </w:tcBorders>
            <w:hideMark/>
          </w:tcPr>
          <w:p w14:paraId="5EF76D79"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4,800</w:t>
            </w:r>
          </w:p>
        </w:tc>
        <w:tc>
          <w:tcPr>
            <w:tcW w:w="1234" w:type="dxa"/>
            <w:tcBorders>
              <w:top w:val="single" w:sz="4" w:space="0" w:color="auto"/>
              <w:left w:val="single" w:sz="4" w:space="0" w:color="auto"/>
              <w:bottom w:val="single" w:sz="4" w:space="0" w:color="auto"/>
              <w:right w:val="single" w:sz="4" w:space="0" w:color="auto"/>
            </w:tcBorders>
            <w:hideMark/>
          </w:tcPr>
          <w:p w14:paraId="552FA25B"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7,200</w:t>
            </w:r>
          </w:p>
        </w:tc>
        <w:tc>
          <w:tcPr>
            <w:tcW w:w="1234" w:type="dxa"/>
            <w:tcBorders>
              <w:top w:val="single" w:sz="4" w:space="0" w:color="auto"/>
              <w:left w:val="single" w:sz="4" w:space="0" w:color="auto"/>
              <w:bottom w:val="single" w:sz="4" w:space="0" w:color="auto"/>
              <w:right w:val="single" w:sz="4" w:space="0" w:color="auto"/>
            </w:tcBorders>
            <w:hideMark/>
          </w:tcPr>
          <w:p w14:paraId="1F747060"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3,500</w:t>
            </w:r>
          </w:p>
        </w:tc>
        <w:tc>
          <w:tcPr>
            <w:tcW w:w="1234" w:type="dxa"/>
            <w:tcBorders>
              <w:top w:val="single" w:sz="4" w:space="0" w:color="auto"/>
              <w:left w:val="single" w:sz="4" w:space="0" w:color="auto"/>
              <w:bottom w:val="single" w:sz="4" w:space="0" w:color="auto"/>
              <w:right w:val="single" w:sz="4" w:space="0" w:color="auto"/>
            </w:tcBorders>
            <w:hideMark/>
          </w:tcPr>
          <w:p w14:paraId="5107DB41"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3,700</w:t>
            </w:r>
          </w:p>
        </w:tc>
        <w:tc>
          <w:tcPr>
            <w:tcW w:w="1287" w:type="dxa"/>
            <w:tcBorders>
              <w:top w:val="single" w:sz="4" w:space="0" w:color="auto"/>
              <w:left w:val="single" w:sz="4" w:space="0" w:color="auto"/>
              <w:bottom w:val="single" w:sz="4" w:space="0" w:color="auto"/>
              <w:right w:val="single" w:sz="4" w:space="0" w:color="auto"/>
            </w:tcBorders>
            <w:hideMark/>
          </w:tcPr>
          <w:p w14:paraId="35733849"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6,700</w:t>
            </w:r>
          </w:p>
        </w:tc>
      </w:tr>
      <w:tr w:rsidR="009A1951" w:rsidRPr="009A1951" w14:paraId="4E811477" w14:textId="77777777" w:rsidTr="009A1951">
        <w:tc>
          <w:tcPr>
            <w:tcW w:w="1126" w:type="dxa"/>
            <w:tcBorders>
              <w:top w:val="single" w:sz="4" w:space="0" w:color="auto"/>
              <w:left w:val="single" w:sz="4" w:space="0" w:color="auto"/>
              <w:bottom w:val="single" w:sz="4" w:space="0" w:color="auto"/>
              <w:right w:val="single" w:sz="4" w:space="0" w:color="auto"/>
            </w:tcBorders>
            <w:hideMark/>
          </w:tcPr>
          <w:p w14:paraId="4AA3D3EE"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Month 3</w:t>
            </w:r>
          </w:p>
        </w:tc>
        <w:tc>
          <w:tcPr>
            <w:tcW w:w="1234" w:type="dxa"/>
            <w:tcBorders>
              <w:top w:val="single" w:sz="4" w:space="0" w:color="auto"/>
              <w:left w:val="single" w:sz="4" w:space="0" w:color="auto"/>
              <w:bottom w:val="single" w:sz="4" w:space="0" w:color="auto"/>
              <w:right w:val="single" w:sz="4" w:space="0" w:color="auto"/>
            </w:tcBorders>
            <w:hideMark/>
          </w:tcPr>
          <w:p w14:paraId="0A062C21"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15,000</w:t>
            </w:r>
          </w:p>
        </w:tc>
        <w:tc>
          <w:tcPr>
            <w:tcW w:w="1234" w:type="dxa"/>
            <w:tcBorders>
              <w:top w:val="single" w:sz="4" w:space="0" w:color="auto"/>
              <w:left w:val="single" w:sz="4" w:space="0" w:color="auto"/>
              <w:bottom w:val="single" w:sz="4" w:space="0" w:color="auto"/>
              <w:right w:val="single" w:sz="4" w:space="0" w:color="auto"/>
            </w:tcBorders>
            <w:hideMark/>
          </w:tcPr>
          <w:p w14:paraId="29D79939"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6,000</w:t>
            </w:r>
          </w:p>
        </w:tc>
        <w:tc>
          <w:tcPr>
            <w:tcW w:w="1234" w:type="dxa"/>
            <w:tcBorders>
              <w:top w:val="single" w:sz="4" w:space="0" w:color="auto"/>
              <w:left w:val="single" w:sz="4" w:space="0" w:color="auto"/>
              <w:bottom w:val="single" w:sz="4" w:space="0" w:color="auto"/>
              <w:right w:val="single" w:sz="4" w:space="0" w:color="auto"/>
            </w:tcBorders>
            <w:hideMark/>
          </w:tcPr>
          <w:p w14:paraId="4F1DF221"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9,000</w:t>
            </w:r>
          </w:p>
        </w:tc>
        <w:tc>
          <w:tcPr>
            <w:tcW w:w="1234" w:type="dxa"/>
            <w:tcBorders>
              <w:top w:val="single" w:sz="4" w:space="0" w:color="auto"/>
              <w:left w:val="single" w:sz="4" w:space="0" w:color="auto"/>
              <w:bottom w:val="single" w:sz="4" w:space="0" w:color="auto"/>
              <w:right w:val="single" w:sz="4" w:space="0" w:color="auto"/>
            </w:tcBorders>
            <w:hideMark/>
          </w:tcPr>
          <w:p w14:paraId="4ADEAE56"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4,000</w:t>
            </w:r>
          </w:p>
        </w:tc>
        <w:tc>
          <w:tcPr>
            <w:tcW w:w="1234" w:type="dxa"/>
            <w:tcBorders>
              <w:top w:val="single" w:sz="4" w:space="0" w:color="auto"/>
              <w:left w:val="single" w:sz="4" w:space="0" w:color="auto"/>
              <w:bottom w:val="single" w:sz="4" w:space="0" w:color="auto"/>
              <w:right w:val="single" w:sz="4" w:space="0" w:color="auto"/>
            </w:tcBorders>
            <w:hideMark/>
          </w:tcPr>
          <w:p w14:paraId="5BD2E49E"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5,000</w:t>
            </w:r>
          </w:p>
        </w:tc>
        <w:tc>
          <w:tcPr>
            <w:tcW w:w="1287" w:type="dxa"/>
            <w:tcBorders>
              <w:top w:val="single" w:sz="4" w:space="0" w:color="auto"/>
              <w:left w:val="single" w:sz="4" w:space="0" w:color="auto"/>
              <w:bottom w:val="single" w:sz="4" w:space="0" w:color="auto"/>
              <w:right w:val="single" w:sz="4" w:space="0" w:color="auto"/>
            </w:tcBorders>
            <w:hideMark/>
          </w:tcPr>
          <w:p w14:paraId="44997743"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11,700</w:t>
            </w:r>
          </w:p>
        </w:tc>
      </w:tr>
      <w:tr w:rsidR="009A1951" w:rsidRPr="009A1951" w14:paraId="0CA7D345" w14:textId="77777777" w:rsidTr="009A1951">
        <w:tc>
          <w:tcPr>
            <w:tcW w:w="1126" w:type="dxa"/>
            <w:tcBorders>
              <w:top w:val="single" w:sz="4" w:space="0" w:color="auto"/>
              <w:left w:val="single" w:sz="4" w:space="0" w:color="auto"/>
              <w:bottom w:val="single" w:sz="4" w:space="0" w:color="auto"/>
              <w:right w:val="single" w:sz="4" w:space="0" w:color="auto"/>
            </w:tcBorders>
            <w:hideMark/>
          </w:tcPr>
          <w:p w14:paraId="48FAEBE0"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Month 4</w:t>
            </w:r>
          </w:p>
        </w:tc>
        <w:tc>
          <w:tcPr>
            <w:tcW w:w="1234" w:type="dxa"/>
            <w:tcBorders>
              <w:top w:val="single" w:sz="4" w:space="0" w:color="auto"/>
              <w:left w:val="single" w:sz="4" w:space="0" w:color="auto"/>
              <w:bottom w:val="single" w:sz="4" w:space="0" w:color="auto"/>
              <w:right w:val="single" w:sz="4" w:space="0" w:color="auto"/>
            </w:tcBorders>
            <w:hideMark/>
          </w:tcPr>
          <w:p w14:paraId="5D37D7A0"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18,000</w:t>
            </w:r>
          </w:p>
        </w:tc>
        <w:tc>
          <w:tcPr>
            <w:tcW w:w="1234" w:type="dxa"/>
            <w:tcBorders>
              <w:top w:val="single" w:sz="4" w:space="0" w:color="auto"/>
              <w:left w:val="single" w:sz="4" w:space="0" w:color="auto"/>
              <w:bottom w:val="single" w:sz="4" w:space="0" w:color="auto"/>
              <w:right w:val="single" w:sz="4" w:space="0" w:color="auto"/>
            </w:tcBorders>
            <w:hideMark/>
          </w:tcPr>
          <w:p w14:paraId="4257FA81"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7,200</w:t>
            </w:r>
          </w:p>
        </w:tc>
        <w:tc>
          <w:tcPr>
            <w:tcW w:w="1234" w:type="dxa"/>
            <w:tcBorders>
              <w:top w:val="single" w:sz="4" w:space="0" w:color="auto"/>
              <w:left w:val="single" w:sz="4" w:space="0" w:color="auto"/>
              <w:bottom w:val="single" w:sz="4" w:space="0" w:color="auto"/>
              <w:right w:val="single" w:sz="4" w:space="0" w:color="auto"/>
            </w:tcBorders>
            <w:hideMark/>
          </w:tcPr>
          <w:p w14:paraId="4431F77C"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10,800</w:t>
            </w:r>
          </w:p>
        </w:tc>
        <w:tc>
          <w:tcPr>
            <w:tcW w:w="1234" w:type="dxa"/>
            <w:tcBorders>
              <w:top w:val="single" w:sz="4" w:space="0" w:color="auto"/>
              <w:left w:val="single" w:sz="4" w:space="0" w:color="auto"/>
              <w:bottom w:val="single" w:sz="4" w:space="0" w:color="auto"/>
              <w:right w:val="single" w:sz="4" w:space="0" w:color="auto"/>
            </w:tcBorders>
            <w:hideMark/>
          </w:tcPr>
          <w:p w14:paraId="4BF03AF8"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4,500</w:t>
            </w:r>
          </w:p>
        </w:tc>
        <w:tc>
          <w:tcPr>
            <w:tcW w:w="1234" w:type="dxa"/>
            <w:tcBorders>
              <w:top w:val="single" w:sz="4" w:space="0" w:color="auto"/>
              <w:left w:val="single" w:sz="4" w:space="0" w:color="auto"/>
              <w:bottom w:val="single" w:sz="4" w:space="0" w:color="auto"/>
              <w:right w:val="single" w:sz="4" w:space="0" w:color="auto"/>
            </w:tcBorders>
            <w:hideMark/>
          </w:tcPr>
          <w:p w14:paraId="5A131DA6"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6,300</w:t>
            </w:r>
          </w:p>
        </w:tc>
        <w:tc>
          <w:tcPr>
            <w:tcW w:w="1287" w:type="dxa"/>
            <w:tcBorders>
              <w:top w:val="single" w:sz="4" w:space="0" w:color="auto"/>
              <w:left w:val="single" w:sz="4" w:space="0" w:color="auto"/>
              <w:bottom w:val="single" w:sz="4" w:space="0" w:color="auto"/>
              <w:right w:val="single" w:sz="4" w:space="0" w:color="auto"/>
            </w:tcBorders>
            <w:hideMark/>
          </w:tcPr>
          <w:p w14:paraId="2A65562D"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18,000</w:t>
            </w:r>
          </w:p>
        </w:tc>
      </w:tr>
      <w:tr w:rsidR="009A1951" w:rsidRPr="009A1951" w14:paraId="10D9F680" w14:textId="77777777" w:rsidTr="009A1951">
        <w:tc>
          <w:tcPr>
            <w:tcW w:w="1126" w:type="dxa"/>
            <w:tcBorders>
              <w:top w:val="single" w:sz="4" w:space="0" w:color="auto"/>
              <w:left w:val="single" w:sz="4" w:space="0" w:color="auto"/>
              <w:bottom w:val="single" w:sz="4" w:space="0" w:color="auto"/>
              <w:right w:val="single" w:sz="4" w:space="0" w:color="auto"/>
            </w:tcBorders>
            <w:hideMark/>
          </w:tcPr>
          <w:p w14:paraId="1D60A628"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Month 5</w:t>
            </w:r>
          </w:p>
        </w:tc>
        <w:tc>
          <w:tcPr>
            <w:tcW w:w="1234" w:type="dxa"/>
            <w:tcBorders>
              <w:top w:val="single" w:sz="4" w:space="0" w:color="auto"/>
              <w:left w:val="single" w:sz="4" w:space="0" w:color="auto"/>
              <w:bottom w:val="single" w:sz="4" w:space="0" w:color="auto"/>
              <w:right w:val="single" w:sz="4" w:space="0" w:color="auto"/>
            </w:tcBorders>
            <w:hideMark/>
          </w:tcPr>
          <w:p w14:paraId="1FD306D4"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20,000</w:t>
            </w:r>
          </w:p>
        </w:tc>
        <w:tc>
          <w:tcPr>
            <w:tcW w:w="1234" w:type="dxa"/>
            <w:tcBorders>
              <w:top w:val="single" w:sz="4" w:space="0" w:color="auto"/>
              <w:left w:val="single" w:sz="4" w:space="0" w:color="auto"/>
              <w:bottom w:val="single" w:sz="4" w:space="0" w:color="auto"/>
              <w:right w:val="single" w:sz="4" w:space="0" w:color="auto"/>
            </w:tcBorders>
            <w:hideMark/>
          </w:tcPr>
          <w:p w14:paraId="7DB9B2A0"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8,000</w:t>
            </w:r>
          </w:p>
        </w:tc>
        <w:tc>
          <w:tcPr>
            <w:tcW w:w="1234" w:type="dxa"/>
            <w:tcBorders>
              <w:top w:val="single" w:sz="4" w:space="0" w:color="auto"/>
              <w:left w:val="single" w:sz="4" w:space="0" w:color="auto"/>
              <w:bottom w:val="single" w:sz="4" w:space="0" w:color="auto"/>
              <w:right w:val="single" w:sz="4" w:space="0" w:color="auto"/>
            </w:tcBorders>
            <w:hideMark/>
          </w:tcPr>
          <w:p w14:paraId="5806AC7E"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12,000</w:t>
            </w:r>
          </w:p>
        </w:tc>
        <w:tc>
          <w:tcPr>
            <w:tcW w:w="1234" w:type="dxa"/>
            <w:tcBorders>
              <w:top w:val="single" w:sz="4" w:space="0" w:color="auto"/>
              <w:left w:val="single" w:sz="4" w:space="0" w:color="auto"/>
              <w:bottom w:val="single" w:sz="4" w:space="0" w:color="auto"/>
              <w:right w:val="single" w:sz="4" w:space="0" w:color="auto"/>
            </w:tcBorders>
            <w:hideMark/>
          </w:tcPr>
          <w:p w14:paraId="13144E18"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5,000</w:t>
            </w:r>
          </w:p>
        </w:tc>
        <w:tc>
          <w:tcPr>
            <w:tcW w:w="1234" w:type="dxa"/>
            <w:tcBorders>
              <w:top w:val="single" w:sz="4" w:space="0" w:color="auto"/>
              <w:left w:val="single" w:sz="4" w:space="0" w:color="auto"/>
              <w:bottom w:val="single" w:sz="4" w:space="0" w:color="auto"/>
              <w:right w:val="single" w:sz="4" w:space="0" w:color="auto"/>
            </w:tcBorders>
            <w:hideMark/>
          </w:tcPr>
          <w:p w14:paraId="0D04ACEA"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7,000</w:t>
            </w:r>
          </w:p>
        </w:tc>
        <w:tc>
          <w:tcPr>
            <w:tcW w:w="1287" w:type="dxa"/>
            <w:tcBorders>
              <w:top w:val="single" w:sz="4" w:space="0" w:color="auto"/>
              <w:left w:val="single" w:sz="4" w:space="0" w:color="auto"/>
              <w:bottom w:val="single" w:sz="4" w:space="0" w:color="auto"/>
              <w:right w:val="single" w:sz="4" w:space="0" w:color="auto"/>
            </w:tcBorders>
            <w:hideMark/>
          </w:tcPr>
          <w:p w14:paraId="076A3759"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25,000</w:t>
            </w:r>
          </w:p>
        </w:tc>
      </w:tr>
      <w:tr w:rsidR="009A1951" w:rsidRPr="009A1951" w14:paraId="0ADDFF3A" w14:textId="77777777" w:rsidTr="009A1951">
        <w:tc>
          <w:tcPr>
            <w:tcW w:w="1126" w:type="dxa"/>
            <w:tcBorders>
              <w:top w:val="single" w:sz="4" w:space="0" w:color="auto"/>
              <w:left w:val="single" w:sz="4" w:space="0" w:color="auto"/>
              <w:bottom w:val="single" w:sz="4" w:space="0" w:color="auto"/>
              <w:right w:val="single" w:sz="4" w:space="0" w:color="auto"/>
            </w:tcBorders>
            <w:hideMark/>
          </w:tcPr>
          <w:p w14:paraId="14D24393"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Month 6</w:t>
            </w:r>
          </w:p>
        </w:tc>
        <w:tc>
          <w:tcPr>
            <w:tcW w:w="1234" w:type="dxa"/>
            <w:tcBorders>
              <w:top w:val="single" w:sz="4" w:space="0" w:color="auto"/>
              <w:left w:val="single" w:sz="4" w:space="0" w:color="auto"/>
              <w:bottom w:val="single" w:sz="4" w:space="0" w:color="auto"/>
              <w:right w:val="single" w:sz="4" w:space="0" w:color="auto"/>
            </w:tcBorders>
            <w:hideMark/>
          </w:tcPr>
          <w:p w14:paraId="61772548"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25,000</w:t>
            </w:r>
          </w:p>
        </w:tc>
        <w:tc>
          <w:tcPr>
            <w:tcW w:w="1234" w:type="dxa"/>
            <w:tcBorders>
              <w:top w:val="single" w:sz="4" w:space="0" w:color="auto"/>
              <w:left w:val="single" w:sz="4" w:space="0" w:color="auto"/>
              <w:bottom w:val="single" w:sz="4" w:space="0" w:color="auto"/>
              <w:right w:val="single" w:sz="4" w:space="0" w:color="auto"/>
            </w:tcBorders>
            <w:hideMark/>
          </w:tcPr>
          <w:p w14:paraId="32DE34EA"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10,000</w:t>
            </w:r>
          </w:p>
        </w:tc>
        <w:tc>
          <w:tcPr>
            <w:tcW w:w="1234" w:type="dxa"/>
            <w:tcBorders>
              <w:top w:val="single" w:sz="4" w:space="0" w:color="auto"/>
              <w:left w:val="single" w:sz="4" w:space="0" w:color="auto"/>
              <w:bottom w:val="single" w:sz="4" w:space="0" w:color="auto"/>
              <w:right w:val="single" w:sz="4" w:space="0" w:color="auto"/>
            </w:tcBorders>
            <w:hideMark/>
          </w:tcPr>
          <w:p w14:paraId="11A0D538"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15,000</w:t>
            </w:r>
          </w:p>
        </w:tc>
        <w:tc>
          <w:tcPr>
            <w:tcW w:w="1234" w:type="dxa"/>
            <w:tcBorders>
              <w:top w:val="single" w:sz="4" w:space="0" w:color="auto"/>
              <w:left w:val="single" w:sz="4" w:space="0" w:color="auto"/>
              <w:bottom w:val="single" w:sz="4" w:space="0" w:color="auto"/>
              <w:right w:val="single" w:sz="4" w:space="0" w:color="auto"/>
            </w:tcBorders>
            <w:hideMark/>
          </w:tcPr>
          <w:p w14:paraId="62208182"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5,500</w:t>
            </w:r>
          </w:p>
        </w:tc>
        <w:tc>
          <w:tcPr>
            <w:tcW w:w="1234" w:type="dxa"/>
            <w:tcBorders>
              <w:top w:val="single" w:sz="4" w:space="0" w:color="auto"/>
              <w:left w:val="single" w:sz="4" w:space="0" w:color="auto"/>
              <w:bottom w:val="single" w:sz="4" w:space="0" w:color="auto"/>
              <w:right w:val="single" w:sz="4" w:space="0" w:color="auto"/>
            </w:tcBorders>
            <w:hideMark/>
          </w:tcPr>
          <w:p w14:paraId="141552F6"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9,500</w:t>
            </w:r>
          </w:p>
        </w:tc>
        <w:tc>
          <w:tcPr>
            <w:tcW w:w="1287" w:type="dxa"/>
            <w:tcBorders>
              <w:top w:val="single" w:sz="4" w:space="0" w:color="auto"/>
              <w:left w:val="single" w:sz="4" w:space="0" w:color="auto"/>
              <w:bottom w:val="single" w:sz="4" w:space="0" w:color="auto"/>
              <w:right w:val="single" w:sz="4" w:space="0" w:color="auto"/>
            </w:tcBorders>
            <w:hideMark/>
          </w:tcPr>
          <w:p w14:paraId="111C6F14" w14:textId="77777777" w:rsidR="009A1951" w:rsidRPr="009A1951" w:rsidRDefault="009A1951" w:rsidP="005F02E9">
            <w:pPr>
              <w:spacing w:line="360" w:lineRule="auto"/>
              <w:jc w:val="both"/>
              <w:rPr>
                <w:rFonts w:ascii="Times New Roman" w:hAnsi="Times New Roman"/>
                <w:sz w:val="24"/>
                <w:szCs w:val="24"/>
              </w:rPr>
            </w:pPr>
            <w:r w:rsidRPr="009A1951">
              <w:rPr>
                <w:rFonts w:ascii="Times New Roman" w:hAnsi="Times New Roman"/>
                <w:sz w:val="24"/>
                <w:szCs w:val="24"/>
              </w:rPr>
              <w:t>34,500</w:t>
            </w:r>
          </w:p>
        </w:tc>
      </w:tr>
    </w:tbl>
    <w:p w14:paraId="282ABD74" w14:textId="77777777" w:rsidR="00C55E19" w:rsidRPr="000C5A0F" w:rsidRDefault="00C55E19" w:rsidP="005F02E9">
      <w:pPr>
        <w:spacing w:line="360" w:lineRule="auto"/>
        <w:jc w:val="both"/>
        <w:rPr>
          <w:rFonts w:ascii="Times New Roman" w:hAnsi="Times New Roman" w:cs="Times New Roman"/>
          <w:sz w:val="24"/>
          <w:szCs w:val="24"/>
        </w:rPr>
      </w:pPr>
    </w:p>
    <w:p w14:paraId="7693AFC2" w14:textId="1B8CE629" w:rsidR="008418AD" w:rsidRPr="000C5A0F" w:rsidRDefault="000C5A0F" w:rsidP="005F02E9">
      <w:pPr>
        <w:pStyle w:val="Heading2"/>
        <w:spacing w:line="360" w:lineRule="auto"/>
        <w:rPr>
          <w:b/>
          <w:bCs/>
          <w:i/>
          <w:iCs/>
        </w:rPr>
      </w:pPr>
      <w:bookmarkStart w:id="24" w:name="_Toc150977026"/>
      <w:r w:rsidRPr="000C5A0F">
        <w:rPr>
          <w:b/>
          <w:bCs/>
          <w:i/>
          <w:iCs/>
        </w:rPr>
        <w:t>The ways to achieve financial sustainability.</w:t>
      </w:r>
      <w:bookmarkEnd w:id="24"/>
    </w:p>
    <w:p w14:paraId="12F4CD74" w14:textId="06351990" w:rsidR="000C5A0F" w:rsidRPr="000C5A0F" w:rsidRDefault="000C5A0F"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 xml:space="preserve">"Green Grind on the Go" uses revenue growth, cost reduction, and diversification to achieve financial sustainability. With movable trolleys strategically placed in high-traffic locations, the firm </w:t>
      </w:r>
      <w:proofErr w:type="spellStart"/>
      <w:r w:rsidRPr="000C5A0F">
        <w:rPr>
          <w:rFonts w:ascii="Times New Roman" w:hAnsi="Times New Roman" w:cs="Times New Roman"/>
          <w:sz w:val="24"/>
          <w:szCs w:val="24"/>
        </w:rPr>
        <w:t>capitalises</w:t>
      </w:r>
      <w:proofErr w:type="spellEnd"/>
      <w:r w:rsidRPr="000C5A0F">
        <w:rPr>
          <w:rFonts w:ascii="Times New Roman" w:hAnsi="Times New Roman" w:cs="Times New Roman"/>
          <w:sz w:val="24"/>
          <w:szCs w:val="24"/>
        </w:rPr>
        <w:t xml:space="preserve"> on commuter traffic and event surges to ensure daily sales. Seasonal and unique goods boost average transaction values and repeat business with a loyalty </w:t>
      </w:r>
      <w:proofErr w:type="spellStart"/>
      <w:r w:rsidRPr="000C5A0F">
        <w:rPr>
          <w:rFonts w:ascii="Times New Roman" w:hAnsi="Times New Roman" w:cs="Times New Roman"/>
          <w:sz w:val="24"/>
          <w:szCs w:val="24"/>
        </w:rPr>
        <w:t>programme</w:t>
      </w:r>
      <w:proofErr w:type="spellEnd"/>
      <w:r w:rsidR="005F02E9">
        <w:rPr>
          <w:rFonts w:ascii="Times New Roman" w:hAnsi="Times New Roman" w:cs="Times New Roman"/>
          <w:sz w:val="24"/>
          <w:szCs w:val="24"/>
        </w:rPr>
        <w:t xml:space="preserve"> (</w:t>
      </w:r>
      <w:r w:rsidR="005F02E9">
        <w:rPr>
          <w:rFonts w:ascii="Times New Roman" w:hAnsi="Times New Roman" w:cs="Times New Roman"/>
          <w:color w:val="222222"/>
          <w:sz w:val="24"/>
          <w:szCs w:val="20"/>
          <w:shd w:val="clear" w:color="auto" w:fill="FFFFFF"/>
        </w:rPr>
        <w:t>Pires, 2022)</w:t>
      </w:r>
      <w:r w:rsidRPr="000C5A0F">
        <w:rPr>
          <w:rFonts w:ascii="Times New Roman" w:hAnsi="Times New Roman" w:cs="Times New Roman"/>
          <w:sz w:val="24"/>
          <w:szCs w:val="24"/>
        </w:rPr>
        <w:t xml:space="preserve">. Cost efficiency is maintained by improving cart operating routes to save fuel and maintenance costs and buying in bulk. </w:t>
      </w:r>
      <w:r w:rsidR="005F02E9" w:rsidRPr="000C5A0F">
        <w:rPr>
          <w:rFonts w:ascii="Times New Roman" w:hAnsi="Times New Roman" w:cs="Times New Roman"/>
          <w:sz w:val="24"/>
          <w:szCs w:val="24"/>
        </w:rPr>
        <w:t>To</w:t>
      </w:r>
      <w:r w:rsidRPr="000C5A0F">
        <w:rPr>
          <w:rFonts w:ascii="Times New Roman" w:hAnsi="Times New Roman" w:cs="Times New Roman"/>
          <w:sz w:val="24"/>
          <w:szCs w:val="24"/>
        </w:rPr>
        <w:t xml:space="preserve"> expand its clientele and promote local businesses, the company plans to provide a subscription service to regular clients and explore event catering corporate relationships. By following these initiatives and being committed to community participation and customer satisfaction, the company is expected to sustainably expand revenue and strengthen its business model in the highly competitive coffee sector.</w:t>
      </w:r>
    </w:p>
    <w:p w14:paraId="1ACAA4C8" w14:textId="706A0434" w:rsidR="000C5A0F" w:rsidRPr="000C5A0F" w:rsidRDefault="000C5A0F"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br w:type="page"/>
      </w:r>
    </w:p>
    <w:p w14:paraId="2E304444" w14:textId="0CE2F42B" w:rsidR="008418AD" w:rsidRPr="000C5A0F" w:rsidRDefault="000C5A0F" w:rsidP="005F02E9">
      <w:pPr>
        <w:pStyle w:val="Heading2"/>
        <w:spacing w:line="360" w:lineRule="auto"/>
        <w:rPr>
          <w:b/>
          <w:bCs/>
          <w:i/>
          <w:iCs/>
        </w:rPr>
      </w:pPr>
      <w:bookmarkStart w:id="25" w:name="_Toc150977027"/>
      <w:r w:rsidRPr="000C5A0F">
        <w:rPr>
          <w:b/>
          <w:bCs/>
          <w:i/>
          <w:iCs/>
        </w:rPr>
        <w:lastRenderedPageBreak/>
        <w:t>Conclusion</w:t>
      </w:r>
      <w:bookmarkEnd w:id="25"/>
    </w:p>
    <w:p w14:paraId="03B780DE" w14:textId="77777777" w:rsidR="000C5A0F" w:rsidRDefault="000C5A0F" w:rsidP="005F02E9">
      <w:pPr>
        <w:spacing w:line="360" w:lineRule="auto"/>
        <w:jc w:val="both"/>
        <w:rPr>
          <w:rFonts w:ascii="Times New Roman" w:hAnsi="Times New Roman" w:cs="Times New Roman"/>
          <w:sz w:val="24"/>
          <w:szCs w:val="24"/>
        </w:rPr>
      </w:pPr>
      <w:r w:rsidRPr="000C5A0F">
        <w:rPr>
          <w:rFonts w:ascii="Times New Roman" w:hAnsi="Times New Roman" w:cs="Times New Roman"/>
          <w:sz w:val="24"/>
          <w:szCs w:val="24"/>
        </w:rPr>
        <w:t xml:space="preserve">"Green Grind on the </w:t>
      </w:r>
      <w:proofErr w:type="spellStart"/>
      <w:r w:rsidRPr="000C5A0F">
        <w:rPr>
          <w:rFonts w:ascii="Times New Roman" w:hAnsi="Times New Roman" w:cs="Times New Roman"/>
          <w:sz w:val="24"/>
          <w:szCs w:val="24"/>
        </w:rPr>
        <w:t>Go"'s</w:t>
      </w:r>
      <w:proofErr w:type="spellEnd"/>
      <w:r w:rsidRPr="000C5A0F">
        <w:rPr>
          <w:rFonts w:ascii="Times New Roman" w:hAnsi="Times New Roman" w:cs="Times New Roman"/>
          <w:sz w:val="24"/>
          <w:szCs w:val="24"/>
        </w:rPr>
        <w:t xml:space="preserve"> innovative approach to mobile coffee services and environmental sustainability creates a compelling business model. The proposal highlights a market potential in the growing demography of environmentally conscious customers, supported by an extensive industry study and a robust Four P's marketing strategy. The operational and managerial plans </w:t>
      </w:r>
      <w:proofErr w:type="spellStart"/>
      <w:r w:rsidRPr="000C5A0F">
        <w:rPr>
          <w:rFonts w:ascii="Times New Roman" w:hAnsi="Times New Roman" w:cs="Times New Roman"/>
          <w:sz w:val="24"/>
          <w:szCs w:val="24"/>
        </w:rPr>
        <w:t>emphasise</w:t>
      </w:r>
      <w:proofErr w:type="spellEnd"/>
      <w:r w:rsidRPr="000C5A0F">
        <w:rPr>
          <w:rFonts w:ascii="Times New Roman" w:hAnsi="Times New Roman" w:cs="Times New Roman"/>
          <w:sz w:val="24"/>
          <w:szCs w:val="24"/>
        </w:rPr>
        <w:t xml:space="preserve"> sustainability and efficiency, while the finance plan predicts strong profitability from many financing sources. Due of its unique value proposition, an eco-friendly mobile format with excellent, ethically produced coffee attracts investors. "Green Grind on the Go" is a promising investment due to its synergy with sustainability and social responsibility trends and profit possibilities.</w:t>
      </w:r>
    </w:p>
    <w:p w14:paraId="3AD8AB87" w14:textId="25393A67" w:rsidR="000C5A0F" w:rsidRDefault="000C5A0F" w:rsidP="005F02E9">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1F824B86" w14:textId="3ACB5B9E" w:rsidR="000C5A0F" w:rsidRPr="000C5A0F" w:rsidRDefault="000C5A0F" w:rsidP="005F02E9">
      <w:pPr>
        <w:pStyle w:val="Heading1"/>
        <w:spacing w:line="360" w:lineRule="auto"/>
        <w:rPr>
          <w:b/>
          <w:bCs/>
          <w:i/>
          <w:iCs/>
          <w:sz w:val="28"/>
          <w:szCs w:val="28"/>
        </w:rPr>
      </w:pPr>
      <w:bookmarkStart w:id="26" w:name="_Toc150977028"/>
      <w:r w:rsidRPr="000C5A0F">
        <w:rPr>
          <w:b/>
          <w:bCs/>
          <w:i/>
          <w:iCs/>
          <w:sz w:val="28"/>
          <w:szCs w:val="28"/>
        </w:rPr>
        <w:lastRenderedPageBreak/>
        <w:t>References</w:t>
      </w:r>
      <w:bookmarkEnd w:id="26"/>
    </w:p>
    <w:p w14:paraId="5CAD0B03" w14:textId="77777777" w:rsidR="005F02E9" w:rsidRPr="000C5A0F" w:rsidRDefault="005F02E9" w:rsidP="005F02E9">
      <w:pPr>
        <w:spacing w:line="360" w:lineRule="auto"/>
        <w:ind w:left="720" w:hanging="720"/>
        <w:jc w:val="both"/>
        <w:rPr>
          <w:rFonts w:ascii="Times New Roman" w:hAnsi="Times New Roman" w:cs="Times New Roman"/>
          <w:sz w:val="24"/>
          <w:szCs w:val="24"/>
        </w:rPr>
      </w:pPr>
    </w:p>
    <w:p w14:paraId="758C4AE0" w14:textId="77777777" w:rsidR="005F02E9" w:rsidRDefault="005F02E9" w:rsidP="005F02E9">
      <w:pPr>
        <w:spacing w:line="360" w:lineRule="auto"/>
        <w:ind w:left="720" w:hanging="720"/>
        <w:jc w:val="both"/>
      </w:pPr>
      <w:r>
        <w:rPr>
          <w:rFonts w:ascii="Times New Roman" w:hAnsi="Times New Roman" w:cs="Times New Roman"/>
          <w:color w:val="222222"/>
          <w:sz w:val="24"/>
          <w:szCs w:val="20"/>
          <w:shd w:val="clear" w:color="auto" w:fill="FFFFFF"/>
        </w:rPr>
        <w:t>Chowdhury, R.S., 2023. NEW TRENDS IN ENTERPRENUERSHIP: A COFFEE BUSINESS SETUP.</w:t>
      </w:r>
    </w:p>
    <w:p w14:paraId="22217CF2" w14:textId="77777777" w:rsidR="005F02E9" w:rsidRDefault="005F02E9" w:rsidP="005F02E9">
      <w:pPr>
        <w:spacing w:line="360" w:lineRule="auto"/>
        <w:ind w:left="720" w:hanging="720"/>
        <w:jc w:val="both"/>
      </w:pPr>
      <w:proofErr w:type="spellStart"/>
      <w:r>
        <w:rPr>
          <w:rFonts w:ascii="Times New Roman" w:hAnsi="Times New Roman" w:cs="Times New Roman"/>
          <w:color w:val="222222"/>
          <w:sz w:val="24"/>
          <w:szCs w:val="20"/>
          <w:shd w:val="clear" w:color="auto" w:fill="FFFFFF"/>
        </w:rPr>
        <w:t>Daoming</w:t>
      </w:r>
      <w:proofErr w:type="spellEnd"/>
      <w:r>
        <w:rPr>
          <w:rFonts w:ascii="Times New Roman" w:hAnsi="Times New Roman" w:cs="Times New Roman"/>
          <w:color w:val="222222"/>
          <w:sz w:val="24"/>
          <w:szCs w:val="20"/>
          <w:shd w:val="clear" w:color="auto" w:fill="FFFFFF"/>
        </w:rPr>
        <w:t xml:space="preserve">, S. and Forster, C.F., 1993. An examination of the start‐up of a thermophilic </w:t>
      </w:r>
      <w:proofErr w:type="spellStart"/>
      <w:r>
        <w:rPr>
          <w:rFonts w:ascii="Times New Roman" w:hAnsi="Times New Roman" w:cs="Times New Roman"/>
          <w:color w:val="222222"/>
          <w:sz w:val="24"/>
          <w:szCs w:val="20"/>
          <w:shd w:val="clear" w:color="auto" w:fill="FFFFFF"/>
        </w:rPr>
        <w:t>upflow</w:t>
      </w:r>
      <w:proofErr w:type="spellEnd"/>
      <w:r>
        <w:rPr>
          <w:rFonts w:ascii="Times New Roman" w:hAnsi="Times New Roman" w:cs="Times New Roman"/>
          <w:color w:val="222222"/>
          <w:sz w:val="24"/>
          <w:szCs w:val="20"/>
          <w:shd w:val="clear" w:color="auto" w:fill="FFFFFF"/>
        </w:rPr>
        <w:t xml:space="preserve"> sludge blanket reactor treating a synthetic coffee waste. </w:t>
      </w:r>
      <w:r>
        <w:rPr>
          <w:i/>
          <w:iCs/>
        </w:rPr>
        <w:t>Environmental Technology</w:t>
      </w:r>
      <w:r>
        <w:t>, </w:t>
      </w:r>
      <w:r>
        <w:rPr>
          <w:i/>
          <w:iCs/>
        </w:rPr>
        <w:t>14</w:t>
      </w:r>
      <w:r>
        <w:t>(10), pp.965-972.</w:t>
      </w:r>
    </w:p>
    <w:p w14:paraId="79C31645" w14:textId="77777777" w:rsidR="005F02E9" w:rsidRDefault="005F02E9" w:rsidP="005F02E9">
      <w:pPr>
        <w:spacing w:line="360" w:lineRule="auto"/>
        <w:ind w:left="720" w:hanging="720"/>
        <w:jc w:val="both"/>
      </w:pPr>
      <w:r>
        <w:rPr>
          <w:rFonts w:ascii="Times New Roman" w:hAnsi="Times New Roman" w:cs="Times New Roman"/>
          <w:color w:val="222222"/>
          <w:sz w:val="24"/>
          <w:szCs w:val="20"/>
          <w:shd w:val="clear" w:color="auto" w:fill="FFFFFF"/>
        </w:rPr>
        <w:t xml:space="preserve">Hernández, R. and </w:t>
      </w:r>
      <w:proofErr w:type="spellStart"/>
      <w:r>
        <w:rPr>
          <w:rFonts w:ascii="Times New Roman" w:hAnsi="Times New Roman" w:cs="Times New Roman"/>
          <w:color w:val="222222"/>
          <w:sz w:val="24"/>
          <w:szCs w:val="20"/>
          <w:shd w:val="clear" w:color="auto" w:fill="FFFFFF"/>
        </w:rPr>
        <w:t>Carrà</w:t>
      </w:r>
      <w:proofErr w:type="spellEnd"/>
      <w:r>
        <w:rPr>
          <w:rFonts w:ascii="Times New Roman" w:hAnsi="Times New Roman" w:cs="Times New Roman"/>
          <w:color w:val="222222"/>
          <w:sz w:val="24"/>
          <w:szCs w:val="20"/>
          <w:shd w:val="clear" w:color="auto" w:fill="FFFFFF"/>
        </w:rPr>
        <w:t>, G., 2016. A conceptual approach for business incubator interdependencies and sustainable development. </w:t>
      </w:r>
      <w:r>
        <w:rPr>
          <w:i/>
          <w:iCs/>
        </w:rPr>
        <w:t>Agriculture and Agricultural Science Procedia</w:t>
      </w:r>
      <w:r>
        <w:t>, </w:t>
      </w:r>
      <w:r>
        <w:rPr>
          <w:i/>
          <w:iCs/>
        </w:rPr>
        <w:t>8</w:t>
      </w:r>
      <w:r>
        <w:t>, pp.718-724.</w:t>
      </w:r>
    </w:p>
    <w:p w14:paraId="4C3A4469" w14:textId="77777777" w:rsidR="005F02E9" w:rsidRDefault="005F02E9" w:rsidP="005F02E9">
      <w:pPr>
        <w:spacing w:line="360" w:lineRule="auto"/>
        <w:ind w:left="720" w:hanging="720"/>
        <w:jc w:val="both"/>
      </w:pPr>
      <w:r>
        <w:rPr>
          <w:rFonts w:ascii="Times New Roman" w:hAnsi="Times New Roman" w:cs="Times New Roman"/>
          <w:color w:val="222222"/>
          <w:sz w:val="24"/>
          <w:szCs w:val="20"/>
          <w:shd w:val="clear" w:color="auto" w:fill="FFFFFF"/>
        </w:rPr>
        <w:t>Huynh, A., 2019. Business plan for a coffee shop.</w:t>
      </w:r>
    </w:p>
    <w:p w14:paraId="725F46FC" w14:textId="77777777" w:rsidR="005F02E9" w:rsidRDefault="005F02E9" w:rsidP="005F02E9">
      <w:pPr>
        <w:spacing w:line="360" w:lineRule="auto"/>
        <w:ind w:left="720" w:hanging="720"/>
        <w:jc w:val="both"/>
      </w:pPr>
      <w:r>
        <w:rPr>
          <w:rFonts w:ascii="Times New Roman" w:hAnsi="Times New Roman" w:cs="Times New Roman"/>
          <w:color w:val="222222"/>
          <w:sz w:val="24"/>
          <w:szCs w:val="20"/>
          <w:shd w:val="clear" w:color="auto" w:fill="FFFFFF"/>
        </w:rPr>
        <w:t>Mills, E., 2010. </w:t>
      </w:r>
      <w:r>
        <w:rPr>
          <w:i/>
          <w:iCs/>
        </w:rPr>
        <w:t>Start Your Own Coffee and Tea Shop</w:t>
      </w:r>
      <w:r>
        <w:t>. Crimson Publishing.</w:t>
      </w:r>
    </w:p>
    <w:p w14:paraId="4C331F64" w14:textId="77777777" w:rsidR="005F02E9" w:rsidRDefault="005F02E9" w:rsidP="005F02E9">
      <w:pPr>
        <w:spacing w:line="360" w:lineRule="auto"/>
        <w:ind w:left="720" w:hanging="720"/>
        <w:jc w:val="both"/>
      </w:pPr>
      <w:r>
        <w:rPr>
          <w:rFonts w:ascii="Times New Roman" w:hAnsi="Times New Roman" w:cs="Times New Roman"/>
          <w:color w:val="222222"/>
          <w:sz w:val="24"/>
          <w:szCs w:val="20"/>
          <w:shd w:val="clear" w:color="auto" w:fill="FFFFFF"/>
        </w:rPr>
        <w:t xml:space="preserve">Morland, L., 2017. </w:t>
      </w:r>
      <w:proofErr w:type="spellStart"/>
      <w:r>
        <w:rPr>
          <w:rFonts w:ascii="Times New Roman" w:hAnsi="Times New Roman" w:cs="Times New Roman"/>
          <w:color w:val="222222"/>
          <w:sz w:val="24"/>
          <w:szCs w:val="20"/>
          <w:shd w:val="clear" w:color="auto" w:fill="FFFFFF"/>
        </w:rPr>
        <w:t>Rounton</w:t>
      </w:r>
      <w:proofErr w:type="spellEnd"/>
      <w:r>
        <w:rPr>
          <w:rFonts w:ascii="Times New Roman" w:hAnsi="Times New Roman" w:cs="Times New Roman"/>
          <w:color w:val="222222"/>
          <w:sz w:val="24"/>
          <w:szCs w:val="20"/>
          <w:shd w:val="clear" w:color="auto" w:fill="FFFFFF"/>
        </w:rPr>
        <w:t xml:space="preserve"> Coffee and Bedford Street Coffee Shop: From rural coffee roaster to urban coffee shop. </w:t>
      </w:r>
      <w:r>
        <w:rPr>
          <w:i/>
          <w:iCs/>
        </w:rPr>
        <w:t>The International Journal of Entrepreneurship and Innovation</w:t>
      </w:r>
      <w:r>
        <w:t>, </w:t>
      </w:r>
      <w:r>
        <w:rPr>
          <w:i/>
          <w:iCs/>
        </w:rPr>
        <w:t>18</w:t>
      </w:r>
      <w:r>
        <w:t>(4), pp.256-263.</w:t>
      </w:r>
    </w:p>
    <w:p w14:paraId="60482441" w14:textId="77777777" w:rsidR="005F02E9" w:rsidRDefault="005F02E9" w:rsidP="005F02E9">
      <w:pPr>
        <w:spacing w:line="360" w:lineRule="auto"/>
        <w:ind w:left="720" w:hanging="720"/>
        <w:jc w:val="both"/>
      </w:pPr>
      <w:r>
        <w:rPr>
          <w:rFonts w:ascii="Times New Roman" w:hAnsi="Times New Roman" w:cs="Times New Roman"/>
          <w:color w:val="222222"/>
          <w:sz w:val="24"/>
          <w:szCs w:val="20"/>
          <w:shd w:val="clear" w:color="auto" w:fill="FFFFFF"/>
        </w:rPr>
        <w:t>Morris, J., 2013. Why espresso? Explaining changes in European coffee preferences from a production of culture perspective. </w:t>
      </w:r>
      <w:r>
        <w:rPr>
          <w:i/>
          <w:iCs/>
        </w:rPr>
        <w:t xml:space="preserve">European Review of History: Revue </w:t>
      </w:r>
      <w:proofErr w:type="spellStart"/>
      <w:r>
        <w:rPr>
          <w:i/>
          <w:iCs/>
        </w:rPr>
        <w:t>européenne</w:t>
      </w:r>
      <w:proofErr w:type="spellEnd"/>
      <w:r>
        <w:rPr>
          <w:i/>
          <w:iCs/>
        </w:rPr>
        <w:t xml:space="preserve"> </w:t>
      </w:r>
      <w:proofErr w:type="spellStart"/>
      <w:r>
        <w:rPr>
          <w:i/>
          <w:iCs/>
        </w:rPr>
        <w:t>d'histoire</w:t>
      </w:r>
      <w:proofErr w:type="spellEnd"/>
      <w:r>
        <w:t>, </w:t>
      </w:r>
      <w:r>
        <w:rPr>
          <w:i/>
          <w:iCs/>
        </w:rPr>
        <w:t>20</w:t>
      </w:r>
      <w:r>
        <w:t>(5), pp.881-901.</w:t>
      </w:r>
    </w:p>
    <w:p w14:paraId="4AA3C527" w14:textId="77777777" w:rsidR="005F02E9" w:rsidRDefault="005F02E9" w:rsidP="005F02E9">
      <w:pPr>
        <w:spacing w:line="360" w:lineRule="auto"/>
        <w:ind w:left="720" w:hanging="720"/>
        <w:jc w:val="both"/>
      </w:pPr>
      <w:r>
        <w:rPr>
          <w:rFonts w:ascii="Times New Roman" w:hAnsi="Times New Roman" w:cs="Times New Roman"/>
          <w:color w:val="222222"/>
          <w:sz w:val="24"/>
          <w:szCs w:val="20"/>
          <w:shd w:val="clear" w:color="auto" w:fill="FFFFFF"/>
        </w:rPr>
        <w:t>Mullins, J., 2017. </w:t>
      </w:r>
      <w:r>
        <w:rPr>
          <w:i/>
          <w:iCs/>
        </w:rPr>
        <w:t>The New Business Road Test: What entrepreneurs and investors should do before launching a lean start-up</w:t>
      </w:r>
      <w:r>
        <w:t>. Pearson UK.</w:t>
      </w:r>
    </w:p>
    <w:p w14:paraId="07CF4675" w14:textId="77777777" w:rsidR="005F02E9" w:rsidRDefault="005F02E9" w:rsidP="005F02E9">
      <w:pPr>
        <w:spacing w:line="360" w:lineRule="auto"/>
        <w:ind w:left="720" w:hanging="720"/>
        <w:jc w:val="both"/>
      </w:pPr>
      <w:r>
        <w:rPr>
          <w:rFonts w:ascii="Times New Roman" w:hAnsi="Times New Roman" w:cs="Times New Roman"/>
          <w:color w:val="222222"/>
          <w:sz w:val="24"/>
          <w:szCs w:val="20"/>
          <w:shd w:val="clear" w:color="auto" w:fill="FFFFFF"/>
        </w:rPr>
        <w:t>Pereira, G.R.D.S.M., 2022. </w:t>
      </w:r>
      <w:r>
        <w:rPr>
          <w:i/>
          <w:iCs/>
        </w:rPr>
        <w:t>Circular economy business models in the coffee industry: the case of delta cafés</w:t>
      </w:r>
      <w:r>
        <w:t> (Doctoral dissertation).</w:t>
      </w:r>
    </w:p>
    <w:p w14:paraId="35CEAF73" w14:textId="77777777" w:rsidR="005F02E9" w:rsidRPr="000C5A0F" w:rsidRDefault="005F02E9" w:rsidP="005F02E9">
      <w:pPr>
        <w:spacing w:line="360" w:lineRule="auto"/>
        <w:ind w:left="720" w:hanging="720"/>
        <w:jc w:val="both"/>
        <w:rPr>
          <w:rFonts w:ascii="Times New Roman" w:hAnsi="Times New Roman" w:cs="Times New Roman"/>
          <w:sz w:val="24"/>
          <w:szCs w:val="24"/>
        </w:rPr>
      </w:pPr>
      <w:r>
        <w:rPr>
          <w:rFonts w:ascii="Times New Roman" w:hAnsi="Times New Roman" w:cs="Times New Roman"/>
          <w:color w:val="222222"/>
          <w:sz w:val="24"/>
          <w:szCs w:val="20"/>
          <w:shd w:val="clear" w:color="auto" w:fill="FFFFFF"/>
        </w:rPr>
        <w:t>Pires, A.M.A., 2022. </w:t>
      </w:r>
      <w:r>
        <w:rPr>
          <w:rFonts w:ascii="Times New Roman" w:hAnsi="Times New Roman" w:cs="Times New Roman"/>
          <w:i/>
          <w:iCs/>
          <w:sz w:val="24"/>
          <w:szCs w:val="24"/>
        </w:rPr>
        <w:t>A circular economy approach to the coffee industry-s waste: the case of delta cafés</w:t>
      </w:r>
      <w:r>
        <w:rPr>
          <w:rFonts w:ascii="Times New Roman" w:hAnsi="Times New Roman" w:cs="Times New Roman"/>
          <w:sz w:val="24"/>
          <w:szCs w:val="24"/>
        </w:rPr>
        <w:t> (Doctoral dissertation).</w:t>
      </w:r>
    </w:p>
    <w:p w14:paraId="552DAA6A" w14:textId="77777777" w:rsidR="005F02E9" w:rsidRDefault="005F02E9" w:rsidP="005F02E9">
      <w:pPr>
        <w:spacing w:line="360" w:lineRule="auto"/>
        <w:ind w:left="720" w:hanging="720"/>
        <w:jc w:val="both"/>
      </w:pPr>
      <w:r>
        <w:rPr>
          <w:rFonts w:ascii="Times New Roman" w:hAnsi="Times New Roman" w:cs="Times New Roman"/>
          <w:color w:val="222222"/>
          <w:sz w:val="24"/>
          <w:szCs w:val="20"/>
          <w:shd w:val="clear" w:color="auto" w:fill="FFFFFF"/>
        </w:rPr>
        <w:lastRenderedPageBreak/>
        <w:t xml:space="preserve">Popowska, M. and Nalepa, P., 2015. Lean Startup as a New Way of Managing Technology Ventures Illustrated by the Example of </w:t>
      </w:r>
      <w:proofErr w:type="spellStart"/>
      <w:r>
        <w:rPr>
          <w:rFonts w:ascii="Times New Roman" w:hAnsi="Times New Roman" w:cs="Times New Roman"/>
          <w:color w:val="222222"/>
          <w:sz w:val="24"/>
          <w:szCs w:val="20"/>
          <w:shd w:val="clear" w:color="auto" w:fill="FFFFFF"/>
        </w:rPr>
        <w:t>Wlcome</w:t>
      </w:r>
      <w:proofErr w:type="spellEnd"/>
      <w:r>
        <w:rPr>
          <w:rFonts w:ascii="Times New Roman" w:hAnsi="Times New Roman" w:cs="Times New Roman"/>
          <w:color w:val="222222"/>
          <w:sz w:val="24"/>
          <w:szCs w:val="20"/>
          <w:shd w:val="clear" w:color="auto" w:fill="FFFFFF"/>
        </w:rPr>
        <w:t xml:space="preserve"> App. </w:t>
      </w:r>
      <w:r>
        <w:rPr>
          <w:i/>
          <w:iCs/>
        </w:rPr>
        <w:t xml:space="preserve">Studia </w:t>
      </w:r>
      <w:proofErr w:type="spellStart"/>
      <w:r>
        <w:rPr>
          <w:i/>
          <w:iCs/>
        </w:rPr>
        <w:t>i</w:t>
      </w:r>
      <w:proofErr w:type="spellEnd"/>
      <w:r>
        <w:rPr>
          <w:i/>
          <w:iCs/>
        </w:rPr>
        <w:t xml:space="preserve"> </w:t>
      </w:r>
      <w:proofErr w:type="spellStart"/>
      <w:r>
        <w:rPr>
          <w:i/>
          <w:iCs/>
        </w:rPr>
        <w:t>materiały</w:t>
      </w:r>
      <w:proofErr w:type="spellEnd"/>
      <w:r>
        <w:t>, (2/2015 (19)), pp.7-21.</w:t>
      </w:r>
    </w:p>
    <w:p w14:paraId="73E01B4F" w14:textId="77777777" w:rsidR="008418AD" w:rsidRPr="000C5A0F" w:rsidRDefault="008418AD" w:rsidP="005F02E9">
      <w:pPr>
        <w:spacing w:line="360" w:lineRule="auto"/>
        <w:jc w:val="both"/>
        <w:rPr>
          <w:rFonts w:ascii="Times New Roman" w:hAnsi="Times New Roman" w:cs="Times New Roman"/>
          <w:sz w:val="24"/>
          <w:szCs w:val="24"/>
        </w:rPr>
      </w:pPr>
    </w:p>
    <w:sectPr w:rsidR="008418AD" w:rsidRPr="000C5A0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2B802" w14:textId="77777777" w:rsidR="00D86C24" w:rsidRDefault="00D86C24" w:rsidP="000C5A0F">
      <w:pPr>
        <w:spacing w:after="0" w:line="240" w:lineRule="auto"/>
      </w:pPr>
      <w:r>
        <w:separator/>
      </w:r>
    </w:p>
  </w:endnote>
  <w:endnote w:type="continuationSeparator" w:id="0">
    <w:p w14:paraId="452BB89D" w14:textId="77777777" w:rsidR="00D86C24" w:rsidRDefault="00D86C24" w:rsidP="000C5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4685087"/>
      <w:docPartObj>
        <w:docPartGallery w:val="Page Numbers (Bottom of Page)"/>
        <w:docPartUnique/>
      </w:docPartObj>
    </w:sdtPr>
    <w:sdtEndPr>
      <w:rPr>
        <w:noProof/>
      </w:rPr>
    </w:sdtEndPr>
    <w:sdtContent>
      <w:p w14:paraId="04EEDA10" w14:textId="08359989" w:rsidR="003A7E59" w:rsidRDefault="003A7E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DB5492" w14:textId="77777777" w:rsidR="000C5A0F" w:rsidRDefault="000C5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1C78F" w14:textId="77777777" w:rsidR="00D86C24" w:rsidRDefault="00D86C24" w:rsidP="000C5A0F">
      <w:pPr>
        <w:spacing w:after="0" w:line="240" w:lineRule="auto"/>
      </w:pPr>
      <w:r>
        <w:separator/>
      </w:r>
    </w:p>
  </w:footnote>
  <w:footnote w:type="continuationSeparator" w:id="0">
    <w:p w14:paraId="377AE0FC" w14:textId="77777777" w:rsidR="00D86C24" w:rsidRDefault="00D86C24" w:rsidP="000C5A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AD"/>
    <w:rsid w:val="000C5A0F"/>
    <w:rsid w:val="00352109"/>
    <w:rsid w:val="003A7E59"/>
    <w:rsid w:val="005E3689"/>
    <w:rsid w:val="005F02E9"/>
    <w:rsid w:val="006E2250"/>
    <w:rsid w:val="00786A1B"/>
    <w:rsid w:val="008418AD"/>
    <w:rsid w:val="00920718"/>
    <w:rsid w:val="009A1951"/>
    <w:rsid w:val="00C512A1"/>
    <w:rsid w:val="00C55E19"/>
    <w:rsid w:val="00D53865"/>
    <w:rsid w:val="00D86C24"/>
    <w:rsid w:val="00E575A0"/>
    <w:rsid w:val="00FC4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7B5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A0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C5A0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E19"/>
    <w:pPr>
      <w:spacing w:after="0" w:line="240" w:lineRule="auto"/>
    </w:pPr>
    <w:rPr>
      <w:rFonts w:ascii="Cambria" w:eastAsia="MS Mincho"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5A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A0F"/>
  </w:style>
  <w:style w:type="paragraph" w:styleId="Footer">
    <w:name w:val="footer"/>
    <w:basedOn w:val="Normal"/>
    <w:link w:val="FooterChar"/>
    <w:uiPriority w:val="99"/>
    <w:unhideWhenUsed/>
    <w:rsid w:val="000C5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A0F"/>
  </w:style>
  <w:style w:type="character" w:customStyle="1" w:styleId="Heading1Char">
    <w:name w:val="Heading 1 Char"/>
    <w:basedOn w:val="DefaultParagraphFont"/>
    <w:link w:val="Heading1"/>
    <w:uiPriority w:val="9"/>
    <w:rsid w:val="000C5A0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C5A0F"/>
    <w:pPr>
      <w:spacing w:line="259" w:lineRule="auto"/>
      <w:outlineLvl w:val="9"/>
    </w:pPr>
  </w:style>
  <w:style w:type="character" w:customStyle="1" w:styleId="Heading2Char">
    <w:name w:val="Heading 2 Char"/>
    <w:basedOn w:val="DefaultParagraphFont"/>
    <w:link w:val="Heading2"/>
    <w:uiPriority w:val="9"/>
    <w:rsid w:val="000C5A0F"/>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0C5A0F"/>
    <w:pPr>
      <w:spacing w:after="100"/>
    </w:pPr>
  </w:style>
  <w:style w:type="paragraph" w:styleId="TOC2">
    <w:name w:val="toc 2"/>
    <w:basedOn w:val="Normal"/>
    <w:next w:val="Normal"/>
    <w:autoRedefine/>
    <w:uiPriority w:val="39"/>
    <w:unhideWhenUsed/>
    <w:rsid w:val="000C5A0F"/>
    <w:pPr>
      <w:spacing w:after="100"/>
      <w:ind w:left="220"/>
    </w:pPr>
  </w:style>
  <w:style w:type="character" w:styleId="Hyperlink">
    <w:name w:val="Hyperlink"/>
    <w:basedOn w:val="DefaultParagraphFont"/>
    <w:uiPriority w:val="99"/>
    <w:unhideWhenUsed/>
    <w:rsid w:val="000C5A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279565">
      <w:bodyDiv w:val="1"/>
      <w:marLeft w:val="0"/>
      <w:marRight w:val="0"/>
      <w:marTop w:val="0"/>
      <w:marBottom w:val="0"/>
      <w:divBdr>
        <w:top w:val="none" w:sz="0" w:space="0" w:color="auto"/>
        <w:left w:val="none" w:sz="0" w:space="0" w:color="auto"/>
        <w:bottom w:val="none" w:sz="0" w:space="0" w:color="auto"/>
        <w:right w:val="none" w:sz="0" w:space="0" w:color="auto"/>
      </w:divBdr>
    </w:div>
    <w:div w:id="837578313">
      <w:bodyDiv w:val="1"/>
      <w:marLeft w:val="0"/>
      <w:marRight w:val="0"/>
      <w:marTop w:val="0"/>
      <w:marBottom w:val="0"/>
      <w:divBdr>
        <w:top w:val="none" w:sz="0" w:space="0" w:color="auto"/>
        <w:left w:val="none" w:sz="0" w:space="0" w:color="auto"/>
        <w:bottom w:val="none" w:sz="0" w:space="0" w:color="auto"/>
        <w:right w:val="none" w:sz="0" w:space="0" w:color="auto"/>
      </w:divBdr>
    </w:div>
    <w:div w:id="1584683143">
      <w:bodyDiv w:val="1"/>
      <w:marLeft w:val="0"/>
      <w:marRight w:val="0"/>
      <w:marTop w:val="0"/>
      <w:marBottom w:val="0"/>
      <w:divBdr>
        <w:top w:val="none" w:sz="0" w:space="0" w:color="auto"/>
        <w:left w:val="none" w:sz="0" w:space="0" w:color="auto"/>
        <w:bottom w:val="none" w:sz="0" w:space="0" w:color="auto"/>
        <w:right w:val="none" w:sz="0" w:space="0" w:color="auto"/>
      </w:divBdr>
    </w:div>
    <w:div w:id="183352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20327-BACC-406E-8FAC-45D948845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2945</Words>
  <Characters>16791</Characters>
  <Application>Microsoft Office Word</Application>
  <DocSecurity>0</DocSecurity>
  <Lines>139</Lines>
  <Paragraphs>39</Paragraphs>
  <ScaleCrop>false</ScaleCrop>
  <Company/>
  <LinksUpToDate>false</LinksUpToDate>
  <CharactersWithSpaces>19697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2023-12-18T21:44:00Z</dcterms:created>
  <dcterms:modified xsi:type="dcterms:W3CDTF">2023-12-18T21:44:00Z</dcterms:modified>
</cp:coreProperties>
</file>