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201495B" w14:textId="77777777" w:rsidR="006063C9" w:rsidRDefault="001823DC">
      <w:pPr>
        <w:pStyle w:val="TitlePage"/>
        <w:spacing w:before="480" w:after="160"/>
      </w:pPr>
      <w:r>
        <w:rPr>
          <w:b/>
          <w:bCs/>
          <w:sz w:val="28"/>
          <w:szCs w:val="28"/>
        </w:rPr>
        <w:t>University of Wales Trinity Saint David</w:t>
      </w:r>
    </w:p>
    <w:p w14:paraId="1668153B" w14:textId="77777777" w:rsidR="006063C9" w:rsidRDefault="001823DC">
      <w:pPr>
        <w:pStyle w:val="TitlePage"/>
        <w:spacing w:after="600"/>
      </w:pPr>
      <w:r>
        <w:rPr>
          <w:sz w:val="26"/>
          <w:szCs w:val="26"/>
        </w:rPr>
        <w:t>School of Engineering</w:t>
      </w:r>
    </w:p>
    <w:p w14:paraId="320344DD" w14:textId="77777777" w:rsidR="006063C9" w:rsidRDefault="001823DC">
      <w:pPr>
        <w:spacing w:before="400" w:after="600"/>
        <w:jc w:val="center"/>
      </w:pPr>
      <w:r>
        <w:rPr>
          <w:b/>
          <w:bCs/>
          <w:sz w:val="30"/>
          <w:szCs w:val="30"/>
        </w:rPr>
        <w:t>The Impact of Industry 4.0 Digital Technologies on Continuous Improvement in Amazon Reliability, Maintenance and Engineering Operations</w:t>
      </w:r>
    </w:p>
    <w:p w14:paraId="42759040" w14:textId="77777777" w:rsidR="006063C9" w:rsidRDefault="001823DC">
      <w:pPr>
        <w:pStyle w:val="TitlePage"/>
        <w:spacing w:after="120"/>
      </w:pPr>
      <w:r>
        <w:rPr>
          <w:sz w:val="22"/>
          <w:szCs w:val="22"/>
        </w:rPr>
        <w:t>Student Name: Craig Anthony Davies</w:t>
      </w:r>
    </w:p>
    <w:p w14:paraId="332BC968" w14:textId="77777777" w:rsidR="006063C9" w:rsidRDefault="001823DC">
      <w:pPr>
        <w:pStyle w:val="TitlePage"/>
        <w:spacing w:after="120"/>
      </w:pPr>
      <w:r>
        <w:rPr>
          <w:sz w:val="22"/>
          <w:szCs w:val="22"/>
        </w:rPr>
        <w:t>Student Number: 1550312</w:t>
      </w:r>
    </w:p>
    <w:p w14:paraId="31DA72AC" w14:textId="77777777" w:rsidR="006063C9" w:rsidRDefault="001823DC">
      <w:pPr>
        <w:pStyle w:val="TitlePage"/>
        <w:spacing w:after="120"/>
      </w:pPr>
      <w:r>
        <w:rPr>
          <w:sz w:val="22"/>
          <w:szCs w:val="22"/>
        </w:rPr>
        <w:t>Module Name/Code: Quality &amp; Business Improvement</w:t>
      </w:r>
    </w:p>
    <w:p w14:paraId="246E0CCC" w14:textId="77777777" w:rsidR="006063C9" w:rsidRDefault="001823DC">
      <w:pPr>
        <w:pStyle w:val="TitlePage"/>
        <w:spacing w:after="120"/>
      </w:pPr>
      <w:r>
        <w:rPr>
          <w:sz w:val="22"/>
          <w:szCs w:val="22"/>
        </w:rPr>
        <w:t>Programme of Study: BEng Engineering Management</w:t>
      </w:r>
    </w:p>
    <w:p w14:paraId="2CEDBF8F" w14:textId="720E7CC2" w:rsidR="006063C9" w:rsidRDefault="001823DC">
      <w:pPr>
        <w:pStyle w:val="TitlePage"/>
        <w:spacing w:after="600"/>
      </w:pPr>
      <w:r>
        <w:rPr>
          <w:sz w:val="22"/>
          <w:szCs w:val="22"/>
        </w:rPr>
        <w:t xml:space="preserve">Date: </w:t>
      </w:r>
      <w:r w:rsidR="00DE418F">
        <w:rPr>
          <w:sz w:val="22"/>
          <w:szCs w:val="22"/>
        </w:rPr>
        <w:t>21</w:t>
      </w:r>
      <w:r>
        <w:rPr>
          <w:sz w:val="22"/>
          <w:szCs w:val="22"/>
        </w:rPr>
        <w:t>/04/2026</w:t>
      </w:r>
    </w:p>
    <w:p w14:paraId="37DA956F" w14:textId="77777777" w:rsidR="006063C9" w:rsidRDefault="001823DC">
      <w:r>
        <w:br w:type="page"/>
      </w:r>
    </w:p>
    <w:p w14:paraId="57A39DE9" w14:textId="77777777" w:rsidR="006063C9" w:rsidRDefault="001823DC">
      <w:pPr>
        <w:pStyle w:val="Heading1"/>
      </w:pPr>
      <w:r>
        <w:t>Contents</w:t>
      </w:r>
    </w:p>
    <w:p w14:paraId="3AEDE4A3" w14:textId="77777777" w:rsidR="006063C9" w:rsidRDefault="001823DC">
      <w:pPr>
        <w:spacing w:after="100"/>
      </w:pPr>
      <w:r>
        <w:rPr>
          <w:b/>
          <w:bCs/>
          <w:sz w:val="22"/>
          <w:szCs w:val="22"/>
        </w:rPr>
        <w:t>1.</w:t>
      </w:r>
      <w:r>
        <w:rPr>
          <w:b/>
          <w:bCs/>
          <w:sz w:val="22"/>
          <w:szCs w:val="22"/>
        </w:rPr>
        <w:tab/>
        <w:t>Introduction</w:t>
      </w:r>
    </w:p>
    <w:p w14:paraId="536917C2" w14:textId="77777777" w:rsidR="006063C9" w:rsidRDefault="001823DC">
      <w:pPr>
        <w:spacing w:after="60"/>
        <w:ind w:left="480"/>
      </w:pPr>
      <w:r>
        <w:rPr>
          <w:sz w:val="22"/>
          <w:szCs w:val="22"/>
        </w:rPr>
        <w:t>1.1</w:t>
      </w:r>
      <w:r>
        <w:rPr>
          <w:sz w:val="22"/>
          <w:szCs w:val="22"/>
        </w:rPr>
        <w:tab/>
        <w:t>Aims and Objectives</w:t>
      </w:r>
    </w:p>
    <w:p w14:paraId="01C13F74" w14:textId="77777777" w:rsidR="006063C9" w:rsidRDefault="001823DC">
      <w:pPr>
        <w:spacing w:after="100"/>
      </w:pPr>
      <w:r>
        <w:rPr>
          <w:b/>
          <w:bCs/>
          <w:sz w:val="22"/>
          <w:szCs w:val="22"/>
        </w:rPr>
        <w:t>2.</w:t>
      </w:r>
      <w:r>
        <w:rPr>
          <w:b/>
          <w:bCs/>
          <w:sz w:val="22"/>
          <w:szCs w:val="22"/>
        </w:rPr>
        <w:tab/>
        <w:t>Problem Identification</w:t>
      </w:r>
    </w:p>
    <w:p w14:paraId="6DABEDAD" w14:textId="77777777" w:rsidR="006063C9" w:rsidRDefault="001823DC">
      <w:pPr>
        <w:spacing w:after="60"/>
        <w:ind w:left="480"/>
      </w:pPr>
      <w:r>
        <w:rPr>
          <w:sz w:val="22"/>
          <w:szCs w:val="22"/>
        </w:rPr>
        <w:t>2.1</w:t>
      </w:r>
      <w:r>
        <w:rPr>
          <w:sz w:val="22"/>
          <w:szCs w:val="22"/>
        </w:rPr>
        <w:tab/>
        <w:t>Reactive Maintenance Causing Unplanned Downtime</w:t>
      </w:r>
    </w:p>
    <w:p w14:paraId="77C9E9F3" w14:textId="77777777" w:rsidR="006063C9" w:rsidRDefault="001823DC">
      <w:pPr>
        <w:spacing w:after="60"/>
        <w:ind w:left="480"/>
      </w:pPr>
      <w:r>
        <w:rPr>
          <w:sz w:val="22"/>
          <w:szCs w:val="22"/>
        </w:rPr>
        <w:t>2.2</w:t>
      </w:r>
      <w:r>
        <w:rPr>
          <w:sz w:val="22"/>
          <w:szCs w:val="22"/>
        </w:rPr>
        <w:tab/>
        <w:t>Suboptimal FC Layout and MHE Configuration</w:t>
      </w:r>
    </w:p>
    <w:p w14:paraId="182119F9" w14:textId="77777777" w:rsidR="006063C9" w:rsidRDefault="001823DC">
      <w:pPr>
        <w:spacing w:after="60"/>
        <w:ind w:left="480"/>
      </w:pPr>
      <w:r>
        <w:rPr>
          <w:sz w:val="22"/>
          <w:szCs w:val="22"/>
        </w:rPr>
        <w:t>2.3</w:t>
      </w:r>
      <w:r>
        <w:rPr>
          <w:sz w:val="22"/>
          <w:szCs w:val="22"/>
        </w:rPr>
        <w:tab/>
        <w:t>Fragmented OEE Visibility Across RME Sites</w:t>
      </w:r>
    </w:p>
    <w:p w14:paraId="48EE2153" w14:textId="77777777" w:rsidR="006063C9" w:rsidRDefault="001823DC">
      <w:pPr>
        <w:spacing w:after="100"/>
      </w:pPr>
      <w:r>
        <w:rPr>
          <w:b/>
          <w:bCs/>
          <w:sz w:val="22"/>
          <w:szCs w:val="22"/>
        </w:rPr>
        <w:t>3.</w:t>
      </w:r>
      <w:r>
        <w:rPr>
          <w:b/>
          <w:bCs/>
          <w:sz w:val="22"/>
          <w:szCs w:val="22"/>
        </w:rPr>
        <w:tab/>
        <w:t>Application of Digital Technologies</w:t>
      </w:r>
    </w:p>
    <w:p w14:paraId="72814C02" w14:textId="77777777" w:rsidR="006063C9" w:rsidRDefault="001823DC">
      <w:pPr>
        <w:spacing w:after="60"/>
        <w:ind w:left="480"/>
      </w:pPr>
      <w:r>
        <w:rPr>
          <w:sz w:val="22"/>
          <w:szCs w:val="22"/>
        </w:rPr>
        <w:t>3.1</w:t>
      </w:r>
      <w:r>
        <w:rPr>
          <w:sz w:val="22"/>
          <w:szCs w:val="22"/>
        </w:rPr>
        <w:tab/>
        <w:t xml:space="preserve">Amazon </w:t>
      </w:r>
      <w:proofErr w:type="spellStart"/>
      <w:r>
        <w:rPr>
          <w:sz w:val="22"/>
          <w:szCs w:val="22"/>
        </w:rPr>
        <w:t>Monitron</w:t>
      </w:r>
      <w:proofErr w:type="spellEnd"/>
      <w:r>
        <w:rPr>
          <w:sz w:val="22"/>
          <w:szCs w:val="22"/>
        </w:rPr>
        <w:t xml:space="preserve"> – </w:t>
      </w:r>
      <w:proofErr w:type="spellStart"/>
      <w:r>
        <w:rPr>
          <w:sz w:val="22"/>
          <w:szCs w:val="22"/>
        </w:rPr>
        <w:t>IIoT</w:t>
      </w:r>
      <w:proofErr w:type="spellEnd"/>
      <w:r>
        <w:rPr>
          <w:sz w:val="22"/>
          <w:szCs w:val="22"/>
        </w:rPr>
        <w:t>-Based Condition Monitoring</w:t>
      </w:r>
    </w:p>
    <w:p w14:paraId="654DE747" w14:textId="77777777" w:rsidR="006063C9" w:rsidRDefault="001823DC">
      <w:pPr>
        <w:spacing w:after="60"/>
        <w:ind w:left="480"/>
      </w:pPr>
      <w:r>
        <w:rPr>
          <w:sz w:val="22"/>
          <w:szCs w:val="22"/>
        </w:rPr>
        <w:t>3.2</w:t>
      </w:r>
      <w:r>
        <w:rPr>
          <w:sz w:val="22"/>
          <w:szCs w:val="22"/>
        </w:rPr>
        <w:tab/>
        <w:t>AWS Warehouse Automation and Optimisation (WAO) – Digital Twin and Simulation</w:t>
      </w:r>
    </w:p>
    <w:p w14:paraId="78AE870D" w14:textId="77777777" w:rsidR="006063C9" w:rsidRDefault="001823DC">
      <w:pPr>
        <w:spacing w:after="60"/>
        <w:ind w:left="480"/>
      </w:pPr>
      <w:r>
        <w:rPr>
          <w:sz w:val="22"/>
          <w:szCs w:val="22"/>
        </w:rPr>
        <w:t>3.3</w:t>
      </w:r>
      <w:r>
        <w:rPr>
          <w:sz w:val="22"/>
          <w:szCs w:val="22"/>
        </w:rPr>
        <w:tab/>
        <w:t>PULSE Predictive Maintenance System</w:t>
      </w:r>
    </w:p>
    <w:p w14:paraId="5A7FEC04" w14:textId="77777777" w:rsidR="006063C9" w:rsidRDefault="001823DC">
      <w:pPr>
        <w:spacing w:after="100"/>
      </w:pPr>
      <w:r>
        <w:rPr>
          <w:b/>
          <w:bCs/>
          <w:sz w:val="22"/>
          <w:szCs w:val="22"/>
        </w:rPr>
        <w:t>4.</w:t>
      </w:r>
      <w:r>
        <w:rPr>
          <w:b/>
          <w:bCs/>
          <w:sz w:val="22"/>
          <w:szCs w:val="22"/>
        </w:rPr>
        <w:tab/>
        <w:t>Continuous Improvement Plan</w:t>
      </w:r>
    </w:p>
    <w:p w14:paraId="788E3DAD" w14:textId="77777777" w:rsidR="006063C9" w:rsidRDefault="001823DC">
      <w:pPr>
        <w:spacing w:after="100"/>
      </w:pPr>
      <w:r>
        <w:rPr>
          <w:b/>
          <w:bCs/>
          <w:sz w:val="22"/>
          <w:szCs w:val="22"/>
        </w:rPr>
        <w:t>5.</w:t>
      </w:r>
      <w:r>
        <w:rPr>
          <w:b/>
          <w:bCs/>
          <w:sz w:val="22"/>
          <w:szCs w:val="22"/>
        </w:rPr>
        <w:tab/>
        <w:t>KPI Evaluation</w:t>
      </w:r>
    </w:p>
    <w:p w14:paraId="03E10917" w14:textId="77777777" w:rsidR="006063C9" w:rsidRDefault="001823DC">
      <w:pPr>
        <w:spacing w:after="100"/>
      </w:pPr>
      <w:r>
        <w:rPr>
          <w:b/>
          <w:bCs/>
          <w:sz w:val="22"/>
          <w:szCs w:val="22"/>
        </w:rPr>
        <w:t>6.</w:t>
      </w:r>
      <w:r>
        <w:rPr>
          <w:b/>
          <w:bCs/>
          <w:sz w:val="22"/>
          <w:szCs w:val="22"/>
        </w:rPr>
        <w:tab/>
        <w:t>Implementation Challenges</w:t>
      </w:r>
    </w:p>
    <w:p w14:paraId="6B2678EA" w14:textId="77777777" w:rsidR="006063C9" w:rsidRDefault="001823DC">
      <w:pPr>
        <w:spacing w:after="60"/>
        <w:ind w:left="480"/>
      </w:pPr>
      <w:r>
        <w:rPr>
          <w:sz w:val="22"/>
          <w:szCs w:val="22"/>
        </w:rPr>
        <w:t>6.1</w:t>
      </w:r>
      <w:r>
        <w:rPr>
          <w:sz w:val="22"/>
          <w:szCs w:val="22"/>
        </w:rPr>
        <w:tab/>
        <w:t>Technical Challenges</w:t>
      </w:r>
    </w:p>
    <w:p w14:paraId="3DF9A6BD" w14:textId="77777777" w:rsidR="006063C9" w:rsidRDefault="001823DC">
      <w:pPr>
        <w:spacing w:after="60"/>
        <w:ind w:left="480"/>
      </w:pPr>
      <w:r>
        <w:rPr>
          <w:sz w:val="22"/>
          <w:szCs w:val="22"/>
        </w:rPr>
        <w:t>6.2</w:t>
      </w:r>
      <w:r>
        <w:rPr>
          <w:sz w:val="22"/>
          <w:szCs w:val="22"/>
        </w:rPr>
        <w:tab/>
        <w:t>Cultural Challenges</w:t>
      </w:r>
    </w:p>
    <w:p w14:paraId="2D7E72B5" w14:textId="77777777" w:rsidR="006063C9" w:rsidRDefault="001823DC">
      <w:pPr>
        <w:spacing w:after="60"/>
        <w:ind w:left="480"/>
      </w:pPr>
      <w:r>
        <w:rPr>
          <w:sz w:val="22"/>
          <w:szCs w:val="22"/>
        </w:rPr>
        <w:t>6.3</w:t>
      </w:r>
      <w:r>
        <w:rPr>
          <w:sz w:val="22"/>
          <w:szCs w:val="22"/>
        </w:rPr>
        <w:tab/>
        <w:t>Cybersecurity Challenges</w:t>
      </w:r>
    </w:p>
    <w:p w14:paraId="67035F9F" w14:textId="77777777" w:rsidR="006063C9" w:rsidRDefault="001823DC">
      <w:pPr>
        <w:spacing w:after="60"/>
        <w:ind w:left="480"/>
      </w:pPr>
      <w:r>
        <w:rPr>
          <w:sz w:val="22"/>
          <w:szCs w:val="22"/>
        </w:rPr>
        <w:t>6.4</w:t>
      </w:r>
      <w:r>
        <w:rPr>
          <w:sz w:val="22"/>
          <w:szCs w:val="22"/>
        </w:rPr>
        <w:tab/>
        <w:t>Mitigation Strategies</w:t>
      </w:r>
    </w:p>
    <w:p w14:paraId="077836C0" w14:textId="77777777" w:rsidR="006063C9" w:rsidRDefault="001823DC">
      <w:pPr>
        <w:spacing w:after="100"/>
      </w:pPr>
      <w:r>
        <w:rPr>
          <w:b/>
          <w:bCs/>
          <w:sz w:val="22"/>
          <w:szCs w:val="22"/>
        </w:rPr>
        <w:t>7.</w:t>
      </w:r>
      <w:r>
        <w:rPr>
          <w:b/>
          <w:bCs/>
          <w:sz w:val="22"/>
          <w:szCs w:val="22"/>
        </w:rPr>
        <w:tab/>
        <w:t>Conclusion</w:t>
      </w:r>
    </w:p>
    <w:p w14:paraId="29D90B04" w14:textId="77777777" w:rsidR="006063C9" w:rsidRDefault="001823DC">
      <w:pPr>
        <w:spacing w:after="100"/>
      </w:pPr>
      <w:r>
        <w:rPr>
          <w:b/>
          <w:bCs/>
          <w:sz w:val="22"/>
          <w:szCs w:val="22"/>
        </w:rPr>
        <w:t>References</w:t>
      </w:r>
    </w:p>
    <w:p w14:paraId="068852D3" w14:textId="77777777" w:rsidR="006063C9" w:rsidRDefault="001823DC">
      <w:r>
        <w:br w:type="page"/>
      </w:r>
    </w:p>
    <w:p w14:paraId="36DE2F3C" w14:textId="77777777" w:rsidR="006063C9" w:rsidRDefault="001823DC">
      <w:pPr>
        <w:pStyle w:val="Heading1"/>
      </w:pPr>
      <w:r>
        <w:t>1. Introduction</w:t>
      </w:r>
    </w:p>
    <w:p w14:paraId="04C6EEB0" w14:textId="77777777" w:rsidR="006063C9" w:rsidRDefault="001823DC">
      <w:pPr>
        <w:spacing w:after="200"/>
        <w:jc w:val="both"/>
      </w:pPr>
      <w:r>
        <w:t>This report selected Amazon Reliability, Maintenance and Engineering (RME) operations as its case study. The RME team is responsible for maintaining materials handling equipment (MHE) — primarily conveyor systems, including autonomous robots (ARs) — across Amazon's fulfilment network. MHE formed the operational backbone of fulfilment throughput; any degradation in MHE availability or performance was directly reflected in reduced order processing capacity and customer experience metrics.</w:t>
      </w:r>
    </w:p>
    <w:p w14:paraId="5EBF79E7" w14:textId="77777777" w:rsidR="006063C9" w:rsidRDefault="001823DC">
      <w:pPr>
        <w:spacing w:after="200"/>
        <w:jc w:val="both"/>
      </w:pPr>
      <w:r>
        <w:t>The fulfilment network presented a particularly complex maintenance environment, with multiple site configurations, diverse MHE, and regulatory requirements. The RME function was therefore required to maintain high equipment uptime whilst managing cost efficiency, compliance, and continuous improvement across a geographically dispersed network of sites.</w:t>
      </w:r>
    </w:p>
    <w:p w14:paraId="72B473F3" w14:textId="77777777" w:rsidR="006063C9" w:rsidRDefault="001823DC">
      <w:pPr>
        <w:spacing w:after="200"/>
        <w:jc w:val="both"/>
      </w:pPr>
      <w:r>
        <w:t xml:space="preserve">Industry 4.0 technologies offered substantive opportunities to enhance operations. Three Amazon and AWS technologies were identified as particularly relevant: Amazon </w:t>
      </w:r>
      <w:proofErr w:type="spellStart"/>
      <w:r>
        <w:t>Monitron</w:t>
      </w:r>
      <w:proofErr w:type="spellEnd"/>
      <w:r>
        <w:t xml:space="preserve">, an </w:t>
      </w:r>
      <w:proofErr w:type="spellStart"/>
      <w:r>
        <w:t>IIoT</w:t>
      </w:r>
      <w:proofErr w:type="spellEnd"/>
      <w:r>
        <w:t>-based condition monitoring system; the AWS Warehouse Automation and Optimisation (WAO) Digital Twin and Simulation platform; and the PULSE Predictive Maintenance System. These technologies collectively addressed the principal OEE challenges faced by RME in maintaining MHE across the network.</w:t>
      </w:r>
    </w:p>
    <w:p w14:paraId="0FD113BD" w14:textId="77777777" w:rsidR="006063C9" w:rsidRDefault="001823DC">
      <w:pPr>
        <w:pStyle w:val="Heading2"/>
      </w:pPr>
      <w:r>
        <w:t>1.1 Aims and Objectives</w:t>
      </w:r>
    </w:p>
    <w:p w14:paraId="62EEE0D9" w14:textId="77777777" w:rsidR="006063C9" w:rsidRDefault="001823DC">
      <w:pPr>
        <w:spacing w:after="200"/>
        <w:jc w:val="both"/>
      </w:pPr>
      <w:r>
        <w:t xml:space="preserve">The aim of this report was to investigate how Amazon </w:t>
      </w:r>
      <w:proofErr w:type="spellStart"/>
      <w:r>
        <w:t>Monitron</w:t>
      </w:r>
      <w:proofErr w:type="spellEnd"/>
      <w:r>
        <w:t>, AWS WAO Digital Twin, and PULSE could support continuous improvement in Amazon RME operations across the fulfilment network.</w:t>
      </w:r>
    </w:p>
    <w:p w14:paraId="0134BE9A" w14:textId="77777777" w:rsidR="006063C9" w:rsidRDefault="001823DC">
      <w:pPr>
        <w:spacing w:after="120"/>
        <w:jc w:val="both"/>
      </w:pPr>
      <w:r>
        <w:t>The objectives were:</w:t>
      </w:r>
    </w:p>
    <w:p w14:paraId="5F80BE49" w14:textId="77777777" w:rsidR="006063C9" w:rsidRDefault="001823DC">
      <w:pPr>
        <w:spacing w:after="100"/>
        <w:ind w:left="360"/>
        <w:jc w:val="both"/>
      </w:pPr>
      <w:r>
        <w:t>1.</w:t>
      </w:r>
      <w:r>
        <w:tab/>
        <w:t>To identify the principal OEE challenges in RME across the fulfilment network.</w:t>
      </w:r>
    </w:p>
    <w:p w14:paraId="6910D407" w14:textId="77777777" w:rsidR="006063C9" w:rsidRDefault="001823DC">
      <w:pPr>
        <w:spacing w:after="100"/>
        <w:ind w:left="360"/>
        <w:jc w:val="both"/>
      </w:pPr>
      <w:r>
        <w:t>2.</w:t>
      </w:r>
      <w:r>
        <w:tab/>
        <w:t>To evaluate the applicability and capability of three Amazon technologies (</w:t>
      </w:r>
      <w:proofErr w:type="spellStart"/>
      <w:r>
        <w:t>Monitron</w:t>
      </w:r>
      <w:proofErr w:type="spellEnd"/>
      <w:r>
        <w:t>, WAO Digital Twin, and PULSE) in addressing identified OEE challenges.</w:t>
      </w:r>
    </w:p>
    <w:p w14:paraId="45A31039" w14:textId="77777777" w:rsidR="006063C9" w:rsidRDefault="001823DC">
      <w:pPr>
        <w:spacing w:after="100"/>
        <w:ind w:left="360"/>
        <w:jc w:val="both"/>
      </w:pPr>
      <w:r>
        <w:t>3.</w:t>
      </w:r>
      <w:r>
        <w:tab/>
        <w:t>To develop an ACES-aligned continuous improvement plan for the phased deployment of these technologies across RME.</w:t>
      </w:r>
    </w:p>
    <w:p w14:paraId="1BB221F7" w14:textId="77777777" w:rsidR="006063C9" w:rsidRDefault="001823DC">
      <w:pPr>
        <w:spacing w:after="100"/>
        <w:ind w:left="360"/>
        <w:jc w:val="both"/>
      </w:pPr>
      <w:r>
        <w:t>4.</w:t>
      </w:r>
      <w:r>
        <w:tab/>
        <w:t>To assess the anticipated KPI impact of each technology on RME, using published case study data where available.</w:t>
      </w:r>
    </w:p>
    <w:p w14:paraId="1BCDD09B" w14:textId="77777777" w:rsidR="006063C9" w:rsidRDefault="001823DC">
      <w:pPr>
        <w:spacing w:after="100"/>
        <w:ind w:left="360"/>
        <w:jc w:val="both"/>
      </w:pPr>
      <w:r>
        <w:t>5.</w:t>
      </w:r>
      <w:r>
        <w:tab/>
        <w:t>To identify and propose mitigations for technical, cultural, and organisational barriers to implementation within the RME context.</w:t>
      </w:r>
    </w:p>
    <w:p w14:paraId="03CE1ABF" w14:textId="77777777" w:rsidR="00303347" w:rsidRDefault="00303347">
      <w:pPr>
        <w:rPr>
          <w:b/>
          <w:bCs/>
          <w:sz w:val="28"/>
          <w:szCs w:val="28"/>
        </w:rPr>
      </w:pPr>
      <w:r>
        <w:br w:type="page"/>
      </w:r>
    </w:p>
    <w:p w14:paraId="41C895E9" w14:textId="7502B45C" w:rsidR="006063C9" w:rsidRDefault="001823DC">
      <w:pPr>
        <w:pStyle w:val="Heading1"/>
      </w:pPr>
      <w:r>
        <w:t>2. Problem Identification</w:t>
      </w:r>
    </w:p>
    <w:p w14:paraId="1AFA0D8A" w14:textId="77777777" w:rsidR="00280970" w:rsidRDefault="001823DC">
      <w:pPr>
        <w:spacing w:after="200"/>
        <w:jc w:val="both"/>
      </w:pPr>
      <w:r>
        <w:t xml:space="preserve">The Amazon OEE Visibility Wiki (Amazon, 2025) identified two principal challenges affecting RME MHE operations: fragmented OEE metrics across hardware groups and inconsistent methodologies across sites. These challenges were compounded by the scale and heterogeneity of the MHE, which encompassed AMRs and conveyor systems across multiple FC configurations. OEE was defined by Amazon as Availability × Performance × Quality, with seven operational states recognised in the OEE Metrics Calculations Wiki (Amazon, </w:t>
      </w:r>
      <w:r>
        <w:t xml:space="preserve">2025): </w:t>
      </w:r>
    </w:p>
    <w:p w14:paraId="698BCDD7" w14:textId="77777777" w:rsidR="00280970" w:rsidRDefault="001823DC" w:rsidP="00280970">
      <w:pPr>
        <w:pStyle w:val="ListParagraph"/>
        <w:numPr>
          <w:ilvl w:val="0"/>
          <w:numId w:val="2"/>
        </w:numPr>
        <w:spacing w:after="0"/>
        <w:jc w:val="both"/>
      </w:pPr>
      <w:r>
        <w:t xml:space="preserve">IDLE, </w:t>
      </w:r>
    </w:p>
    <w:p w14:paraId="34E823EE" w14:textId="77777777" w:rsidR="00280970" w:rsidRDefault="001823DC" w:rsidP="00280970">
      <w:pPr>
        <w:pStyle w:val="ListParagraph"/>
        <w:numPr>
          <w:ilvl w:val="0"/>
          <w:numId w:val="2"/>
        </w:numPr>
        <w:spacing w:after="0"/>
        <w:jc w:val="both"/>
      </w:pPr>
      <w:r>
        <w:t xml:space="preserve">PRODUCING, </w:t>
      </w:r>
    </w:p>
    <w:p w14:paraId="3676A126" w14:textId="77777777" w:rsidR="00280970" w:rsidRDefault="001823DC" w:rsidP="00280970">
      <w:pPr>
        <w:pStyle w:val="ListParagraph"/>
        <w:numPr>
          <w:ilvl w:val="0"/>
          <w:numId w:val="2"/>
        </w:numPr>
        <w:spacing w:after="0"/>
        <w:jc w:val="both"/>
      </w:pPr>
      <w:r>
        <w:t xml:space="preserve">BLOCKED, </w:t>
      </w:r>
    </w:p>
    <w:p w14:paraId="26AE08D3" w14:textId="77777777" w:rsidR="00280970" w:rsidRDefault="001823DC" w:rsidP="00280970">
      <w:pPr>
        <w:pStyle w:val="ListParagraph"/>
        <w:numPr>
          <w:ilvl w:val="0"/>
          <w:numId w:val="2"/>
        </w:numPr>
        <w:spacing w:after="0"/>
        <w:jc w:val="both"/>
      </w:pPr>
      <w:r>
        <w:t xml:space="preserve">RUNNING_STARVED, </w:t>
      </w:r>
    </w:p>
    <w:p w14:paraId="645EFB34" w14:textId="77777777" w:rsidR="00280970" w:rsidRDefault="001823DC" w:rsidP="00280970">
      <w:pPr>
        <w:pStyle w:val="ListParagraph"/>
        <w:numPr>
          <w:ilvl w:val="0"/>
          <w:numId w:val="2"/>
        </w:numPr>
        <w:spacing w:after="0"/>
        <w:jc w:val="both"/>
      </w:pPr>
      <w:r>
        <w:t xml:space="preserve">DOWN_PLANNED_CHANGEOVER, </w:t>
      </w:r>
    </w:p>
    <w:p w14:paraId="39324CF2" w14:textId="59BEAFB6" w:rsidR="00280970" w:rsidRDefault="001823DC" w:rsidP="00280970">
      <w:pPr>
        <w:pStyle w:val="ListParagraph"/>
        <w:numPr>
          <w:ilvl w:val="0"/>
          <w:numId w:val="2"/>
        </w:numPr>
        <w:spacing w:after="0"/>
        <w:jc w:val="both"/>
      </w:pPr>
      <w:r>
        <w:t xml:space="preserve">DOWN_PLANNED_MAINTENANCE, </w:t>
      </w:r>
    </w:p>
    <w:p w14:paraId="472BF00C" w14:textId="2AD7F081" w:rsidR="006063C9" w:rsidRDefault="001823DC" w:rsidP="00280970">
      <w:pPr>
        <w:pStyle w:val="ListParagraph"/>
        <w:numPr>
          <w:ilvl w:val="0"/>
          <w:numId w:val="2"/>
        </w:numPr>
        <w:spacing w:after="0"/>
        <w:jc w:val="both"/>
      </w:pPr>
      <w:r>
        <w:t>DOWN_UNPLANNED_FAULTED.</w:t>
      </w:r>
    </w:p>
    <w:p w14:paraId="5C1FE6A5" w14:textId="77777777" w:rsidR="00280970" w:rsidRDefault="00280970" w:rsidP="00280970">
      <w:pPr>
        <w:pStyle w:val="ListParagraph"/>
        <w:numPr>
          <w:ilvl w:val="0"/>
          <w:numId w:val="2"/>
        </w:numPr>
        <w:spacing w:after="0"/>
        <w:jc w:val="both"/>
      </w:pPr>
    </w:p>
    <w:p w14:paraId="7BA4E57B" w14:textId="77777777" w:rsidR="006063C9" w:rsidRDefault="001823DC">
      <w:pPr>
        <w:spacing w:after="200"/>
        <w:jc w:val="both"/>
      </w:pPr>
      <w:r>
        <w:t>T</w:t>
      </w:r>
      <w:r>
        <w:t>hree principal problems were identified, each mapped to one or more of the three focal technologies.</w:t>
      </w:r>
    </w:p>
    <w:p w14:paraId="000499D2" w14:textId="77777777" w:rsidR="006063C9" w:rsidRDefault="001823DC">
      <w:pPr>
        <w:pStyle w:val="Heading2"/>
      </w:pPr>
      <w:r>
        <w:t>2.1 Reactive Maintenance Causing Unplanned Downtime</w:t>
      </w:r>
    </w:p>
    <w:p w14:paraId="4B8DC3C3" w14:textId="77777777" w:rsidR="006063C9" w:rsidRDefault="001823DC">
      <w:pPr>
        <w:spacing w:after="200"/>
        <w:jc w:val="both"/>
      </w:pPr>
      <w:r>
        <w:t>RME maintenance of MHE was predominantly reactive in nature, with technicians responding to equipment failures after they occurred. This approach resulted in unplanned downtime events captured as DOWN_UNPLANNED_FAULTED states in the OEE model, directly reducing OEE Availability. Illustrative baseline data created for this report estimated unplanned downtime at approximately 12% of operational hours across MHE operations. This reactive maintenance model was identified as the primary driver of preventable OEE</w:t>
      </w:r>
      <w:r>
        <w:t xml:space="preserve"> Availability losses and was mapped to Amazon </w:t>
      </w:r>
      <w:proofErr w:type="spellStart"/>
      <w:r>
        <w:t>Monitron</w:t>
      </w:r>
      <w:proofErr w:type="spellEnd"/>
      <w:r>
        <w:t xml:space="preserve"> and the PULSE Predictive Maintenance System as the technologies most capable of shifting RME towards condition-based predictive maintenance.</w:t>
      </w:r>
    </w:p>
    <w:p w14:paraId="189BEBB5" w14:textId="77777777" w:rsidR="006063C9" w:rsidRDefault="001823DC">
      <w:pPr>
        <w:pStyle w:val="Heading2"/>
      </w:pPr>
      <w:r>
        <w:t>2.2 Suboptimal FC Layout and MHE Configuration</w:t>
      </w:r>
    </w:p>
    <w:p w14:paraId="30AE3441" w14:textId="77777777" w:rsidR="006063C9" w:rsidRDefault="001823DC">
      <w:pPr>
        <w:spacing w:after="200"/>
        <w:jc w:val="both"/>
      </w:pPr>
      <w:r>
        <w:t>Fulfilment centre (FC) layouts across the network had been configured without comprehensive simulation modelling of MHE interactions. This resulted in throughput bottlenecks captured as BLOCKED and RUNNING_STARVED states in the OEE model, reducing OEE Performance. Illustrative baseline data created for this report estimated OEE Availability at approximately 74% across MHE operations, with MHE configuration identified as a contributing factor to Performance losses. This problem was mapped to the AWS WAO Digi</w:t>
      </w:r>
      <w:r>
        <w:t>tal Twin and Simulation platform as the technology most capable of optimising FC layouts and MHE configurations.</w:t>
      </w:r>
    </w:p>
    <w:p w14:paraId="26176F9E" w14:textId="77777777" w:rsidR="006063C9" w:rsidRDefault="001823DC">
      <w:pPr>
        <w:pStyle w:val="Heading2"/>
      </w:pPr>
      <w:r>
        <w:t>2.3 Fragmented OEE Visibility Across RME Sites</w:t>
      </w:r>
    </w:p>
    <w:p w14:paraId="6C21B73E" w14:textId="77777777" w:rsidR="006063C9" w:rsidRDefault="001823DC">
      <w:pPr>
        <w:spacing w:after="200"/>
        <w:jc w:val="both"/>
      </w:pPr>
      <w:r>
        <w:t>OEE data across RME sites was collected and reported using inconsistent methodologies, preventing meaningful cross-site benchmarking and network-wide performance analysis. The Amazon OEE Visibility Wiki (Amazon, 2025) recognised this as a significant barrier to RME continuous improvement. This problem was mapped to all three focal technologies, which collectively provided a more integrated and consistent OEE data ecosystem across operations.</w:t>
      </w:r>
    </w:p>
    <w:p w14:paraId="647FC43A" w14:textId="77777777" w:rsidR="006063C9" w:rsidRDefault="001823DC">
      <w:pPr>
        <w:pStyle w:val="Heading1"/>
      </w:pPr>
      <w:r>
        <w:t>3. Application of Digital Technologies</w:t>
      </w:r>
    </w:p>
    <w:p w14:paraId="1497C4E8" w14:textId="77777777" w:rsidR="006063C9" w:rsidRDefault="001823DC">
      <w:pPr>
        <w:spacing w:after="200"/>
        <w:jc w:val="both"/>
      </w:pPr>
      <w:r>
        <w:t>Three Amazon and AWS technologies were evaluated for their applicability to RME MHE operations. Each technology was assessed against the OEE framework and the three problems identified in Section 2. The selection of these technologies was justified by their direct relevance to MHE maintenance and operational performance, their availability within the Amazon technology ecosystem, and the availability of published performance data to support evidence-based evaluation.</w:t>
      </w:r>
    </w:p>
    <w:p w14:paraId="1D69B7F9" w14:textId="77777777" w:rsidR="006063C9" w:rsidRDefault="001823DC">
      <w:pPr>
        <w:pStyle w:val="Heading2"/>
      </w:pPr>
      <w:r>
        <w:t xml:space="preserve">3.1 Amazon </w:t>
      </w:r>
      <w:proofErr w:type="spellStart"/>
      <w:r>
        <w:t>Monitron</w:t>
      </w:r>
      <w:proofErr w:type="spellEnd"/>
      <w:r>
        <w:t xml:space="preserve"> – </w:t>
      </w:r>
      <w:proofErr w:type="spellStart"/>
      <w:r>
        <w:t>IIoT</w:t>
      </w:r>
      <w:proofErr w:type="spellEnd"/>
      <w:r>
        <w:t>-Based Condition Monitoring</w:t>
      </w:r>
    </w:p>
    <w:p w14:paraId="7BC38E11" w14:textId="77777777" w:rsidR="006063C9" w:rsidRDefault="001823DC">
      <w:pPr>
        <w:spacing w:after="200"/>
        <w:jc w:val="both"/>
      </w:pPr>
      <w:r>
        <w:t xml:space="preserve">Amazon </w:t>
      </w:r>
      <w:proofErr w:type="spellStart"/>
      <w:r>
        <w:t>Monitron</w:t>
      </w:r>
      <w:proofErr w:type="spellEnd"/>
      <w:r>
        <w:t xml:space="preserve"> was an end-to-end </w:t>
      </w:r>
      <w:proofErr w:type="spellStart"/>
      <w:r>
        <w:t>IIoT</w:t>
      </w:r>
      <w:proofErr w:type="spellEnd"/>
      <w:r>
        <w:t xml:space="preserve"> condition monitoring system that utilised wireless sensors attached to rotating MHE components, including drive motors, wheel assemblies, and conveyor interfaces, to continuously measure vibration and temperature (about amazon., 2024). Sensor data was transmitted to the AWS cloud via a </w:t>
      </w:r>
      <w:proofErr w:type="spellStart"/>
      <w:r>
        <w:t>Monitron</w:t>
      </w:r>
      <w:proofErr w:type="spellEnd"/>
      <w:r>
        <w:t xml:space="preserve"> gateway, where machine learning models analysed the readings to detect anomalous patterns indicative of impending component failure. Maintenance alerts were generated and delivered to </w:t>
      </w:r>
      <w:r>
        <w:t>RME technicians before failure events occurred, enabling planned, condition-based interventions to replace the reactive maintenance model described in Section 2.1.</w:t>
      </w:r>
    </w:p>
    <w:p w14:paraId="182E0E60" w14:textId="77777777" w:rsidR="006063C9" w:rsidRDefault="001823DC">
      <w:pPr>
        <w:spacing w:after="200"/>
        <w:jc w:val="both"/>
      </w:pPr>
      <w:r>
        <w:t xml:space="preserve">The published performance data for Amazon </w:t>
      </w:r>
      <w:proofErr w:type="spellStart"/>
      <w:r>
        <w:t>Monitron</w:t>
      </w:r>
      <w:proofErr w:type="spellEnd"/>
      <w:r>
        <w:t xml:space="preserve"> was compelling. In the Amazon Customer Fulfilment case study, deployment of </w:t>
      </w:r>
      <w:proofErr w:type="spellStart"/>
      <w:r>
        <w:t>Monitron</w:t>
      </w:r>
      <w:proofErr w:type="spellEnd"/>
      <w:r>
        <w:t xml:space="preserve"> achieved a 69% reduction in unplanned equipment downtime (AWS, 2024). This metric directly addressed the DOWN_UNPLANNED_FAULTED OEE state, with a corresponding improvement in OEE Availability. The application of </w:t>
      </w:r>
      <w:proofErr w:type="spellStart"/>
      <w:r>
        <w:t>Monitron</w:t>
      </w:r>
      <w:proofErr w:type="spellEnd"/>
      <w:r>
        <w:t xml:space="preserve"> across RME MHE operations was therefore evaluated as capable of delivering a substantial and evidence-based reduction in the unplanned downtime losses identified as the primary OEE Availability cha</w:t>
      </w:r>
      <w:r>
        <w:t>llenge in Section 2.1.</w:t>
      </w:r>
    </w:p>
    <w:p w14:paraId="39EA3771" w14:textId="77777777" w:rsidR="006063C9" w:rsidRDefault="001823DC">
      <w:pPr>
        <w:spacing w:after="200"/>
        <w:jc w:val="both"/>
      </w:pPr>
      <w:proofErr w:type="spellStart"/>
      <w:r>
        <w:t>Monitron</w:t>
      </w:r>
      <w:proofErr w:type="spellEnd"/>
      <w:r>
        <w:t xml:space="preserve"> sensor installation required no modification to existing MHE components, as sensors were attached magnetically to rotating asset surfaces. This characteristic was particularly relevant to the diverse MHE, enabling deployment across legacy and current MHE variants without requiring engineering modifications. Sensor data fed directly into PULSE workflows, creating an integrated condition monitoring and predictive maintenance data ecosystem for RME operations (Amazon, 2025a).</w:t>
      </w:r>
    </w:p>
    <w:p w14:paraId="695DB73A" w14:textId="77777777" w:rsidR="006063C9" w:rsidRDefault="001823DC">
      <w:pPr>
        <w:pStyle w:val="Heading2"/>
      </w:pPr>
      <w:r>
        <w:t>3.2 AWS Warehouse Automation and Optimisation (WAO) – Digital Twin and Simulation</w:t>
      </w:r>
    </w:p>
    <w:p w14:paraId="4B4B095B" w14:textId="77777777" w:rsidR="006063C9" w:rsidRDefault="001823DC">
      <w:pPr>
        <w:spacing w:after="200"/>
        <w:jc w:val="both"/>
      </w:pPr>
      <w:r>
        <w:t xml:space="preserve">The AWS Warehouse Automation and Optimisation (WAO) platform provided a digital twin and simulation capability that enabled RME and operations teams to model FC layouts, MHE configurations, traffic flow patterns, and charging station placement in a virtual environment before physical implementation (AWS Blog, 2024). The WAO platform utilised LIDAR scanning of live FC environments to generate accurate three-dimensional representations, which were then subjected to simulation modelling using </w:t>
      </w:r>
      <w:proofErr w:type="spellStart"/>
      <w:r>
        <w:t>ProModel</w:t>
      </w:r>
      <w:proofErr w:type="spellEnd"/>
      <w:r>
        <w:t xml:space="preserve"> software to evaluate different MHE configurations and traffic management strategies.</w:t>
      </w:r>
    </w:p>
    <w:p w14:paraId="18B2C75F" w14:textId="77777777" w:rsidR="006063C9" w:rsidRDefault="001823DC">
      <w:pPr>
        <w:spacing w:after="200"/>
        <w:jc w:val="both"/>
      </w:pPr>
      <w:r>
        <w:t>Published performance data demonstrated that WAO Digital Twin reduced the time required to build a digital twin by up to 80%, and that simulation of optimised MHE configurations demonstrated a 67% increase in picks per hour compared to the baseline configuration (AWS Blog, 2024). These metrics addressed the BLOCKED and RUNNING_STARVED OEE states identified in Section 2.2, with a corresponding improvement in OEE Performance. The application of WAO Digital Twin across FC layouts was therefore evaluated as cap</w:t>
      </w:r>
      <w:r>
        <w:t>able of delivering significant throughput improvements by optimising MHE configurations and eliminating traffic flow bottlenecks.</w:t>
      </w:r>
    </w:p>
    <w:p w14:paraId="1D973CCA" w14:textId="77777777" w:rsidR="006063C9" w:rsidRDefault="001823DC">
      <w:pPr>
        <w:spacing w:after="200"/>
        <w:jc w:val="both"/>
      </w:pPr>
      <w:r>
        <w:t xml:space="preserve">The WAO platform's ability to reduce digital twin build time by 80% was particularly significant in the RME context, where multiple FC configurations required individual optimisation modelling. This efficiency </w:t>
      </w:r>
      <w:proofErr w:type="gramStart"/>
      <w:r>
        <w:t>gain</w:t>
      </w:r>
      <w:proofErr w:type="gramEnd"/>
      <w:r>
        <w:t xml:space="preserve"> enabled RME and network planning teams to conduct comprehensive simulation studies across the network within operationally feasible timescales, supporting network-wide MHE optimisation.</w:t>
      </w:r>
    </w:p>
    <w:p w14:paraId="4E03CA7A" w14:textId="77777777" w:rsidR="006063C9" w:rsidRDefault="001823DC">
      <w:pPr>
        <w:pStyle w:val="Heading2"/>
      </w:pPr>
      <w:r>
        <w:t>3.3 PULSE Predictive Maintenance System</w:t>
      </w:r>
    </w:p>
    <w:p w14:paraId="027B93E6" w14:textId="77777777" w:rsidR="006063C9" w:rsidRDefault="001823DC">
      <w:pPr>
        <w:spacing w:after="200"/>
        <w:jc w:val="both"/>
      </w:pPr>
      <w:r>
        <w:t xml:space="preserve">PULSE was Amazon's proprietary predictive maintenance platform, developed and maintained by the </w:t>
      </w:r>
      <w:proofErr w:type="spellStart"/>
      <w:r>
        <w:t>GlobalRME</w:t>
      </w:r>
      <w:proofErr w:type="spellEnd"/>
      <w:r>
        <w:t xml:space="preserve"> team (Amazon, 2025a). PULSE aggregated MHE sensor telemetry, including data from Amazon </w:t>
      </w:r>
      <w:proofErr w:type="spellStart"/>
      <w:r>
        <w:t>Monitron</w:t>
      </w:r>
      <w:proofErr w:type="spellEnd"/>
      <w:r>
        <w:t xml:space="preserve"> sensors, maintenance history records, and historical failure data to generate predictive maintenance alerts and failure probability scores at the MHE. The system enabled cross-site benchmarking of MHE failure patterns, supporting the identification of systemic maintenance issues and the prioritisation of maintenance interventions across the network.</w:t>
      </w:r>
    </w:p>
    <w:p w14:paraId="59E58F68" w14:textId="77777777" w:rsidR="006063C9" w:rsidRDefault="001823DC">
      <w:pPr>
        <w:spacing w:after="200"/>
        <w:jc w:val="both"/>
      </w:pPr>
      <w:r>
        <w:t xml:space="preserve">PULSE provided predictive analytics that extended beyond the single-asset monitoring capability of </w:t>
      </w:r>
      <w:proofErr w:type="spellStart"/>
      <w:r>
        <w:t>Monitron</w:t>
      </w:r>
      <w:proofErr w:type="spellEnd"/>
      <w:r>
        <w:t xml:space="preserve">. By aggregating data across the MHE, PULSE enabled RME engineers to identify MHE failure patterns, compare failure rates across sites, and develop evidence-based maintenance programmes tailored to site-specific MHE operating conditions. The integration of </w:t>
      </w:r>
      <w:proofErr w:type="spellStart"/>
      <w:r>
        <w:t>Monitron</w:t>
      </w:r>
      <w:proofErr w:type="spellEnd"/>
      <w:r>
        <w:t xml:space="preserve"> sensor data into PULSE workflows created a condition monitoring and predictive maintenance pipeline that addressed both the DOWN_UNPLANNED_FAULTED OEE state and the fragmented OEE visibility challenge identified in Section 2.3.</w:t>
      </w:r>
    </w:p>
    <w:p w14:paraId="56BB731B" w14:textId="77777777" w:rsidR="006063C9" w:rsidRDefault="001823DC">
      <w:pPr>
        <w:spacing w:after="200"/>
        <w:jc w:val="both"/>
      </w:pPr>
      <w:r>
        <w:t>PULSE had been launched in North America in 2025 and was identified as being in the process of expansion to the network (Amazon, 2025a). The RME deployment of PULSE represented a significant opportunity to establish a network-wide predictive maintenance capability, with site-specific MHE failure pattern data enabling continuous improvement of the predictive models over time.</w:t>
      </w:r>
    </w:p>
    <w:p w14:paraId="7748ACBE" w14:textId="77777777" w:rsidR="000702D2" w:rsidRDefault="000702D2">
      <w:pPr>
        <w:rPr>
          <w:b/>
          <w:bCs/>
          <w:sz w:val="28"/>
          <w:szCs w:val="28"/>
        </w:rPr>
      </w:pPr>
      <w:r>
        <w:br w:type="page"/>
      </w:r>
    </w:p>
    <w:p w14:paraId="703BB9FB" w14:textId="4534024A" w:rsidR="006063C9" w:rsidRDefault="001823DC">
      <w:pPr>
        <w:pStyle w:val="Heading1"/>
      </w:pPr>
      <w:r>
        <w:t>4. Continuous Improvement Plan</w:t>
      </w:r>
    </w:p>
    <w:p w14:paraId="3E5AD6F5" w14:textId="77777777" w:rsidR="006063C9" w:rsidRDefault="001823DC">
      <w:pPr>
        <w:spacing w:after="200"/>
        <w:jc w:val="both"/>
      </w:pPr>
      <w:r>
        <w:t>A four-phase continuous improvement plan was developed for the deployment of the three focal technologies across RME MHE operations, aligned to the Amazon Continuous Improvement Excellence System (ACES) PDCA/DMAIC framework (Amazon, 2025b). The plan was designed to deliver phased improvements in OEE Availability, Performance, and Quality across the MHE, with each phase building on the data and capabilities established in the preceding phase. The ACES framework incorporated Six Sigma methodologies, Kaizen ev</w:t>
      </w:r>
      <w:r>
        <w:t>ents, and the Coach Kaizen AI assistant to support RME technician engagement and continuous learning throughout the implementation.</w:t>
      </w:r>
    </w:p>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4A0" w:firstRow="1" w:lastRow="0" w:firstColumn="1" w:lastColumn="0" w:noHBand="0" w:noVBand="1"/>
      </w:tblPr>
      <w:tblGrid>
        <w:gridCol w:w="782"/>
        <w:gridCol w:w="891"/>
        <w:gridCol w:w="2660"/>
        <w:gridCol w:w="1937"/>
        <w:gridCol w:w="2746"/>
      </w:tblGrid>
      <w:tr w:rsidR="006063C9" w14:paraId="1302CD6A" w14:textId="77777777">
        <w:tblPrEx>
          <w:tblCellMar>
            <w:top w:w="0" w:type="dxa"/>
            <w:bottom w:w="0" w:type="dxa"/>
          </w:tblCellMar>
        </w:tblPrEx>
        <w:trPr>
          <w:tblHeader/>
        </w:trPr>
        <w:tc>
          <w:tcPr>
            <w:tcW w:w="800" w:type="dxa"/>
            <w:tcBorders>
              <w:top w:val="single" w:sz="4" w:space="0" w:color="888888"/>
              <w:left w:val="single" w:sz="4" w:space="0" w:color="888888"/>
              <w:bottom w:val="single" w:sz="4" w:space="0" w:color="888888"/>
              <w:right w:val="single" w:sz="4" w:space="0" w:color="888888"/>
            </w:tcBorders>
            <w:shd w:val="clear" w:color="auto" w:fill="DEEAF1"/>
            <w:vAlign w:val="center"/>
          </w:tcPr>
          <w:p w14:paraId="3DF549C0" w14:textId="77777777" w:rsidR="006063C9" w:rsidRDefault="001823DC">
            <w:pPr>
              <w:spacing w:before="60" w:after="60"/>
              <w:jc w:val="center"/>
            </w:pPr>
            <w:r>
              <w:rPr>
                <w:b/>
                <w:bCs/>
                <w:sz w:val="20"/>
                <w:szCs w:val="20"/>
              </w:rPr>
              <w:t>Phase</w:t>
            </w:r>
          </w:p>
        </w:tc>
        <w:tc>
          <w:tcPr>
            <w:tcW w:w="900" w:type="dxa"/>
            <w:tcBorders>
              <w:top w:val="single" w:sz="4" w:space="0" w:color="888888"/>
              <w:left w:val="single" w:sz="4" w:space="0" w:color="888888"/>
              <w:bottom w:val="single" w:sz="4" w:space="0" w:color="888888"/>
              <w:right w:val="single" w:sz="4" w:space="0" w:color="888888"/>
            </w:tcBorders>
            <w:shd w:val="clear" w:color="auto" w:fill="DEEAF1"/>
            <w:vAlign w:val="center"/>
          </w:tcPr>
          <w:p w14:paraId="061B0EF0" w14:textId="77777777" w:rsidR="006063C9" w:rsidRDefault="001823DC">
            <w:pPr>
              <w:spacing w:before="60" w:after="60"/>
              <w:jc w:val="center"/>
            </w:pPr>
            <w:r>
              <w:rPr>
                <w:b/>
                <w:bCs/>
                <w:sz w:val="20"/>
                <w:szCs w:val="20"/>
              </w:rPr>
              <w:t>PDCA Stage</w:t>
            </w:r>
          </w:p>
        </w:tc>
        <w:tc>
          <w:tcPr>
            <w:tcW w:w="2800" w:type="dxa"/>
            <w:tcBorders>
              <w:top w:val="single" w:sz="4" w:space="0" w:color="888888"/>
              <w:left w:val="single" w:sz="4" w:space="0" w:color="888888"/>
              <w:bottom w:val="single" w:sz="4" w:space="0" w:color="888888"/>
              <w:right w:val="single" w:sz="4" w:space="0" w:color="888888"/>
            </w:tcBorders>
            <w:shd w:val="clear" w:color="auto" w:fill="DEEAF1"/>
            <w:vAlign w:val="center"/>
          </w:tcPr>
          <w:p w14:paraId="5718CBE7" w14:textId="77777777" w:rsidR="006063C9" w:rsidRDefault="001823DC">
            <w:pPr>
              <w:spacing w:before="60" w:after="60"/>
              <w:jc w:val="center"/>
            </w:pPr>
            <w:r>
              <w:rPr>
                <w:b/>
                <w:bCs/>
                <w:sz w:val="20"/>
                <w:szCs w:val="20"/>
              </w:rPr>
              <w:t>Activities</w:t>
            </w:r>
          </w:p>
        </w:tc>
        <w:tc>
          <w:tcPr>
            <w:tcW w:w="2000" w:type="dxa"/>
            <w:tcBorders>
              <w:top w:val="single" w:sz="4" w:space="0" w:color="888888"/>
              <w:left w:val="single" w:sz="4" w:space="0" w:color="888888"/>
              <w:bottom w:val="single" w:sz="4" w:space="0" w:color="888888"/>
              <w:right w:val="single" w:sz="4" w:space="0" w:color="888888"/>
            </w:tcBorders>
            <w:shd w:val="clear" w:color="auto" w:fill="DEEAF1"/>
            <w:vAlign w:val="center"/>
          </w:tcPr>
          <w:p w14:paraId="6D533807" w14:textId="77777777" w:rsidR="006063C9" w:rsidRDefault="001823DC">
            <w:pPr>
              <w:spacing w:before="60" w:after="60"/>
              <w:jc w:val="center"/>
            </w:pPr>
            <w:r>
              <w:rPr>
                <w:b/>
                <w:bCs/>
                <w:sz w:val="20"/>
                <w:szCs w:val="20"/>
              </w:rPr>
              <w:t>Technologies</w:t>
            </w:r>
          </w:p>
        </w:tc>
        <w:tc>
          <w:tcPr>
            <w:tcW w:w="2860" w:type="dxa"/>
            <w:tcBorders>
              <w:top w:val="single" w:sz="4" w:space="0" w:color="888888"/>
              <w:left w:val="single" w:sz="4" w:space="0" w:color="888888"/>
              <w:bottom w:val="single" w:sz="4" w:space="0" w:color="888888"/>
              <w:right w:val="single" w:sz="4" w:space="0" w:color="888888"/>
            </w:tcBorders>
            <w:shd w:val="clear" w:color="auto" w:fill="DEEAF1"/>
            <w:vAlign w:val="center"/>
          </w:tcPr>
          <w:p w14:paraId="2C995FF4" w14:textId="77777777" w:rsidR="006063C9" w:rsidRDefault="001823DC">
            <w:pPr>
              <w:spacing w:before="60" w:after="60"/>
              <w:jc w:val="center"/>
            </w:pPr>
            <w:r>
              <w:rPr>
                <w:b/>
                <w:bCs/>
                <w:sz w:val="20"/>
                <w:szCs w:val="20"/>
              </w:rPr>
              <w:t>Expected Outcome</w:t>
            </w:r>
          </w:p>
        </w:tc>
      </w:tr>
      <w:tr w:rsidR="006063C9" w14:paraId="496259C7" w14:textId="77777777">
        <w:tblPrEx>
          <w:tblCellMar>
            <w:top w:w="0" w:type="dxa"/>
            <w:bottom w:w="0" w:type="dxa"/>
          </w:tblCellMar>
        </w:tblPrEx>
        <w:tc>
          <w:tcPr>
            <w:tcW w:w="800" w:type="dxa"/>
            <w:tcBorders>
              <w:top w:val="single" w:sz="4" w:space="0" w:color="888888"/>
              <w:left w:val="single" w:sz="4" w:space="0" w:color="888888"/>
              <w:bottom w:val="single" w:sz="4" w:space="0" w:color="888888"/>
              <w:right w:val="single" w:sz="4" w:space="0" w:color="888888"/>
            </w:tcBorders>
            <w:shd w:val="clear" w:color="auto" w:fill="FFFFFF"/>
          </w:tcPr>
          <w:p w14:paraId="6D8F10B4" w14:textId="77777777" w:rsidR="006063C9" w:rsidRDefault="001823DC">
            <w:pPr>
              <w:spacing w:before="60" w:after="60"/>
            </w:pPr>
            <w:r>
              <w:rPr>
                <w:b/>
                <w:bCs/>
                <w:sz w:val="20"/>
                <w:szCs w:val="20"/>
              </w:rPr>
              <w:t>Phase 1</w:t>
            </w:r>
          </w:p>
        </w:tc>
        <w:tc>
          <w:tcPr>
            <w:tcW w:w="900" w:type="dxa"/>
            <w:tcBorders>
              <w:top w:val="single" w:sz="4" w:space="0" w:color="888888"/>
              <w:left w:val="single" w:sz="4" w:space="0" w:color="888888"/>
              <w:bottom w:val="single" w:sz="4" w:space="0" w:color="888888"/>
              <w:right w:val="single" w:sz="4" w:space="0" w:color="888888"/>
            </w:tcBorders>
            <w:shd w:val="clear" w:color="auto" w:fill="FFFFFF"/>
          </w:tcPr>
          <w:p w14:paraId="2480C83F" w14:textId="77777777" w:rsidR="006063C9" w:rsidRDefault="001823DC">
            <w:pPr>
              <w:spacing w:before="60" w:after="60"/>
            </w:pPr>
            <w:r>
              <w:rPr>
                <w:sz w:val="20"/>
                <w:szCs w:val="20"/>
              </w:rPr>
              <w:t>Measure</w:t>
            </w:r>
          </w:p>
        </w:tc>
        <w:tc>
          <w:tcPr>
            <w:tcW w:w="2800" w:type="dxa"/>
            <w:tcBorders>
              <w:top w:val="single" w:sz="4" w:space="0" w:color="888888"/>
              <w:left w:val="single" w:sz="4" w:space="0" w:color="888888"/>
              <w:bottom w:val="single" w:sz="4" w:space="0" w:color="888888"/>
              <w:right w:val="single" w:sz="4" w:space="0" w:color="888888"/>
            </w:tcBorders>
            <w:shd w:val="clear" w:color="auto" w:fill="FFFFFF"/>
          </w:tcPr>
          <w:p w14:paraId="7B8EE04A" w14:textId="77777777" w:rsidR="006063C9" w:rsidRDefault="001823DC">
            <w:pPr>
              <w:spacing w:before="40" w:after="40"/>
            </w:pPr>
            <w:r>
              <w:rPr>
                <w:sz w:val="20"/>
                <w:szCs w:val="20"/>
              </w:rPr>
              <w:t xml:space="preserve">Deploy </w:t>
            </w:r>
            <w:proofErr w:type="spellStart"/>
            <w:r>
              <w:rPr>
                <w:sz w:val="20"/>
                <w:szCs w:val="20"/>
              </w:rPr>
              <w:t>Monitron</w:t>
            </w:r>
            <w:proofErr w:type="spellEnd"/>
            <w:r>
              <w:rPr>
                <w:sz w:val="20"/>
                <w:szCs w:val="20"/>
              </w:rPr>
              <w:t xml:space="preserve"> sensors on critical MHE components across sites</w:t>
            </w:r>
          </w:p>
          <w:p w14:paraId="333F7B0F" w14:textId="77777777" w:rsidR="006063C9" w:rsidRDefault="001823DC">
            <w:pPr>
              <w:spacing w:before="40" w:after="40"/>
            </w:pPr>
            <w:r>
              <w:rPr>
                <w:sz w:val="20"/>
                <w:szCs w:val="20"/>
              </w:rPr>
              <w:t>Establish OEE baseline across MHE</w:t>
            </w:r>
          </w:p>
        </w:tc>
        <w:tc>
          <w:tcPr>
            <w:tcW w:w="2000" w:type="dxa"/>
            <w:tcBorders>
              <w:top w:val="single" w:sz="4" w:space="0" w:color="888888"/>
              <w:left w:val="single" w:sz="4" w:space="0" w:color="888888"/>
              <w:bottom w:val="single" w:sz="4" w:space="0" w:color="888888"/>
              <w:right w:val="single" w:sz="4" w:space="0" w:color="888888"/>
            </w:tcBorders>
            <w:shd w:val="clear" w:color="auto" w:fill="FFFFFF"/>
          </w:tcPr>
          <w:p w14:paraId="2560B1D0" w14:textId="77777777" w:rsidR="006063C9" w:rsidRDefault="001823DC">
            <w:pPr>
              <w:spacing w:before="40" w:after="40"/>
            </w:pPr>
            <w:r>
              <w:rPr>
                <w:sz w:val="20"/>
                <w:szCs w:val="20"/>
              </w:rPr>
              <w:t xml:space="preserve">Amazon </w:t>
            </w:r>
            <w:proofErr w:type="spellStart"/>
            <w:r>
              <w:rPr>
                <w:sz w:val="20"/>
                <w:szCs w:val="20"/>
              </w:rPr>
              <w:t>Monitron</w:t>
            </w:r>
            <w:proofErr w:type="spellEnd"/>
          </w:p>
        </w:tc>
        <w:tc>
          <w:tcPr>
            <w:tcW w:w="2860" w:type="dxa"/>
            <w:tcBorders>
              <w:top w:val="single" w:sz="4" w:space="0" w:color="888888"/>
              <w:left w:val="single" w:sz="4" w:space="0" w:color="888888"/>
              <w:bottom w:val="single" w:sz="4" w:space="0" w:color="888888"/>
              <w:right w:val="single" w:sz="4" w:space="0" w:color="888888"/>
            </w:tcBorders>
            <w:shd w:val="clear" w:color="auto" w:fill="FFFFFF"/>
          </w:tcPr>
          <w:p w14:paraId="0992375B" w14:textId="77777777" w:rsidR="006063C9" w:rsidRDefault="001823DC">
            <w:pPr>
              <w:spacing w:before="60" w:after="60"/>
            </w:pPr>
            <w:r>
              <w:rPr>
                <w:sz w:val="20"/>
                <w:szCs w:val="20"/>
              </w:rPr>
              <w:t>Baseline condition data for MHE rotating components; OEE Availability baseline established</w:t>
            </w:r>
          </w:p>
        </w:tc>
      </w:tr>
      <w:tr w:rsidR="006063C9" w14:paraId="7E791015" w14:textId="77777777">
        <w:tblPrEx>
          <w:tblCellMar>
            <w:top w:w="0" w:type="dxa"/>
            <w:bottom w:w="0" w:type="dxa"/>
          </w:tblCellMar>
        </w:tblPrEx>
        <w:tc>
          <w:tcPr>
            <w:tcW w:w="800" w:type="dxa"/>
            <w:tcBorders>
              <w:top w:val="single" w:sz="4" w:space="0" w:color="888888"/>
              <w:left w:val="single" w:sz="4" w:space="0" w:color="888888"/>
              <w:bottom w:val="single" w:sz="4" w:space="0" w:color="888888"/>
              <w:right w:val="single" w:sz="4" w:space="0" w:color="888888"/>
            </w:tcBorders>
            <w:shd w:val="clear" w:color="auto" w:fill="FFFFFF"/>
          </w:tcPr>
          <w:p w14:paraId="5D1AF837" w14:textId="77777777" w:rsidR="006063C9" w:rsidRDefault="001823DC">
            <w:pPr>
              <w:spacing w:before="60" w:after="60"/>
            </w:pPr>
            <w:r>
              <w:rPr>
                <w:b/>
                <w:bCs/>
                <w:sz w:val="20"/>
                <w:szCs w:val="20"/>
              </w:rPr>
              <w:t>Phase 2</w:t>
            </w:r>
          </w:p>
        </w:tc>
        <w:tc>
          <w:tcPr>
            <w:tcW w:w="900" w:type="dxa"/>
            <w:tcBorders>
              <w:top w:val="single" w:sz="4" w:space="0" w:color="888888"/>
              <w:left w:val="single" w:sz="4" w:space="0" w:color="888888"/>
              <w:bottom w:val="single" w:sz="4" w:space="0" w:color="888888"/>
              <w:right w:val="single" w:sz="4" w:space="0" w:color="888888"/>
            </w:tcBorders>
            <w:shd w:val="clear" w:color="auto" w:fill="FFFFFF"/>
          </w:tcPr>
          <w:p w14:paraId="6EB13669" w14:textId="77777777" w:rsidR="006063C9" w:rsidRDefault="001823DC">
            <w:pPr>
              <w:spacing w:before="60" w:after="60"/>
            </w:pPr>
            <w:r>
              <w:rPr>
                <w:sz w:val="20"/>
                <w:szCs w:val="20"/>
              </w:rPr>
              <w:t>Analyse</w:t>
            </w:r>
          </w:p>
        </w:tc>
        <w:tc>
          <w:tcPr>
            <w:tcW w:w="2800" w:type="dxa"/>
            <w:tcBorders>
              <w:top w:val="single" w:sz="4" w:space="0" w:color="888888"/>
              <w:left w:val="single" w:sz="4" w:space="0" w:color="888888"/>
              <w:bottom w:val="single" w:sz="4" w:space="0" w:color="888888"/>
              <w:right w:val="single" w:sz="4" w:space="0" w:color="888888"/>
            </w:tcBorders>
            <w:shd w:val="clear" w:color="auto" w:fill="FFFFFF"/>
          </w:tcPr>
          <w:p w14:paraId="1F815195" w14:textId="77777777" w:rsidR="006063C9" w:rsidRDefault="001823DC">
            <w:pPr>
              <w:spacing w:before="40" w:after="40"/>
            </w:pPr>
            <w:r>
              <w:rPr>
                <w:sz w:val="20"/>
                <w:szCs w:val="20"/>
              </w:rPr>
              <w:t xml:space="preserve">Use PULSE to aggregate </w:t>
            </w:r>
            <w:proofErr w:type="spellStart"/>
            <w:r>
              <w:rPr>
                <w:sz w:val="20"/>
                <w:szCs w:val="20"/>
              </w:rPr>
              <w:t>Monitron</w:t>
            </w:r>
            <w:proofErr w:type="spellEnd"/>
            <w:r>
              <w:rPr>
                <w:sz w:val="20"/>
                <w:szCs w:val="20"/>
              </w:rPr>
              <w:t xml:space="preserve"> data and identify MHE failure patterns across sites</w:t>
            </w:r>
          </w:p>
          <w:p w14:paraId="3F238949" w14:textId="77777777" w:rsidR="006063C9" w:rsidRDefault="001823DC">
            <w:pPr>
              <w:spacing w:before="40" w:after="40"/>
            </w:pPr>
            <w:r>
              <w:rPr>
                <w:sz w:val="20"/>
                <w:szCs w:val="20"/>
              </w:rPr>
              <w:t>Run WAO Digital Twin simulation of FC layouts and MHE configurations</w:t>
            </w:r>
          </w:p>
        </w:tc>
        <w:tc>
          <w:tcPr>
            <w:tcW w:w="2000" w:type="dxa"/>
            <w:tcBorders>
              <w:top w:val="single" w:sz="4" w:space="0" w:color="888888"/>
              <w:left w:val="single" w:sz="4" w:space="0" w:color="888888"/>
              <w:bottom w:val="single" w:sz="4" w:space="0" w:color="888888"/>
              <w:right w:val="single" w:sz="4" w:space="0" w:color="888888"/>
            </w:tcBorders>
            <w:shd w:val="clear" w:color="auto" w:fill="FFFFFF"/>
          </w:tcPr>
          <w:p w14:paraId="51568C49" w14:textId="77777777" w:rsidR="006063C9" w:rsidRDefault="001823DC">
            <w:pPr>
              <w:spacing w:before="40" w:after="40"/>
            </w:pPr>
            <w:r>
              <w:rPr>
                <w:sz w:val="20"/>
                <w:szCs w:val="20"/>
              </w:rPr>
              <w:t>PULSE</w:t>
            </w:r>
          </w:p>
          <w:p w14:paraId="0050B366" w14:textId="77777777" w:rsidR="006063C9" w:rsidRDefault="001823DC">
            <w:pPr>
              <w:spacing w:before="40" w:after="40"/>
            </w:pPr>
            <w:r>
              <w:rPr>
                <w:sz w:val="20"/>
                <w:szCs w:val="20"/>
              </w:rPr>
              <w:t>AWS WAO Digital Twin</w:t>
            </w:r>
          </w:p>
        </w:tc>
        <w:tc>
          <w:tcPr>
            <w:tcW w:w="2860" w:type="dxa"/>
            <w:tcBorders>
              <w:top w:val="single" w:sz="4" w:space="0" w:color="888888"/>
              <w:left w:val="single" w:sz="4" w:space="0" w:color="888888"/>
              <w:bottom w:val="single" w:sz="4" w:space="0" w:color="888888"/>
              <w:right w:val="single" w:sz="4" w:space="0" w:color="888888"/>
            </w:tcBorders>
            <w:shd w:val="clear" w:color="auto" w:fill="FFFFFF"/>
          </w:tcPr>
          <w:p w14:paraId="32FF1298" w14:textId="77777777" w:rsidR="006063C9" w:rsidRDefault="001823DC">
            <w:pPr>
              <w:spacing w:before="60" w:after="60"/>
            </w:pPr>
            <w:r>
              <w:rPr>
                <w:sz w:val="20"/>
                <w:szCs w:val="20"/>
              </w:rPr>
              <w:t>MHE failure pattern identification; optimised FC layout recommendations for sites</w:t>
            </w:r>
          </w:p>
        </w:tc>
      </w:tr>
      <w:tr w:rsidR="006063C9" w14:paraId="66E10DDA" w14:textId="77777777">
        <w:tblPrEx>
          <w:tblCellMar>
            <w:top w:w="0" w:type="dxa"/>
            <w:bottom w:w="0" w:type="dxa"/>
          </w:tblCellMar>
        </w:tblPrEx>
        <w:tc>
          <w:tcPr>
            <w:tcW w:w="800" w:type="dxa"/>
            <w:tcBorders>
              <w:top w:val="single" w:sz="4" w:space="0" w:color="888888"/>
              <w:left w:val="single" w:sz="4" w:space="0" w:color="888888"/>
              <w:bottom w:val="single" w:sz="4" w:space="0" w:color="888888"/>
              <w:right w:val="single" w:sz="4" w:space="0" w:color="888888"/>
            </w:tcBorders>
            <w:shd w:val="clear" w:color="auto" w:fill="FFFFFF"/>
          </w:tcPr>
          <w:p w14:paraId="056AED12" w14:textId="77777777" w:rsidR="006063C9" w:rsidRDefault="001823DC">
            <w:pPr>
              <w:spacing w:before="60" w:after="60"/>
            </w:pPr>
            <w:r>
              <w:rPr>
                <w:b/>
                <w:bCs/>
                <w:sz w:val="20"/>
                <w:szCs w:val="20"/>
              </w:rPr>
              <w:t>Phase 3</w:t>
            </w:r>
          </w:p>
        </w:tc>
        <w:tc>
          <w:tcPr>
            <w:tcW w:w="900" w:type="dxa"/>
            <w:tcBorders>
              <w:top w:val="single" w:sz="4" w:space="0" w:color="888888"/>
              <w:left w:val="single" w:sz="4" w:space="0" w:color="888888"/>
              <w:bottom w:val="single" w:sz="4" w:space="0" w:color="888888"/>
              <w:right w:val="single" w:sz="4" w:space="0" w:color="888888"/>
            </w:tcBorders>
            <w:shd w:val="clear" w:color="auto" w:fill="FFFFFF"/>
          </w:tcPr>
          <w:p w14:paraId="72156D54" w14:textId="77777777" w:rsidR="006063C9" w:rsidRDefault="001823DC">
            <w:pPr>
              <w:spacing w:before="60" w:after="60"/>
            </w:pPr>
            <w:r>
              <w:rPr>
                <w:sz w:val="20"/>
                <w:szCs w:val="20"/>
              </w:rPr>
              <w:t>Improve</w:t>
            </w:r>
          </w:p>
        </w:tc>
        <w:tc>
          <w:tcPr>
            <w:tcW w:w="2800" w:type="dxa"/>
            <w:tcBorders>
              <w:top w:val="single" w:sz="4" w:space="0" w:color="888888"/>
              <w:left w:val="single" w:sz="4" w:space="0" w:color="888888"/>
              <w:bottom w:val="single" w:sz="4" w:space="0" w:color="888888"/>
              <w:right w:val="single" w:sz="4" w:space="0" w:color="888888"/>
            </w:tcBorders>
            <w:shd w:val="clear" w:color="auto" w:fill="FFFFFF"/>
          </w:tcPr>
          <w:p w14:paraId="3B102CA6" w14:textId="77777777" w:rsidR="006063C9" w:rsidRDefault="001823DC">
            <w:pPr>
              <w:spacing w:before="40" w:after="40"/>
            </w:pPr>
            <w:r>
              <w:rPr>
                <w:sz w:val="20"/>
                <w:szCs w:val="20"/>
              </w:rPr>
              <w:t>Implement PULSE predictive maintenance alerts for MHE across RME</w:t>
            </w:r>
          </w:p>
          <w:p w14:paraId="768D9CF7" w14:textId="77777777" w:rsidR="006063C9" w:rsidRDefault="001823DC">
            <w:pPr>
              <w:spacing w:before="40" w:after="40"/>
            </w:pPr>
            <w:r>
              <w:rPr>
                <w:sz w:val="20"/>
                <w:szCs w:val="20"/>
              </w:rPr>
              <w:t>Optimise FC layouts based on WAO simulation outputs</w:t>
            </w:r>
          </w:p>
        </w:tc>
        <w:tc>
          <w:tcPr>
            <w:tcW w:w="2000" w:type="dxa"/>
            <w:tcBorders>
              <w:top w:val="single" w:sz="4" w:space="0" w:color="888888"/>
              <w:left w:val="single" w:sz="4" w:space="0" w:color="888888"/>
              <w:bottom w:val="single" w:sz="4" w:space="0" w:color="888888"/>
              <w:right w:val="single" w:sz="4" w:space="0" w:color="888888"/>
            </w:tcBorders>
            <w:shd w:val="clear" w:color="auto" w:fill="FFFFFF"/>
          </w:tcPr>
          <w:p w14:paraId="31CBA691" w14:textId="77777777" w:rsidR="006063C9" w:rsidRDefault="001823DC">
            <w:pPr>
              <w:spacing w:before="40" w:after="40"/>
            </w:pPr>
            <w:r>
              <w:rPr>
                <w:sz w:val="20"/>
                <w:szCs w:val="20"/>
              </w:rPr>
              <w:t>PULSE</w:t>
            </w:r>
          </w:p>
          <w:p w14:paraId="6CC1E5CF" w14:textId="77777777" w:rsidR="006063C9" w:rsidRDefault="001823DC">
            <w:pPr>
              <w:spacing w:before="40" w:after="40"/>
            </w:pPr>
            <w:r>
              <w:rPr>
                <w:sz w:val="20"/>
                <w:szCs w:val="20"/>
              </w:rPr>
              <w:t>AWS WAO Digital Twin</w:t>
            </w:r>
          </w:p>
        </w:tc>
        <w:tc>
          <w:tcPr>
            <w:tcW w:w="2860" w:type="dxa"/>
            <w:tcBorders>
              <w:top w:val="single" w:sz="4" w:space="0" w:color="888888"/>
              <w:left w:val="single" w:sz="4" w:space="0" w:color="888888"/>
              <w:bottom w:val="single" w:sz="4" w:space="0" w:color="888888"/>
              <w:right w:val="single" w:sz="4" w:space="0" w:color="888888"/>
            </w:tcBorders>
            <w:shd w:val="clear" w:color="auto" w:fill="FFFFFF"/>
          </w:tcPr>
          <w:p w14:paraId="659A2DEF" w14:textId="77777777" w:rsidR="006063C9" w:rsidRDefault="001823DC">
            <w:pPr>
              <w:spacing w:before="60" w:after="60"/>
            </w:pPr>
            <w:r>
              <w:rPr>
                <w:sz w:val="20"/>
                <w:szCs w:val="20"/>
              </w:rPr>
              <w:t>Reduction in MHE unplanned downtime; improved FC throughput</w:t>
            </w:r>
          </w:p>
        </w:tc>
      </w:tr>
      <w:tr w:rsidR="006063C9" w14:paraId="4A1C76B7" w14:textId="77777777">
        <w:tblPrEx>
          <w:tblCellMar>
            <w:top w:w="0" w:type="dxa"/>
            <w:bottom w:w="0" w:type="dxa"/>
          </w:tblCellMar>
        </w:tblPrEx>
        <w:tc>
          <w:tcPr>
            <w:tcW w:w="800" w:type="dxa"/>
            <w:tcBorders>
              <w:top w:val="single" w:sz="4" w:space="0" w:color="888888"/>
              <w:left w:val="single" w:sz="4" w:space="0" w:color="888888"/>
              <w:bottom w:val="single" w:sz="4" w:space="0" w:color="888888"/>
              <w:right w:val="single" w:sz="4" w:space="0" w:color="888888"/>
            </w:tcBorders>
            <w:shd w:val="clear" w:color="auto" w:fill="FFFFFF"/>
          </w:tcPr>
          <w:p w14:paraId="62DD50D7" w14:textId="77777777" w:rsidR="006063C9" w:rsidRDefault="001823DC">
            <w:pPr>
              <w:spacing w:before="60" w:after="60"/>
            </w:pPr>
            <w:r>
              <w:rPr>
                <w:b/>
                <w:bCs/>
                <w:sz w:val="20"/>
                <w:szCs w:val="20"/>
              </w:rPr>
              <w:t>Phase 4</w:t>
            </w:r>
          </w:p>
        </w:tc>
        <w:tc>
          <w:tcPr>
            <w:tcW w:w="900" w:type="dxa"/>
            <w:tcBorders>
              <w:top w:val="single" w:sz="4" w:space="0" w:color="888888"/>
              <w:left w:val="single" w:sz="4" w:space="0" w:color="888888"/>
              <w:bottom w:val="single" w:sz="4" w:space="0" w:color="888888"/>
              <w:right w:val="single" w:sz="4" w:space="0" w:color="888888"/>
            </w:tcBorders>
            <w:shd w:val="clear" w:color="auto" w:fill="FFFFFF"/>
          </w:tcPr>
          <w:p w14:paraId="5F73307B" w14:textId="77777777" w:rsidR="006063C9" w:rsidRDefault="001823DC">
            <w:pPr>
              <w:spacing w:before="60" w:after="60"/>
            </w:pPr>
            <w:r>
              <w:rPr>
                <w:sz w:val="20"/>
                <w:szCs w:val="20"/>
              </w:rPr>
              <w:t>Control</w:t>
            </w:r>
          </w:p>
        </w:tc>
        <w:tc>
          <w:tcPr>
            <w:tcW w:w="2800" w:type="dxa"/>
            <w:tcBorders>
              <w:top w:val="single" w:sz="4" w:space="0" w:color="888888"/>
              <w:left w:val="single" w:sz="4" w:space="0" w:color="888888"/>
              <w:bottom w:val="single" w:sz="4" w:space="0" w:color="888888"/>
              <w:right w:val="single" w:sz="4" w:space="0" w:color="888888"/>
            </w:tcBorders>
            <w:shd w:val="clear" w:color="auto" w:fill="FFFFFF"/>
          </w:tcPr>
          <w:p w14:paraId="6117B97F" w14:textId="77777777" w:rsidR="006063C9" w:rsidRDefault="001823DC">
            <w:pPr>
              <w:spacing w:before="40" w:after="40"/>
            </w:pPr>
            <w:r>
              <w:rPr>
                <w:sz w:val="20"/>
                <w:szCs w:val="20"/>
              </w:rPr>
              <w:t>Embed all three technologies into RME standard operating procedures (SOPs)</w:t>
            </w:r>
          </w:p>
          <w:p w14:paraId="66341CAB" w14:textId="77777777" w:rsidR="006063C9" w:rsidRDefault="001823DC">
            <w:pPr>
              <w:spacing w:before="40" w:after="40"/>
            </w:pPr>
            <w:r>
              <w:rPr>
                <w:sz w:val="20"/>
                <w:szCs w:val="20"/>
              </w:rPr>
              <w:t>ACES framework review and Kaizen events to sustain CI</w:t>
            </w:r>
          </w:p>
          <w:p w14:paraId="783CBCA9" w14:textId="77777777" w:rsidR="006063C9" w:rsidRDefault="001823DC">
            <w:pPr>
              <w:spacing w:before="40" w:after="40"/>
            </w:pPr>
            <w:r>
              <w:rPr>
                <w:sz w:val="20"/>
                <w:szCs w:val="20"/>
              </w:rPr>
              <w:t>Coach Kaizen AI assistant deployed for RME technician continuous learning</w:t>
            </w:r>
          </w:p>
        </w:tc>
        <w:tc>
          <w:tcPr>
            <w:tcW w:w="2000" w:type="dxa"/>
            <w:tcBorders>
              <w:top w:val="single" w:sz="4" w:space="0" w:color="888888"/>
              <w:left w:val="single" w:sz="4" w:space="0" w:color="888888"/>
              <w:bottom w:val="single" w:sz="4" w:space="0" w:color="888888"/>
              <w:right w:val="single" w:sz="4" w:space="0" w:color="888888"/>
            </w:tcBorders>
            <w:shd w:val="clear" w:color="auto" w:fill="FFFFFF"/>
          </w:tcPr>
          <w:p w14:paraId="4D1E98DA" w14:textId="77777777" w:rsidR="006063C9" w:rsidRDefault="001823DC">
            <w:pPr>
              <w:spacing w:before="40" w:after="40"/>
            </w:pPr>
            <w:r>
              <w:rPr>
                <w:sz w:val="20"/>
                <w:szCs w:val="20"/>
              </w:rPr>
              <w:t>All three technologies</w:t>
            </w:r>
          </w:p>
        </w:tc>
        <w:tc>
          <w:tcPr>
            <w:tcW w:w="2860" w:type="dxa"/>
            <w:tcBorders>
              <w:top w:val="single" w:sz="4" w:space="0" w:color="888888"/>
              <w:left w:val="single" w:sz="4" w:space="0" w:color="888888"/>
              <w:bottom w:val="single" w:sz="4" w:space="0" w:color="888888"/>
              <w:right w:val="single" w:sz="4" w:space="0" w:color="888888"/>
            </w:tcBorders>
            <w:shd w:val="clear" w:color="auto" w:fill="FFFFFF"/>
          </w:tcPr>
          <w:p w14:paraId="29DACDF8" w14:textId="77777777" w:rsidR="006063C9" w:rsidRDefault="001823DC">
            <w:pPr>
              <w:spacing w:before="60" w:after="60"/>
            </w:pPr>
            <w:r>
              <w:rPr>
                <w:sz w:val="20"/>
                <w:szCs w:val="20"/>
              </w:rPr>
              <w:t>Sustained OEE improvement across MHE operations; RME positioned as model for network-wide deployment</w:t>
            </w:r>
          </w:p>
        </w:tc>
      </w:tr>
    </w:tbl>
    <w:p w14:paraId="4103193B" w14:textId="77777777" w:rsidR="006063C9" w:rsidRDefault="001823DC">
      <w:pPr>
        <w:pStyle w:val="TableCaption"/>
        <w:spacing w:after="240"/>
      </w:pPr>
      <w:r>
        <w:t>Table 1: ACES-Aligned Continuous Improvement Plan for RME MHE Operations (PDCA/DMAIC Framework)</w:t>
      </w:r>
    </w:p>
    <w:p w14:paraId="2EEBC29A" w14:textId="77777777" w:rsidR="006063C9" w:rsidRDefault="001823DC">
      <w:pPr>
        <w:spacing w:after="200"/>
        <w:jc w:val="both"/>
      </w:pPr>
      <w:r>
        <w:t xml:space="preserve">The four-phase plan was designed to ensure that each technology deployment was supported by a robust data foundation. Phase 1 prioritised sensor deployment and baseline establishment, recognising that the quality of subsequent predictive analytics in PULSE (Phase 2) was dependent on the volume and accuracy of condition monitoring data collected by </w:t>
      </w:r>
      <w:proofErr w:type="spellStart"/>
      <w:r>
        <w:t>Monitron</w:t>
      </w:r>
      <w:proofErr w:type="spellEnd"/>
      <w:r>
        <w:t>. Phase 3 improvements were therefore evidence-based, drawing on Phase 2 analysis outputs. Phase 4 embedded the technologies into RME operational culture through the ACES framework, Kaizen events, and Six Sigma training, ensuring that the CI gains achieved in Phases 1 to 3 were sustained and continuously improved over time.</w:t>
      </w:r>
    </w:p>
    <w:p w14:paraId="241B1BC9" w14:textId="77777777" w:rsidR="000702D2" w:rsidRDefault="000702D2">
      <w:pPr>
        <w:rPr>
          <w:b/>
          <w:bCs/>
          <w:sz w:val="28"/>
          <w:szCs w:val="28"/>
        </w:rPr>
      </w:pPr>
      <w:r>
        <w:br w:type="page"/>
      </w:r>
    </w:p>
    <w:p w14:paraId="25956371" w14:textId="01909E72" w:rsidR="006063C9" w:rsidRDefault="001823DC">
      <w:pPr>
        <w:pStyle w:val="Heading1"/>
      </w:pPr>
      <w:r>
        <w:t>5</w:t>
      </w:r>
      <w:r>
        <w:t>. KPI Evaluation</w:t>
      </w:r>
    </w:p>
    <w:p w14:paraId="277822ED" w14:textId="77777777" w:rsidR="00303347" w:rsidRDefault="001823DC">
      <w:pPr>
        <w:spacing w:after="200"/>
        <w:jc w:val="both"/>
      </w:pPr>
      <w:r>
        <w:t xml:space="preserve">The anticipated impact of the three focal technologies on RME MHE operations was assessed against five key performance indicators (KPIs). Before figures were representative illustrative baselines created for this report and did not represent actual Amazon operational data. After figures were sourced from published Amazon and AWS case studies where available. </w:t>
      </w:r>
    </w:p>
    <w:p w14:paraId="6F14A331" w14:textId="14E4C577" w:rsidR="006063C9" w:rsidRDefault="001823DC">
      <w:pPr>
        <w:spacing w:after="200"/>
        <w:jc w:val="both"/>
      </w:pPr>
      <w:r>
        <w:t>Table 2 presents the before-and-after KPI scenario for RME MHE operations following full deployment of the three technologies.</w:t>
      </w:r>
    </w:p>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4A0" w:firstRow="1" w:lastRow="0" w:firstColumn="1" w:lastColumn="0" w:noHBand="0" w:noVBand="1"/>
      </w:tblPr>
      <w:tblGrid>
        <w:gridCol w:w="2460"/>
        <w:gridCol w:w="1302"/>
        <w:gridCol w:w="1006"/>
        <w:gridCol w:w="2012"/>
        <w:gridCol w:w="2236"/>
      </w:tblGrid>
      <w:tr w:rsidR="006063C9" w14:paraId="283EDA19" w14:textId="77777777">
        <w:tblPrEx>
          <w:tblCellMar>
            <w:top w:w="0" w:type="dxa"/>
            <w:bottom w:w="0" w:type="dxa"/>
          </w:tblCellMar>
        </w:tblPrEx>
        <w:trPr>
          <w:tblHeader/>
        </w:trPr>
        <w:tc>
          <w:tcPr>
            <w:tcW w:w="2200" w:type="dxa"/>
            <w:tcBorders>
              <w:top w:val="single" w:sz="4" w:space="0" w:color="888888"/>
              <w:left w:val="single" w:sz="4" w:space="0" w:color="888888"/>
              <w:bottom w:val="single" w:sz="4" w:space="0" w:color="888888"/>
              <w:right w:val="single" w:sz="4" w:space="0" w:color="888888"/>
            </w:tcBorders>
            <w:shd w:val="clear" w:color="auto" w:fill="DEEAF1"/>
            <w:vAlign w:val="center"/>
          </w:tcPr>
          <w:p w14:paraId="05C57109" w14:textId="77777777" w:rsidR="006063C9" w:rsidRDefault="001823DC">
            <w:pPr>
              <w:spacing w:before="60" w:after="60"/>
              <w:jc w:val="center"/>
            </w:pPr>
            <w:r>
              <w:rPr>
                <w:b/>
                <w:bCs/>
                <w:sz w:val="20"/>
                <w:szCs w:val="20"/>
              </w:rPr>
              <w:t>KPI</w:t>
            </w:r>
          </w:p>
        </w:tc>
        <w:tc>
          <w:tcPr>
            <w:tcW w:w="900" w:type="dxa"/>
            <w:tcBorders>
              <w:top w:val="single" w:sz="4" w:space="0" w:color="888888"/>
              <w:left w:val="single" w:sz="4" w:space="0" w:color="888888"/>
              <w:bottom w:val="single" w:sz="4" w:space="0" w:color="888888"/>
              <w:right w:val="single" w:sz="4" w:space="0" w:color="888888"/>
            </w:tcBorders>
            <w:shd w:val="clear" w:color="auto" w:fill="DEEAF1"/>
            <w:vAlign w:val="center"/>
          </w:tcPr>
          <w:p w14:paraId="028E1ED8" w14:textId="77777777" w:rsidR="006063C9" w:rsidRDefault="001823DC">
            <w:pPr>
              <w:spacing w:before="60" w:after="60"/>
              <w:jc w:val="center"/>
            </w:pPr>
            <w:r>
              <w:rPr>
                <w:b/>
                <w:bCs/>
                <w:sz w:val="20"/>
                <w:szCs w:val="20"/>
              </w:rPr>
              <w:t>Before¹</w:t>
            </w:r>
          </w:p>
        </w:tc>
        <w:tc>
          <w:tcPr>
            <w:tcW w:w="900" w:type="dxa"/>
            <w:tcBorders>
              <w:top w:val="single" w:sz="4" w:space="0" w:color="888888"/>
              <w:left w:val="single" w:sz="4" w:space="0" w:color="888888"/>
              <w:bottom w:val="single" w:sz="4" w:space="0" w:color="888888"/>
              <w:right w:val="single" w:sz="4" w:space="0" w:color="888888"/>
            </w:tcBorders>
            <w:shd w:val="clear" w:color="auto" w:fill="DEEAF1"/>
            <w:vAlign w:val="center"/>
          </w:tcPr>
          <w:p w14:paraId="2141FD44" w14:textId="77777777" w:rsidR="006063C9" w:rsidRDefault="001823DC">
            <w:pPr>
              <w:spacing w:before="60" w:after="60"/>
              <w:jc w:val="center"/>
            </w:pPr>
            <w:r>
              <w:rPr>
                <w:b/>
                <w:bCs/>
                <w:sz w:val="20"/>
                <w:szCs w:val="20"/>
              </w:rPr>
              <w:t>After</w:t>
            </w:r>
          </w:p>
        </w:tc>
        <w:tc>
          <w:tcPr>
            <w:tcW w:w="1800" w:type="dxa"/>
            <w:tcBorders>
              <w:top w:val="single" w:sz="4" w:space="0" w:color="888888"/>
              <w:left w:val="single" w:sz="4" w:space="0" w:color="888888"/>
              <w:bottom w:val="single" w:sz="4" w:space="0" w:color="888888"/>
              <w:right w:val="single" w:sz="4" w:space="0" w:color="888888"/>
            </w:tcBorders>
            <w:shd w:val="clear" w:color="auto" w:fill="DEEAF1"/>
            <w:vAlign w:val="center"/>
          </w:tcPr>
          <w:p w14:paraId="7B9DE767" w14:textId="77777777" w:rsidR="006063C9" w:rsidRDefault="001823DC">
            <w:pPr>
              <w:spacing w:before="60" w:after="60"/>
              <w:jc w:val="center"/>
            </w:pPr>
            <w:r>
              <w:rPr>
                <w:b/>
                <w:bCs/>
                <w:sz w:val="20"/>
                <w:szCs w:val="20"/>
              </w:rPr>
              <w:t>Technology</w:t>
            </w:r>
          </w:p>
        </w:tc>
        <w:tc>
          <w:tcPr>
            <w:tcW w:w="2000" w:type="dxa"/>
            <w:tcBorders>
              <w:top w:val="single" w:sz="4" w:space="0" w:color="888888"/>
              <w:left w:val="single" w:sz="4" w:space="0" w:color="888888"/>
              <w:bottom w:val="single" w:sz="4" w:space="0" w:color="888888"/>
              <w:right w:val="single" w:sz="4" w:space="0" w:color="888888"/>
            </w:tcBorders>
            <w:shd w:val="clear" w:color="auto" w:fill="DEEAF1"/>
            <w:vAlign w:val="center"/>
          </w:tcPr>
          <w:p w14:paraId="73C3591E" w14:textId="77777777" w:rsidR="006063C9" w:rsidRDefault="001823DC">
            <w:pPr>
              <w:spacing w:before="60" w:after="60"/>
              <w:jc w:val="center"/>
            </w:pPr>
            <w:r>
              <w:rPr>
                <w:b/>
                <w:bCs/>
                <w:sz w:val="20"/>
                <w:szCs w:val="20"/>
              </w:rPr>
              <w:t>Source</w:t>
            </w:r>
          </w:p>
        </w:tc>
      </w:tr>
      <w:tr w:rsidR="006063C9" w14:paraId="4EAF2E0C" w14:textId="77777777">
        <w:tblPrEx>
          <w:tblCellMar>
            <w:top w:w="0" w:type="dxa"/>
            <w:bottom w:w="0" w:type="dxa"/>
          </w:tblCellMar>
        </w:tblPrEx>
        <w:tc>
          <w:tcPr>
            <w:tcW w:w="2200" w:type="dxa"/>
            <w:tcBorders>
              <w:top w:val="single" w:sz="4" w:space="0" w:color="888888"/>
              <w:left w:val="single" w:sz="4" w:space="0" w:color="888888"/>
              <w:bottom w:val="single" w:sz="4" w:space="0" w:color="888888"/>
              <w:right w:val="single" w:sz="4" w:space="0" w:color="888888"/>
            </w:tcBorders>
            <w:shd w:val="clear" w:color="auto" w:fill="FFFFFF"/>
          </w:tcPr>
          <w:p w14:paraId="0E41B0D9" w14:textId="77777777" w:rsidR="006063C9" w:rsidRDefault="001823DC">
            <w:pPr>
              <w:spacing w:before="60" w:after="60"/>
            </w:pPr>
            <w:r>
              <w:rPr>
                <w:sz w:val="20"/>
                <w:szCs w:val="20"/>
              </w:rPr>
              <w:t>Unplanned MHE downtime (% operational hours)</w:t>
            </w:r>
          </w:p>
        </w:tc>
        <w:tc>
          <w:tcPr>
            <w:tcW w:w="900" w:type="dxa"/>
            <w:tcBorders>
              <w:top w:val="single" w:sz="4" w:space="0" w:color="888888"/>
              <w:left w:val="single" w:sz="4" w:space="0" w:color="888888"/>
              <w:bottom w:val="single" w:sz="4" w:space="0" w:color="888888"/>
              <w:right w:val="single" w:sz="4" w:space="0" w:color="888888"/>
            </w:tcBorders>
            <w:shd w:val="clear" w:color="auto" w:fill="FFFFFF"/>
          </w:tcPr>
          <w:p w14:paraId="092A3E6A" w14:textId="77777777" w:rsidR="006063C9" w:rsidRDefault="001823DC">
            <w:pPr>
              <w:spacing w:before="60" w:after="60"/>
              <w:jc w:val="center"/>
            </w:pPr>
            <w:r>
              <w:rPr>
                <w:sz w:val="20"/>
                <w:szCs w:val="20"/>
              </w:rPr>
              <w:t>~12%¹</w:t>
            </w:r>
          </w:p>
        </w:tc>
        <w:tc>
          <w:tcPr>
            <w:tcW w:w="900" w:type="dxa"/>
            <w:tcBorders>
              <w:top w:val="single" w:sz="4" w:space="0" w:color="888888"/>
              <w:left w:val="single" w:sz="4" w:space="0" w:color="888888"/>
              <w:bottom w:val="single" w:sz="4" w:space="0" w:color="888888"/>
              <w:right w:val="single" w:sz="4" w:space="0" w:color="888888"/>
            </w:tcBorders>
            <w:shd w:val="clear" w:color="auto" w:fill="FFFFFF"/>
          </w:tcPr>
          <w:p w14:paraId="34A92A39" w14:textId="77777777" w:rsidR="006063C9" w:rsidRDefault="001823DC">
            <w:pPr>
              <w:spacing w:before="60" w:after="60"/>
              <w:jc w:val="center"/>
            </w:pPr>
            <w:r>
              <w:rPr>
                <w:sz w:val="20"/>
                <w:szCs w:val="20"/>
              </w:rPr>
              <w:t>~3.7%</w:t>
            </w:r>
          </w:p>
        </w:tc>
        <w:tc>
          <w:tcPr>
            <w:tcW w:w="1800" w:type="dxa"/>
            <w:tcBorders>
              <w:top w:val="single" w:sz="4" w:space="0" w:color="888888"/>
              <w:left w:val="single" w:sz="4" w:space="0" w:color="888888"/>
              <w:bottom w:val="single" w:sz="4" w:space="0" w:color="888888"/>
              <w:right w:val="single" w:sz="4" w:space="0" w:color="888888"/>
            </w:tcBorders>
            <w:shd w:val="clear" w:color="auto" w:fill="FFFFFF"/>
          </w:tcPr>
          <w:p w14:paraId="58C58BA5" w14:textId="77777777" w:rsidR="006063C9" w:rsidRDefault="001823DC">
            <w:pPr>
              <w:spacing w:before="60" w:after="60"/>
            </w:pPr>
            <w:proofErr w:type="spellStart"/>
            <w:r>
              <w:rPr>
                <w:sz w:val="20"/>
                <w:szCs w:val="20"/>
              </w:rPr>
              <w:t>Monitron</w:t>
            </w:r>
            <w:proofErr w:type="spellEnd"/>
          </w:p>
        </w:tc>
        <w:tc>
          <w:tcPr>
            <w:tcW w:w="2000" w:type="dxa"/>
            <w:tcBorders>
              <w:top w:val="single" w:sz="4" w:space="0" w:color="888888"/>
              <w:left w:val="single" w:sz="4" w:space="0" w:color="888888"/>
              <w:bottom w:val="single" w:sz="4" w:space="0" w:color="888888"/>
              <w:right w:val="single" w:sz="4" w:space="0" w:color="888888"/>
            </w:tcBorders>
            <w:shd w:val="clear" w:color="auto" w:fill="FFFFFF"/>
          </w:tcPr>
          <w:p w14:paraId="2D8B28F6" w14:textId="77777777" w:rsidR="006063C9" w:rsidRDefault="001823DC">
            <w:pPr>
              <w:spacing w:before="60" w:after="60"/>
            </w:pPr>
            <w:r>
              <w:rPr>
                <w:sz w:val="20"/>
                <w:szCs w:val="20"/>
              </w:rPr>
              <w:t>AWS (2024); illustrative before figure¹</w:t>
            </w:r>
          </w:p>
        </w:tc>
      </w:tr>
      <w:tr w:rsidR="006063C9" w14:paraId="37446120" w14:textId="77777777">
        <w:tblPrEx>
          <w:tblCellMar>
            <w:top w:w="0" w:type="dxa"/>
            <w:bottom w:w="0" w:type="dxa"/>
          </w:tblCellMar>
        </w:tblPrEx>
        <w:tc>
          <w:tcPr>
            <w:tcW w:w="2200" w:type="dxa"/>
            <w:tcBorders>
              <w:top w:val="single" w:sz="4" w:space="0" w:color="888888"/>
              <w:left w:val="single" w:sz="4" w:space="0" w:color="888888"/>
              <w:bottom w:val="single" w:sz="4" w:space="0" w:color="888888"/>
              <w:right w:val="single" w:sz="4" w:space="0" w:color="888888"/>
            </w:tcBorders>
            <w:shd w:val="clear" w:color="auto" w:fill="FFFFFF"/>
          </w:tcPr>
          <w:p w14:paraId="3186638B" w14:textId="77777777" w:rsidR="006063C9" w:rsidRDefault="001823DC">
            <w:pPr>
              <w:spacing w:before="60" w:after="60"/>
            </w:pPr>
            <w:r>
              <w:rPr>
                <w:sz w:val="20"/>
                <w:szCs w:val="20"/>
              </w:rPr>
              <w:t>OEE Availability (MHE)</w:t>
            </w:r>
          </w:p>
        </w:tc>
        <w:tc>
          <w:tcPr>
            <w:tcW w:w="900" w:type="dxa"/>
            <w:tcBorders>
              <w:top w:val="single" w:sz="4" w:space="0" w:color="888888"/>
              <w:left w:val="single" w:sz="4" w:space="0" w:color="888888"/>
              <w:bottom w:val="single" w:sz="4" w:space="0" w:color="888888"/>
              <w:right w:val="single" w:sz="4" w:space="0" w:color="888888"/>
            </w:tcBorders>
            <w:shd w:val="clear" w:color="auto" w:fill="FFFFFF"/>
          </w:tcPr>
          <w:p w14:paraId="0BA59587" w14:textId="77777777" w:rsidR="006063C9" w:rsidRDefault="001823DC">
            <w:pPr>
              <w:spacing w:before="60" w:after="60"/>
              <w:jc w:val="center"/>
            </w:pPr>
            <w:r>
              <w:rPr>
                <w:sz w:val="20"/>
                <w:szCs w:val="20"/>
              </w:rPr>
              <w:t>~74%¹</w:t>
            </w:r>
          </w:p>
        </w:tc>
        <w:tc>
          <w:tcPr>
            <w:tcW w:w="900" w:type="dxa"/>
            <w:tcBorders>
              <w:top w:val="single" w:sz="4" w:space="0" w:color="888888"/>
              <w:left w:val="single" w:sz="4" w:space="0" w:color="888888"/>
              <w:bottom w:val="single" w:sz="4" w:space="0" w:color="888888"/>
              <w:right w:val="single" w:sz="4" w:space="0" w:color="888888"/>
            </w:tcBorders>
            <w:shd w:val="clear" w:color="auto" w:fill="FFFFFF"/>
          </w:tcPr>
          <w:p w14:paraId="6A662133" w14:textId="77777777" w:rsidR="006063C9" w:rsidRDefault="001823DC">
            <w:pPr>
              <w:spacing w:before="60" w:after="60"/>
              <w:jc w:val="center"/>
            </w:pPr>
            <w:r>
              <w:rPr>
                <w:sz w:val="20"/>
                <w:szCs w:val="20"/>
              </w:rPr>
              <w:t>~85%</w:t>
            </w:r>
          </w:p>
        </w:tc>
        <w:tc>
          <w:tcPr>
            <w:tcW w:w="1800" w:type="dxa"/>
            <w:tcBorders>
              <w:top w:val="single" w:sz="4" w:space="0" w:color="888888"/>
              <w:left w:val="single" w:sz="4" w:space="0" w:color="888888"/>
              <w:bottom w:val="single" w:sz="4" w:space="0" w:color="888888"/>
              <w:right w:val="single" w:sz="4" w:space="0" w:color="888888"/>
            </w:tcBorders>
            <w:shd w:val="clear" w:color="auto" w:fill="FFFFFF"/>
          </w:tcPr>
          <w:p w14:paraId="6B149477" w14:textId="77777777" w:rsidR="006063C9" w:rsidRDefault="001823DC">
            <w:pPr>
              <w:spacing w:before="60" w:after="60"/>
            </w:pPr>
            <w:proofErr w:type="spellStart"/>
            <w:r>
              <w:rPr>
                <w:sz w:val="20"/>
                <w:szCs w:val="20"/>
              </w:rPr>
              <w:t>Monitron</w:t>
            </w:r>
            <w:proofErr w:type="spellEnd"/>
            <w:r>
              <w:rPr>
                <w:sz w:val="20"/>
                <w:szCs w:val="20"/>
              </w:rPr>
              <w:t xml:space="preserve"> / PULSE</w:t>
            </w:r>
          </w:p>
        </w:tc>
        <w:tc>
          <w:tcPr>
            <w:tcW w:w="2000" w:type="dxa"/>
            <w:tcBorders>
              <w:top w:val="single" w:sz="4" w:space="0" w:color="888888"/>
              <w:left w:val="single" w:sz="4" w:space="0" w:color="888888"/>
              <w:bottom w:val="single" w:sz="4" w:space="0" w:color="888888"/>
              <w:right w:val="single" w:sz="4" w:space="0" w:color="888888"/>
            </w:tcBorders>
            <w:shd w:val="clear" w:color="auto" w:fill="FFFFFF"/>
          </w:tcPr>
          <w:p w14:paraId="0F908B80" w14:textId="77777777" w:rsidR="006063C9" w:rsidRDefault="001823DC">
            <w:pPr>
              <w:spacing w:before="60" w:after="60"/>
            </w:pPr>
            <w:r>
              <w:rPr>
                <w:sz w:val="20"/>
                <w:szCs w:val="20"/>
              </w:rPr>
              <w:t>AWS (2024); illustrative before figure¹</w:t>
            </w:r>
          </w:p>
        </w:tc>
      </w:tr>
      <w:tr w:rsidR="006063C9" w14:paraId="305737F9" w14:textId="77777777">
        <w:tblPrEx>
          <w:tblCellMar>
            <w:top w:w="0" w:type="dxa"/>
            <w:bottom w:w="0" w:type="dxa"/>
          </w:tblCellMar>
        </w:tblPrEx>
        <w:tc>
          <w:tcPr>
            <w:tcW w:w="2200" w:type="dxa"/>
            <w:tcBorders>
              <w:top w:val="single" w:sz="4" w:space="0" w:color="888888"/>
              <w:left w:val="single" w:sz="4" w:space="0" w:color="888888"/>
              <w:bottom w:val="single" w:sz="4" w:space="0" w:color="888888"/>
              <w:right w:val="single" w:sz="4" w:space="0" w:color="888888"/>
            </w:tcBorders>
            <w:shd w:val="clear" w:color="auto" w:fill="FFFFFF"/>
          </w:tcPr>
          <w:p w14:paraId="554EE83C" w14:textId="77777777" w:rsidR="006063C9" w:rsidRDefault="001823DC">
            <w:pPr>
              <w:spacing w:before="60" w:after="60"/>
            </w:pPr>
            <w:r>
              <w:rPr>
                <w:sz w:val="20"/>
                <w:szCs w:val="20"/>
              </w:rPr>
              <w:t>Picks per hour (FC MHE)</w:t>
            </w:r>
          </w:p>
        </w:tc>
        <w:tc>
          <w:tcPr>
            <w:tcW w:w="900" w:type="dxa"/>
            <w:tcBorders>
              <w:top w:val="single" w:sz="4" w:space="0" w:color="888888"/>
              <w:left w:val="single" w:sz="4" w:space="0" w:color="888888"/>
              <w:bottom w:val="single" w:sz="4" w:space="0" w:color="888888"/>
              <w:right w:val="single" w:sz="4" w:space="0" w:color="888888"/>
            </w:tcBorders>
            <w:shd w:val="clear" w:color="auto" w:fill="FFFFFF"/>
          </w:tcPr>
          <w:p w14:paraId="4F3016F2" w14:textId="77777777" w:rsidR="006063C9" w:rsidRDefault="001823DC">
            <w:pPr>
              <w:spacing w:before="60" w:after="60"/>
              <w:jc w:val="center"/>
            </w:pPr>
            <w:r>
              <w:rPr>
                <w:sz w:val="20"/>
                <w:szCs w:val="20"/>
              </w:rPr>
              <w:t>Baseline¹</w:t>
            </w:r>
          </w:p>
        </w:tc>
        <w:tc>
          <w:tcPr>
            <w:tcW w:w="900" w:type="dxa"/>
            <w:tcBorders>
              <w:top w:val="single" w:sz="4" w:space="0" w:color="888888"/>
              <w:left w:val="single" w:sz="4" w:space="0" w:color="888888"/>
              <w:bottom w:val="single" w:sz="4" w:space="0" w:color="888888"/>
              <w:right w:val="single" w:sz="4" w:space="0" w:color="888888"/>
            </w:tcBorders>
            <w:shd w:val="clear" w:color="auto" w:fill="FFFFFF"/>
          </w:tcPr>
          <w:p w14:paraId="02ED10E4" w14:textId="77777777" w:rsidR="006063C9" w:rsidRDefault="001823DC">
            <w:pPr>
              <w:spacing w:before="60" w:after="60"/>
              <w:jc w:val="center"/>
            </w:pPr>
            <w:r>
              <w:rPr>
                <w:sz w:val="20"/>
                <w:szCs w:val="20"/>
              </w:rPr>
              <w:t>+67%</w:t>
            </w:r>
          </w:p>
        </w:tc>
        <w:tc>
          <w:tcPr>
            <w:tcW w:w="1800" w:type="dxa"/>
            <w:tcBorders>
              <w:top w:val="single" w:sz="4" w:space="0" w:color="888888"/>
              <w:left w:val="single" w:sz="4" w:space="0" w:color="888888"/>
              <w:bottom w:val="single" w:sz="4" w:space="0" w:color="888888"/>
              <w:right w:val="single" w:sz="4" w:space="0" w:color="888888"/>
            </w:tcBorders>
            <w:shd w:val="clear" w:color="auto" w:fill="FFFFFF"/>
          </w:tcPr>
          <w:p w14:paraId="5BADBF89" w14:textId="77777777" w:rsidR="006063C9" w:rsidRDefault="001823DC">
            <w:pPr>
              <w:spacing w:before="60" w:after="60"/>
            </w:pPr>
            <w:r>
              <w:rPr>
                <w:sz w:val="20"/>
                <w:szCs w:val="20"/>
              </w:rPr>
              <w:t>WAO Digital Twin</w:t>
            </w:r>
          </w:p>
        </w:tc>
        <w:tc>
          <w:tcPr>
            <w:tcW w:w="2000" w:type="dxa"/>
            <w:tcBorders>
              <w:top w:val="single" w:sz="4" w:space="0" w:color="888888"/>
              <w:left w:val="single" w:sz="4" w:space="0" w:color="888888"/>
              <w:bottom w:val="single" w:sz="4" w:space="0" w:color="888888"/>
              <w:right w:val="single" w:sz="4" w:space="0" w:color="888888"/>
            </w:tcBorders>
            <w:shd w:val="clear" w:color="auto" w:fill="FFFFFF"/>
          </w:tcPr>
          <w:p w14:paraId="3399DA44" w14:textId="77777777" w:rsidR="006063C9" w:rsidRDefault="001823DC">
            <w:pPr>
              <w:spacing w:before="60" w:after="60"/>
            </w:pPr>
            <w:r>
              <w:rPr>
                <w:sz w:val="20"/>
                <w:szCs w:val="20"/>
              </w:rPr>
              <w:t>AWS Blog (2024)</w:t>
            </w:r>
          </w:p>
        </w:tc>
      </w:tr>
      <w:tr w:rsidR="006063C9" w14:paraId="29CE1879" w14:textId="77777777">
        <w:tblPrEx>
          <w:tblCellMar>
            <w:top w:w="0" w:type="dxa"/>
            <w:bottom w:w="0" w:type="dxa"/>
          </w:tblCellMar>
        </w:tblPrEx>
        <w:tc>
          <w:tcPr>
            <w:tcW w:w="2200" w:type="dxa"/>
            <w:tcBorders>
              <w:top w:val="single" w:sz="4" w:space="0" w:color="888888"/>
              <w:left w:val="single" w:sz="4" w:space="0" w:color="888888"/>
              <w:bottom w:val="single" w:sz="4" w:space="0" w:color="888888"/>
              <w:right w:val="single" w:sz="4" w:space="0" w:color="888888"/>
            </w:tcBorders>
            <w:shd w:val="clear" w:color="auto" w:fill="FFFFFF"/>
          </w:tcPr>
          <w:p w14:paraId="1D0B1A0F" w14:textId="77777777" w:rsidR="006063C9" w:rsidRDefault="001823DC">
            <w:pPr>
              <w:spacing w:before="60" w:after="60"/>
            </w:pPr>
            <w:r>
              <w:rPr>
                <w:sz w:val="20"/>
                <w:szCs w:val="20"/>
              </w:rPr>
              <w:t>Digital twin build time (per FC)</w:t>
            </w:r>
          </w:p>
        </w:tc>
        <w:tc>
          <w:tcPr>
            <w:tcW w:w="900" w:type="dxa"/>
            <w:tcBorders>
              <w:top w:val="single" w:sz="4" w:space="0" w:color="888888"/>
              <w:left w:val="single" w:sz="4" w:space="0" w:color="888888"/>
              <w:bottom w:val="single" w:sz="4" w:space="0" w:color="888888"/>
              <w:right w:val="single" w:sz="4" w:space="0" w:color="888888"/>
            </w:tcBorders>
            <w:shd w:val="clear" w:color="auto" w:fill="FFFFFF"/>
          </w:tcPr>
          <w:p w14:paraId="4DF379AE" w14:textId="77777777" w:rsidR="006063C9" w:rsidRDefault="001823DC">
            <w:pPr>
              <w:spacing w:before="60" w:after="60"/>
              <w:jc w:val="center"/>
            </w:pPr>
            <w:r>
              <w:rPr>
                <w:sz w:val="20"/>
                <w:szCs w:val="20"/>
              </w:rPr>
              <w:t>Baseline¹</w:t>
            </w:r>
          </w:p>
        </w:tc>
        <w:tc>
          <w:tcPr>
            <w:tcW w:w="900" w:type="dxa"/>
            <w:tcBorders>
              <w:top w:val="single" w:sz="4" w:space="0" w:color="888888"/>
              <w:left w:val="single" w:sz="4" w:space="0" w:color="888888"/>
              <w:bottom w:val="single" w:sz="4" w:space="0" w:color="888888"/>
              <w:right w:val="single" w:sz="4" w:space="0" w:color="888888"/>
            </w:tcBorders>
            <w:shd w:val="clear" w:color="auto" w:fill="FFFFFF"/>
          </w:tcPr>
          <w:p w14:paraId="108FE5F3" w14:textId="77777777" w:rsidR="006063C9" w:rsidRDefault="001823DC">
            <w:pPr>
              <w:spacing w:before="60" w:after="60"/>
              <w:jc w:val="center"/>
            </w:pPr>
            <w:r>
              <w:rPr>
                <w:sz w:val="20"/>
                <w:szCs w:val="20"/>
              </w:rPr>
              <w:t>-80%</w:t>
            </w:r>
          </w:p>
        </w:tc>
        <w:tc>
          <w:tcPr>
            <w:tcW w:w="1800" w:type="dxa"/>
            <w:tcBorders>
              <w:top w:val="single" w:sz="4" w:space="0" w:color="888888"/>
              <w:left w:val="single" w:sz="4" w:space="0" w:color="888888"/>
              <w:bottom w:val="single" w:sz="4" w:space="0" w:color="888888"/>
              <w:right w:val="single" w:sz="4" w:space="0" w:color="888888"/>
            </w:tcBorders>
            <w:shd w:val="clear" w:color="auto" w:fill="FFFFFF"/>
          </w:tcPr>
          <w:p w14:paraId="7B7557AB" w14:textId="77777777" w:rsidR="006063C9" w:rsidRDefault="001823DC">
            <w:pPr>
              <w:spacing w:before="60" w:after="60"/>
            </w:pPr>
            <w:r>
              <w:rPr>
                <w:sz w:val="20"/>
                <w:szCs w:val="20"/>
              </w:rPr>
              <w:t>WAO Digital Twin</w:t>
            </w:r>
          </w:p>
        </w:tc>
        <w:tc>
          <w:tcPr>
            <w:tcW w:w="2000" w:type="dxa"/>
            <w:tcBorders>
              <w:top w:val="single" w:sz="4" w:space="0" w:color="888888"/>
              <w:left w:val="single" w:sz="4" w:space="0" w:color="888888"/>
              <w:bottom w:val="single" w:sz="4" w:space="0" w:color="888888"/>
              <w:right w:val="single" w:sz="4" w:space="0" w:color="888888"/>
            </w:tcBorders>
            <w:shd w:val="clear" w:color="auto" w:fill="FFFFFF"/>
          </w:tcPr>
          <w:p w14:paraId="5FB12465" w14:textId="77777777" w:rsidR="006063C9" w:rsidRDefault="001823DC">
            <w:pPr>
              <w:spacing w:before="60" w:after="60"/>
            </w:pPr>
            <w:r>
              <w:rPr>
                <w:sz w:val="20"/>
                <w:szCs w:val="20"/>
              </w:rPr>
              <w:t>AWS Blog (2024)</w:t>
            </w:r>
          </w:p>
        </w:tc>
      </w:tr>
      <w:tr w:rsidR="006063C9" w14:paraId="782DA0C1" w14:textId="77777777">
        <w:tblPrEx>
          <w:tblCellMar>
            <w:top w:w="0" w:type="dxa"/>
            <w:bottom w:w="0" w:type="dxa"/>
          </w:tblCellMar>
        </w:tblPrEx>
        <w:tc>
          <w:tcPr>
            <w:tcW w:w="2200" w:type="dxa"/>
            <w:tcBorders>
              <w:top w:val="single" w:sz="4" w:space="0" w:color="888888"/>
              <w:left w:val="single" w:sz="4" w:space="0" w:color="888888"/>
              <w:bottom w:val="single" w:sz="4" w:space="0" w:color="888888"/>
              <w:right w:val="single" w:sz="4" w:space="0" w:color="888888"/>
            </w:tcBorders>
            <w:shd w:val="clear" w:color="auto" w:fill="FFFFFF"/>
          </w:tcPr>
          <w:p w14:paraId="628DB55E" w14:textId="77777777" w:rsidR="006063C9" w:rsidRDefault="001823DC">
            <w:pPr>
              <w:spacing w:before="60" w:after="60"/>
            </w:pPr>
            <w:r>
              <w:rPr>
                <w:sz w:val="20"/>
                <w:szCs w:val="20"/>
              </w:rPr>
              <w:t>Cross-site OEE data consistency (RME)</w:t>
            </w:r>
          </w:p>
        </w:tc>
        <w:tc>
          <w:tcPr>
            <w:tcW w:w="900" w:type="dxa"/>
            <w:tcBorders>
              <w:top w:val="single" w:sz="4" w:space="0" w:color="888888"/>
              <w:left w:val="single" w:sz="4" w:space="0" w:color="888888"/>
              <w:bottom w:val="single" w:sz="4" w:space="0" w:color="888888"/>
              <w:right w:val="single" w:sz="4" w:space="0" w:color="888888"/>
            </w:tcBorders>
            <w:shd w:val="clear" w:color="auto" w:fill="FFFFFF"/>
          </w:tcPr>
          <w:p w14:paraId="7173C810" w14:textId="77777777" w:rsidR="006063C9" w:rsidRDefault="001823DC">
            <w:pPr>
              <w:spacing w:before="60" w:after="60"/>
              <w:jc w:val="center"/>
            </w:pPr>
            <w:r>
              <w:rPr>
                <w:sz w:val="20"/>
                <w:szCs w:val="20"/>
              </w:rPr>
              <w:t>Fragmented¹</w:t>
            </w:r>
          </w:p>
        </w:tc>
        <w:tc>
          <w:tcPr>
            <w:tcW w:w="900" w:type="dxa"/>
            <w:tcBorders>
              <w:top w:val="single" w:sz="4" w:space="0" w:color="888888"/>
              <w:left w:val="single" w:sz="4" w:space="0" w:color="888888"/>
              <w:bottom w:val="single" w:sz="4" w:space="0" w:color="888888"/>
              <w:right w:val="single" w:sz="4" w:space="0" w:color="888888"/>
            </w:tcBorders>
            <w:shd w:val="clear" w:color="auto" w:fill="FFFFFF"/>
          </w:tcPr>
          <w:p w14:paraId="01CF03C1" w14:textId="77777777" w:rsidR="006063C9" w:rsidRDefault="001823DC">
            <w:pPr>
              <w:spacing w:before="60" w:after="60"/>
              <w:jc w:val="center"/>
            </w:pPr>
            <w:r>
              <w:rPr>
                <w:sz w:val="20"/>
                <w:szCs w:val="20"/>
              </w:rPr>
              <w:t>Unified</w:t>
            </w:r>
          </w:p>
        </w:tc>
        <w:tc>
          <w:tcPr>
            <w:tcW w:w="1800" w:type="dxa"/>
            <w:tcBorders>
              <w:top w:val="single" w:sz="4" w:space="0" w:color="888888"/>
              <w:left w:val="single" w:sz="4" w:space="0" w:color="888888"/>
              <w:bottom w:val="single" w:sz="4" w:space="0" w:color="888888"/>
              <w:right w:val="single" w:sz="4" w:space="0" w:color="888888"/>
            </w:tcBorders>
            <w:shd w:val="clear" w:color="auto" w:fill="FFFFFF"/>
          </w:tcPr>
          <w:p w14:paraId="7DCFB2FD" w14:textId="77777777" w:rsidR="006063C9" w:rsidRDefault="001823DC">
            <w:pPr>
              <w:spacing w:before="60" w:after="60"/>
            </w:pPr>
            <w:r>
              <w:rPr>
                <w:sz w:val="20"/>
                <w:szCs w:val="20"/>
              </w:rPr>
              <w:t>PULSE / All three</w:t>
            </w:r>
          </w:p>
        </w:tc>
        <w:tc>
          <w:tcPr>
            <w:tcW w:w="2000" w:type="dxa"/>
            <w:tcBorders>
              <w:top w:val="single" w:sz="4" w:space="0" w:color="888888"/>
              <w:left w:val="single" w:sz="4" w:space="0" w:color="888888"/>
              <w:bottom w:val="single" w:sz="4" w:space="0" w:color="888888"/>
              <w:right w:val="single" w:sz="4" w:space="0" w:color="888888"/>
            </w:tcBorders>
            <w:shd w:val="clear" w:color="auto" w:fill="FFFFFF"/>
          </w:tcPr>
          <w:p w14:paraId="241296BD" w14:textId="77777777" w:rsidR="006063C9" w:rsidRDefault="001823DC">
            <w:pPr>
              <w:spacing w:before="60" w:after="60"/>
            </w:pPr>
            <w:r>
              <w:rPr>
                <w:sz w:val="20"/>
                <w:szCs w:val="20"/>
              </w:rPr>
              <w:t>Amazon (2025a); OEE Visibility Wiki</w:t>
            </w:r>
          </w:p>
        </w:tc>
      </w:tr>
    </w:tbl>
    <w:p w14:paraId="097D12FD" w14:textId="77777777" w:rsidR="006063C9" w:rsidRDefault="001823DC">
      <w:pPr>
        <w:pStyle w:val="TableCaption"/>
        <w:spacing w:after="240"/>
      </w:pPr>
      <w:r>
        <w:t>Table 2: KPI Before-and-After Evaluation for RME MHE Operations</w:t>
      </w:r>
    </w:p>
    <w:p w14:paraId="1E4E2597" w14:textId="77777777" w:rsidR="006063C9" w:rsidRDefault="001823DC">
      <w:pPr>
        <w:spacing w:after="200"/>
        <w:jc w:val="both"/>
      </w:pPr>
      <w:r>
        <w:t xml:space="preserve">The KPI evaluation demonstrated that the three focal technologies collectively addressed all three OEE dimensions identified in the OEE Metrics Calculations Wiki framework (Amazon, 2025c). </w:t>
      </w:r>
      <w:proofErr w:type="spellStart"/>
      <w:r>
        <w:t>Monitron</w:t>
      </w:r>
      <w:proofErr w:type="spellEnd"/>
      <w:r>
        <w:t xml:space="preserve"> and PULSE primarily addressed OEE Availability through the reduction of DOWN_UNPLANNED_FAULTED states. WAO Digital Twin primarily addressed OEE Performance through the reduction of BLOCKED and RUNNING_STARVED states. The integrated deployment of all three technologies through the four-phase CI plan was therefore expected to deliver compounded OEE improvements across the MHE.</w:t>
      </w:r>
    </w:p>
    <w:p w14:paraId="58C34345" w14:textId="77777777" w:rsidR="000702D2" w:rsidRDefault="000702D2">
      <w:pPr>
        <w:rPr>
          <w:b/>
          <w:bCs/>
          <w:sz w:val="28"/>
          <w:szCs w:val="28"/>
        </w:rPr>
      </w:pPr>
      <w:r>
        <w:br w:type="page"/>
      </w:r>
    </w:p>
    <w:p w14:paraId="3704D5BE" w14:textId="3F05B37B" w:rsidR="006063C9" w:rsidRDefault="001823DC">
      <w:pPr>
        <w:pStyle w:val="Heading1"/>
      </w:pPr>
      <w:r>
        <w:t>6. Implementation Challenges</w:t>
      </w:r>
    </w:p>
    <w:p w14:paraId="4F88A33A" w14:textId="77777777" w:rsidR="006063C9" w:rsidRDefault="001823DC">
      <w:pPr>
        <w:spacing w:after="200"/>
        <w:jc w:val="both"/>
      </w:pPr>
      <w:r>
        <w:t>The deployment of the three focal technologies across RME MHE operations was subject to a range of technical, cultural, and cybersecurity challenges. These challenges were identified through analysis of the RME operational context and the specific requirements of each technology, and mitigation strategies were proposed drawing on industry best practices and the ACES framework (Amazon, 2025b).</w:t>
      </w:r>
    </w:p>
    <w:p w14:paraId="47EAD3AB" w14:textId="77777777" w:rsidR="006063C9" w:rsidRDefault="001823DC">
      <w:pPr>
        <w:pStyle w:val="Heading2"/>
      </w:pPr>
      <w:r>
        <w:t>6.1 Technical Challenges</w:t>
      </w:r>
    </w:p>
    <w:p w14:paraId="16C71AAB" w14:textId="77777777" w:rsidR="006063C9" w:rsidRDefault="001823DC">
      <w:pPr>
        <w:spacing w:after="200"/>
        <w:jc w:val="both"/>
      </w:pPr>
      <w:r>
        <w:t xml:space="preserve">The installation of </w:t>
      </w:r>
      <w:proofErr w:type="spellStart"/>
      <w:r>
        <w:t>Monitron</w:t>
      </w:r>
      <w:proofErr w:type="spellEnd"/>
      <w:r>
        <w:t xml:space="preserve"> sensors on legacy MHE variants across the diverse site portfolio presented a technical challenge, as not all legacy rotating components were compatible with standard sensor mounting configurations. WAO Digital Twin LIDAR scanning in live FC environments introduced operational risk, as the scanning process required temporary cessation of MHE operations in scanned zones. PULSE expansion integration required the development of site-specific data pipelines to connect site maintenance management systems</w:t>
      </w:r>
      <w:r>
        <w:t xml:space="preserve"> with the PULSE platform, which had initially been launched for North America operations (Amazon, 2025a).</w:t>
      </w:r>
    </w:p>
    <w:p w14:paraId="6F56D9E6" w14:textId="77777777" w:rsidR="006063C9" w:rsidRDefault="001823DC">
      <w:pPr>
        <w:spacing w:after="200"/>
        <w:jc w:val="both"/>
      </w:pPr>
      <w:r>
        <w:t>GDPR compliance represented a significant technical challenge for the deployment of IoT-based monitoring systems in jurisdictions, as sensor data collection and transmission to AWS cloud infrastructure required assessment against GDPR data minimisation and data sovereignty requirements.</w:t>
      </w:r>
    </w:p>
    <w:p w14:paraId="71F24D34" w14:textId="77777777" w:rsidR="006063C9" w:rsidRDefault="001823DC">
      <w:pPr>
        <w:pStyle w:val="Heading2"/>
      </w:pPr>
      <w:r>
        <w:t>6.2 Cultural Challenges</w:t>
      </w:r>
    </w:p>
    <w:p w14:paraId="7788BF72" w14:textId="77777777" w:rsidR="006063C9" w:rsidRDefault="001823DC">
      <w:pPr>
        <w:spacing w:after="200"/>
        <w:jc w:val="both"/>
      </w:pPr>
      <w:r>
        <w:t>RME technician resistance to the transition from reactive to predictive maintenance models represented a significant cultural challenge. Technicians with extensive experience in reactive MHE maintenance may perceive condition-monitoring and predictive maintenance alerts (</w:t>
      </w:r>
      <w:proofErr w:type="spellStart"/>
      <w:r>
        <w:t>Monitron</w:t>
      </w:r>
      <w:proofErr w:type="spellEnd"/>
      <w:r>
        <w:t>/PULSE) as a reduction in their professional autonomy or an implicit critique of existing maintenance practices.</w:t>
      </w:r>
    </w:p>
    <w:p w14:paraId="5425667C" w14:textId="77777777" w:rsidR="006063C9" w:rsidRDefault="001823DC">
      <w:pPr>
        <w:spacing w:after="200"/>
        <w:jc w:val="both"/>
      </w:pPr>
      <w:r>
        <w:t>WAO Digital Twin-driven FC layout changes required the engagement of RME and operations teams in a change management process, as layout modifications affected established work patterns, travel routes, and equipment positioning familiar to operational staff. The ACES framework, incorporating Kaizen events and the Coach Kaizen AI assistant, provided a structured mechanism for managing these cultural transitions and embedding a continuous improvement mindset across RME teams (Amazon, 2025b).</w:t>
      </w:r>
    </w:p>
    <w:p w14:paraId="39D97671" w14:textId="77777777" w:rsidR="006063C9" w:rsidRDefault="001823DC">
      <w:pPr>
        <w:pStyle w:val="Heading2"/>
      </w:pPr>
      <w:r>
        <w:t>6.3 Cybersecurity Challenges</w:t>
      </w:r>
    </w:p>
    <w:p w14:paraId="66A1AD42" w14:textId="77777777" w:rsidR="006063C9" w:rsidRDefault="001823DC">
      <w:pPr>
        <w:spacing w:after="200"/>
        <w:jc w:val="both"/>
      </w:pPr>
      <w:r>
        <w:t xml:space="preserve">The deployment of </w:t>
      </w:r>
      <w:proofErr w:type="spellStart"/>
      <w:r>
        <w:t>IIoT</w:t>
      </w:r>
      <w:proofErr w:type="spellEnd"/>
      <w:r>
        <w:t xml:space="preserve"> sensor networks for </w:t>
      </w:r>
      <w:proofErr w:type="spellStart"/>
      <w:r>
        <w:t>Monitron</w:t>
      </w:r>
      <w:proofErr w:type="spellEnd"/>
      <w:r>
        <w:t xml:space="preserve"> across MHE introduced cybersecurity risks associated with the proliferation of connected devices within Amazon FC environments. Each </w:t>
      </w:r>
      <w:proofErr w:type="spellStart"/>
      <w:r>
        <w:t>Monitron</w:t>
      </w:r>
      <w:proofErr w:type="spellEnd"/>
      <w:r>
        <w:t xml:space="preserve"> sensor and gateway represented a potential attack surface, requiring robust network segmentation and device authentication protocols to prevent unauthorised access to the sensor network. PULSE expansion introduced data sovereignty considerations, as the aggregation of site maintenance data on AWS cloud infrastructure required complian</w:t>
      </w:r>
      <w:r>
        <w:t>ce with GDPR data residency requirements and data sovereignty frameworks.</w:t>
      </w:r>
    </w:p>
    <w:p w14:paraId="63809F81" w14:textId="77777777" w:rsidR="006063C9" w:rsidRDefault="001823DC">
      <w:pPr>
        <w:pStyle w:val="Heading2"/>
      </w:pPr>
      <w:r>
        <w:t>6.4 Mitigation Strategies</w:t>
      </w:r>
    </w:p>
    <w:p w14:paraId="58741298" w14:textId="77777777" w:rsidR="006063C9" w:rsidRDefault="001823DC">
      <w:pPr>
        <w:spacing w:after="200"/>
        <w:jc w:val="both"/>
      </w:pPr>
      <w:r>
        <w:t>The ACES change management framework provided the primary mitigation mechanism for cultural challenges, with structured Six Sigma White, Yellow, Green, and Black Belt training programmes enabling RME technicians to develop the analytical capability required to engage with data-driven predictive maintenance tools (Amazon, 2025b). Phased rollout of each technology, commencing with pilot deployments at selected sites before network-wide expansion, was proposed as the primary mitigation for technical challenges</w:t>
      </w:r>
      <w:r>
        <w:t>, enabling the identification and resolution of site-specific integration issues before full-scale deployment. GDPR and cybersecurity mitigations included GDPR Data Protection Impact Assessments (DPIAs) for each technology, selection of AWS data centre regions for data storage and processing, and engagement with Amazon Information Security teams during the design phase.</w:t>
      </w:r>
    </w:p>
    <w:p w14:paraId="3DE3DA07" w14:textId="77777777" w:rsidR="000702D2" w:rsidRDefault="000702D2">
      <w:pPr>
        <w:rPr>
          <w:b/>
          <w:bCs/>
          <w:sz w:val="28"/>
          <w:szCs w:val="28"/>
        </w:rPr>
      </w:pPr>
      <w:r>
        <w:br w:type="page"/>
      </w:r>
    </w:p>
    <w:p w14:paraId="77FA3F49" w14:textId="55F89E75" w:rsidR="006063C9" w:rsidRDefault="001823DC">
      <w:pPr>
        <w:pStyle w:val="Heading1"/>
      </w:pPr>
      <w:r>
        <w:t>7. Conclusion</w:t>
      </w:r>
    </w:p>
    <w:p w14:paraId="565ACD34" w14:textId="77777777" w:rsidR="006063C9" w:rsidRDefault="001823DC">
      <w:pPr>
        <w:spacing w:after="200"/>
        <w:jc w:val="both"/>
      </w:pPr>
      <w:r>
        <w:t xml:space="preserve">This report investigated the impact of three Industry 4.0 digital technologies on continuous improvement in Amazon RME MHE operations across the fulfilment network. The evaluation demonstrated that Amazon </w:t>
      </w:r>
      <w:proofErr w:type="spellStart"/>
      <w:r>
        <w:t>Monitron</w:t>
      </w:r>
      <w:proofErr w:type="spellEnd"/>
      <w:r>
        <w:t>, AWS WAO Digital Twin, and PULSE collectively addressed all three OEE dimensions identified in Amazon's OEE Metrics Calculations Wiki framework (Amazon, 2025c), providing a comprehensive and integrated capability for RME continuous improvement.</w:t>
      </w:r>
    </w:p>
    <w:p w14:paraId="747F1D21" w14:textId="77777777" w:rsidR="006063C9" w:rsidRDefault="001823DC">
      <w:pPr>
        <w:spacing w:after="200"/>
        <w:jc w:val="both"/>
      </w:pPr>
      <w:r>
        <w:t xml:space="preserve">Amazon </w:t>
      </w:r>
      <w:proofErr w:type="spellStart"/>
      <w:r>
        <w:t>Monitron</w:t>
      </w:r>
      <w:proofErr w:type="spellEnd"/>
      <w:r>
        <w:t xml:space="preserve"> addressed OEE Availability through condition-based predictive maintenance, evidenced by a published 69% reduction in unplanned equipment downtime in Amazon Customer Fulfilment (AWS, 2024). AWS WAO Digital Twin addressed OEE Performance through simulation-based optimisation of FC layouts and MHE configurations, supported by published data demonstrating an 80% reduction in digital twin build time and a 67% increase in picks per hour (AWS Blog, 2024). PULSE extended the predictive maintenance capabili</w:t>
      </w:r>
      <w:r>
        <w:t xml:space="preserve">ty established by </w:t>
      </w:r>
      <w:proofErr w:type="spellStart"/>
      <w:r>
        <w:t>Monitron</w:t>
      </w:r>
      <w:proofErr w:type="spellEnd"/>
      <w:r>
        <w:t xml:space="preserve"> to the MHE, enabling cross-site failure pattern analysis and network-wide continuous improvement.</w:t>
      </w:r>
    </w:p>
    <w:p w14:paraId="4B8D61A4" w14:textId="77777777" w:rsidR="006063C9" w:rsidRDefault="001823DC">
      <w:pPr>
        <w:spacing w:after="200"/>
        <w:jc w:val="both"/>
      </w:pPr>
      <w:r>
        <w:t>The four-phase ACES-aligned CI plan provided a structured deployment pathway that built sequentially from baseline measurement through analysis, improvement, and control, ensuring that each technology deployment was supported by robust data and integrated into RME operational procedures. Implementation challenges, including GDPR compliance and technician change management, were identified and addressed through phased rollout, ACES Six Sigma training, and proactive cybersecurity governance.</w:t>
      </w:r>
    </w:p>
    <w:p w14:paraId="09E7A4BA" w14:textId="77777777" w:rsidR="006063C9" w:rsidRDefault="001823DC">
      <w:pPr>
        <w:spacing w:after="200"/>
        <w:jc w:val="both"/>
      </w:pPr>
      <w:r>
        <w:t xml:space="preserve">The deployment of these three technologies across RME MHE operations positioned the RME function as a model for network-wide deployment of digital maintenance and optimisation capabilities across the Amazon fulfilment network, consistent with the AFT mission to leverage the latest in robotics, machine learning, intelligent edge, and Industrial IoT (Amazon Fulfilment Technologies, 2025). Future research could investigate the long-term OEE impact of integrated </w:t>
      </w:r>
      <w:proofErr w:type="spellStart"/>
      <w:r>
        <w:t>Monitron</w:t>
      </w:r>
      <w:proofErr w:type="spellEnd"/>
      <w:r>
        <w:t>-PULSE deployment across the full MHE.</w:t>
      </w:r>
    </w:p>
    <w:p w14:paraId="73277029" w14:textId="77777777" w:rsidR="000702D2" w:rsidRDefault="000702D2">
      <w:pPr>
        <w:rPr>
          <w:b/>
          <w:bCs/>
          <w:sz w:val="28"/>
          <w:szCs w:val="28"/>
        </w:rPr>
      </w:pPr>
      <w:r>
        <w:br w:type="page"/>
      </w:r>
    </w:p>
    <w:p w14:paraId="16A72660" w14:textId="69300B1E" w:rsidR="006063C9" w:rsidRDefault="001823DC">
      <w:pPr>
        <w:pStyle w:val="Heading1"/>
      </w:pPr>
      <w:r>
        <w:t>References</w:t>
      </w:r>
    </w:p>
    <w:p w14:paraId="2577EA32" w14:textId="77777777" w:rsidR="006063C9" w:rsidRDefault="001823DC">
      <w:pPr>
        <w:ind w:left="720" w:hanging="720"/>
        <w:jc w:val="both"/>
      </w:pPr>
      <w:r>
        <w:t>about amazon. (2024) 'Three ways AWS uses the Internet of Things, AI, and machine learning to optimise Amazon's fulfilment centres'. Available at: about amazon. [Accessed 9 April 2026].</w:t>
      </w:r>
    </w:p>
    <w:p w14:paraId="04605849" w14:textId="77777777" w:rsidR="006063C9" w:rsidRDefault="001823DC">
      <w:pPr>
        <w:ind w:left="720" w:hanging="720"/>
        <w:jc w:val="both"/>
      </w:pPr>
      <w:r>
        <w:t xml:space="preserve">Amazon (2025a) </w:t>
      </w:r>
      <w:proofErr w:type="spellStart"/>
      <w:r>
        <w:t>GlobalRME</w:t>
      </w:r>
      <w:proofErr w:type="spellEnd"/>
      <w:r>
        <w:t xml:space="preserve"> PULSE Predictive Maintenance Wiki. Amazon Internal. [Accessed 9 April 2026].</w:t>
      </w:r>
    </w:p>
    <w:p w14:paraId="7F278D02" w14:textId="77777777" w:rsidR="006063C9" w:rsidRDefault="001823DC">
      <w:pPr>
        <w:ind w:left="720" w:hanging="720"/>
        <w:jc w:val="both"/>
      </w:pPr>
      <w:r>
        <w:t>Amazon (2025b) Continuous Improvement Wiki — ACES Framework. Amazon Internal. [Accessed 9 April 2026].</w:t>
      </w:r>
    </w:p>
    <w:p w14:paraId="2B59712D" w14:textId="77777777" w:rsidR="006063C9" w:rsidRDefault="001823DC">
      <w:pPr>
        <w:ind w:left="720" w:hanging="720"/>
        <w:jc w:val="both"/>
      </w:pPr>
      <w:r>
        <w:t xml:space="preserve">Amazon (2025c) OEE Metrics Calculations Wiki — </w:t>
      </w:r>
      <w:proofErr w:type="spellStart"/>
      <w:r>
        <w:t>RoboPack</w:t>
      </w:r>
      <w:proofErr w:type="spellEnd"/>
      <w:r>
        <w:t xml:space="preserve"> CW-1000. Amazon Internal. [Accessed 9 April 2026].</w:t>
      </w:r>
    </w:p>
    <w:p w14:paraId="2157911C" w14:textId="77777777" w:rsidR="006063C9" w:rsidRDefault="001823DC">
      <w:pPr>
        <w:ind w:left="720" w:hanging="720"/>
        <w:jc w:val="both"/>
      </w:pPr>
      <w:r>
        <w:t>Amazon (2025d) OEE Visibility Wiki. Amazon Internal. [Accessed 15 April 2026].</w:t>
      </w:r>
    </w:p>
    <w:p w14:paraId="376696C5" w14:textId="77777777" w:rsidR="006063C9" w:rsidRDefault="001823DC">
      <w:pPr>
        <w:ind w:left="720" w:hanging="720"/>
        <w:jc w:val="both"/>
      </w:pPr>
      <w:r>
        <w:t>Amazon Fulfilment Technologies (2025) AFT Wiki. Amazon Internal. [Accessed 15 April 2026].</w:t>
      </w:r>
    </w:p>
    <w:p w14:paraId="75B2D4DC" w14:textId="77777777" w:rsidR="006063C9" w:rsidRDefault="001823DC">
      <w:pPr>
        <w:ind w:left="720" w:hanging="720"/>
        <w:jc w:val="both"/>
      </w:pPr>
      <w:r>
        <w:t>Amazon Robotics (2025) Amazon Robotics Wiki. Amazon Internal. [Accessed 15 April 2026].</w:t>
      </w:r>
    </w:p>
    <w:p w14:paraId="689CFF32" w14:textId="77777777" w:rsidR="006063C9" w:rsidRDefault="001823DC">
      <w:pPr>
        <w:ind w:left="720" w:hanging="720"/>
        <w:jc w:val="both"/>
      </w:pPr>
      <w:r>
        <w:t xml:space="preserve">AWS (2024) 'Amazon Customer Fulfilment Increased Productivity and Reduced Unplanned Equipment Downtime Using Amazon </w:t>
      </w:r>
      <w:proofErr w:type="spellStart"/>
      <w:r>
        <w:t>Monitron</w:t>
      </w:r>
      <w:proofErr w:type="spellEnd"/>
      <w:r>
        <w:t>'. Available at: aws.amazon.com/solutions/case-studies/amazon-customer-fulfillment-case-study/ [Accessed 15 April 2026].</w:t>
      </w:r>
    </w:p>
    <w:p w14:paraId="69F703FE" w14:textId="77777777" w:rsidR="006063C9" w:rsidRDefault="001823DC">
      <w:pPr>
        <w:ind w:left="720" w:hanging="720"/>
        <w:jc w:val="both"/>
      </w:pPr>
      <w:r>
        <w:t>AWS Blog (2024) 'AWS Simulation and Digital Twin to increase warehouse productivity'. Available at: aws.amazon.com/blogs/supply-chain/ [Accessed 15 April 2026].</w:t>
      </w:r>
    </w:p>
    <w:p w14:paraId="44611784" w14:textId="77777777" w:rsidR="006063C9" w:rsidRDefault="001823DC">
      <w:pPr>
        <w:ind w:left="720" w:hanging="720"/>
        <w:jc w:val="both"/>
      </w:pPr>
      <w:r>
        <w:t>Schwab, K. (2016) The Fourth Industrial Revolution. Geneva: World Economic Forum.</w:t>
      </w:r>
    </w:p>
    <w:sectPr w:rsidR="006063C9">
      <w:pgSz w:w="11906" w:h="16838"/>
      <w:pgMar w:top="1440" w:right="1440" w:bottom="1440" w:left="1440" w:header="708" w:footer="708"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ptos">
    <w:charset w:val="00"/>
    <w:family w:val="swiss"/>
    <w:pitch w:val="variable"/>
    <w:sig w:usb0="20000287" w:usb1="00000003"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34EC7110"/>
    <w:multiLevelType w:val="hybridMultilevel"/>
    <w:tmpl w:val="9C342630"/>
    <w:lvl w:ilvl="0" w:tplc="4F141BFE">
      <w:start w:val="1"/>
      <w:numFmt w:val="bullet"/>
      <w:lvlText w:val="●"/>
      <w:lvlJc w:val="left"/>
      <w:pPr>
        <w:ind w:left="720" w:hanging="360"/>
      </w:pPr>
    </w:lvl>
    <w:lvl w:ilvl="1" w:tplc="52945C96">
      <w:start w:val="1"/>
      <w:numFmt w:val="bullet"/>
      <w:lvlText w:val="○"/>
      <w:lvlJc w:val="left"/>
      <w:pPr>
        <w:ind w:left="1440" w:hanging="360"/>
      </w:pPr>
    </w:lvl>
    <w:lvl w:ilvl="2" w:tplc="42262082">
      <w:start w:val="1"/>
      <w:numFmt w:val="bullet"/>
      <w:lvlText w:val="■"/>
      <w:lvlJc w:val="left"/>
      <w:pPr>
        <w:ind w:left="2160" w:hanging="360"/>
      </w:pPr>
    </w:lvl>
    <w:lvl w:ilvl="3" w:tplc="7564E560">
      <w:start w:val="1"/>
      <w:numFmt w:val="bullet"/>
      <w:lvlText w:val="●"/>
      <w:lvlJc w:val="left"/>
      <w:pPr>
        <w:ind w:left="2880" w:hanging="360"/>
      </w:pPr>
    </w:lvl>
    <w:lvl w:ilvl="4" w:tplc="23BAE420">
      <w:start w:val="1"/>
      <w:numFmt w:val="bullet"/>
      <w:lvlText w:val="○"/>
      <w:lvlJc w:val="left"/>
      <w:pPr>
        <w:ind w:left="3600" w:hanging="360"/>
      </w:pPr>
    </w:lvl>
    <w:lvl w:ilvl="5" w:tplc="4700578A">
      <w:start w:val="1"/>
      <w:numFmt w:val="bullet"/>
      <w:lvlText w:val="■"/>
      <w:lvlJc w:val="left"/>
      <w:pPr>
        <w:ind w:left="4320" w:hanging="360"/>
      </w:pPr>
    </w:lvl>
    <w:lvl w:ilvl="6" w:tplc="AC54A39E">
      <w:start w:val="1"/>
      <w:numFmt w:val="bullet"/>
      <w:lvlText w:val="●"/>
      <w:lvlJc w:val="left"/>
      <w:pPr>
        <w:ind w:left="5040" w:hanging="360"/>
      </w:pPr>
    </w:lvl>
    <w:lvl w:ilvl="7" w:tplc="53B6D790">
      <w:start w:val="1"/>
      <w:numFmt w:val="bullet"/>
      <w:lvlText w:val="●"/>
      <w:lvlJc w:val="left"/>
      <w:pPr>
        <w:ind w:left="5760" w:hanging="360"/>
      </w:pPr>
    </w:lvl>
    <w:lvl w:ilvl="8" w:tplc="4CB89488">
      <w:start w:val="1"/>
      <w:numFmt w:val="bullet"/>
      <w:lvlText w:val="●"/>
      <w:lvlJc w:val="left"/>
      <w:pPr>
        <w:ind w:left="6480" w:hanging="360"/>
      </w:pPr>
    </w:lvl>
  </w:abstractNum>
  <w:abstractNum w:abstractNumId="1" w15:restartNumberingAfterBreak="0">
    <w:nsid w:val="5FFD46C7"/>
    <w:multiLevelType w:val="hybridMultilevel"/>
    <w:tmpl w:val="2266FC6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2614653">
    <w:abstractNumId w:val="0"/>
    <w:lvlOverride w:ilvl="0">
      <w:startOverride w:val="1"/>
    </w:lvlOverride>
  </w:num>
  <w:num w:numId="2" w16cid:durableId="69622325">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70"/>
  <w:displayBackgroundShape/>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6063C9"/>
    <w:rsid w:val="000702D2"/>
    <w:rsid w:val="001823DC"/>
    <w:rsid w:val="00280970"/>
    <w:rsid w:val="00303347"/>
    <w:rsid w:val="00310EA9"/>
    <w:rsid w:val="006063C9"/>
    <w:rsid w:val="00B31B48"/>
    <w:rsid w:val="00DE418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2F46DB5"/>
  <w15:docId w15:val="{AE9D02F0-6499-4B80-AF46-717F8C507AB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rial" w:eastAsia="Arial" w:hAnsi="Arial" w:cs="Arial"/>
        <w:sz w:val="24"/>
        <w:szCs w:val="24"/>
        <w:lang w:val="en-GB" w:eastAsia="en-GB" w:bidi="ar-SA"/>
      </w:rPr>
    </w:rPrDefault>
    <w:pPrDefault>
      <w:pPr>
        <w:spacing w:after="16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uiPriority w:val="9"/>
    <w:qFormat/>
    <w:pPr>
      <w:spacing w:before="400" w:after="200"/>
      <w:outlineLvl w:val="0"/>
    </w:pPr>
    <w:rPr>
      <w:b/>
      <w:bCs/>
      <w:sz w:val="28"/>
      <w:szCs w:val="28"/>
    </w:rPr>
  </w:style>
  <w:style w:type="paragraph" w:styleId="Heading2">
    <w:name w:val="heading 2"/>
    <w:uiPriority w:val="9"/>
    <w:unhideWhenUsed/>
    <w:qFormat/>
    <w:pPr>
      <w:spacing w:before="300"/>
      <w:outlineLvl w:val="1"/>
    </w:pPr>
    <w:rPr>
      <w:b/>
      <w:bCs/>
    </w:rPr>
  </w:style>
  <w:style w:type="paragraph" w:styleId="Heading3">
    <w:name w:val="heading 3"/>
    <w:uiPriority w:val="9"/>
    <w:semiHidden/>
    <w:unhideWhenUsed/>
    <w:qFormat/>
    <w:pPr>
      <w:outlineLvl w:val="2"/>
    </w:pPr>
    <w:rPr>
      <w:color w:val="1F4D78"/>
    </w:rPr>
  </w:style>
  <w:style w:type="paragraph" w:styleId="Heading4">
    <w:name w:val="heading 4"/>
    <w:uiPriority w:val="9"/>
    <w:semiHidden/>
    <w:unhideWhenUsed/>
    <w:qFormat/>
    <w:pPr>
      <w:outlineLvl w:val="3"/>
    </w:pPr>
    <w:rPr>
      <w:i/>
      <w:iCs/>
      <w:color w:val="2E74B5"/>
    </w:rPr>
  </w:style>
  <w:style w:type="paragraph" w:styleId="Heading5">
    <w:name w:val="heading 5"/>
    <w:uiPriority w:val="9"/>
    <w:semiHidden/>
    <w:unhideWhenUsed/>
    <w:qFormat/>
    <w:pPr>
      <w:outlineLvl w:val="4"/>
    </w:pPr>
    <w:rPr>
      <w:color w:val="2E74B5"/>
    </w:rPr>
  </w:style>
  <w:style w:type="paragraph" w:styleId="Heading6">
    <w:name w:val="heading 6"/>
    <w:uiPriority w:val="9"/>
    <w:semiHidden/>
    <w:unhideWhenUsed/>
    <w:qFormat/>
    <w:pPr>
      <w:outlineLvl w:val="5"/>
    </w:pPr>
    <w:rPr>
      <w:color w:val="1F4D7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uiPriority w:val="10"/>
    <w:qFormat/>
    <w:rPr>
      <w:sz w:val="56"/>
      <w:szCs w:val="56"/>
    </w:rPr>
  </w:style>
  <w:style w:type="paragraph" w:customStyle="1" w:styleId="Strong1">
    <w:name w:val="Strong1"/>
    <w:qFormat/>
    <w:rPr>
      <w:b/>
      <w:bCs/>
    </w:rPr>
  </w:style>
  <w:style w:type="paragraph" w:styleId="ListParagraph">
    <w:name w:val="List Paragraph"/>
    <w:qFormat/>
  </w:style>
  <w:style w:type="character" w:styleId="Hyperlink">
    <w:name w:val="Hyperlink"/>
    <w:uiPriority w:val="99"/>
    <w:unhideWhenUsed/>
    <w:rPr>
      <w:color w:val="0563C1"/>
      <w:u w:val="single"/>
    </w:rPr>
  </w:style>
  <w:style w:type="character" w:styleId="FootnoteReference">
    <w:name w:val="footnote reference"/>
    <w:uiPriority w:val="99"/>
    <w:semiHidden/>
    <w:unhideWhenUsed/>
    <w:rPr>
      <w:vertAlign w:val="superscript"/>
    </w:rPr>
  </w:style>
  <w:style w:type="paragraph" w:styleId="FootnoteText">
    <w:name w:val="footnote text"/>
    <w:link w:val="FootnoteTextChar"/>
    <w:uiPriority w:val="99"/>
    <w:semiHidden/>
    <w:unhideWhenUsed/>
    <w:pPr>
      <w:spacing w:after="0" w:line="240" w:lineRule="auto"/>
    </w:pPr>
    <w:rPr>
      <w:sz w:val="20"/>
      <w:szCs w:val="20"/>
    </w:rPr>
  </w:style>
  <w:style w:type="character" w:customStyle="1" w:styleId="FootnoteTextChar">
    <w:name w:val="Footnote Text Char"/>
    <w:link w:val="FootnoteText"/>
    <w:uiPriority w:val="99"/>
    <w:semiHidden/>
    <w:unhideWhenUsed/>
    <w:rPr>
      <w:sz w:val="20"/>
      <w:szCs w:val="20"/>
    </w:rPr>
  </w:style>
  <w:style w:type="character" w:styleId="EndnoteReference">
    <w:name w:val="endnote reference"/>
    <w:uiPriority w:val="99"/>
    <w:semiHidden/>
    <w:unhideWhenUsed/>
    <w:rPr>
      <w:vertAlign w:val="superscript"/>
    </w:rPr>
  </w:style>
  <w:style w:type="paragraph" w:styleId="EndnoteText">
    <w:name w:val="endnote text"/>
    <w:link w:val="EndnoteTextChar"/>
    <w:uiPriority w:val="99"/>
    <w:semiHidden/>
    <w:unhideWhenUsed/>
    <w:pPr>
      <w:spacing w:after="0" w:line="240" w:lineRule="auto"/>
    </w:pPr>
    <w:rPr>
      <w:sz w:val="20"/>
      <w:szCs w:val="20"/>
    </w:rPr>
  </w:style>
  <w:style w:type="character" w:customStyle="1" w:styleId="EndnoteTextChar">
    <w:name w:val="Endnote Text Char"/>
    <w:link w:val="EndnoteText"/>
    <w:uiPriority w:val="99"/>
    <w:semiHidden/>
    <w:unhideWhenUsed/>
    <w:rPr>
      <w:sz w:val="20"/>
      <w:szCs w:val="20"/>
    </w:rPr>
  </w:style>
  <w:style w:type="paragraph" w:customStyle="1" w:styleId="TitlePage">
    <w:name w:val="Title Page"/>
    <w:qFormat/>
    <w:pPr>
      <w:spacing w:after="200"/>
      <w:jc w:val="center"/>
    </w:pPr>
  </w:style>
  <w:style w:type="paragraph" w:customStyle="1" w:styleId="TableCaption">
    <w:name w:val="Table Caption"/>
    <w:pPr>
      <w:spacing w:before="120" w:after="200"/>
    </w:pPr>
    <w:rPr>
      <w:b/>
      <w:bCs/>
      <w:sz w:val="22"/>
      <w:szCs w:val="22"/>
    </w:rPr>
  </w:style>
  <w:style w:type="paragraph" w:customStyle="1" w:styleId="RefEntry">
    <w:name w:val="Ref Entry"/>
    <w:pPr>
      <w:spacing w:after="120"/>
      <w:ind w:left="720" w:hanging="7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137</TotalTime>
  <Pages>1</Pages>
  <Words>3425</Words>
  <Characters>19523</Characters>
  <Application>Microsoft Office Word</Application>
  <DocSecurity>0</DocSecurity>
  <Lines>162</Lines>
  <Paragraphs>45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22903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Un-named</dc:creator>
  <cp:lastModifiedBy>Craig Davies (1550312)</cp:lastModifiedBy>
  <cp:revision>4</cp:revision>
  <dcterms:created xsi:type="dcterms:W3CDTF">2026-04-24T08:34:00Z</dcterms:created>
  <dcterms:modified xsi:type="dcterms:W3CDTF">2026-04-24T10:49:00Z</dcterms:modified>
</cp:coreProperties>
</file>