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C342C" w14:textId="59DA561F" w:rsidR="00265C34" w:rsidRPr="005D2610" w:rsidRDefault="00265C34" w:rsidP="005D2610">
      <w:pPr>
        <w:spacing w:line="360" w:lineRule="auto"/>
        <w:jc w:val="center"/>
        <w:rPr>
          <w:rFonts w:ascii="Arial" w:hAnsi="Arial" w:cs="Arial"/>
          <w:b/>
          <w:sz w:val="22"/>
        </w:rPr>
      </w:pPr>
    </w:p>
    <w:p w14:paraId="2826D0CF" w14:textId="74255E1A" w:rsidR="00265C34" w:rsidRPr="005D2610" w:rsidRDefault="00265C34" w:rsidP="005D2610">
      <w:pPr>
        <w:spacing w:line="360" w:lineRule="auto"/>
        <w:jc w:val="center"/>
        <w:rPr>
          <w:rFonts w:ascii="Arial" w:hAnsi="Arial" w:cs="Arial"/>
          <w:b/>
          <w:sz w:val="22"/>
        </w:rPr>
      </w:pPr>
    </w:p>
    <w:p w14:paraId="58980188" w14:textId="5A7FA26F" w:rsidR="00265C34" w:rsidRPr="005D2610" w:rsidRDefault="00265C34" w:rsidP="005D2610">
      <w:pPr>
        <w:spacing w:line="360" w:lineRule="auto"/>
        <w:jc w:val="center"/>
        <w:rPr>
          <w:rFonts w:ascii="Arial" w:hAnsi="Arial" w:cs="Arial"/>
          <w:b/>
          <w:sz w:val="22"/>
        </w:rPr>
      </w:pPr>
    </w:p>
    <w:p w14:paraId="6D8768F8" w14:textId="7ED2DA77" w:rsidR="00265C34" w:rsidRPr="005D2610" w:rsidRDefault="00265C34" w:rsidP="005D2610">
      <w:pPr>
        <w:spacing w:line="360" w:lineRule="auto"/>
        <w:jc w:val="center"/>
        <w:rPr>
          <w:rFonts w:ascii="Arial" w:hAnsi="Arial" w:cs="Arial"/>
          <w:b/>
          <w:sz w:val="22"/>
        </w:rPr>
      </w:pPr>
    </w:p>
    <w:p w14:paraId="7A14087B" w14:textId="6D963D42" w:rsidR="00265C34" w:rsidRPr="005D2610" w:rsidRDefault="00265C34" w:rsidP="005D2610">
      <w:pPr>
        <w:spacing w:line="360" w:lineRule="auto"/>
        <w:jc w:val="center"/>
        <w:rPr>
          <w:rFonts w:ascii="Arial" w:hAnsi="Arial" w:cs="Arial"/>
          <w:b/>
          <w:sz w:val="22"/>
        </w:rPr>
      </w:pPr>
    </w:p>
    <w:p w14:paraId="37B90071" w14:textId="4F52C571" w:rsidR="00265C34" w:rsidRPr="005D2610" w:rsidRDefault="00265C34" w:rsidP="005D2610">
      <w:pPr>
        <w:spacing w:line="360" w:lineRule="auto"/>
        <w:jc w:val="center"/>
        <w:rPr>
          <w:rFonts w:ascii="Arial" w:hAnsi="Arial" w:cs="Arial"/>
          <w:b/>
          <w:sz w:val="22"/>
        </w:rPr>
      </w:pPr>
    </w:p>
    <w:p w14:paraId="356D6A73" w14:textId="419994EB" w:rsidR="00265C34" w:rsidRPr="005D2610" w:rsidRDefault="00265C34" w:rsidP="005D2610">
      <w:pPr>
        <w:spacing w:line="360" w:lineRule="auto"/>
        <w:jc w:val="center"/>
        <w:rPr>
          <w:rFonts w:ascii="Arial" w:hAnsi="Arial" w:cs="Arial"/>
          <w:b/>
          <w:sz w:val="22"/>
        </w:rPr>
      </w:pPr>
    </w:p>
    <w:p w14:paraId="051F5A64" w14:textId="42AF4BCE" w:rsidR="00265C34" w:rsidRPr="005D2610" w:rsidRDefault="00E42F2C" w:rsidP="005D2610">
      <w:pPr>
        <w:spacing w:line="360" w:lineRule="auto"/>
        <w:jc w:val="center"/>
        <w:rPr>
          <w:rFonts w:ascii="Arial" w:hAnsi="Arial" w:cs="Arial"/>
          <w:b/>
          <w:sz w:val="22"/>
        </w:rPr>
      </w:pPr>
      <w:r w:rsidRPr="005D2610">
        <w:rPr>
          <w:rFonts w:ascii="Arial" w:hAnsi="Arial" w:cs="Arial"/>
          <w:b/>
          <w:sz w:val="22"/>
        </w:rPr>
        <w:t xml:space="preserve">Student </w:t>
      </w:r>
      <w:r w:rsidR="00D6611A" w:rsidRPr="005D2610">
        <w:rPr>
          <w:rFonts w:ascii="Arial" w:hAnsi="Arial" w:cs="Arial"/>
          <w:b/>
          <w:sz w:val="22"/>
        </w:rPr>
        <w:t>Name:</w:t>
      </w:r>
      <w:r w:rsidR="00D6611A">
        <w:rPr>
          <w:rFonts w:ascii="Arial" w:hAnsi="Arial" w:cs="Arial"/>
          <w:b/>
          <w:sz w:val="22"/>
        </w:rPr>
        <w:t xml:space="preserve"> Nadeie Seaied</w:t>
      </w:r>
    </w:p>
    <w:p w14:paraId="4A2DC816" w14:textId="28777C8F" w:rsidR="00860E05" w:rsidRPr="005D2610" w:rsidRDefault="00E42F2C" w:rsidP="005D2610">
      <w:pPr>
        <w:spacing w:line="360" w:lineRule="auto"/>
        <w:jc w:val="center"/>
        <w:rPr>
          <w:rFonts w:ascii="Arial" w:hAnsi="Arial" w:cs="Arial"/>
          <w:b/>
          <w:sz w:val="22"/>
        </w:rPr>
      </w:pPr>
      <w:r w:rsidRPr="005D2610">
        <w:rPr>
          <w:rFonts w:ascii="Arial" w:hAnsi="Arial" w:cs="Arial"/>
          <w:b/>
          <w:sz w:val="22"/>
        </w:rPr>
        <w:t>Student Number</w:t>
      </w:r>
      <w:r w:rsidR="005F2D01" w:rsidRPr="005D2610">
        <w:rPr>
          <w:rFonts w:ascii="Arial" w:hAnsi="Arial" w:cs="Arial"/>
          <w:b/>
          <w:sz w:val="22"/>
        </w:rPr>
        <w:t>:</w:t>
      </w:r>
      <w:r w:rsidR="00D6611A">
        <w:rPr>
          <w:rFonts w:ascii="Arial" w:hAnsi="Arial" w:cs="Arial"/>
          <w:b/>
          <w:sz w:val="22"/>
        </w:rPr>
        <w:t>2212621</w:t>
      </w:r>
    </w:p>
    <w:p w14:paraId="7E7EC596" w14:textId="6FA2A988" w:rsidR="00860E05" w:rsidRPr="005D2610" w:rsidRDefault="00E42F2C" w:rsidP="005D2610">
      <w:pPr>
        <w:spacing w:line="360" w:lineRule="auto"/>
        <w:jc w:val="center"/>
        <w:rPr>
          <w:rFonts w:ascii="Arial" w:hAnsi="Arial" w:cs="Arial"/>
          <w:b/>
          <w:sz w:val="22"/>
        </w:rPr>
      </w:pPr>
      <w:r w:rsidRPr="005D2610">
        <w:rPr>
          <w:rFonts w:ascii="Arial" w:hAnsi="Arial" w:cs="Arial"/>
          <w:b/>
          <w:sz w:val="22"/>
        </w:rPr>
        <w:t>Module Code</w:t>
      </w:r>
      <w:r w:rsidR="005F2D01" w:rsidRPr="005D2610">
        <w:rPr>
          <w:rFonts w:ascii="Arial" w:hAnsi="Arial" w:cs="Arial"/>
          <w:b/>
          <w:sz w:val="22"/>
        </w:rPr>
        <w:t>:</w:t>
      </w:r>
      <w:r w:rsidR="00815E6B" w:rsidRPr="005D2610">
        <w:rPr>
          <w:rFonts w:ascii="Arial" w:hAnsi="Arial" w:cs="Arial"/>
          <w:b/>
          <w:sz w:val="22"/>
        </w:rPr>
        <w:t xml:space="preserve"> LCHS7000</w:t>
      </w:r>
    </w:p>
    <w:p w14:paraId="57934556" w14:textId="79D9CA85" w:rsidR="00860E05" w:rsidRPr="005D2610" w:rsidRDefault="00E42F2C" w:rsidP="005D2610">
      <w:pPr>
        <w:spacing w:line="360" w:lineRule="auto"/>
        <w:jc w:val="center"/>
        <w:rPr>
          <w:rFonts w:ascii="Arial" w:hAnsi="Arial" w:cs="Arial"/>
          <w:b/>
          <w:sz w:val="22"/>
        </w:rPr>
      </w:pPr>
      <w:r w:rsidRPr="005D2610">
        <w:rPr>
          <w:rFonts w:ascii="Arial" w:hAnsi="Arial" w:cs="Arial"/>
          <w:b/>
          <w:sz w:val="22"/>
        </w:rPr>
        <w:t>Module Title</w:t>
      </w:r>
      <w:r w:rsidR="003D6D49" w:rsidRPr="005D2610">
        <w:rPr>
          <w:rFonts w:ascii="Arial" w:hAnsi="Arial" w:cs="Arial"/>
          <w:b/>
          <w:sz w:val="22"/>
        </w:rPr>
        <w:t>:</w:t>
      </w:r>
      <w:r w:rsidR="0027481C" w:rsidRPr="005D2610">
        <w:rPr>
          <w:rFonts w:ascii="Arial" w:hAnsi="Arial" w:cs="Arial"/>
          <w:b/>
          <w:sz w:val="22"/>
        </w:rPr>
        <w:t xml:space="preserve"> Social Epidemiology and Public Health Development</w:t>
      </w:r>
    </w:p>
    <w:p w14:paraId="7127765A" w14:textId="49C962BB" w:rsidR="001E437A" w:rsidRPr="005D2610" w:rsidRDefault="00E42F2C" w:rsidP="005D2610">
      <w:pPr>
        <w:spacing w:line="360" w:lineRule="auto"/>
        <w:jc w:val="center"/>
        <w:rPr>
          <w:rFonts w:ascii="Arial" w:hAnsi="Arial" w:cs="Arial"/>
          <w:b/>
          <w:sz w:val="22"/>
        </w:rPr>
      </w:pPr>
      <w:r w:rsidRPr="005D2610">
        <w:rPr>
          <w:rFonts w:ascii="Arial" w:hAnsi="Arial" w:cs="Arial"/>
          <w:b/>
          <w:sz w:val="22"/>
        </w:rPr>
        <w:t>Lecturer's Name</w:t>
      </w:r>
      <w:r w:rsidR="003D6D49" w:rsidRPr="005D2610">
        <w:rPr>
          <w:rFonts w:ascii="Arial" w:hAnsi="Arial" w:cs="Arial"/>
          <w:b/>
          <w:sz w:val="22"/>
        </w:rPr>
        <w:t>:</w:t>
      </w:r>
      <w:r w:rsidR="00815E6B" w:rsidRPr="005D2610">
        <w:rPr>
          <w:rFonts w:ascii="Arial" w:hAnsi="Arial" w:cs="Arial"/>
          <w:b/>
          <w:sz w:val="22"/>
        </w:rPr>
        <w:t xml:space="preserve"> </w:t>
      </w:r>
      <w:r w:rsidR="00A56FA8" w:rsidRPr="005D2610">
        <w:rPr>
          <w:rFonts w:ascii="Arial" w:hAnsi="Arial" w:cs="Arial"/>
          <w:b/>
          <w:sz w:val="22"/>
        </w:rPr>
        <w:t>Dr Hamdi Hussain</w:t>
      </w:r>
    </w:p>
    <w:p w14:paraId="342F8DC0" w14:textId="1D82A63F" w:rsidR="00300584" w:rsidRPr="005D2610" w:rsidRDefault="00E42F2C" w:rsidP="005D2610">
      <w:pPr>
        <w:spacing w:line="360" w:lineRule="auto"/>
        <w:jc w:val="center"/>
        <w:rPr>
          <w:rFonts w:ascii="Arial" w:hAnsi="Arial" w:cs="Arial"/>
          <w:b/>
          <w:sz w:val="22"/>
        </w:rPr>
      </w:pPr>
      <w:r w:rsidRPr="005D2610">
        <w:rPr>
          <w:rFonts w:ascii="Arial" w:hAnsi="Arial" w:cs="Arial"/>
          <w:b/>
          <w:sz w:val="22"/>
        </w:rPr>
        <w:t>Assignment Title:</w:t>
      </w:r>
      <w:r w:rsidR="000F098C" w:rsidRPr="005D2610">
        <w:rPr>
          <w:rFonts w:ascii="Arial" w:hAnsi="Arial" w:cs="Arial"/>
          <w:b/>
          <w:sz w:val="22"/>
        </w:rPr>
        <w:t xml:space="preserve"> </w:t>
      </w:r>
      <w:r w:rsidRPr="005D2610">
        <w:rPr>
          <w:rFonts w:ascii="Arial" w:hAnsi="Arial" w:cs="Arial"/>
          <w:b/>
          <w:sz w:val="22"/>
        </w:rPr>
        <w:t>Component 2 Analytical Report</w:t>
      </w:r>
    </w:p>
    <w:p w14:paraId="42229772" w14:textId="5C55C7DB" w:rsidR="00E11D66" w:rsidRPr="005D2610" w:rsidRDefault="00E11D66" w:rsidP="00D6611A">
      <w:pPr>
        <w:spacing w:line="360" w:lineRule="auto"/>
        <w:rPr>
          <w:rFonts w:ascii="Arial" w:hAnsi="Arial" w:cs="Arial"/>
          <w:b/>
          <w:sz w:val="22"/>
        </w:rPr>
      </w:pPr>
    </w:p>
    <w:p w14:paraId="4C0C135B" w14:textId="7125B8AC" w:rsidR="00E11D66" w:rsidRPr="005D2610" w:rsidRDefault="00E11D66" w:rsidP="00D6611A">
      <w:pPr>
        <w:spacing w:line="360" w:lineRule="auto"/>
        <w:rPr>
          <w:rFonts w:ascii="Arial" w:hAnsi="Arial" w:cs="Arial"/>
          <w:b/>
          <w:sz w:val="22"/>
        </w:rPr>
      </w:pPr>
    </w:p>
    <w:p w14:paraId="11136CF9" w14:textId="1583DDD2" w:rsidR="00E11D66" w:rsidRPr="005D2610" w:rsidRDefault="00E11D66" w:rsidP="005D2610">
      <w:pPr>
        <w:spacing w:line="360" w:lineRule="auto"/>
        <w:rPr>
          <w:rFonts w:ascii="Arial" w:hAnsi="Arial" w:cs="Arial"/>
          <w:sz w:val="22"/>
        </w:rPr>
      </w:pPr>
    </w:p>
    <w:p w14:paraId="7EE18851" w14:textId="2D37931F" w:rsidR="00EA0088" w:rsidRPr="005D2610" w:rsidRDefault="00E42F2C" w:rsidP="005D2610">
      <w:pPr>
        <w:spacing w:line="360" w:lineRule="auto"/>
        <w:rPr>
          <w:rFonts w:ascii="Arial" w:hAnsi="Arial" w:cs="Arial"/>
          <w:sz w:val="22"/>
        </w:rPr>
      </w:pPr>
      <w:r w:rsidRPr="005D2610">
        <w:rPr>
          <w:rFonts w:ascii="Arial" w:hAnsi="Arial" w:cs="Arial"/>
          <w:sz w:val="22"/>
        </w:rPr>
        <w:br w:type="page"/>
      </w:r>
    </w:p>
    <w:sdt>
      <w:sdtPr>
        <w:rPr>
          <w:rFonts w:ascii="Arial" w:eastAsiaTheme="minorHAnsi" w:hAnsi="Arial" w:cs="Arial"/>
          <w:color w:val="auto"/>
          <w:sz w:val="22"/>
          <w:szCs w:val="22"/>
          <w:lang w:val="en-GB"/>
        </w:rPr>
        <w:id w:val="1441101763"/>
        <w:docPartObj>
          <w:docPartGallery w:val="Table of Contents"/>
          <w:docPartUnique/>
        </w:docPartObj>
      </w:sdtPr>
      <w:sdtEndPr>
        <w:rPr>
          <w:b/>
          <w:bCs/>
          <w:noProof/>
        </w:rPr>
      </w:sdtEndPr>
      <w:sdtContent>
        <w:p w14:paraId="49D78630" w14:textId="618A3423" w:rsidR="00F45B30" w:rsidRPr="005D2610" w:rsidRDefault="00E42F2C" w:rsidP="005D2610">
          <w:pPr>
            <w:pStyle w:val="TOCHeading"/>
            <w:spacing w:line="360" w:lineRule="auto"/>
            <w:rPr>
              <w:rFonts w:ascii="Arial" w:hAnsi="Arial" w:cs="Arial"/>
              <w:color w:val="auto"/>
              <w:sz w:val="22"/>
              <w:szCs w:val="22"/>
            </w:rPr>
          </w:pPr>
          <w:r w:rsidRPr="005D2610">
            <w:rPr>
              <w:rFonts w:ascii="Arial" w:hAnsi="Arial" w:cs="Arial"/>
              <w:color w:val="auto"/>
              <w:sz w:val="22"/>
              <w:szCs w:val="22"/>
            </w:rPr>
            <w:t>Table of Contents</w:t>
          </w:r>
        </w:p>
        <w:p w14:paraId="35A47BC3" w14:textId="73F12F62" w:rsidR="005D2610" w:rsidRPr="005D2610" w:rsidRDefault="00E42F2C" w:rsidP="005D2610">
          <w:pPr>
            <w:pStyle w:val="TOC1"/>
            <w:tabs>
              <w:tab w:val="right" w:leader="dot" w:pos="9350"/>
            </w:tabs>
            <w:spacing w:line="360" w:lineRule="auto"/>
            <w:rPr>
              <w:rFonts w:ascii="Arial" w:eastAsiaTheme="minorEastAsia" w:hAnsi="Arial" w:cs="Arial"/>
              <w:noProof/>
              <w:sz w:val="22"/>
              <w:lang w:val="en-US"/>
            </w:rPr>
          </w:pPr>
          <w:r w:rsidRPr="005D2610">
            <w:rPr>
              <w:rFonts w:ascii="Arial" w:hAnsi="Arial" w:cs="Arial"/>
              <w:sz w:val="22"/>
            </w:rPr>
            <w:fldChar w:fldCharType="begin"/>
          </w:r>
          <w:r w:rsidRPr="005D2610">
            <w:rPr>
              <w:rFonts w:ascii="Arial" w:hAnsi="Arial" w:cs="Arial"/>
              <w:sz w:val="22"/>
            </w:rPr>
            <w:instrText xml:space="preserve"> TOC \o "1-3" \h \z \u </w:instrText>
          </w:r>
          <w:r w:rsidRPr="005D2610">
            <w:rPr>
              <w:rFonts w:ascii="Arial" w:hAnsi="Arial" w:cs="Arial"/>
              <w:sz w:val="22"/>
            </w:rPr>
            <w:fldChar w:fldCharType="separate"/>
          </w:r>
          <w:hyperlink w:anchor="_Toc209673766" w:history="1">
            <w:r w:rsidR="005D2610" w:rsidRPr="005D2610">
              <w:rPr>
                <w:rStyle w:val="Hyperlink"/>
                <w:rFonts w:ascii="Arial" w:hAnsi="Arial" w:cs="Arial"/>
                <w:noProof/>
                <w:sz w:val="22"/>
              </w:rPr>
              <w:t>Task 1: Social Epidemiological Analysis</w:t>
            </w:r>
            <w:r w:rsidR="005D2610" w:rsidRPr="005D2610">
              <w:rPr>
                <w:rFonts w:ascii="Arial" w:hAnsi="Arial" w:cs="Arial"/>
                <w:noProof/>
                <w:webHidden/>
                <w:sz w:val="22"/>
              </w:rPr>
              <w:tab/>
            </w:r>
            <w:r w:rsidR="005D2610" w:rsidRPr="005D2610">
              <w:rPr>
                <w:rFonts w:ascii="Arial" w:hAnsi="Arial" w:cs="Arial"/>
                <w:noProof/>
                <w:webHidden/>
                <w:sz w:val="22"/>
              </w:rPr>
              <w:fldChar w:fldCharType="begin"/>
            </w:r>
            <w:r w:rsidR="005D2610" w:rsidRPr="005D2610">
              <w:rPr>
                <w:rFonts w:ascii="Arial" w:hAnsi="Arial" w:cs="Arial"/>
                <w:noProof/>
                <w:webHidden/>
                <w:sz w:val="22"/>
              </w:rPr>
              <w:instrText xml:space="preserve"> PAGEREF _Toc209673766 \h </w:instrText>
            </w:r>
            <w:r w:rsidR="005D2610" w:rsidRPr="005D2610">
              <w:rPr>
                <w:rFonts w:ascii="Arial" w:hAnsi="Arial" w:cs="Arial"/>
                <w:noProof/>
                <w:webHidden/>
                <w:sz w:val="22"/>
              </w:rPr>
            </w:r>
            <w:r w:rsidR="005D2610" w:rsidRPr="005D2610">
              <w:rPr>
                <w:rFonts w:ascii="Arial" w:hAnsi="Arial" w:cs="Arial"/>
                <w:noProof/>
                <w:webHidden/>
                <w:sz w:val="22"/>
              </w:rPr>
              <w:fldChar w:fldCharType="separate"/>
            </w:r>
            <w:r w:rsidR="00C52FD1">
              <w:rPr>
                <w:rFonts w:ascii="Arial" w:hAnsi="Arial" w:cs="Arial"/>
                <w:noProof/>
                <w:webHidden/>
                <w:sz w:val="22"/>
              </w:rPr>
              <w:t>3</w:t>
            </w:r>
            <w:r w:rsidR="005D2610" w:rsidRPr="005D2610">
              <w:rPr>
                <w:rFonts w:ascii="Arial" w:hAnsi="Arial" w:cs="Arial"/>
                <w:noProof/>
                <w:webHidden/>
                <w:sz w:val="22"/>
              </w:rPr>
              <w:fldChar w:fldCharType="end"/>
            </w:r>
          </w:hyperlink>
        </w:p>
        <w:p w14:paraId="022CB565" w14:textId="3961E94A"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67" w:history="1">
            <w:r w:rsidRPr="005D2610">
              <w:rPr>
                <w:rStyle w:val="Hyperlink"/>
                <w:rFonts w:ascii="Arial" w:hAnsi="Arial" w:cs="Arial"/>
                <w:noProof/>
                <w:sz w:val="22"/>
                <w:lang w:val="en-US"/>
              </w:rPr>
              <w:t>Introduction</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_Toc209673767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3</w:t>
            </w:r>
            <w:r w:rsidRPr="005D2610">
              <w:rPr>
                <w:rFonts w:ascii="Arial" w:hAnsi="Arial" w:cs="Arial"/>
                <w:noProof/>
                <w:webHidden/>
                <w:sz w:val="22"/>
              </w:rPr>
              <w:fldChar w:fldCharType="end"/>
            </w:r>
          </w:hyperlink>
        </w:p>
        <w:p w14:paraId="08379719" w14:textId="2EEC858B"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68" w:history="1">
            <w:r w:rsidRPr="005D2610">
              <w:rPr>
                <w:rStyle w:val="Hyperlink"/>
                <w:rFonts w:ascii="Arial" w:hAnsi="Arial" w:cs="Arial"/>
                <w:noProof/>
                <w:sz w:val="22"/>
                <w:lang w:val="en-US"/>
              </w:rPr>
              <w:t>Contextual Background and Underlying Factors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_Toc209673768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3</w:t>
            </w:r>
            <w:r w:rsidRPr="005D2610">
              <w:rPr>
                <w:rFonts w:ascii="Arial" w:hAnsi="Arial" w:cs="Arial"/>
                <w:noProof/>
                <w:webHidden/>
                <w:sz w:val="22"/>
              </w:rPr>
              <w:fldChar w:fldCharType="end"/>
            </w:r>
          </w:hyperlink>
        </w:p>
        <w:p w14:paraId="57AC3E6C" w14:textId="257CEA06" w:rsidR="005D2610" w:rsidRPr="005D2610" w:rsidRDefault="005D2610" w:rsidP="005D2610">
          <w:pPr>
            <w:pStyle w:val="TOC3"/>
            <w:tabs>
              <w:tab w:val="right" w:leader="dot" w:pos="9350"/>
            </w:tabs>
            <w:spacing w:line="360" w:lineRule="auto"/>
            <w:rPr>
              <w:rFonts w:ascii="Arial" w:eastAsiaTheme="minorEastAsia" w:hAnsi="Arial" w:cs="Arial"/>
              <w:noProof/>
              <w:sz w:val="22"/>
              <w:lang w:val="en-US"/>
            </w:rPr>
          </w:pPr>
          <w:hyperlink w:anchor="_Toc209673769" w:history="1">
            <w:r w:rsidRPr="005D2610">
              <w:rPr>
                <w:rStyle w:val="Hyperlink"/>
                <w:rFonts w:ascii="Arial" w:hAnsi="Arial" w:cs="Arial"/>
                <w:noProof/>
                <w:sz w:val="22"/>
                <w:lang w:val="en-US"/>
              </w:rPr>
              <w:t>Disease/Illness Inequalities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_Toc209673769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3</w:t>
            </w:r>
            <w:r w:rsidRPr="005D2610">
              <w:rPr>
                <w:rFonts w:ascii="Arial" w:hAnsi="Arial" w:cs="Arial"/>
                <w:noProof/>
                <w:webHidden/>
                <w:sz w:val="22"/>
              </w:rPr>
              <w:fldChar w:fldCharType="end"/>
            </w:r>
          </w:hyperlink>
        </w:p>
        <w:p w14:paraId="05E3A9BE" w14:textId="31CA8BE5" w:rsidR="005D2610" w:rsidRPr="005D2610" w:rsidRDefault="005D2610" w:rsidP="005D2610">
          <w:pPr>
            <w:pStyle w:val="TOC3"/>
            <w:tabs>
              <w:tab w:val="right" w:leader="dot" w:pos="9350"/>
            </w:tabs>
            <w:spacing w:line="360" w:lineRule="auto"/>
            <w:rPr>
              <w:rFonts w:ascii="Arial" w:eastAsiaTheme="minorEastAsia" w:hAnsi="Arial" w:cs="Arial"/>
              <w:noProof/>
              <w:sz w:val="22"/>
              <w:lang w:val="en-US"/>
            </w:rPr>
          </w:pPr>
          <w:hyperlink w:anchor="_Toc209673770" w:history="1">
            <w:r w:rsidRPr="005D2610">
              <w:rPr>
                <w:rStyle w:val="Hyperlink"/>
                <w:rFonts w:ascii="Arial" w:hAnsi="Arial" w:cs="Arial"/>
                <w:noProof/>
                <w:sz w:val="22"/>
                <w:lang w:val="en-US"/>
              </w:rPr>
              <w:t>Social Inequalities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_Toc209673770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4</w:t>
            </w:r>
            <w:r w:rsidRPr="005D2610">
              <w:rPr>
                <w:rFonts w:ascii="Arial" w:hAnsi="Arial" w:cs="Arial"/>
                <w:noProof/>
                <w:webHidden/>
                <w:sz w:val="22"/>
              </w:rPr>
              <w:fldChar w:fldCharType="end"/>
            </w:r>
          </w:hyperlink>
        </w:p>
        <w:p w14:paraId="09F39387" w14:textId="4E41E8B8"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1" w:history="1">
            <w:r w:rsidRPr="005D2610">
              <w:rPr>
                <w:rStyle w:val="Hyperlink"/>
                <w:rFonts w:ascii="Arial" w:hAnsi="Arial" w:cs="Arial"/>
                <w:noProof/>
                <w:sz w:val="22"/>
                <w:lang w:val="en-US"/>
              </w:rPr>
              <w:t>National Response to Reduce Health Inequalities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_Toc209673771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5</w:t>
            </w:r>
            <w:r w:rsidRPr="005D2610">
              <w:rPr>
                <w:rFonts w:ascii="Arial" w:hAnsi="Arial" w:cs="Arial"/>
                <w:noProof/>
                <w:webHidden/>
                <w:sz w:val="22"/>
              </w:rPr>
              <w:fldChar w:fldCharType="end"/>
            </w:r>
          </w:hyperlink>
        </w:p>
        <w:p w14:paraId="606F49AE" w14:textId="2CE5183A"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2" w:history="1">
            <w:r w:rsidRPr="005D2610">
              <w:rPr>
                <w:rStyle w:val="Hyperlink"/>
                <w:rFonts w:ascii="Arial" w:hAnsi="Arial" w:cs="Arial"/>
                <w:noProof/>
                <w:sz w:val="22"/>
                <w:lang w:val="en-US"/>
              </w:rPr>
              <w:t>Organisations Supporting Disabled People</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_Toc209673772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5</w:t>
            </w:r>
            <w:r w:rsidRPr="005D2610">
              <w:rPr>
                <w:rFonts w:ascii="Arial" w:hAnsi="Arial" w:cs="Arial"/>
                <w:noProof/>
                <w:webHidden/>
                <w:sz w:val="22"/>
              </w:rPr>
              <w:fldChar w:fldCharType="end"/>
            </w:r>
          </w:hyperlink>
        </w:p>
        <w:p w14:paraId="286A756C" w14:textId="6E533F1C"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3" w:history="1">
            <w:r w:rsidRPr="005D2610">
              <w:rPr>
                <w:rStyle w:val="Hyperlink"/>
                <w:rFonts w:ascii="Arial" w:hAnsi="Arial" w:cs="Arial"/>
                <w:noProof/>
                <w:sz w:val="22"/>
                <w:lang w:val="en-US"/>
              </w:rPr>
              <w:t>Conclusion</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_Toc209673773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6</w:t>
            </w:r>
            <w:r w:rsidRPr="005D2610">
              <w:rPr>
                <w:rFonts w:ascii="Arial" w:hAnsi="Arial" w:cs="Arial"/>
                <w:noProof/>
                <w:webHidden/>
                <w:sz w:val="22"/>
              </w:rPr>
              <w:fldChar w:fldCharType="end"/>
            </w:r>
          </w:hyperlink>
        </w:p>
        <w:p w14:paraId="17278894" w14:textId="0F9B042F"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4" w:history="1">
            <w:r w:rsidRPr="005D2610">
              <w:rPr>
                <w:rStyle w:val="Hyperlink"/>
                <w:rFonts w:ascii="Arial" w:hAnsi="Arial" w:cs="Arial"/>
                <w:noProof/>
                <w:sz w:val="22"/>
                <w:lang w:val="en-US"/>
              </w:rPr>
              <w:t>References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_Toc209673774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7</w:t>
            </w:r>
            <w:r w:rsidRPr="005D2610">
              <w:rPr>
                <w:rFonts w:ascii="Arial" w:hAnsi="Arial" w:cs="Arial"/>
                <w:noProof/>
                <w:webHidden/>
                <w:sz w:val="22"/>
              </w:rPr>
              <w:fldChar w:fldCharType="end"/>
            </w:r>
          </w:hyperlink>
        </w:p>
        <w:p w14:paraId="62AF4F29" w14:textId="0D434760" w:rsidR="005D2610" w:rsidRPr="005D2610" w:rsidRDefault="005D2610" w:rsidP="005D2610">
          <w:pPr>
            <w:pStyle w:val="TOC1"/>
            <w:tabs>
              <w:tab w:val="right" w:leader="dot" w:pos="9350"/>
            </w:tabs>
            <w:spacing w:line="360" w:lineRule="auto"/>
            <w:rPr>
              <w:rFonts w:ascii="Arial" w:eastAsiaTheme="minorEastAsia" w:hAnsi="Arial" w:cs="Arial"/>
              <w:noProof/>
              <w:sz w:val="22"/>
              <w:lang w:val="en-US"/>
            </w:rPr>
          </w:pPr>
          <w:hyperlink w:anchor="_Toc209673775" w:history="1">
            <w:r w:rsidRPr="005D2610">
              <w:rPr>
                <w:rStyle w:val="Hyperlink"/>
                <w:rFonts w:ascii="Arial" w:hAnsi="Arial" w:cs="Arial"/>
                <w:noProof/>
                <w:sz w:val="22"/>
                <w:lang w:val="en-US"/>
              </w:rPr>
              <w:t>Task 2: Epidemiological Analysis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_Toc209673775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9</w:t>
            </w:r>
            <w:r w:rsidRPr="005D2610">
              <w:rPr>
                <w:rFonts w:ascii="Arial" w:hAnsi="Arial" w:cs="Arial"/>
                <w:noProof/>
                <w:webHidden/>
                <w:sz w:val="22"/>
              </w:rPr>
              <w:fldChar w:fldCharType="end"/>
            </w:r>
          </w:hyperlink>
        </w:p>
        <w:p w14:paraId="7A7CB6FA" w14:textId="05A9FFEF"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6" w:history="1">
            <w:r w:rsidRPr="005D2610">
              <w:rPr>
                <w:rStyle w:val="Hyperlink"/>
                <w:rFonts w:ascii="Arial" w:hAnsi="Arial" w:cs="Arial"/>
                <w:noProof/>
                <w:sz w:val="22"/>
                <w:lang w:val="en-US"/>
              </w:rPr>
              <w:t>Introduction</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_Toc209673776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9</w:t>
            </w:r>
            <w:r w:rsidRPr="005D2610">
              <w:rPr>
                <w:rFonts w:ascii="Arial" w:hAnsi="Arial" w:cs="Arial"/>
                <w:noProof/>
                <w:webHidden/>
                <w:sz w:val="22"/>
              </w:rPr>
              <w:fldChar w:fldCharType="end"/>
            </w:r>
          </w:hyperlink>
        </w:p>
        <w:p w14:paraId="1D8481EB" w14:textId="6471221E"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7" w:history="1">
            <w:r w:rsidRPr="005D2610">
              <w:rPr>
                <w:rStyle w:val="Hyperlink"/>
                <w:rFonts w:ascii="Arial" w:hAnsi="Arial" w:cs="Arial"/>
                <w:noProof/>
                <w:sz w:val="22"/>
                <w:lang w:val="en-US"/>
              </w:rPr>
              <w:t>Determinants and Risk Factors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_Toc209673777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9</w:t>
            </w:r>
            <w:r w:rsidRPr="005D2610">
              <w:rPr>
                <w:rFonts w:ascii="Arial" w:hAnsi="Arial" w:cs="Arial"/>
                <w:noProof/>
                <w:webHidden/>
                <w:sz w:val="22"/>
              </w:rPr>
              <w:fldChar w:fldCharType="end"/>
            </w:r>
          </w:hyperlink>
        </w:p>
        <w:p w14:paraId="7F78D9D3" w14:textId="45C41F33"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8" w:history="1">
            <w:r w:rsidRPr="005D2610">
              <w:rPr>
                <w:rStyle w:val="Hyperlink"/>
                <w:rFonts w:ascii="Arial" w:hAnsi="Arial" w:cs="Arial"/>
                <w:noProof/>
                <w:sz w:val="22"/>
                <w:lang w:val="en-US"/>
              </w:rPr>
              <w:t>Epidemiological Evidence in Tower Hamlets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_Toc209673778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10</w:t>
            </w:r>
            <w:r w:rsidRPr="005D2610">
              <w:rPr>
                <w:rFonts w:ascii="Arial" w:hAnsi="Arial" w:cs="Arial"/>
                <w:noProof/>
                <w:webHidden/>
                <w:sz w:val="22"/>
              </w:rPr>
              <w:fldChar w:fldCharType="end"/>
            </w:r>
          </w:hyperlink>
        </w:p>
        <w:p w14:paraId="5A498277" w14:textId="318A0904"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79" w:history="1">
            <w:r w:rsidRPr="005D2610">
              <w:rPr>
                <w:rStyle w:val="Hyperlink"/>
                <w:rFonts w:ascii="Arial" w:hAnsi="Arial" w:cs="Arial"/>
                <w:noProof/>
                <w:sz w:val="22"/>
                <w:lang w:val="en-US"/>
              </w:rPr>
              <w:t>Surveillance and Monitoring Systems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_Toc209673779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10</w:t>
            </w:r>
            <w:r w:rsidRPr="005D2610">
              <w:rPr>
                <w:rFonts w:ascii="Arial" w:hAnsi="Arial" w:cs="Arial"/>
                <w:noProof/>
                <w:webHidden/>
                <w:sz w:val="22"/>
              </w:rPr>
              <w:fldChar w:fldCharType="end"/>
            </w:r>
          </w:hyperlink>
        </w:p>
        <w:p w14:paraId="511EF129" w14:textId="7274CE07"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80" w:history="1">
            <w:r w:rsidRPr="005D2610">
              <w:rPr>
                <w:rStyle w:val="Hyperlink"/>
                <w:rFonts w:ascii="Arial" w:hAnsi="Arial" w:cs="Arial"/>
                <w:noProof/>
                <w:sz w:val="22"/>
                <w:lang w:val="en-US"/>
              </w:rPr>
              <w:t>Public Health Measures and Interventions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_Toc209673780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11</w:t>
            </w:r>
            <w:r w:rsidRPr="005D2610">
              <w:rPr>
                <w:rFonts w:ascii="Arial" w:hAnsi="Arial" w:cs="Arial"/>
                <w:noProof/>
                <w:webHidden/>
                <w:sz w:val="22"/>
              </w:rPr>
              <w:fldChar w:fldCharType="end"/>
            </w:r>
          </w:hyperlink>
        </w:p>
        <w:p w14:paraId="2B169B3F" w14:textId="503F3210"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81" w:history="1">
            <w:r w:rsidRPr="005D2610">
              <w:rPr>
                <w:rStyle w:val="Hyperlink"/>
                <w:rFonts w:ascii="Arial" w:hAnsi="Arial" w:cs="Arial"/>
                <w:noProof/>
                <w:sz w:val="22"/>
                <w:lang w:val="en-US"/>
              </w:rPr>
              <w:t>Public Health Impact and Consequences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_Toc209673781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11</w:t>
            </w:r>
            <w:r w:rsidRPr="005D2610">
              <w:rPr>
                <w:rFonts w:ascii="Arial" w:hAnsi="Arial" w:cs="Arial"/>
                <w:noProof/>
                <w:webHidden/>
                <w:sz w:val="22"/>
              </w:rPr>
              <w:fldChar w:fldCharType="end"/>
            </w:r>
          </w:hyperlink>
        </w:p>
        <w:p w14:paraId="1D4E8233" w14:textId="2AD41A5E"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82" w:history="1">
            <w:r w:rsidRPr="005D2610">
              <w:rPr>
                <w:rStyle w:val="Hyperlink"/>
                <w:rFonts w:ascii="Arial" w:hAnsi="Arial" w:cs="Arial"/>
                <w:noProof/>
                <w:sz w:val="22"/>
                <w:lang w:val="en-US"/>
              </w:rPr>
              <w:t>Designing an Intervention Programme</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_Toc209673782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12</w:t>
            </w:r>
            <w:r w:rsidRPr="005D2610">
              <w:rPr>
                <w:rFonts w:ascii="Arial" w:hAnsi="Arial" w:cs="Arial"/>
                <w:noProof/>
                <w:webHidden/>
                <w:sz w:val="22"/>
              </w:rPr>
              <w:fldChar w:fldCharType="end"/>
            </w:r>
          </w:hyperlink>
        </w:p>
        <w:p w14:paraId="67E5AED9" w14:textId="0E69F887"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83" w:history="1">
            <w:r w:rsidRPr="005D2610">
              <w:rPr>
                <w:rStyle w:val="Hyperlink"/>
                <w:rFonts w:ascii="Arial" w:hAnsi="Arial" w:cs="Arial"/>
                <w:noProof/>
                <w:sz w:val="22"/>
                <w:lang w:val="en-US"/>
              </w:rPr>
              <w:t>Strengths and Weaknesses of Epidemiological Approach</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_Toc209673783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12</w:t>
            </w:r>
            <w:r w:rsidRPr="005D2610">
              <w:rPr>
                <w:rFonts w:ascii="Arial" w:hAnsi="Arial" w:cs="Arial"/>
                <w:noProof/>
                <w:webHidden/>
                <w:sz w:val="22"/>
              </w:rPr>
              <w:fldChar w:fldCharType="end"/>
            </w:r>
          </w:hyperlink>
        </w:p>
        <w:p w14:paraId="7171B03E" w14:textId="71B66B75"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84" w:history="1">
            <w:r w:rsidRPr="005D2610">
              <w:rPr>
                <w:rStyle w:val="Hyperlink"/>
                <w:rFonts w:ascii="Arial" w:hAnsi="Arial" w:cs="Arial"/>
                <w:noProof/>
                <w:sz w:val="22"/>
                <w:lang w:val="en-US"/>
              </w:rPr>
              <w:t>Conclusion</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_Toc209673784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12</w:t>
            </w:r>
            <w:r w:rsidRPr="005D2610">
              <w:rPr>
                <w:rFonts w:ascii="Arial" w:hAnsi="Arial" w:cs="Arial"/>
                <w:noProof/>
                <w:webHidden/>
                <w:sz w:val="22"/>
              </w:rPr>
              <w:fldChar w:fldCharType="end"/>
            </w:r>
          </w:hyperlink>
        </w:p>
        <w:p w14:paraId="31832C91" w14:textId="43ABEA56" w:rsidR="005D2610" w:rsidRPr="005D2610" w:rsidRDefault="005D2610" w:rsidP="005D2610">
          <w:pPr>
            <w:pStyle w:val="TOC2"/>
            <w:tabs>
              <w:tab w:val="right" w:leader="dot" w:pos="9350"/>
            </w:tabs>
            <w:spacing w:line="360" w:lineRule="auto"/>
            <w:rPr>
              <w:rFonts w:ascii="Arial" w:eastAsiaTheme="minorEastAsia" w:hAnsi="Arial" w:cs="Arial"/>
              <w:noProof/>
              <w:sz w:val="22"/>
              <w:lang w:val="en-US"/>
            </w:rPr>
          </w:pPr>
          <w:hyperlink w:anchor="_Toc209673785" w:history="1">
            <w:r w:rsidRPr="005D2610">
              <w:rPr>
                <w:rStyle w:val="Hyperlink"/>
                <w:rFonts w:ascii="Arial" w:hAnsi="Arial" w:cs="Arial"/>
                <w:noProof/>
                <w:sz w:val="22"/>
                <w:lang w:val="en-US"/>
              </w:rPr>
              <w:t>References</w:t>
            </w:r>
            <w:r w:rsidRPr="005D2610">
              <w:rPr>
                <w:rFonts w:ascii="Arial" w:hAnsi="Arial" w:cs="Arial"/>
                <w:noProof/>
                <w:webHidden/>
                <w:sz w:val="22"/>
              </w:rPr>
              <w:tab/>
            </w:r>
            <w:r w:rsidRPr="005D2610">
              <w:rPr>
                <w:rFonts w:ascii="Arial" w:hAnsi="Arial" w:cs="Arial"/>
                <w:noProof/>
                <w:webHidden/>
                <w:sz w:val="22"/>
              </w:rPr>
              <w:fldChar w:fldCharType="begin"/>
            </w:r>
            <w:r w:rsidRPr="005D2610">
              <w:rPr>
                <w:rFonts w:ascii="Arial" w:hAnsi="Arial" w:cs="Arial"/>
                <w:noProof/>
                <w:webHidden/>
                <w:sz w:val="22"/>
              </w:rPr>
              <w:instrText xml:space="preserve"> PAGEREF _Toc209673785 \h </w:instrText>
            </w:r>
            <w:r w:rsidRPr="005D2610">
              <w:rPr>
                <w:rFonts w:ascii="Arial" w:hAnsi="Arial" w:cs="Arial"/>
                <w:noProof/>
                <w:webHidden/>
                <w:sz w:val="22"/>
              </w:rPr>
            </w:r>
            <w:r w:rsidRPr="005D2610">
              <w:rPr>
                <w:rFonts w:ascii="Arial" w:hAnsi="Arial" w:cs="Arial"/>
                <w:noProof/>
                <w:webHidden/>
                <w:sz w:val="22"/>
              </w:rPr>
              <w:fldChar w:fldCharType="separate"/>
            </w:r>
            <w:r w:rsidR="00C52FD1">
              <w:rPr>
                <w:rFonts w:ascii="Arial" w:hAnsi="Arial" w:cs="Arial"/>
                <w:noProof/>
                <w:webHidden/>
                <w:sz w:val="22"/>
              </w:rPr>
              <w:t>14</w:t>
            </w:r>
            <w:r w:rsidRPr="005D2610">
              <w:rPr>
                <w:rFonts w:ascii="Arial" w:hAnsi="Arial" w:cs="Arial"/>
                <w:noProof/>
                <w:webHidden/>
                <w:sz w:val="22"/>
              </w:rPr>
              <w:fldChar w:fldCharType="end"/>
            </w:r>
          </w:hyperlink>
        </w:p>
        <w:p w14:paraId="6C43AF62" w14:textId="204FEF85" w:rsidR="00F45B30" w:rsidRPr="005D2610" w:rsidRDefault="00E42F2C" w:rsidP="005D2610">
          <w:pPr>
            <w:spacing w:line="360" w:lineRule="auto"/>
            <w:rPr>
              <w:rFonts w:ascii="Arial" w:hAnsi="Arial" w:cs="Arial"/>
              <w:sz w:val="22"/>
            </w:rPr>
          </w:pPr>
          <w:r w:rsidRPr="005D2610">
            <w:rPr>
              <w:rFonts w:ascii="Arial" w:hAnsi="Arial" w:cs="Arial"/>
              <w:b/>
              <w:bCs/>
              <w:noProof/>
              <w:sz w:val="22"/>
            </w:rPr>
            <w:fldChar w:fldCharType="end"/>
          </w:r>
        </w:p>
      </w:sdtContent>
    </w:sdt>
    <w:p w14:paraId="4813E44D" w14:textId="75280FFF" w:rsidR="00EA0088" w:rsidRPr="005D2610" w:rsidRDefault="00EA0088" w:rsidP="005D2610">
      <w:pPr>
        <w:spacing w:line="360" w:lineRule="auto"/>
        <w:rPr>
          <w:rFonts w:ascii="Arial" w:hAnsi="Arial" w:cs="Arial"/>
          <w:sz w:val="22"/>
        </w:rPr>
      </w:pPr>
    </w:p>
    <w:p w14:paraId="1CFAB0CF" w14:textId="77777777" w:rsidR="002429C1" w:rsidRPr="005D2610" w:rsidRDefault="002429C1" w:rsidP="005D2610">
      <w:pPr>
        <w:spacing w:line="360" w:lineRule="auto"/>
        <w:rPr>
          <w:rFonts w:ascii="Arial" w:hAnsi="Arial" w:cs="Arial"/>
          <w:sz w:val="22"/>
        </w:rPr>
      </w:pPr>
    </w:p>
    <w:p w14:paraId="5DED56CE" w14:textId="77777777" w:rsidR="002429C1" w:rsidRPr="005D2610" w:rsidRDefault="002429C1" w:rsidP="005D2610">
      <w:pPr>
        <w:spacing w:line="360" w:lineRule="auto"/>
        <w:rPr>
          <w:rFonts w:ascii="Arial" w:hAnsi="Arial" w:cs="Arial"/>
          <w:sz w:val="22"/>
        </w:rPr>
      </w:pPr>
    </w:p>
    <w:p w14:paraId="4018E131" w14:textId="77777777" w:rsidR="00EA0088" w:rsidRPr="005D2610" w:rsidRDefault="00EA0088" w:rsidP="005D2610">
      <w:pPr>
        <w:spacing w:line="360" w:lineRule="auto"/>
        <w:rPr>
          <w:rFonts w:ascii="Arial" w:hAnsi="Arial" w:cs="Arial"/>
          <w:sz w:val="22"/>
        </w:rPr>
      </w:pPr>
    </w:p>
    <w:p w14:paraId="3CF4780C" w14:textId="09AE3729" w:rsidR="00E11D66" w:rsidRPr="005D2610" w:rsidRDefault="00E42F2C" w:rsidP="005D2610">
      <w:pPr>
        <w:spacing w:line="360" w:lineRule="auto"/>
        <w:rPr>
          <w:rFonts w:ascii="Arial" w:hAnsi="Arial" w:cs="Arial"/>
          <w:sz w:val="22"/>
        </w:rPr>
      </w:pPr>
      <w:r w:rsidRPr="005D2610">
        <w:rPr>
          <w:rFonts w:ascii="Arial" w:hAnsi="Arial" w:cs="Arial"/>
          <w:sz w:val="22"/>
        </w:rPr>
        <w:br w:type="page"/>
      </w:r>
    </w:p>
    <w:p w14:paraId="7B86C85A" w14:textId="10F5FC61" w:rsidR="00E11D66" w:rsidRPr="005D2610" w:rsidRDefault="00E42F2C" w:rsidP="005D2610">
      <w:pPr>
        <w:pStyle w:val="Heading1"/>
        <w:spacing w:line="360" w:lineRule="auto"/>
        <w:rPr>
          <w:rFonts w:ascii="Arial" w:hAnsi="Arial" w:cs="Arial"/>
          <w:sz w:val="22"/>
          <w:szCs w:val="22"/>
        </w:rPr>
      </w:pPr>
      <w:bookmarkStart w:id="0" w:name="_Toc209673766"/>
      <w:r w:rsidRPr="005D2610">
        <w:rPr>
          <w:rFonts w:ascii="Arial" w:hAnsi="Arial" w:cs="Arial"/>
          <w:sz w:val="22"/>
          <w:szCs w:val="22"/>
        </w:rPr>
        <w:lastRenderedPageBreak/>
        <w:t>Task 1: Social Epidemiological Analysis</w:t>
      </w:r>
      <w:bookmarkEnd w:id="0"/>
    </w:p>
    <w:p w14:paraId="47DFD574" w14:textId="77276B6C" w:rsidR="002F503C" w:rsidRPr="005D2610" w:rsidRDefault="00E42F2C" w:rsidP="005D2610">
      <w:pPr>
        <w:spacing w:line="360" w:lineRule="auto"/>
        <w:jc w:val="center"/>
        <w:rPr>
          <w:rFonts w:ascii="Arial" w:hAnsi="Arial" w:cs="Arial"/>
          <w:b/>
          <w:sz w:val="22"/>
        </w:rPr>
      </w:pPr>
      <w:r w:rsidRPr="005D2610">
        <w:rPr>
          <w:rFonts w:ascii="Arial" w:hAnsi="Arial" w:cs="Arial"/>
          <w:b/>
          <w:sz w:val="22"/>
        </w:rPr>
        <w:t>Title: Disability and Health Inequalities in the UK</w:t>
      </w:r>
    </w:p>
    <w:p w14:paraId="7764FF84" w14:textId="0E773220" w:rsidR="00E67A9C" w:rsidRPr="008C5C0D" w:rsidRDefault="00E42F2C" w:rsidP="005D2610">
      <w:pPr>
        <w:pStyle w:val="Heading2"/>
        <w:spacing w:line="360" w:lineRule="auto"/>
        <w:rPr>
          <w:rFonts w:ascii="Arial" w:hAnsi="Arial" w:cs="Arial"/>
          <w:b/>
          <w:bCs/>
          <w:sz w:val="22"/>
          <w:szCs w:val="22"/>
          <w:lang w:val="en-US"/>
        </w:rPr>
      </w:pPr>
      <w:bookmarkStart w:id="1" w:name="_Toc209673767"/>
      <w:r w:rsidRPr="008C5C0D">
        <w:rPr>
          <w:rFonts w:ascii="Arial" w:hAnsi="Arial" w:cs="Arial"/>
          <w:b/>
          <w:bCs/>
          <w:sz w:val="22"/>
          <w:szCs w:val="22"/>
          <w:lang w:val="en-US"/>
        </w:rPr>
        <w:t>Introduction</w:t>
      </w:r>
      <w:bookmarkEnd w:id="1"/>
    </w:p>
    <w:p w14:paraId="77CDB5B9" w14:textId="28F420D3" w:rsidR="008044AD" w:rsidRPr="005D2610" w:rsidRDefault="0020661F" w:rsidP="00006EB9">
      <w:pPr>
        <w:spacing w:line="360" w:lineRule="auto"/>
        <w:jc w:val="both"/>
        <w:rPr>
          <w:rFonts w:ascii="Arial" w:hAnsi="Arial" w:cs="Arial"/>
          <w:sz w:val="22"/>
          <w:lang w:val="en-US"/>
        </w:rPr>
      </w:pPr>
      <w:r w:rsidRPr="0020661F">
        <w:rPr>
          <w:rFonts w:ascii="Arial" w:hAnsi="Arial" w:cs="Arial"/>
          <w:sz w:val="22"/>
          <w:lang w:val="en-US"/>
        </w:rPr>
        <w:t>The number of people with</w:t>
      </w:r>
      <w:r w:rsidR="008C5C0D">
        <w:rPr>
          <w:rFonts w:ascii="Arial" w:hAnsi="Arial" w:cs="Arial"/>
          <w:sz w:val="22"/>
          <w:lang w:val="en-US"/>
        </w:rPr>
        <w:t xml:space="preserve"> </w:t>
      </w:r>
      <w:r w:rsidR="008B0268">
        <w:rPr>
          <w:rFonts w:ascii="Arial" w:hAnsi="Arial" w:cs="Arial"/>
          <w:sz w:val="22"/>
          <w:lang w:val="en-US"/>
        </w:rPr>
        <w:t>adult</w:t>
      </w:r>
      <w:r w:rsidRPr="0020661F">
        <w:rPr>
          <w:rFonts w:ascii="Arial" w:hAnsi="Arial" w:cs="Arial"/>
          <w:sz w:val="22"/>
          <w:lang w:val="en-US"/>
        </w:rPr>
        <w:t xml:space="preserve"> disabilities is high in the UK, and it is estimated that the population of people with disabilities will reach 16M in 2023 (Kirk-Wade et al., 2024). This population group has very severe health inequalities systematic and avoidable health inequalities in comparison to the rest of the population (Bartley and Kelly-Irving, 2024). The risk of disabled individuals living in socioeconomic disadvantage is also higher, employment rates are lower, and healthcare access is not available which is also harmful to the well-being of disabled persons. They are more </w:t>
      </w:r>
      <w:proofErr w:type="spellStart"/>
      <w:r w:rsidRPr="0020661F">
        <w:rPr>
          <w:rFonts w:ascii="Arial" w:hAnsi="Arial" w:cs="Arial"/>
          <w:sz w:val="22"/>
          <w:lang w:val="en-US"/>
        </w:rPr>
        <w:t>stigmatised</w:t>
      </w:r>
      <w:proofErr w:type="spellEnd"/>
      <w:r w:rsidRPr="0020661F">
        <w:rPr>
          <w:rFonts w:ascii="Arial" w:hAnsi="Arial" w:cs="Arial"/>
          <w:sz w:val="22"/>
          <w:lang w:val="en-US"/>
        </w:rPr>
        <w:t xml:space="preserve">, as well as experience higher co-morbid conditions. These inequalities are addressed in this report in terms of disease burdens, social problems, state measures, and </w:t>
      </w:r>
      <w:proofErr w:type="spellStart"/>
      <w:r w:rsidRPr="0020661F">
        <w:rPr>
          <w:rFonts w:ascii="Arial" w:hAnsi="Arial" w:cs="Arial"/>
          <w:sz w:val="22"/>
          <w:lang w:val="en-US"/>
        </w:rPr>
        <w:t>organisational</w:t>
      </w:r>
      <w:proofErr w:type="spellEnd"/>
      <w:r w:rsidRPr="0020661F">
        <w:rPr>
          <w:rFonts w:ascii="Arial" w:hAnsi="Arial" w:cs="Arial"/>
          <w:sz w:val="22"/>
          <w:lang w:val="en-US"/>
        </w:rPr>
        <w:t xml:space="preserve"> assistance.</w:t>
      </w:r>
    </w:p>
    <w:p w14:paraId="652E20CE" w14:textId="77777777" w:rsidR="00197EC8" w:rsidRPr="005D2610" w:rsidRDefault="00197EC8" w:rsidP="005D2610">
      <w:pPr>
        <w:spacing w:line="360" w:lineRule="auto"/>
        <w:rPr>
          <w:rFonts w:ascii="Arial" w:hAnsi="Arial" w:cs="Arial"/>
          <w:sz w:val="22"/>
          <w:lang w:val="en-US"/>
        </w:rPr>
      </w:pPr>
    </w:p>
    <w:p w14:paraId="5F8EB97E" w14:textId="2561AC2A" w:rsidR="00E67A9C" w:rsidRPr="005D2610" w:rsidRDefault="00E42F2C" w:rsidP="005D2610">
      <w:pPr>
        <w:pStyle w:val="Heading2"/>
        <w:spacing w:line="360" w:lineRule="auto"/>
        <w:rPr>
          <w:rFonts w:ascii="Arial" w:hAnsi="Arial" w:cs="Arial"/>
          <w:sz w:val="22"/>
          <w:szCs w:val="22"/>
          <w:lang w:val="en-US"/>
        </w:rPr>
      </w:pPr>
      <w:bookmarkStart w:id="2" w:name="_Toc209673768"/>
      <w:r w:rsidRPr="005D2610">
        <w:rPr>
          <w:rFonts w:ascii="Arial" w:hAnsi="Arial" w:cs="Arial"/>
          <w:sz w:val="22"/>
          <w:szCs w:val="22"/>
          <w:lang w:val="en-US"/>
        </w:rPr>
        <w:t>Contextual Background and Underlying Factors</w:t>
      </w:r>
      <w:bookmarkEnd w:id="2"/>
    </w:p>
    <w:p w14:paraId="18BE00F3" w14:textId="100CABC5" w:rsidR="00E67A9C" w:rsidRPr="005D2610" w:rsidRDefault="00E42F2C" w:rsidP="005D2610">
      <w:pPr>
        <w:pStyle w:val="Heading3"/>
        <w:spacing w:line="360" w:lineRule="auto"/>
        <w:rPr>
          <w:rFonts w:ascii="Arial" w:hAnsi="Arial" w:cs="Arial"/>
          <w:sz w:val="22"/>
          <w:szCs w:val="22"/>
          <w:lang w:val="en-US"/>
        </w:rPr>
      </w:pPr>
      <w:bookmarkStart w:id="3" w:name="_Toc209673769"/>
      <w:r w:rsidRPr="005D2610">
        <w:rPr>
          <w:rFonts w:ascii="Arial" w:hAnsi="Arial" w:cs="Arial"/>
          <w:sz w:val="22"/>
          <w:szCs w:val="22"/>
          <w:lang w:val="en-US"/>
        </w:rPr>
        <w:t>Disease/Illness Inequalities</w:t>
      </w:r>
      <w:bookmarkEnd w:id="3"/>
    </w:p>
    <w:p w14:paraId="4659B929" w14:textId="0CF4DC7C" w:rsidR="00A369FD" w:rsidRPr="005D2610" w:rsidRDefault="00E42F2C" w:rsidP="005D2610">
      <w:pPr>
        <w:pStyle w:val="Heading4"/>
        <w:spacing w:line="360" w:lineRule="auto"/>
        <w:rPr>
          <w:rFonts w:ascii="Arial" w:hAnsi="Arial" w:cs="Arial"/>
          <w:sz w:val="22"/>
        </w:rPr>
      </w:pPr>
      <w:r w:rsidRPr="005D2610">
        <w:rPr>
          <w:rFonts w:ascii="Arial" w:hAnsi="Arial" w:cs="Arial"/>
          <w:sz w:val="22"/>
        </w:rPr>
        <w:t>Cardiovascular Disease</w:t>
      </w:r>
    </w:p>
    <w:p w14:paraId="54C56ED8" w14:textId="66C7B21E" w:rsidR="00012D57" w:rsidRPr="00127B56" w:rsidRDefault="0020661F" w:rsidP="00006EB9">
      <w:pPr>
        <w:spacing w:line="360" w:lineRule="auto"/>
        <w:jc w:val="both"/>
        <w:rPr>
          <w:rFonts w:ascii="Arial" w:hAnsi="Arial" w:cs="Arial"/>
          <w:sz w:val="22"/>
          <w:highlight w:val="yellow"/>
          <w:lang w:val="en-US"/>
        </w:rPr>
      </w:pPr>
      <w:r w:rsidRPr="0020661F">
        <w:rPr>
          <w:rFonts w:ascii="Arial" w:hAnsi="Arial" w:cs="Arial"/>
          <w:sz w:val="22"/>
          <w:lang w:val="en-US"/>
        </w:rPr>
        <w:t>Cardiovascular disease is one of the most important health disparities of the disabled people and they are one and a half more likely to be diagnosed with it than non-disabled adults (Public Health England, 2019). Physical inactivity due to the limited mobility and socioeconomic status lower the number of preventive care and access to healthy foods (Conrad et al., 2022). Risk factors such as obesity and hypertension are also heightened by povert</w:t>
      </w:r>
      <w:r w:rsidR="006F1D2D">
        <w:rPr>
          <w:rFonts w:ascii="Arial" w:hAnsi="Arial" w:cs="Arial"/>
          <w:sz w:val="22"/>
          <w:lang w:val="en-US"/>
        </w:rPr>
        <w:t xml:space="preserve">y. </w:t>
      </w:r>
      <w:r w:rsidR="00012D57" w:rsidRPr="00012D57">
        <w:rPr>
          <w:rFonts w:ascii="Arial" w:hAnsi="Arial" w:cs="Arial"/>
          <w:sz w:val="22"/>
          <w:lang w:val="en-US"/>
        </w:rPr>
        <w:t xml:space="preserve">The disconnect must </w:t>
      </w:r>
      <w:r w:rsidR="001C7A8A">
        <w:rPr>
          <w:rFonts w:ascii="Arial" w:hAnsi="Arial" w:cs="Arial"/>
          <w:sz w:val="22"/>
          <w:lang w:val="en-US"/>
        </w:rPr>
        <w:t>include</w:t>
      </w:r>
      <w:r w:rsidR="00012D57" w:rsidRPr="00012D57">
        <w:rPr>
          <w:rFonts w:ascii="Arial" w:hAnsi="Arial" w:cs="Arial"/>
          <w:sz w:val="22"/>
          <w:lang w:val="en-US"/>
        </w:rPr>
        <w:t xml:space="preserve"> cardiovascular screening and interventions based on mobility impairments.</w:t>
      </w:r>
    </w:p>
    <w:p w14:paraId="2FA0E2DA" w14:textId="77777777" w:rsidR="002D24C4" w:rsidRPr="005D2610" w:rsidRDefault="002D24C4" w:rsidP="005D2610">
      <w:pPr>
        <w:spacing w:line="360" w:lineRule="auto"/>
        <w:rPr>
          <w:rFonts w:ascii="Arial" w:hAnsi="Arial" w:cs="Arial"/>
          <w:sz w:val="22"/>
          <w:lang w:val="en-US"/>
        </w:rPr>
      </w:pPr>
    </w:p>
    <w:p w14:paraId="7971FEB6" w14:textId="02009961" w:rsidR="00A369FD" w:rsidRPr="005D2610" w:rsidRDefault="00E42F2C" w:rsidP="005D2610">
      <w:pPr>
        <w:pStyle w:val="Heading4"/>
        <w:spacing w:line="360" w:lineRule="auto"/>
        <w:rPr>
          <w:rFonts w:ascii="Arial" w:hAnsi="Arial" w:cs="Arial"/>
          <w:sz w:val="22"/>
        </w:rPr>
      </w:pPr>
      <w:r w:rsidRPr="005D2610">
        <w:rPr>
          <w:rFonts w:ascii="Arial" w:hAnsi="Arial" w:cs="Arial"/>
          <w:sz w:val="22"/>
        </w:rPr>
        <w:t>Mental Health Disorders</w:t>
      </w:r>
    </w:p>
    <w:p w14:paraId="04300A3F" w14:textId="4A9A9D77" w:rsidR="00542920" w:rsidRPr="005D2610" w:rsidRDefault="002A44C8" w:rsidP="00006EB9">
      <w:pPr>
        <w:spacing w:line="360" w:lineRule="auto"/>
        <w:jc w:val="both"/>
        <w:rPr>
          <w:rFonts w:ascii="Arial" w:hAnsi="Arial" w:cs="Arial"/>
          <w:sz w:val="22"/>
          <w:lang w:val="en-US"/>
        </w:rPr>
      </w:pPr>
      <w:r w:rsidRPr="002A44C8">
        <w:rPr>
          <w:rFonts w:ascii="Arial" w:hAnsi="Arial" w:cs="Arial"/>
          <w:sz w:val="22"/>
          <w:lang w:val="en-US"/>
        </w:rPr>
        <w:t>The percentage of the population with an anxiety or depression is nearly 45</w:t>
      </w:r>
      <w:r w:rsidR="005241FE">
        <w:rPr>
          <w:rFonts w:ascii="Arial" w:hAnsi="Arial" w:cs="Arial"/>
          <w:sz w:val="22"/>
          <w:lang w:val="en-US"/>
        </w:rPr>
        <w:t>%</w:t>
      </w:r>
      <w:r w:rsidRPr="002A44C8">
        <w:rPr>
          <w:rFonts w:ascii="Arial" w:hAnsi="Arial" w:cs="Arial"/>
          <w:sz w:val="22"/>
          <w:lang w:val="en-US"/>
        </w:rPr>
        <w:t xml:space="preserve"> of the disabled in the UK compared to 15</w:t>
      </w:r>
      <w:r>
        <w:rPr>
          <w:rFonts w:ascii="Arial" w:hAnsi="Arial" w:cs="Arial"/>
          <w:sz w:val="22"/>
          <w:lang w:val="en-US"/>
        </w:rPr>
        <w:t xml:space="preserve">% </w:t>
      </w:r>
      <w:r w:rsidRPr="002A44C8">
        <w:rPr>
          <w:rFonts w:ascii="Arial" w:hAnsi="Arial" w:cs="Arial"/>
          <w:sz w:val="22"/>
          <w:lang w:val="en-US"/>
        </w:rPr>
        <w:t>of the general population (ONS, 2022). Unemployment, social isolation, and stigma are the primary causes of the surge in psychological distress (Kavanagh et al., 2022). Disability aggravates poor mental health and vice versa. These loopholes should be addressed by increasing disability-related community mental-health services and stigma-reduction.</w:t>
      </w:r>
    </w:p>
    <w:p w14:paraId="1860BE30" w14:textId="77777777" w:rsidR="005D6AE7" w:rsidRPr="005D2610" w:rsidRDefault="005D6AE7" w:rsidP="005D2610">
      <w:pPr>
        <w:spacing w:line="360" w:lineRule="auto"/>
        <w:rPr>
          <w:rFonts w:ascii="Arial" w:hAnsi="Arial" w:cs="Arial"/>
          <w:sz w:val="22"/>
          <w:lang w:val="en-US"/>
        </w:rPr>
      </w:pPr>
    </w:p>
    <w:p w14:paraId="40153827" w14:textId="06011C60" w:rsidR="00E67A9C" w:rsidRPr="005D2610" w:rsidRDefault="00E42F2C" w:rsidP="005D2610">
      <w:pPr>
        <w:pStyle w:val="Heading4"/>
        <w:spacing w:line="360" w:lineRule="auto"/>
        <w:rPr>
          <w:rFonts w:ascii="Arial" w:hAnsi="Arial" w:cs="Arial"/>
          <w:sz w:val="22"/>
        </w:rPr>
      </w:pPr>
      <w:r w:rsidRPr="005D2610">
        <w:rPr>
          <w:rFonts w:ascii="Arial" w:hAnsi="Arial" w:cs="Arial"/>
          <w:sz w:val="22"/>
        </w:rPr>
        <w:t>Diabetes</w:t>
      </w:r>
    </w:p>
    <w:p w14:paraId="75B9F7FE" w14:textId="7EFBAE8B" w:rsidR="00A369FD"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 xml:space="preserve">Prevalence of diabetes is also much greater, with type 2 diabetes striking 30% more in disabled individuals than among their non-disabled counterparts (Diabetes UK, 2024). Contributing factors are diminished access to preventive health care, drug disparities, and increased risk of obesity associated with inactivity and poor eating habits (Tomic et al., 2022). Effective prevention programs, including modified dietary information and enhanced GP surveillance for disabled patients, play a crucial role in </w:t>
      </w:r>
      <w:proofErr w:type="spellStart"/>
      <w:r w:rsidRPr="005D2610">
        <w:rPr>
          <w:rFonts w:ascii="Arial" w:hAnsi="Arial" w:cs="Arial"/>
          <w:sz w:val="22"/>
          <w:lang w:val="en-US"/>
        </w:rPr>
        <w:t>minimi</w:t>
      </w:r>
      <w:r w:rsidR="003461BF" w:rsidRPr="005D2610">
        <w:rPr>
          <w:rFonts w:ascii="Arial" w:hAnsi="Arial" w:cs="Arial"/>
          <w:sz w:val="22"/>
          <w:lang w:val="en-US"/>
        </w:rPr>
        <w:t>s</w:t>
      </w:r>
      <w:r w:rsidRPr="005D2610">
        <w:rPr>
          <w:rFonts w:ascii="Arial" w:hAnsi="Arial" w:cs="Arial"/>
          <w:sz w:val="22"/>
          <w:lang w:val="en-US"/>
        </w:rPr>
        <w:t>ing</w:t>
      </w:r>
      <w:proofErr w:type="spellEnd"/>
      <w:r w:rsidRPr="005D2610">
        <w:rPr>
          <w:rFonts w:ascii="Arial" w:hAnsi="Arial" w:cs="Arial"/>
          <w:sz w:val="22"/>
          <w:lang w:val="en-US"/>
        </w:rPr>
        <w:t xml:space="preserve"> this gap.</w:t>
      </w:r>
    </w:p>
    <w:p w14:paraId="09181001" w14:textId="35CE2330" w:rsidR="00E67A9C" w:rsidRPr="005D2610" w:rsidRDefault="00E42F2C" w:rsidP="005D2610">
      <w:pPr>
        <w:pStyle w:val="Heading3"/>
        <w:spacing w:line="360" w:lineRule="auto"/>
        <w:rPr>
          <w:rFonts w:ascii="Arial" w:hAnsi="Arial" w:cs="Arial"/>
          <w:sz w:val="22"/>
          <w:szCs w:val="22"/>
          <w:lang w:val="en-US"/>
        </w:rPr>
      </w:pPr>
      <w:bookmarkStart w:id="4" w:name="_Toc209673770"/>
      <w:r w:rsidRPr="005D2610">
        <w:rPr>
          <w:rFonts w:ascii="Arial" w:hAnsi="Arial" w:cs="Arial"/>
          <w:sz w:val="22"/>
          <w:szCs w:val="22"/>
          <w:lang w:val="en-US"/>
        </w:rPr>
        <w:t>Social Inequalities</w:t>
      </w:r>
      <w:bookmarkEnd w:id="4"/>
    </w:p>
    <w:p w14:paraId="0584849E" w14:textId="21DA03D8" w:rsidR="008C579F" w:rsidRPr="005D2610" w:rsidRDefault="00E42F2C" w:rsidP="005D2610">
      <w:pPr>
        <w:pStyle w:val="Heading4"/>
        <w:spacing w:line="360" w:lineRule="auto"/>
        <w:rPr>
          <w:rFonts w:ascii="Arial" w:hAnsi="Arial" w:cs="Arial"/>
          <w:sz w:val="22"/>
        </w:rPr>
      </w:pPr>
      <w:r w:rsidRPr="005D2610">
        <w:rPr>
          <w:rFonts w:ascii="Arial" w:hAnsi="Arial" w:cs="Arial"/>
          <w:sz w:val="22"/>
        </w:rPr>
        <w:t>Employment and Income Inequality</w:t>
      </w:r>
    </w:p>
    <w:p w14:paraId="0E84C33F" w14:textId="4E6BE443" w:rsidR="00A5551E"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 xml:space="preserve">Work and income disparities are ongoing issues for disabled individuals within the UK. Just 53% of working-age disabled individuals are employed, in contrast to 82% of non-disabled workers, producing a wide "disability employment gap" (GOV.UK, 2024). This gap supports increased rates of poverty, limited access to healthy food, and challenges in paying for health requirements (Jones et al., 2021). Low earnings are also associated with worse long-term health results. Supported employment initiatives and enforcement of work reasonable adjustments through the Equality Act 2010 are critical to bridge this gap and </w:t>
      </w:r>
      <w:proofErr w:type="spellStart"/>
      <w:r w:rsidRPr="005D2610">
        <w:rPr>
          <w:rFonts w:ascii="Arial" w:hAnsi="Arial" w:cs="Arial"/>
          <w:sz w:val="22"/>
          <w:lang w:val="en-US"/>
        </w:rPr>
        <w:t>minimi</w:t>
      </w:r>
      <w:r w:rsidR="003461BF" w:rsidRPr="005D2610">
        <w:rPr>
          <w:rFonts w:ascii="Arial" w:hAnsi="Arial" w:cs="Arial"/>
          <w:sz w:val="22"/>
          <w:lang w:val="en-US"/>
        </w:rPr>
        <w:t>s</w:t>
      </w:r>
      <w:r w:rsidRPr="005D2610">
        <w:rPr>
          <w:rFonts w:ascii="Arial" w:hAnsi="Arial" w:cs="Arial"/>
          <w:sz w:val="22"/>
          <w:lang w:val="en-US"/>
        </w:rPr>
        <w:t>e</w:t>
      </w:r>
      <w:proofErr w:type="spellEnd"/>
      <w:r w:rsidRPr="005D2610">
        <w:rPr>
          <w:rFonts w:ascii="Arial" w:hAnsi="Arial" w:cs="Arial"/>
          <w:sz w:val="22"/>
          <w:lang w:val="en-US"/>
        </w:rPr>
        <w:t xml:space="preserve"> health inequalities (GOV.UK, 2010).</w:t>
      </w:r>
    </w:p>
    <w:p w14:paraId="694610D5" w14:textId="72E681A6" w:rsidR="008C579F" w:rsidRPr="005D2610" w:rsidRDefault="00E42F2C" w:rsidP="005D2610">
      <w:pPr>
        <w:pStyle w:val="Heading4"/>
        <w:spacing w:line="360" w:lineRule="auto"/>
        <w:rPr>
          <w:rFonts w:ascii="Arial" w:hAnsi="Arial" w:cs="Arial"/>
          <w:sz w:val="22"/>
        </w:rPr>
      </w:pPr>
      <w:r w:rsidRPr="005D2610">
        <w:rPr>
          <w:rFonts w:ascii="Arial" w:hAnsi="Arial" w:cs="Arial"/>
          <w:sz w:val="22"/>
        </w:rPr>
        <w:t>Healthcare Access Barriers</w:t>
      </w:r>
    </w:p>
    <w:p w14:paraId="6428E92E" w14:textId="2C5544C2" w:rsidR="00535E70" w:rsidRPr="005D2610" w:rsidRDefault="00E42F2C" w:rsidP="00DA3053">
      <w:pPr>
        <w:spacing w:line="360" w:lineRule="auto"/>
        <w:jc w:val="both"/>
        <w:rPr>
          <w:rFonts w:ascii="Arial" w:hAnsi="Arial" w:cs="Arial"/>
          <w:sz w:val="22"/>
          <w:lang w:val="en-US"/>
        </w:rPr>
      </w:pPr>
      <w:r w:rsidRPr="005D2610">
        <w:rPr>
          <w:rFonts w:ascii="Arial" w:hAnsi="Arial" w:cs="Arial"/>
          <w:sz w:val="22"/>
          <w:lang w:val="en-US"/>
        </w:rPr>
        <w:t xml:space="preserve">Barriers to accessing health care are also a significant concern. Disabled individuals experience difficulties in accessing hospital or GP services in a third of cases, usually because facilities are inaccessible, due to transport problems, or because of insufficient communication support (ONS, 2022). These barriers can result in late diagnoses, worse control of long-term conditions, and avoidable </w:t>
      </w:r>
      <w:proofErr w:type="spellStart"/>
      <w:r w:rsidRPr="005D2610">
        <w:rPr>
          <w:rFonts w:ascii="Arial" w:hAnsi="Arial" w:cs="Arial"/>
          <w:sz w:val="22"/>
          <w:lang w:val="en-US"/>
        </w:rPr>
        <w:t>hospitali</w:t>
      </w:r>
      <w:r w:rsidR="003461BF" w:rsidRPr="005D2610">
        <w:rPr>
          <w:rFonts w:ascii="Arial" w:hAnsi="Arial" w:cs="Arial"/>
          <w:sz w:val="22"/>
          <w:lang w:val="en-US"/>
        </w:rPr>
        <w:t>s</w:t>
      </w:r>
      <w:r w:rsidRPr="005D2610">
        <w:rPr>
          <w:rFonts w:ascii="Arial" w:hAnsi="Arial" w:cs="Arial"/>
          <w:sz w:val="22"/>
          <w:lang w:val="en-US"/>
        </w:rPr>
        <w:t>ations</w:t>
      </w:r>
      <w:proofErr w:type="spellEnd"/>
      <w:r w:rsidRPr="005D2610">
        <w:rPr>
          <w:rFonts w:ascii="Arial" w:hAnsi="Arial" w:cs="Arial"/>
          <w:sz w:val="22"/>
          <w:lang w:val="en-US"/>
        </w:rPr>
        <w:t xml:space="preserve"> (Clemente et al., 2022). Reducing these inequities necessitates investment in completely accessible health facilities, better transport facilities, and holistic disability-awareness education for healthcare workers to facilitate equitable delivery of care.</w:t>
      </w:r>
    </w:p>
    <w:p w14:paraId="6F4A527A" w14:textId="77777777" w:rsidR="00535E70" w:rsidRPr="005D2610" w:rsidRDefault="00535E70" w:rsidP="005D2610">
      <w:pPr>
        <w:spacing w:line="360" w:lineRule="auto"/>
        <w:rPr>
          <w:rFonts w:ascii="Arial" w:hAnsi="Arial" w:cs="Arial"/>
          <w:sz w:val="22"/>
          <w:lang w:val="en-US"/>
        </w:rPr>
      </w:pPr>
    </w:p>
    <w:p w14:paraId="0CBF4131" w14:textId="391EC433" w:rsidR="00E67A9C" w:rsidRPr="005D2610" w:rsidRDefault="00E42F2C" w:rsidP="005D2610">
      <w:pPr>
        <w:pStyle w:val="Heading4"/>
        <w:spacing w:line="360" w:lineRule="auto"/>
        <w:rPr>
          <w:rFonts w:ascii="Arial" w:hAnsi="Arial" w:cs="Arial"/>
          <w:sz w:val="22"/>
        </w:rPr>
      </w:pPr>
      <w:r w:rsidRPr="005D2610">
        <w:rPr>
          <w:rFonts w:ascii="Arial" w:hAnsi="Arial" w:cs="Arial"/>
          <w:sz w:val="22"/>
        </w:rPr>
        <w:t>Social Exclusion and Stigma</w:t>
      </w:r>
    </w:p>
    <w:p w14:paraId="2DDA1164" w14:textId="083D3E7F" w:rsidR="008C579F"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Exclusion and stigma are also key factors in health inequalities. Disabled working-age adults are twice as likely as the general population to report feeling lonely (ONS, 2022), which is related to poor mental health, increased stress, and death (</w:t>
      </w:r>
      <w:proofErr w:type="spellStart"/>
      <w:r w:rsidRPr="005D2610">
        <w:rPr>
          <w:rFonts w:ascii="Arial" w:hAnsi="Arial" w:cs="Arial"/>
          <w:sz w:val="22"/>
          <w:lang w:val="en-US"/>
        </w:rPr>
        <w:t>Chatzitheochari</w:t>
      </w:r>
      <w:proofErr w:type="spellEnd"/>
      <w:r w:rsidRPr="005D2610">
        <w:rPr>
          <w:rFonts w:ascii="Arial" w:hAnsi="Arial" w:cs="Arial"/>
          <w:sz w:val="22"/>
          <w:lang w:val="en-US"/>
        </w:rPr>
        <w:t xml:space="preserve"> and Butler-Rees, 2023). </w:t>
      </w:r>
      <w:r w:rsidRPr="005D2610">
        <w:rPr>
          <w:rFonts w:ascii="Arial" w:hAnsi="Arial" w:cs="Arial"/>
          <w:sz w:val="22"/>
          <w:lang w:val="en-US"/>
        </w:rPr>
        <w:lastRenderedPageBreak/>
        <w:t>Addressing these needs includes inclusion in the community, peer-support groups, and national campaigns to decrease stigma. These interventions increase a sense of belonging and social capital and improve overall health outcomes.</w:t>
      </w:r>
    </w:p>
    <w:p w14:paraId="3093407D" w14:textId="77777777" w:rsidR="00DB626B" w:rsidRPr="005D2610" w:rsidRDefault="00DB626B" w:rsidP="005D2610">
      <w:pPr>
        <w:spacing w:line="360" w:lineRule="auto"/>
        <w:rPr>
          <w:rFonts w:ascii="Arial" w:hAnsi="Arial" w:cs="Arial"/>
          <w:sz w:val="22"/>
          <w:lang w:val="en-US"/>
        </w:rPr>
      </w:pPr>
    </w:p>
    <w:p w14:paraId="2D96CD3A" w14:textId="138C613E" w:rsidR="00E67A9C" w:rsidRPr="005D2610" w:rsidRDefault="00E42F2C" w:rsidP="005D2610">
      <w:pPr>
        <w:pStyle w:val="Heading2"/>
        <w:spacing w:line="360" w:lineRule="auto"/>
        <w:rPr>
          <w:rFonts w:ascii="Arial" w:hAnsi="Arial" w:cs="Arial"/>
          <w:sz w:val="22"/>
          <w:szCs w:val="22"/>
          <w:lang w:val="en-US"/>
        </w:rPr>
      </w:pPr>
      <w:bookmarkStart w:id="5" w:name="_Toc209673771"/>
      <w:r w:rsidRPr="005D2610">
        <w:rPr>
          <w:rFonts w:ascii="Arial" w:hAnsi="Arial" w:cs="Arial"/>
          <w:sz w:val="22"/>
          <w:szCs w:val="22"/>
          <w:lang w:val="en-US"/>
        </w:rPr>
        <w:t>National Response to Reduce Health Inequalities</w:t>
      </w:r>
      <w:bookmarkEnd w:id="5"/>
    </w:p>
    <w:p w14:paraId="0D4C0569" w14:textId="7A3F7DDB" w:rsidR="00E67A9C"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UK national policy has sought to address health inequalities for disabled individuals, yet disparities persist. The Equality Act 2010 ensures protection against discrimination in work, health, and public services, providing for reasonable adjustments for disabled people (GOV.UK, 2010). Still, evidence indicates uneven enforcement, and most disabled people continue to encounter systemic issues preventing equal treatment (Clemente et al., 2022). The NHS Long Term Plan also commits to addressing inequalities through widening access to community-based mental health services, investing in tailored care, and enhancing the accessibility of the service for disabled patients (England NHS, 2023). Also, the Disability Confident Scheme introduced by the Department for Work and Pensions encourages employers to recruit, retain, and develop disabled employees. Though there is progress, critics contend that policies frequently fall short in proper monitoring, financing, and accountability to comprehensively tackle ingrained disparities (Hoque et al., 2024).</w:t>
      </w:r>
    </w:p>
    <w:p w14:paraId="70CC34D7" w14:textId="77777777" w:rsidR="00D9395E" w:rsidRPr="005D2610" w:rsidRDefault="00D9395E" w:rsidP="005D2610">
      <w:pPr>
        <w:spacing w:line="360" w:lineRule="auto"/>
        <w:ind w:firstLine="720"/>
        <w:jc w:val="both"/>
        <w:rPr>
          <w:rFonts w:ascii="Arial" w:hAnsi="Arial" w:cs="Arial"/>
          <w:sz w:val="22"/>
          <w:lang w:val="en-US"/>
        </w:rPr>
      </w:pPr>
    </w:p>
    <w:p w14:paraId="78F5E9D6" w14:textId="238D026A" w:rsidR="00E67A9C" w:rsidRPr="005D2610" w:rsidRDefault="00E42F2C" w:rsidP="005D2610">
      <w:pPr>
        <w:pStyle w:val="Heading2"/>
        <w:spacing w:line="360" w:lineRule="auto"/>
        <w:rPr>
          <w:rFonts w:ascii="Arial" w:hAnsi="Arial" w:cs="Arial"/>
          <w:sz w:val="22"/>
          <w:szCs w:val="22"/>
          <w:lang w:val="en-US"/>
        </w:rPr>
      </w:pPr>
      <w:bookmarkStart w:id="6" w:name="_Toc209673772"/>
      <w:proofErr w:type="spellStart"/>
      <w:r w:rsidRPr="005D2610">
        <w:rPr>
          <w:rFonts w:ascii="Arial" w:hAnsi="Arial" w:cs="Arial"/>
          <w:sz w:val="22"/>
          <w:szCs w:val="22"/>
          <w:lang w:val="en-US"/>
        </w:rPr>
        <w:t>Organisations</w:t>
      </w:r>
      <w:proofErr w:type="spellEnd"/>
      <w:r w:rsidRPr="005D2610">
        <w:rPr>
          <w:rFonts w:ascii="Arial" w:hAnsi="Arial" w:cs="Arial"/>
          <w:sz w:val="22"/>
          <w:szCs w:val="22"/>
          <w:lang w:val="en-US"/>
        </w:rPr>
        <w:t xml:space="preserve"> Supporting Disabled People</w:t>
      </w:r>
      <w:bookmarkEnd w:id="6"/>
    </w:p>
    <w:p w14:paraId="0D18BD18" w14:textId="5F1108C6" w:rsidR="00E67A9C"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 xml:space="preserve">Scope UK is a prominent disability equality charity that endeavors to tackle health and social inequalities experienced by disabled individuals. Its overarching objective is to develop a society where disability does not hinder work, healthcare, housing, or community inclusion. Scope's highly </w:t>
      </w:r>
      <w:proofErr w:type="spellStart"/>
      <w:r w:rsidRPr="005D2610">
        <w:rPr>
          <w:rFonts w:ascii="Arial" w:hAnsi="Arial" w:cs="Arial"/>
          <w:sz w:val="22"/>
          <w:lang w:val="en-US"/>
        </w:rPr>
        <w:t>publici</w:t>
      </w:r>
      <w:r w:rsidR="003461BF" w:rsidRPr="005D2610">
        <w:rPr>
          <w:rFonts w:ascii="Arial" w:hAnsi="Arial" w:cs="Arial"/>
          <w:sz w:val="22"/>
          <w:lang w:val="en-US"/>
        </w:rPr>
        <w:t>s</w:t>
      </w:r>
      <w:r w:rsidRPr="005D2610">
        <w:rPr>
          <w:rFonts w:ascii="Arial" w:hAnsi="Arial" w:cs="Arial"/>
          <w:sz w:val="22"/>
          <w:lang w:val="en-US"/>
        </w:rPr>
        <w:t>ed</w:t>
      </w:r>
      <w:proofErr w:type="spellEnd"/>
      <w:r w:rsidRPr="005D2610">
        <w:rPr>
          <w:rFonts w:ascii="Arial" w:hAnsi="Arial" w:cs="Arial"/>
          <w:sz w:val="22"/>
          <w:lang w:val="en-US"/>
        </w:rPr>
        <w:t xml:space="preserve"> campaign, Disability Price Tag, promotes awareness of the additional expenses—averaging £583 per month—disabled homes pay, leading to poverty and exacerbating health inequalities (Sanders, 2022). Scope delivers helplines, peer networks, and </w:t>
      </w:r>
      <w:proofErr w:type="spellStart"/>
      <w:r w:rsidRPr="005D2610">
        <w:rPr>
          <w:rFonts w:ascii="Arial" w:hAnsi="Arial" w:cs="Arial"/>
          <w:sz w:val="22"/>
          <w:lang w:val="en-US"/>
        </w:rPr>
        <w:t>individuali</w:t>
      </w:r>
      <w:r w:rsidR="003461BF" w:rsidRPr="005D2610">
        <w:rPr>
          <w:rFonts w:ascii="Arial" w:hAnsi="Arial" w:cs="Arial"/>
          <w:sz w:val="22"/>
          <w:lang w:val="en-US"/>
        </w:rPr>
        <w:t>s</w:t>
      </w:r>
      <w:r w:rsidRPr="005D2610">
        <w:rPr>
          <w:rFonts w:ascii="Arial" w:hAnsi="Arial" w:cs="Arial"/>
          <w:sz w:val="22"/>
          <w:lang w:val="en-US"/>
        </w:rPr>
        <w:t>ed</w:t>
      </w:r>
      <w:proofErr w:type="spellEnd"/>
      <w:r w:rsidRPr="005D2610">
        <w:rPr>
          <w:rFonts w:ascii="Arial" w:hAnsi="Arial" w:cs="Arial"/>
          <w:sz w:val="22"/>
          <w:lang w:val="en-US"/>
        </w:rPr>
        <w:t xml:space="preserve"> work services to support disabled individuals and families. It also promotes policy change, advocating with the government to reduce inequality in access to healthcare and social care. Scope reports on poverty and inequality of income, for example, have helped </w:t>
      </w:r>
      <w:proofErr w:type="spellStart"/>
      <w:r w:rsidRPr="005D2610">
        <w:rPr>
          <w:rFonts w:ascii="Arial" w:hAnsi="Arial" w:cs="Arial"/>
          <w:sz w:val="22"/>
          <w:lang w:val="en-US"/>
        </w:rPr>
        <w:t>mould</w:t>
      </w:r>
      <w:proofErr w:type="spellEnd"/>
      <w:r w:rsidRPr="005D2610">
        <w:rPr>
          <w:rFonts w:ascii="Arial" w:hAnsi="Arial" w:cs="Arial"/>
          <w:sz w:val="22"/>
          <w:lang w:val="en-US"/>
        </w:rPr>
        <w:t xml:space="preserve"> national policy and public debate (Mitra and Gao, 2023). </w:t>
      </w:r>
      <w:r w:rsidR="00DD1B7E" w:rsidRPr="005D2610">
        <w:rPr>
          <w:rFonts w:ascii="Arial" w:hAnsi="Arial" w:cs="Arial"/>
          <w:sz w:val="22"/>
          <w:lang w:val="en-US"/>
        </w:rPr>
        <w:t>Therefore</w:t>
      </w:r>
      <w:r w:rsidRPr="005D2610">
        <w:rPr>
          <w:rFonts w:ascii="Arial" w:hAnsi="Arial" w:cs="Arial"/>
          <w:sz w:val="22"/>
          <w:lang w:val="en-US"/>
        </w:rPr>
        <w:t xml:space="preserve">, </w:t>
      </w:r>
      <w:r w:rsidR="005C0433" w:rsidRPr="005D2610">
        <w:rPr>
          <w:rFonts w:ascii="Arial" w:hAnsi="Arial" w:cs="Arial"/>
          <w:sz w:val="22"/>
          <w:lang w:val="en-US"/>
        </w:rPr>
        <w:t>s</w:t>
      </w:r>
      <w:r w:rsidRPr="005D2610">
        <w:rPr>
          <w:rFonts w:ascii="Arial" w:hAnsi="Arial" w:cs="Arial"/>
          <w:sz w:val="22"/>
          <w:lang w:val="en-US"/>
        </w:rPr>
        <w:t>cope raises awareness and brings about systemic change.</w:t>
      </w:r>
    </w:p>
    <w:p w14:paraId="4C52F9B1" w14:textId="77777777" w:rsidR="00D9395E" w:rsidRPr="005D2610" w:rsidRDefault="00D9395E" w:rsidP="005D2610">
      <w:pPr>
        <w:spacing w:line="360" w:lineRule="auto"/>
        <w:rPr>
          <w:rFonts w:ascii="Arial" w:hAnsi="Arial" w:cs="Arial"/>
          <w:sz w:val="22"/>
          <w:lang w:val="en-US"/>
        </w:rPr>
      </w:pPr>
    </w:p>
    <w:p w14:paraId="63DB3941" w14:textId="52B8A390" w:rsidR="00E67A9C" w:rsidRPr="005D2610" w:rsidRDefault="00E42F2C" w:rsidP="005D2610">
      <w:pPr>
        <w:pStyle w:val="Heading2"/>
        <w:spacing w:line="360" w:lineRule="auto"/>
        <w:rPr>
          <w:rFonts w:ascii="Arial" w:hAnsi="Arial" w:cs="Arial"/>
          <w:sz w:val="22"/>
          <w:szCs w:val="22"/>
          <w:lang w:val="en-US"/>
        </w:rPr>
      </w:pPr>
      <w:bookmarkStart w:id="7" w:name="_Toc209673773"/>
      <w:r w:rsidRPr="005D2610">
        <w:rPr>
          <w:rFonts w:ascii="Arial" w:hAnsi="Arial" w:cs="Arial"/>
          <w:sz w:val="22"/>
          <w:szCs w:val="22"/>
          <w:lang w:val="en-US"/>
        </w:rPr>
        <w:lastRenderedPageBreak/>
        <w:t>Conclusion</w:t>
      </w:r>
      <w:bookmarkEnd w:id="7"/>
    </w:p>
    <w:p w14:paraId="6AFDFC3F" w14:textId="3BEDB12B" w:rsidR="006D0DF4"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 xml:space="preserve">Disabled individuals in the UK suffer from significant inequalities in their health, having a higher prevalence of cardiovascular diseases, diabetes, and mental illnesses, as well as social issues like poverty and inequality of income, access to healthcare, and stigma. While national strategies and activities, aided by charities such as Scope, have attempted to tackle these inequalities, progress is patchy. There needs to be consistent policy effort, more focused health interventions, and effective enforcement of disability rights. </w:t>
      </w:r>
      <w:r w:rsidR="00D55D36" w:rsidRPr="005D2610">
        <w:rPr>
          <w:rFonts w:ascii="Arial" w:hAnsi="Arial" w:cs="Arial"/>
          <w:sz w:val="22"/>
          <w:lang w:val="en-US"/>
        </w:rPr>
        <w:t>Critically</w:t>
      </w:r>
      <w:r w:rsidRPr="005D2610">
        <w:rPr>
          <w:rFonts w:ascii="Arial" w:hAnsi="Arial" w:cs="Arial"/>
          <w:sz w:val="22"/>
          <w:lang w:val="en-US"/>
        </w:rPr>
        <w:t>, though, is creating inclusive social attitudes to enable disabled individuals to live healthier, more equal lives.</w:t>
      </w:r>
      <w:r w:rsidRPr="005D2610">
        <w:rPr>
          <w:rFonts w:ascii="Arial" w:hAnsi="Arial" w:cs="Arial"/>
          <w:sz w:val="22"/>
          <w:lang w:val="en-US"/>
        </w:rPr>
        <w:br w:type="page"/>
      </w:r>
    </w:p>
    <w:p w14:paraId="4B04C01C" w14:textId="0207782D" w:rsidR="006D0DF4" w:rsidRPr="005D2610" w:rsidRDefault="00E42F2C" w:rsidP="005D2610">
      <w:pPr>
        <w:pStyle w:val="Heading2"/>
        <w:spacing w:line="360" w:lineRule="auto"/>
        <w:rPr>
          <w:rFonts w:ascii="Arial" w:hAnsi="Arial" w:cs="Arial"/>
          <w:sz w:val="22"/>
          <w:szCs w:val="22"/>
          <w:lang w:val="en-US"/>
        </w:rPr>
      </w:pPr>
      <w:bookmarkStart w:id="8" w:name="_Toc209673774"/>
      <w:r w:rsidRPr="005D2610">
        <w:rPr>
          <w:rFonts w:ascii="Arial" w:hAnsi="Arial" w:cs="Arial"/>
          <w:sz w:val="22"/>
          <w:szCs w:val="22"/>
          <w:lang w:val="en-US"/>
        </w:rPr>
        <w:lastRenderedPageBreak/>
        <w:t>References</w:t>
      </w:r>
      <w:bookmarkEnd w:id="8"/>
    </w:p>
    <w:p w14:paraId="648ACEDE" w14:textId="5EE94FCC"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Bartley, M. and Kelly-Irving, M., </w:t>
      </w:r>
      <w:r w:rsidR="00BF3797" w:rsidRPr="005D2610">
        <w:rPr>
          <w:rFonts w:ascii="Arial" w:hAnsi="Arial" w:cs="Arial"/>
          <w:sz w:val="22"/>
        </w:rPr>
        <w:t>(</w:t>
      </w:r>
      <w:r w:rsidRPr="005D2610">
        <w:rPr>
          <w:rFonts w:ascii="Arial" w:hAnsi="Arial" w:cs="Arial"/>
          <w:sz w:val="22"/>
        </w:rPr>
        <w:t>2024</w:t>
      </w:r>
      <w:r w:rsidR="00BF3797" w:rsidRPr="005D2610">
        <w:rPr>
          <w:rFonts w:ascii="Arial" w:hAnsi="Arial" w:cs="Arial"/>
          <w:sz w:val="22"/>
        </w:rPr>
        <w:t>)</w:t>
      </w:r>
      <w:r w:rsidRPr="005D2610">
        <w:rPr>
          <w:rFonts w:ascii="Arial" w:hAnsi="Arial" w:cs="Arial"/>
          <w:sz w:val="22"/>
        </w:rPr>
        <w:t>. </w:t>
      </w:r>
      <w:r w:rsidRPr="005D2610">
        <w:rPr>
          <w:rFonts w:ascii="Arial" w:hAnsi="Arial" w:cs="Arial"/>
          <w:i/>
          <w:iCs/>
          <w:sz w:val="22"/>
        </w:rPr>
        <w:t>Health inequality: an introduction to concepts, theories and methods</w:t>
      </w:r>
      <w:r w:rsidRPr="005D2610">
        <w:rPr>
          <w:rFonts w:ascii="Arial" w:hAnsi="Arial" w:cs="Arial"/>
          <w:sz w:val="22"/>
        </w:rPr>
        <w:t>. John Wiley &amp; Sons.</w:t>
      </w:r>
      <w:r w:rsidR="00BF3797" w:rsidRPr="005D2610">
        <w:rPr>
          <w:rFonts w:ascii="Arial" w:hAnsi="Arial" w:cs="Arial"/>
          <w:sz w:val="22"/>
        </w:rPr>
        <w:t xml:space="preserve"> </w:t>
      </w:r>
    </w:p>
    <w:p w14:paraId="3C2F05B9" w14:textId="2A223065" w:rsidR="00EA0975" w:rsidRPr="005D2610" w:rsidRDefault="00E42F2C" w:rsidP="005D2610">
      <w:pPr>
        <w:spacing w:line="360" w:lineRule="auto"/>
        <w:ind w:left="720" w:hanging="720"/>
        <w:rPr>
          <w:rFonts w:ascii="Arial" w:hAnsi="Arial" w:cs="Arial"/>
          <w:sz w:val="22"/>
        </w:rPr>
      </w:pPr>
      <w:proofErr w:type="spellStart"/>
      <w:r w:rsidRPr="005D2610">
        <w:rPr>
          <w:rFonts w:ascii="Arial" w:hAnsi="Arial" w:cs="Arial"/>
          <w:sz w:val="22"/>
        </w:rPr>
        <w:t>Chatzitheochari</w:t>
      </w:r>
      <w:proofErr w:type="spellEnd"/>
      <w:r w:rsidRPr="005D2610">
        <w:rPr>
          <w:rFonts w:ascii="Arial" w:hAnsi="Arial" w:cs="Arial"/>
          <w:sz w:val="22"/>
        </w:rPr>
        <w:t xml:space="preserve">, S. and Butler-Rees, A., </w:t>
      </w:r>
      <w:r w:rsidR="00BF3797" w:rsidRPr="005D2610">
        <w:rPr>
          <w:rFonts w:ascii="Arial" w:hAnsi="Arial" w:cs="Arial"/>
          <w:sz w:val="22"/>
        </w:rPr>
        <w:t>(</w:t>
      </w:r>
      <w:r w:rsidRPr="005D2610">
        <w:rPr>
          <w:rFonts w:ascii="Arial" w:hAnsi="Arial" w:cs="Arial"/>
          <w:sz w:val="22"/>
        </w:rPr>
        <w:t>2023</w:t>
      </w:r>
      <w:r w:rsidR="00BF3797" w:rsidRPr="005D2610">
        <w:rPr>
          <w:rFonts w:ascii="Arial" w:hAnsi="Arial" w:cs="Arial"/>
          <w:sz w:val="22"/>
        </w:rPr>
        <w:t>)</w:t>
      </w:r>
      <w:r w:rsidRPr="005D2610">
        <w:rPr>
          <w:rFonts w:ascii="Arial" w:hAnsi="Arial" w:cs="Arial"/>
          <w:sz w:val="22"/>
        </w:rPr>
        <w:t>. Disability, social class and stigma: An intersectional analysis of disabled young people’s school experiences. </w:t>
      </w:r>
      <w:r w:rsidRPr="005D2610">
        <w:rPr>
          <w:rFonts w:ascii="Arial" w:hAnsi="Arial" w:cs="Arial"/>
          <w:i/>
          <w:iCs/>
          <w:sz w:val="22"/>
        </w:rPr>
        <w:t>Sociology</w:t>
      </w:r>
      <w:r w:rsidRPr="005D2610">
        <w:rPr>
          <w:rFonts w:ascii="Arial" w:hAnsi="Arial" w:cs="Arial"/>
          <w:sz w:val="22"/>
        </w:rPr>
        <w:t>, </w:t>
      </w:r>
      <w:r w:rsidRPr="005D2610">
        <w:rPr>
          <w:rFonts w:ascii="Arial" w:hAnsi="Arial" w:cs="Arial"/>
          <w:i/>
          <w:iCs/>
          <w:sz w:val="22"/>
        </w:rPr>
        <w:t>57</w:t>
      </w:r>
      <w:r w:rsidRPr="005D2610">
        <w:rPr>
          <w:rFonts w:ascii="Arial" w:hAnsi="Arial" w:cs="Arial"/>
          <w:sz w:val="22"/>
        </w:rPr>
        <w:t>(5), pp.1156-1174.</w:t>
      </w:r>
    </w:p>
    <w:p w14:paraId="72FB5356" w14:textId="7E84868E"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Clemente, K.A.P., Silva, S.V.D., Vieira, G.I., Bortoli, M.C.D., Toma, T.S., Ramos, V.D. and Brito, C.M.M.D., </w:t>
      </w:r>
      <w:r w:rsidR="00BF3797" w:rsidRPr="005D2610">
        <w:rPr>
          <w:rFonts w:ascii="Arial" w:hAnsi="Arial" w:cs="Arial"/>
          <w:sz w:val="22"/>
        </w:rPr>
        <w:t>(</w:t>
      </w:r>
      <w:r w:rsidRPr="005D2610">
        <w:rPr>
          <w:rFonts w:ascii="Arial" w:hAnsi="Arial" w:cs="Arial"/>
          <w:sz w:val="22"/>
        </w:rPr>
        <w:t>2022</w:t>
      </w:r>
      <w:r w:rsidR="00BF3797" w:rsidRPr="005D2610">
        <w:rPr>
          <w:rFonts w:ascii="Arial" w:hAnsi="Arial" w:cs="Arial"/>
          <w:sz w:val="22"/>
        </w:rPr>
        <w:t>)</w:t>
      </w:r>
      <w:r w:rsidRPr="005D2610">
        <w:rPr>
          <w:rFonts w:ascii="Arial" w:hAnsi="Arial" w:cs="Arial"/>
          <w:sz w:val="22"/>
        </w:rPr>
        <w:t>. Barriers to the access of people with disabilities to health services: a scoping review. </w:t>
      </w:r>
      <w:proofErr w:type="spellStart"/>
      <w:r w:rsidRPr="005D2610">
        <w:rPr>
          <w:rFonts w:ascii="Arial" w:hAnsi="Arial" w:cs="Arial"/>
          <w:i/>
          <w:iCs/>
          <w:sz w:val="22"/>
        </w:rPr>
        <w:t>Revista</w:t>
      </w:r>
      <w:proofErr w:type="spellEnd"/>
      <w:r w:rsidRPr="005D2610">
        <w:rPr>
          <w:rFonts w:ascii="Arial" w:hAnsi="Arial" w:cs="Arial"/>
          <w:i/>
          <w:iCs/>
          <w:sz w:val="22"/>
        </w:rPr>
        <w:t xml:space="preserve"> de </w:t>
      </w:r>
      <w:proofErr w:type="spellStart"/>
      <w:r w:rsidRPr="005D2610">
        <w:rPr>
          <w:rFonts w:ascii="Arial" w:hAnsi="Arial" w:cs="Arial"/>
          <w:i/>
          <w:iCs/>
          <w:sz w:val="22"/>
        </w:rPr>
        <w:t>saude</w:t>
      </w:r>
      <w:proofErr w:type="spellEnd"/>
      <w:r w:rsidRPr="005D2610">
        <w:rPr>
          <w:rFonts w:ascii="Arial" w:hAnsi="Arial" w:cs="Arial"/>
          <w:i/>
          <w:iCs/>
          <w:sz w:val="22"/>
        </w:rPr>
        <w:t xml:space="preserve"> publica</w:t>
      </w:r>
      <w:r w:rsidRPr="005D2610">
        <w:rPr>
          <w:rFonts w:ascii="Arial" w:hAnsi="Arial" w:cs="Arial"/>
          <w:sz w:val="22"/>
        </w:rPr>
        <w:t>, </w:t>
      </w:r>
      <w:r w:rsidRPr="005D2610">
        <w:rPr>
          <w:rFonts w:ascii="Arial" w:hAnsi="Arial" w:cs="Arial"/>
          <w:i/>
          <w:iCs/>
          <w:sz w:val="22"/>
        </w:rPr>
        <w:t>56</w:t>
      </w:r>
      <w:r w:rsidRPr="005D2610">
        <w:rPr>
          <w:rFonts w:ascii="Arial" w:hAnsi="Arial" w:cs="Arial"/>
          <w:sz w:val="22"/>
        </w:rPr>
        <w:t>, p.64.</w:t>
      </w:r>
    </w:p>
    <w:p w14:paraId="2EB8EEDF" w14:textId="0C2AF651"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Conrad, N., Verbeke, G., </w:t>
      </w:r>
      <w:proofErr w:type="spellStart"/>
      <w:r w:rsidRPr="005D2610">
        <w:rPr>
          <w:rFonts w:ascii="Arial" w:hAnsi="Arial" w:cs="Arial"/>
          <w:sz w:val="22"/>
        </w:rPr>
        <w:t>Molenberghs</w:t>
      </w:r>
      <w:proofErr w:type="spellEnd"/>
      <w:r w:rsidRPr="005D2610">
        <w:rPr>
          <w:rFonts w:ascii="Arial" w:hAnsi="Arial" w:cs="Arial"/>
          <w:sz w:val="22"/>
        </w:rPr>
        <w:t xml:space="preserve">, G., Goetschalckx, L., Callender, T., Cambridge, G., Mason, J.C., Rahimi, K., McMurray, J.J. and </w:t>
      </w:r>
      <w:proofErr w:type="spellStart"/>
      <w:r w:rsidRPr="005D2610">
        <w:rPr>
          <w:rFonts w:ascii="Arial" w:hAnsi="Arial" w:cs="Arial"/>
          <w:sz w:val="22"/>
        </w:rPr>
        <w:t>Verbakel</w:t>
      </w:r>
      <w:proofErr w:type="spellEnd"/>
      <w:r w:rsidRPr="005D2610">
        <w:rPr>
          <w:rFonts w:ascii="Arial" w:hAnsi="Arial" w:cs="Arial"/>
          <w:sz w:val="22"/>
        </w:rPr>
        <w:t xml:space="preserve">, J.Y., </w:t>
      </w:r>
      <w:r w:rsidR="00BF3797" w:rsidRPr="005D2610">
        <w:rPr>
          <w:rFonts w:ascii="Arial" w:hAnsi="Arial" w:cs="Arial"/>
          <w:sz w:val="22"/>
        </w:rPr>
        <w:t>(</w:t>
      </w:r>
      <w:r w:rsidRPr="005D2610">
        <w:rPr>
          <w:rFonts w:ascii="Arial" w:hAnsi="Arial" w:cs="Arial"/>
          <w:sz w:val="22"/>
        </w:rPr>
        <w:t>2022</w:t>
      </w:r>
      <w:r w:rsidR="00BF3797" w:rsidRPr="005D2610">
        <w:rPr>
          <w:rFonts w:ascii="Arial" w:hAnsi="Arial" w:cs="Arial"/>
          <w:sz w:val="22"/>
        </w:rPr>
        <w:t>)</w:t>
      </w:r>
      <w:r w:rsidRPr="005D2610">
        <w:rPr>
          <w:rFonts w:ascii="Arial" w:hAnsi="Arial" w:cs="Arial"/>
          <w:sz w:val="22"/>
        </w:rPr>
        <w:t>. Autoimmune diseases and cardiovascular risk: a population-based study on 19 autoimmune diseases and 12 cardiovascular diseases in 22 million individuals in the UK. </w:t>
      </w:r>
      <w:r w:rsidRPr="005D2610">
        <w:rPr>
          <w:rFonts w:ascii="Arial" w:hAnsi="Arial" w:cs="Arial"/>
          <w:i/>
          <w:iCs/>
          <w:sz w:val="22"/>
        </w:rPr>
        <w:t>The Lancet</w:t>
      </w:r>
      <w:r w:rsidRPr="005D2610">
        <w:rPr>
          <w:rFonts w:ascii="Arial" w:hAnsi="Arial" w:cs="Arial"/>
          <w:sz w:val="22"/>
        </w:rPr>
        <w:t>, </w:t>
      </w:r>
      <w:r w:rsidRPr="005D2610">
        <w:rPr>
          <w:rFonts w:ascii="Arial" w:hAnsi="Arial" w:cs="Arial"/>
          <w:i/>
          <w:iCs/>
          <w:sz w:val="22"/>
        </w:rPr>
        <w:t>400</w:t>
      </w:r>
      <w:r w:rsidRPr="005D2610">
        <w:rPr>
          <w:rFonts w:ascii="Arial" w:hAnsi="Arial" w:cs="Arial"/>
          <w:sz w:val="22"/>
        </w:rPr>
        <w:t>(10354), pp.733-743.</w:t>
      </w:r>
    </w:p>
    <w:p w14:paraId="07B0B8C2" w14:textId="1215A214"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Cortese, C., Truscott, F., </w:t>
      </w:r>
      <w:proofErr w:type="spellStart"/>
      <w:r w:rsidRPr="005D2610">
        <w:rPr>
          <w:rFonts w:ascii="Arial" w:hAnsi="Arial" w:cs="Arial"/>
          <w:sz w:val="22"/>
        </w:rPr>
        <w:t>Nikidehaghani</w:t>
      </w:r>
      <w:proofErr w:type="spellEnd"/>
      <w:r w:rsidRPr="005D2610">
        <w:rPr>
          <w:rFonts w:ascii="Arial" w:hAnsi="Arial" w:cs="Arial"/>
          <w:sz w:val="22"/>
        </w:rPr>
        <w:t xml:space="preserve">, M. and Chapple, S., </w:t>
      </w:r>
      <w:r w:rsidR="00BF3797" w:rsidRPr="005D2610">
        <w:rPr>
          <w:rFonts w:ascii="Arial" w:hAnsi="Arial" w:cs="Arial"/>
          <w:sz w:val="22"/>
        </w:rPr>
        <w:t>(</w:t>
      </w:r>
      <w:r w:rsidRPr="005D2610">
        <w:rPr>
          <w:rFonts w:ascii="Arial" w:hAnsi="Arial" w:cs="Arial"/>
          <w:sz w:val="22"/>
        </w:rPr>
        <w:t>2021</w:t>
      </w:r>
      <w:r w:rsidR="00BF3797" w:rsidRPr="005D2610">
        <w:rPr>
          <w:rFonts w:ascii="Arial" w:hAnsi="Arial" w:cs="Arial"/>
          <w:sz w:val="22"/>
        </w:rPr>
        <w:t>)</w:t>
      </w:r>
      <w:r w:rsidRPr="005D2610">
        <w:rPr>
          <w:rFonts w:ascii="Arial" w:hAnsi="Arial" w:cs="Arial"/>
          <w:sz w:val="22"/>
        </w:rPr>
        <w:t>. Hard-to-reach: The NDIS, disability, and socio-economic disadvantage. </w:t>
      </w:r>
      <w:r w:rsidRPr="005D2610">
        <w:rPr>
          <w:rFonts w:ascii="Arial" w:hAnsi="Arial" w:cs="Arial"/>
          <w:i/>
          <w:iCs/>
          <w:sz w:val="22"/>
        </w:rPr>
        <w:t>Disability &amp; Society</w:t>
      </w:r>
      <w:r w:rsidRPr="005D2610">
        <w:rPr>
          <w:rFonts w:ascii="Arial" w:hAnsi="Arial" w:cs="Arial"/>
          <w:sz w:val="22"/>
        </w:rPr>
        <w:t>, </w:t>
      </w:r>
      <w:r w:rsidRPr="005D2610">
        <w:rPr>
          <w:rFonts w:ascii="Arial" w:hAnsi="Arial" w:cs="Arial"/>
          <w:i/>
          <w:iCs/>
          <w:sz w:val="22"/>
        </w:rPr>
        <w:t>36</w:t>
      </w:r>
      <w:r w:rsidRPr="005D2610">
        <w:rPr>
          <w:rFonts w:ascii="Arial" w:hAnsi="Arial" w:cs="Arial"/>
          <w:sz w:val="22"/>
        </w:rPr>
        <w:t>(6), pp.883-903.</w:t>
      </w:r>
    </w:p>
    <w:p w14:paraId="21AC927E" w14:textId="7B04CB4D" w:rsidR="00EA0975"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Diabetes UK (2024). </w:t>
      </w:r>
      <w:r w:rsidRPr="005D2610">
        <w:rPr>
          <w:rFonts w:ascii="Arial" w:hAnsi="Arial" w:cs="Arial"/>
          <w:i/>
          <w:iCs/>
          <w:sz w:val="22"/>
          <w:lang w:val="en-US"/>
        </w:rPr>
        <w:t>30% of people living with type 2 diabetes in England are undiagnosed, ONS analysis shows</w:t>
      </w:r>
      <w:r w:rsidRPr="005D2610">
        <w:rPr>
          <w:rFonts w:ascii="Arial" w:hAnsi="Arial" w:cs="Arial"/>
          <w:sz w:val="22"/>
          <w:lang w:val="en-US"/>
        </w:rPr>
        <w:t xml:space="preserve">. [online] Diabetes UK. Available at: </w:t>
      </w:r>
      <w:hyperlink r:id="rId8" w:history="1">
        <w:r w:rsidR="00754FBF" w:rsidRPr="005D2610">
          <w:rPr>
            <w:rStyle w:val="Hyperlink"/>
            <w:rFonts w:ascii="Arial" w:hAnsi="Arial" w:cs="Arial"/>
            <w:sz w:val="22"/>
            <w:lang w:val="en-US"/>
          </w:rPr>
          <w:t>https://www.diabetes.org.uk/about-us/news-and-views/30-people-living-type-2-diabetes-england-are-undiagnosed-ons-analysis-shows</w:t>
        </w:r>
      </w:hyperlink>
      <w:r w:rsidR="00754FBF" w:rsidRPr="005D2610">
        <w:rPr>
          <w:rFonts w:ascii="Arial" w:hAnsi="Arial" w:cs="Arial"/>
          <w:sz w:val="22"/>
          <w:lang w:val="en-US"/>
        </w:rPr>
        <w:t xml:space="preserve"> </w:t>
      </w:r>
      <w:r w:rsidRPr="005D2610">
        <w:rPr>
          <w:rFonts w:ascii="Arial" w:hAnsi="Arial" w:cs="Arial"/>
          <w:sz w:val="22"/>
          <w:lang w:val="en-US"/>
        </w:rPr>
        <w:t>[Accessed 25 Sep. 2025].</w:t>
      </w:r>
    </w:p>
    <w:p w14:paraId="747C9F19" w14:textId="32A3D154"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England, N.H.S., </w:t>
      </w:r>
      <w:r w:rsidR="00BF3797" w:rsidRPr="005D2610">
        <w:rPr>
          <w:rFonts w:ascii="Arial" w:hAnsi="Arial" w:cs="Arial"/>
          <w:sz w:val="22"/>
        </w:rPr>
        <w:t>(</w:t>
      </w:r>
      <w:r w:rsidRPr="005D2610">
        <w:rPr>
          <w:rFonts w:ascii="Arial" w:hAnsi="Arial" w:cs="Arial"/>
          <w:sz w:val="22"/>
        </w:rPr>
        <w:t>2023</w:t>
      </w:r>
      <w:r w:rsidR="00BF3797" w:rsidRPr="005D2610">
        <w:rPr>
          <w:rFonts w:ascii="Arial" w:hAnsi="Arial" w:cs="Arial"/>
          <w:sz w:val="22"/>
        </w:rPr>
        <w:t>)</w:t>
      </w:r>
      <w:r w:rsidRPr="005D2610">
        <w:rPr>
          <w:rFonts w:ascii="Arial" w:hAnsi="Arial" w:cs="Arial"/>
          <w:sz w:val="22"/>
        </w:rPr>
        <w:t>. </w:t>
      </w:r>
      <w:r w:rsidRPr="005D2610">
        <w:rPr>
          <w:rFonts w:ascii="Arial" w:hAnsi="Arial" w:cs="Arial"/>
          <w:i/>
          <w:iCs/>
          <w:sz w:val="22"/>
        </w:rPr>
        <w:t>NHS long term workforce plan</w:t>
      </w:r>
      <w:r w:rsidRPr="005D2610">
        <w:rPr>
          <w:rFonts w:ascii="Arial" w:hAnsi="Arial" w:cs="Arial"/>
          <w:sz w:val="22"/>
        </w:rPr>
        <w:t> [online]</w:t>
      </w:r>
    </w:p>
    <w:p w14:paraId="6BF06C2E" w14:textId="71BA2333" w:rsidR="00EA0975"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GOV.UK (2010). </w:t>
      </w:r>
      <w:r w:rsidRPr="005D2610">
        <w:rPr>
          <w:rFonts w:ascii="Arial" w:hAnsi="Arial" w:cs="Arial"/>
          <w:i/>
          <w:iCs/>
          <w:sz w:val="22"/>
          <w:lang w:val="en-US"/>
        </w:rPr>
        <w:t>Equality Act 2010</w:t>
      </w:r>
      <w:r w:rsidRPr="005D2610">
        <w:rPr>
          <w:rFonts w:ascii="Arial" w:hAnsi="Arial" w:cs="Arial"/>
          <w:sz w:val="22"/>
          <w:lang w:val="en-US"/>
        </w:rPr>
        <w:t xml:space="preserve">. [online] Legislation.gov.uk. Available at: </w:t>
      </w:r>
      <w:hyperlink r:id="rId9" w:history="1">
        <w:r w:rsidR="00754FBF" w:rsidRPr="005D2610">
          <w:rPr>
            <w:rStyle w:val="Hyperlink"/>
            <w:rFonts w:ascii="Arial" w:hAnsi="Arial" w:cs="Arial"/>
            <w:sz w:val="22"/>
            <w:lang w:val="en-US"/>
          </w:rPr>
          <w:t>https://www.legislation.gov.uk/ukpga/2010/15/contents</w:t>
        </w:r>
      </w:hyperlink>
      <w:r w:rsidR="00754FBF" w:rsidRPr="005D2610">
        <w:rPr>
          <w:rFonts w:ascii="Arial" w:hAnsi="Arial" w:cs="Arial"/>
          <w:sz w:val="22"/>
          <w:lang w:val="en-US"/>
        </w:rPr>
        <w:t xml:space="preserve"> </w:t>
      </w:r>
      <w:r w:rsidRPr="005D2610">
        <w:rPr>
          <w:rFonts w:ascii="Arial" w:hAnsi="Arial" w:cs="Arial"/>
          <w:sz w:val="22"/>
          <w:lang w:val="en-US"/>
        </w:rPr>
        <w:t>[Accessed 25 Sep. 2025].</w:t>
      </w:r>
    </w:p>
    <w:p w14:paraId="01730259" w14:textId="65E18A4E" w:rsidR="00EA0975"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GOV.UK (2024). </w:t>
      </w:r>
      <w:r w:rsidRPr="005D2610">
        <w:rPr>
          <w:rFonts w:ascii="Arial" w:hAnsi="Arial" w:cs="Arial"/>
          <w:i/>
          <w:iCs/>
          <w:sz w:val="22"/>
          <w:lang w:val="en-US"/>
        </w:rPr>
        <w:t>The Employment of Disabled People 2024</w:t>
      </w:r>
      <w:r w:rsidRPr="005D2610">
        <w:rPr>
          <w:rFonts w:ascii="Arial" w:hAnsi="Arial" w:cs="Arial"/>
          <w:sz w:val="22"/>
          <w:lang w:val="en-US"/>
        </w:rPr>
        <w:t xml:space="preserve">. [online] Gov.uk. Available at: </w:t>
      </w:r>
      <w:hyperlink r:id="rId10" w:history="1">
        <w:r w:rsidR="00754FBF" w:rsidRPr="005D2610">
          <w:rPr>
            <w:rStyle w:val="Hyperlink"/>
            <w:rFonts w:ascii="Arial" w:hAnsi="Arial" w:cs="Arial"/>
            <w:sz w:val="22"/>
            <w:lang w:val="en-US"/>
          </w:rPr>
          <w:t>https://www.gov.uk/government/statistics/the-employment-of-disabled-people-2024/the-employment-of-disabled-people-2024</w:t>
        </w:r>
      </w:hyperlink>
      <w:r w:rsidR="00754FBF" w:rsidRPr="005D2610">
        <w:rPr>
          <w:rFonts w:ascii="Arial" w:hAnsi="Arial" w:cs="Arial"/>
          <w:sz w:val="22"/>
          <w:lang w:val="en-US"/>
        </w:rPr>
        <w:t xml:space="preserve"> </w:t>
      </w:r>
      <w:r w:rsidRPr="005D2610">
        <w:rPr>
          <w:rFonts w:ascii="Arial" w:hAnsi="Arial" w:cs="Arial"/>
          <w:sz w:val="22"/>
          <w:lang w:val="en-US"/>
        </w:rPr>
        <w:t>[Accessed 25 Sep. 2025].</w:t>
      </w:r>
    </w:p>
    <w:p w14:paraId="342DB785" w14:textId="47A5D3B6"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Hoque, K., Bacon, N. and Allen, D., </w:t>
      </w:r>
      <w:r w:rsidR="00BF3797" w:rsidRPr="005D2610">
        <w:rPr>
          <w:rFonts w:ascii="Arial" w:hAnsi="Arial" w:cs="Arial"/>
          <w:sz w:val="22"/>
        </w:rPr>
        <w:t>(</w:t>
      </w:r>
      <w:r w:rsidRPr="005D2610">
        <w:rPr>
          <w:rFonts w:ascii="Arial" w:hAnsi="Arial" w:cs="Arial"/>
          <w:sz w:val="22"/>
        </w:rPr>
        <w:t>2024</w:t>
      </w:r>
      <w:r w:rsidR="00BF3797" w:rsidRPr="005D2610">
        <w:rPr>
          <w:rFonts w:ascii="Arial" w:hAnsi="Arial" w:cs="Arial"/>
          <w:sz w:val="22"/>
        </w:rPr>
        <w:t>)</w:t>
      </w:r>
      <w:r w:rsidRPr="005D2610">
        <w:rPr>
          <w:rFonts w:ascii="Arial" w:hAnsi="Arial" w:cs="Arial"/>
          <w:sz w:val="22"/>
        </w:rPr>
        <w:t>. Do employers’ equality certifications improve equality outcomes? An assessment of the United Kingdom's Two Ticks and Disability Confident schemes. </w:t>
      </w:r>
      <w:r w:rsidRPr="005D2610">
        <w:rPr>
          <w:rFonts w:ascii="Arial" w:hAnsi="Arial" w:cs="Arial"/>
          <w:i/>
          <w:iCs/>
          <w:sz w:val="22"/>
        </w:rPr>
        <w:t>British Journal of Industrial Relations</w:t>
      </w:r>
      <w:r w:rsidRPr="005D2610">
        <w:rPr>
          <w:rFonts w:ascii="Arial" w:hAnsi="Arial" w:cs="Arial"/>
          <w:sz w:val="22"/>
        </w:rPr>
        <w:t>, </w:t>
      </w:r>
      <w:r w:rsidRPr="005D2610">
        <w:rPr>
          <w:rFonts w:ascii="Arial" w:hAnsi="Arial" w:cs="Arial"/>
          <w:i/>
          <w:iCs/>
          <w:sz w:val="22"/>
        </w:rPr>
        <w:t>62</w:t>
      </w:r>
      <w:r w:rsidRPr="005D2610">
        <w:rPr>
          <w:rFonts w:ascii="Arial" w:hAnsi="Arial" w:cs="Arial"/>
          <w:sz w:val="22"/>
        </w:rPr>
        <w:t>(4), pp.734-759.</w:t>
      </w:r>
    </w:p>
    <w:p w14:paraId="58E64315" w14:textId="49F24704"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lastRenderedPageBreak/>
        <w:t xml:space="preserve">Jones, M., Hoque, K., Wass, V. and Bacon, N., </w:t>
      </w:r>
      <w:r w:rsidR="00BF3797" w:rsidRPr="005D2610">
        <w:rPr>
          <w:rFonts w:ascii="Arial" w:hAnsi="Arial" w:cs="Arial"/>
          <w:sz w:val="22"/>
        </w:rPr>
        <w:t>(</w:t>
      </w:r>
      <w:r w:rsidRPr="005D2610">
        <w:rPr>
          <w:rFonts w:ascii="Arial" w:hAnsi="Arial" w:cs="Arial"/>
          <w:sz w:val="22"/>
        </w:rPr>
        <w:t>2021</w:t>
      </w:r>
      <w:r w:rsidR="00BF3797" w:rsidRPr="005D2610">
        <w:rPr>
          <w:rFonts w:ascii="Arial" w:hAnsi="Arial" w:cs="Arial"/>
          <w:sz w:val="22"/>
        </w:rPr>
        <w:t>)</w:t>
      </w:r>
      <w:r w:rsidRPr="005D2610">
        <w:rPr>
          <w:rFonts w:ascii="Arial" w:hAnsi="Arial" w:cs="Arial"/>
          <w:sz w:val="22"/>
        </w:rPr>
        <w:t>. Inequality and the economic cycle: disabled employees’ experience of work during the great recession in Britain. </w:t>
      </w:r>
      <w:r w:rsidRPr="005D2610">
        <w:rPr>
          <w:rFonts w:ascii="Arial" w:hAnsi="Arial" w:cs="Arial"/>
          <w:i/>
          <w:iCs/>
          <w:sz w:val="22"/>
        </w:rPr>
        <w:t>British Journal of Industrial Relations</w:t>
      </w:r>
      <w:r w:rsidRPr="005D2610">
        <w:rPr>
          <w:rFonts w:ascii="Arial" w:hAnsi="Arial" w:cs="Arial"/>
          <w:sz w:val="22"/>
        </w:rPr>
        <w:t>, </w:t>
      </w:r>
      <w:r w:rsidRPr="005D2610">
        <w:rPr>
          <w:rFonts w:ascii="Arial" w:hAnsi="Arial" w:cs="Arial"/>
          <w:i/>
          <w:iCs/>
          <w:sz w:val="22"/>
        </w:rPr>
        <w:t>59</w:t>
      </w:r>
      <w:r w:rsidRPr="005D2610">
        <w:rPr>
          <w:rFonts w:ascii="Arial" w:hAnsi="Arial" w:cs="Arial"/>
          <w:sz w:val="22"/>
        </w:rPr>
        <w:t>(3), pp.788-815.</w:t>
      </w:r>
    </w:p>
    <w:p w14:paraId="14A852D6" w14:textId="7408736A"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Kavanagh, A., Hatton, C., Stancliffe, R.J., Aitken, Z., King, T., Hastings, R., </w:t>
      </w:r>
      <w:proofErr w:type="spellStart"/>
      <w:r w:rsidRPr="005D2610">
        <w:rPr>
          <w:rFonts w:ascii="Arial" w:hAnsi="Arial" w:cs="Arial"/>
          <w:sz w:val="22"/>
        </w:rPr>
        <w:t>Totsika</w:t>
      </w:r>
      <w:proofErr w:type="spellEnd"/>
      <w:r w:rsidRPr="005D2610">
        <w:rPr>
          <w:rFonts w:ascii="Arial" w:hAnsi="Arial" w:cs="Arial"/>
          <w:sz w:val="22"/>
        </w:rPr>
        <w:t xml:space="preserve">, V., Llewellyn, G. and Emerson, E., </w:t>
      </w:r>
      <w:r w:rsidR="00BF3797" w:rsidRPr="005D2610">
        <w:rPr>
          <w:rFonts w:ascii="Arial" w:hAnsi="Arial" w:cs="Arial"/>
          <w:sz w:val="22"/>
        </w:rPr>
        <w:t>(</w:t>
      </w:r>
      <w:r w:rsidRPr="005D2610">
        <w:rPr>
          <w:rFonts w:ascii="Arial" w:hAnsi="Arial" w:cs="Arial"/>
          <w:sz w:val="22"/>
        </w:rPr>
        <w:t>2022</w:t>
      </w:r>
      <w:r w:rsidR="00BF3797" w:rsidRPr="005D2610">
        <w:rPr>
          <w:rFonts w:ascii="Arial" w:hAnsi="Arial" w:cs="Arial"/>
          <w:sz w:val="22"/>
        </w:rPr>
        <w:t>)</w:t>
      </w:r>
      <w:r w:rsidRPr="005D2610">
        <w:rPr>
          <w:rFonts w:ascii="Arial" w:hAnsi="Arial" w:cs="Arial"/>
          <w:sz w:val="22"/>
        </w:rPr>
        <w:t>. Health and healthcare for people with disabilities in the UK during the COVID-19 pandemic. </w:t>
      </w:r>
      <w:r w:rsidRPr="005D2610">
        <w:rPr>
          <w:rFonts w:ascii="Arial" w:hAnsi="Arial" w:cs="Arial"/>
          <w:i/>
          <w:iCs/>
          <w:sz w:val="22"/>
        </w:rPr>
        <w:t>Disability and Health Journal</w:t>
      </w:r>
      <w:r w:rsidRPr="005D2610">
        <w:rPr>
          <w:rFonts w:ascii="Arial" w:hAnsi="Arial" w:cs="Arial"/>
          <w:sz w:val="22"/>
        </w:rPr>
        <w:t>, </w:t>
      </w:r>
      <w:r w:rsidRPr="005D2610">
        <w:rPr>
          <w:rFonts w:ascii="Arial" w:hAnsi="Arial" w:cs="Arial"/>
          <w:i/>
          <w:iCs/>
          <w:sz w:val="22"/>
        </w:rPr>
        <w:t>15</w:t>
      </w:r>
      <w:r w:rsidRPr="005D2610">
        <w:rPr>
          <w:rFonts w:ascii="Arial" w:hAnsi="Arial" w:cs="Arial"/>
          <w:sz w:val="22"/>
        </w:rPr>
        <w:t>(1), p.101171.</w:t>
      </w:r>
    </w:p>
    <w:p w14:paraId="187EA194" w14:textId="1FCAB494" w:rsidR="00EA0975"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Kirk-Wade, E., Wong, H. and </w:t>
      </w:r>
      <w:proofErr w:type="spellStart"/>
      <w:r w:rsidRPr="005D2610">
        <w:rPr>
          <w:rFonts w:ascii="Arial" w:hAnsi="Arial" w:cs="Arial"/>
          <w:sz w:val="22"/>
          <w:lang w:val="en-US"/>
        </w:rPr>
        <w:t>Stiebahl</w:t>
      </w:r>
      <w:proofErr w:type="spellEnd"/>
      <w:r w:rsidRPr="005D2610">
        <w:rPr>
          <w:rFonts w:ascii="Arial" w:hAnsi="Arial" w:cs="Arial"/>
          <w:sz w:val="22"/>
          <w:lang w:val="en-US"/>
        </w:rPr>
        <w:t xml:space="preserve">, S. (2024). </w:t>
      </w:r>
      <w:r w:rsidRPr="005D2610">
        <w:rPr>
          <w:rFonts w:ascii="Arial" w:hAnsi="Arial" w:cs="Arial"/>
          <w:i/>
          <w:iCs/>
          <w:sz w:val="22"/>
          <w:lang w:val="en-US"/>
        </w:rPr>
        <w:t>UK Disability statistics: Prevalence and Life Experiences</w:t>
      </w:r>
      <w:r w:rsidRPr="005D2610">
        <w:rPr>
          <w:rFonts w:ascii="Arial" w:hAnsi="Arial" w:cs="Arial"/>
          <w:sz w:val="22"/>
          <w:lang w:val="en-US"/>
        </w:rPr>
        <w:t xml:space="preserve">. [online] House of Commons Library. Available at: </w:t>
      </w:r>
      <w:hyperlink r:id="rId11" w:history="1">
        <w:r w:rsidR="00754FBF" w:rsidRPr="005D2610">
          <w:rPr>
            <w:rStyle w:val="Hyperlink"/>
            <w:rFonts w:ascii="Arial" w:hAnsi="Arial" w:cs="Arial"/>
            <w:sz w:val="22"/>
            <w:lang w:val="en-US"/>
          </w:rPr>
          <w:t>https://commonslibrary.parliament.uk/research-briefings/cbp-9602/</w:t>
        </w:r>
      </w:hyperlink>
      <w:r w:rsidR="00754FBF" w:rsidRPr="005D2610">
        <w:rPr>
          <w:rFonts w:ascii="Arial" w:hAnsi="Arial" w:cs="Arial"/>
          <w:sz w:val="22"/>
          <w:lang w:val="en-US"/>
        </w:rPr>
        <w:t xml:space="preserve"> </w:t>
      </w:r>
      <w:r w:rsidRPr="005D2610">
        <w:rPr>
          <w:rFonts w:ascii="Arial" w:hAnsi="Arial" w:cs="Arial"/>
          <w:sz w:val="22"/>
          <w:lang w:val="en-US"/>
        </w:rPr>
        <w:t>[Accessed 25 Sep. 2025].</w:t>
      </w:r>
    </w:p>
    <w:p w14:paraId="4D096955" w14:textId="73E156FD"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Mitra, S. and Gao, Q., </w:t>
      </w:r>
      <w:r w:rsidR="00BF3797" w:rsidRPr="005D2610">
        <w:rPr>
          <w:rFonts w:ascii="Arial" w:hAnsi="Arial" w:cs="Arial"/>
          <w:sz w:val="22"/>
        </w:rPr>
        <w:t>(</w:t>
      </w:r>
      <w:r w:rsidRPr="005D2610">
        <w:rPr>
          <w:rFonts w:ascii="Arial" w:hAnsi="Arial" w:cs="Arial"/>
          <w:sz w:val="22"/>
        </w:rPr>
        <w:t>2023</w:t>
      </w:r>
      <w:r w:rsidR="00BF3797" w:rsidRPr="005D2610">
        <w:rPr>
          <w:rFonts w:ascii="Arial" w:hAnsi="Arial" w:cs="Arial"/>
          <w:sz w:val="22"/>
        </w:rPr>
        <w:t>)</w:t>
      </w:r>
      <w:r w:rsidRPr="005D2610">
        <w:rPr>
          <w:rFonts w:ascii="Arial" w:hAnsi="Arial" w:cs="Arial"/>
          <w:sz w:val="22"/>
        </w:rPr>
        <w:t>. Disability and social policy: Global evidence and perspectives. </w:t>
      </w:r>
      <w:r w:rsidRPr="005D2610">
        <w:rPr>
          <w:rFonts w:ascii="Arial" w:hAnsi="Arial" w:cs="Arial"/>
          <w:i/>
          <w:iCs/>
          <w:sz w:val="22"/>
        </w:rPr>
        <w:t>Global Social Policy</w:t>
      </w:r>
      <w:r w:rsidRPr="005D2610">
        <w:rPr>
          <w:rFonts w:ascii="Arial" w:hAnsi="Arial" w:cs="Arial"/>
          <w:sz w:val="22"/>
        </w:rPr>
        <w:t>, </w:t>
      </w:r>
      <w:r w:rsidRPr="005D2610">
        <w:rPr>
          <w:rFonts w:ascii="Arial" w:hAnsi="Arial" w:cs="Arial"/>
          <w:i/>
          <w:iCs/>
          <w:sz w:val="22"/>
        </w:rPr>
        <w:t>23</w:t>
      </w:r>
      <w:r w:rsidRPr="005D2610">
        <w:rPr>
          <w:rFonts w:ascii="Arial" w:hAnsi="Arial" w:cs="Arial"/>
          <w:sz w:val="22"/>
        </w:rPr>
        <w:t>(1), pp.3-10.</w:t>
      </w:r>
    </w:p>
    <w:p w14:paraId="7D1AAF0D" w14:textId="56C65FEB" w:rsidR="00EA0975"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ONS (2022). </w:t>
      </w:r>
      <w:r w:rsidRPr="005D2610">
        <w:rPr>
          <w:rFonts w:ascii="Arial" w:hAnsi="Arial" w:cs="Arial"/>
          <w:i/>
          <w:iCs/>
          <w:sz w:val="22"/>
          <w:lang w:val="en-US"/>
        </w:rPr>
        <w:t>Outcomes for disabled people in the UK - Office for National Statistics</w:t>
      </w:r>
      <w:r w:rsidRPr="005D2610">
        <w:rPr>
          <w:rFonts w:ascii="Arial" w:hAnsi="Arial" w:cs="Arial"/>
          <w:sz w:val="22"/>
          <w:lang w:val="en-US"/>
        </w:rPr>
        <w:t xml:space="preserve">. [online] www.ons.gov.uk. Available at: </w:t>
      </w:r>
      <w:hyperlink r:id="rId12" w:history="1">
        <w:r w:rsidR="00754FBF" w:rsidRPr="005D2610">
          <w:rPr>
            <w:rStyle w:val="Hyperlink"/>
            <w:rFonts w:ascii="Arial" w:hAnsi="Arial" w:cs="Arial"/>
            <w:sz w:val="22"/>
            <w:lang w:val="en-US"/>
          </w:rPr>
          <w:t>https://www.ons.gov.uk/peoplepopulationandcommunity/healthandsocialcare/disability/articles/outcomesfordisabledpeopleintheuk/2021/previous/v1</w:t>
        </w:r>
      </w:hyperlink>
      <w:r w:rsidR="00754FBF" w:rsidRPr="005D2610">
        <w:rPr>
          <w:rFonts w:ascii="Arial" w:hAnsi="Arial" w:cs="Arial"/>
          <w:sz w:val="22"/>
          <w:lang w:val="en-US"/>
        </w:rPr>
        <w:t xml:space="preserve"> </w:t>
      </w:r>
      <w:r w:rsidRPr="005D2610">
        <w:rPr>
          <w:rFonts w:ascii="Arial" w:hAnsi="Arial" w:cs="Arial"/>
          <w:sz w:val="22"/>
          <w:lang w:val="en-US"/>
        </w:rPr>
        <w:t>[Accessed 25 Sep. 2025].</w:t>
      </w:r>
    </w:p>
    <w:p w14:paraId="03BA8960" w14:textId="68CDEA31" w:rsidR="00EA0975"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ONS (2022a). </w:t>
      </w:r>
      <w:r w:rsidRPr="005D2610">
        <w:rPr>
          <w:rFonts w:ascii="Arial" w:hAnsi="Arial" w:cs="Arial"/>
          <w:i/>
          <w:iCs/>
          <w:sz w:val="22"/>
          <w:lang w:val="en-US"/>
        </w:rPr>
        <w:t>Disabled people’s access to products and services, Great Britain - Office for National Statistics</w:t>
      </w:r>
      <w:r w:rsidRPr="005D2610">
        <w:rPr>
          <w:rFonts w:ascii="Arial" w:hAnsi="Arial" w:cs="Arial"/>
          <w:sz w:val="22"/>
          <w:lang w:val="en-US"/>
        </w:rPr>
        <w:t xml:space="preserve">. [online] www.ons.gov.uk. Available at: </w:t>
      </w:r>
      <w:hyperlink r:id="rId13" w:history="1">
        <w:r w:rsidR="00754FBF" w:rsidRPr="005D2610">
          <w:rPr>
            <w:rStyle w:val="Hyperlink"/>
            <w:rFonts w:ascii="Arial" w:hAnsi="Arial" w:cs="Arial"/>
            <w:sz w:val="22"/>
            <w:lang w:val="en-US"/>
          </w:rPr>
          <w:t>https://www.ons.gov.uk/peoplepopulationandcommunity/healthandsocialcare/disability/articles/disabledpeoplesaccesstoproductsandservicesgreatbritain/februarytomarch2022</w:t>
        </w:r>
      </w:hyperlink>
      <w:r w:rsidR="00754FBF" w:rsidRPr="005D2610">
        <w:rPr>
          <w:rFonts w:ascii="Arial" w:hAnsi="Arial" w:cs="Arial"/>
          <w:sz w:val="22"/>
          <w:lang w:val="en-US"/>
        </w:rPr>
        <w:t xml:space="preserve"> </w:t>
      </w:r>
      <w:r w:rsidRPr="005D2610">
        <w:rPr>
          <w:rFonts w:ascii="Arial" w:hAnsi="Arial" w:cs="Arial"/>
          <w:sz w:val="22"/>
          <w:lang w:val="en-US"/>
        </w:rPr>
        <w:t>[Accessed 25 Sep. 2025].</w:t>
      </w:r>
    </w:p>
    <w:p w14:paraId="2634E0E6" w14:textId="59A863EB" w:rsidR="00EA0975"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Public Health England (2019). </w:t>
      </w:r>
      <w:r w:rsidRPr="005D2610">
        <w:rPr>
          <w:rFonts w:ascii="Arial" w:hAnsi="Arial" w:cs="Arial"/>
          <w:i/>
          <w:iCs/>
          <w:sz w:val="22"/>
          <w:lang w:val="en-US"/>
        </w:rPr>
        <w:t>Health matters: preventing cardiovascular disease</w:t>
      </w:r>
      <w:r w:rsidRPr="005D2610">
        <w:rPr>
          <w:rFonts w:ascii="Arial" w:hAnsi="Arial" w:cs="Arial"/>
          <w:sz w:val="22"/>
          <w:lang w:val="en-US"/>
        </w:rPr>
        <w:t xml:space="preserve">. [online] GOV.UK. Available at: </w:t>
      </w:r>
      <w:hyperlink r:id="rId14" w:history="1">
        <w:r w:rsidR="00754FBF" w:rsidRPr="005D2610">
          <w:rPr>
            <w:rStyle w:val="Hyperlink"/>
            <w:rFonts w:ascii="Arial" w:hAnsi="Arial" w:cs="Arial"/>
            <w:sz w:val="22"/>
            <w:lang w:val="en-US"/>
          </w:rPr>
          <w:t>https://www.gov.uk/government/publications/health-matters-preventing-cardiovascular-disease/health-matters-preventing-cardiovascular-disease</w:t>
        </w:r>
      </w:hyperlink>
      <w:r w:rsidR="00754FBF" w:rsidRPr="005D2610">
        <w:rPr>
          <w:rFonts w:ascii="Arial" w:hAnsi="Arial" w:cs="Arial"/>
          <w:sz w:val="22"/>
          <w:lang w:val="en-US"/>
        </w:rPr>
        <w:t xml:space="preserve"> </w:t>
      </w:r>
      <w:r w:rsidRPr="005D2610">
        <w:rPr>
          <w:rFonts w:ascii="Arial" w:hAnsi="Arial" w:cs="Arial"/>
          <w:sz w:val="22"/>
          <w:lang w:val="en-US"/>
        </w:rPr>
        <w:t>[Accessed 25 Sep. 2025].</w:t>
      </w:r>
    </w:p>
    <w:p w14:paraId="55A493CC" w14:textId="032185A3" w:rsidR="00EA0975"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Sanders, R., </w:t>
      </w:r>
      <w:r w:rsidR="00BF3797" w:rsidRPr="005D2610">
        <w:rPr>
          <w:rFonts w:ascii="Arial" w:hAnsi="Arial" w:cs="Arial"/>
          <w:sz w:val="22"/>
        </w:rPr>
        <w:t>(</w:t>
      </w:r>
      <w:r w:rsidRPr="005D2610">
        <w:rPr>
          <w:rFonts w:ascii="Arial" w:hAnsi="Arial" w:cs="Arial"/>
          <w:sz w:val="22"/>
        </w:rPr>
        <w:t>2022</w:t>
      </w:r>
      <w:r w:rsidR="00BF3797" w:rsidRPr="005D2610">
        <w:rPr>
          <w:rFonts w:ascii="Arial" w:hAnsi="Arial" w:cs="Arial"/>
          <w:sz w:val="22"/>
        </w:rPr>
        <w:t>)</w:t>
      </w:r>
      <w:r w:rsidRPr="005D2610">
        <w:rPr>
          <w:rFonts w:ascii="Arial" w:hAnsi="Arial" w:cs="Arial"/>
          <w:sz w:val="22"/>
        </w:rPr>
        <w:t>. Disability and extra living costs.</w:t>
      </w:r>
    </w:p>
    <w:p w14:paraId="1F0DD584" w14:textId="0C3BF19B" w:rsidR="001B6154" w:rsidRPr="00006EB9" w:rsidRDefault="00E42F2C" w:rsidP="00006EB9">
      <w:pPr>
        <w:spacing w:line="360" w:lineRule="auto"/>
        <w:ind w:left="720" w:hanging="720"/>
        <w:rPr>
          <w:rFonts w:ascii="Arial" w:hAnsi="Arial" w:cs="Arial"/>
          <w:sz w:val="22"/>
        </w:rPr>
      </w:pPr>
      <w:r w:rsidRPr="005D2610">
        <w:rPr>
          <w:rFonts w:ascii="Arial" w:hAnsi="Arial" w:cs="Arial"/>
          <w:sz w:val="22"/>
        </w:rPr>
        <w:t xml:space="preserve">Tomic, D., Shaw, J.E. and Magliano, D.J., </w:t>
      </w:r>
      <w:r w:rsidR="00BF3797" w:rsidRPr="005D2610">
        <w:rPr>
          <w:rFonts w:ascii="Arial" w:hAnsi="Arial" w:cs="Arial"/>
          <w:sz w:val="22"/>
        </w:rPr>
        <w:t>(</w:t>
      </w:r>
      <w:r w:rsidRPr="005D2610">
        <w:rPr>
          <w:rFonts w:ascii="Arial" w:hAnsi="Arial" w:cs="Arial"/>
          <w:sz w:val="22"/>
        </w:rPr>
        <w:t>2022</w:t>
      </w:r>
      <w:r w:rsidR="00BF3797" w:rsidRPr="005D2610">
        <w:rPr>
          <w:rFonts w:ascii="Arial" w:hAnsi="Arial" w:cs="Arial"/>
          <w:sz w:val="22"/>
        </w:rPr>
        <w:t>)</w:t>
      </w:r>
      <w:r w:rsidRPr="005D2610">
        <w:rPr>
          <w:rFonts w:ascii="Arial" w:hAnsi="Arial" w:cs="Arial"/>
          <w:sz w:val="22"/>
        </w:rPr>
        <w:t>. The burden and risks of emerging complications of diabetes mellitus. </w:t>
      </w:r>
      <w:r w:rsidRPr="005D2610">
        <w:rPr>
          <w:rFonts w:ascii="Arial" w:hAnsi="Arial" w:cs="Arial"/>
          <w:i/>
          <w:iCs/>
          <w:sz w:val="22"/>
        </w:rPr>
        <w:t>Nature Reviews Endocrinology</w:t>
      </w:r>
      <w:r w:rsidRPr="005D2610">
        <w:rPr>
          <w:rFonts w:ascii="Arial" w:hAnsi="Arial" w:cs="Arial"/>
          <w:sz w:val="22"/>
        </w:rPr>
        <w:t>, </w:t>
      </w:r>
      <w:r w:rsidRPr="005D2610">
        <w:rPr>
          <w:rFonts w:ascii="Arial" w:hAnsi="Arial" w:cs="Arial"/>
          <w:i/>
          <w:iCs/>
          <w:sz w:val="22"/>
        </w:rPr>
        <w:t>18</w:t>
      </w:r>
      <w:r w:rsidRPr="005D2610">
        <w:rPr>
          <w:rFonts w:ascii="Arial" w:hAnsi="Arial" w:cs="Arial"/>
          <w:sz w:val="22"/>
        </w:rPr>
        <w:t>(9), pp.525-539.</w:t>
      </w:r>
    </w:p>
    <w:p w14:paraId="4CADA999" w14:textId="3D501FD5" w:rsidR="001B6154" w:rsidRPr="005D2610" w:rsidRDefault="00E42F2C" w:rsidP="005D2610">
      <w:pPr>
        <w:spacing w:line="360" w:lineRule="auto"/>
        <w:rPr>
          <w:rFonts w:ascii="Arial" w:hAnsi="Arial" w:cs="Arial"/>
          <w:sz w:val="22"/>
          <w:lang w:val="en-US"/>
        </w:rPr>
      </w:pPr>
      <w:r w:rsidRPr="005D2610">
        <w:rPr>
          <w:rFonts w:ascii="Arial" w:hAnsi="Arial" w:cs="Arial"/>
          <w:sz w:val="22"/>
          <w:lang w:val="en-US"/>
        </w:rPr>
        <w:br w:type="page"/>
      </w:r>
    </w:p>
    <w:p w14:paraId="45E212A2" w14:textId="4B3512C9" w:rsidR="001B6154" w:rsidRPr="005D2610" w:rsidRDefault="00E42F2C" w:rsidP="005D2610">
      <w:pPr>
        <w:pStyle w:val="Heading1"/>
        <w:spacing w:line="360" w:lineRule="auto"/>
        <w:rPr>
          <w:rFonts w:ascii="Arial" w:hAnsi="Arial" w:cs="Arial"/>
          <w:sz w:val="22"/>
          <w:szCs w:val="22"/>
          <w:lang w:val="en-US"/>
        </w:rPr>
      </w:pPr>
      <w:bookmarkStart w:id="9" w:name="_Toc209673775"/>
      <w:r w:rsidRPr="005D2610">
        <w:rPr>
          <w:rFonts w:ascii="Arial" w:hAnsi="Arial" w:cs="Arial"/>
          <w:sz w:val="22"/>
          <w:szCs w:val="22"/>
          <w:lang w:val="en-US"/>
        </w:rPr>
        <w:lastRenderedPageBreak/>
        <w:t>Task 2</w:t>
      </w:r>
      <w:r w:rsidR="00A04A1E" w:rsidRPr="005D2610">
        <w:rPr>
          <w:rFonts w:ascii="Arial" w:hAnsi="Arial" w:cs="Arial"/>
          <w:sz w:val="22"/>
          <w:szCs w:val="22"/>
          <w:lang w:val="en-US"/>
        </w:rPr>
        <w:t>: Epidemiological Analysis</w:t>
      </w:r>
      <w:bookmarkEnd w:id="9"/>
    </w:p>
    <w:p w14:paraId="0702C020" w14:textId="77777777" w:rsidR="00A54267" w:rsidRPr="005D2610" w:rsidRDefault="00E42F2C" w:rsidP="005D2610">
      <w:pPr>
        <w:spacing w:line="360" w:lineRule="auto"/>
        <w:rPr>
          <w:rFonts w:ascii="Arial" w:hAnsi="Arial" w:cs="Arial"/>
          <w:b/>
          <w:bCs/>
          <w:sz w:val="22"/>
          <w:lang w:val="en-US"/>
        </w:rPr>
      </w:pPr>
      <w:r w:rsidRPr="005D2610">
        <w:rPr>
          <w:rFonts w:ascii="Arial" w:hAnsi="Arial" w:cs="Arial"/>
          <w:b/>
          <w:bCs/>
          <w:sz w:val="22"/>
          <w:lang w:val="en-US"/>
        </w:rPr>
        <w:t>Title:</w:t>
      </w:r>
    </w:p>
    <w:p w14:paraId="0F91488C" w14:textId="77777777" w:rsidR="00A54267" w:rsidRPr="005D2610" w:rsidRDefault="00E42F2C" w:rsidP="005D2610">
      <w:pPr>
        <w:spacing w:line="360" w:lineRule="auto"/>
        <w:rPr>
          <w:rFonts w:ascii="Arial" w:hAnsi="Arial" w:cs="Arial"/>
          <w:sz w:val="22"/>
          <w:lang w:val="en-US"/>
        </w:rPr>
      </w:pPr>
      <w:r w:rsidRPr="005D2610">
        <w:rPr>
          <w:rFonts w:ascii="Arial" w:hAnsi="Arial" w:cs="Arial"/>
          <w:sz w:val="22"/>
          <w:lang w:val="en-US"/>
        </w:rPr>
        <w:t>Epidemiological Analysis of Type 2 Diabetes Mellitus in Tower Hamlets, London</w:t>
      </w:r>
    </w:p>
    <w:p w14:paraId="5398C9D2" w14:textId="48C52CA1" w:rsidR="00A54267" w:rsidRPr="005D2610" w:rsidRDefault="00A54267" w:rsidP="005D2610">
      <w:pPr>
        <w:spacing w:line="360" w:lineRule="auto"/>
        <w:rPr>
          <w:rFonts w:ascii="Arial" w:hAnsi="Arial" w:cs="Arial"/>
          <w:sz w:val="22"/>
          <w:lang w:val="en-US"/>
        </w:rPr>
      </w:pPr>
    </w:p>
    <w:p w14:paraId="5CB0CE81" w14:textId="453FBA93" w:rsidR="00A54267" w:rsidRPr="00D6611A" w:rsidRDefault="00E42F2C" w:rsidP="005D2610">
      <w:pPr>
        <w:pStyle w:val="Heading2"/>
        <w:spacing w:line="360" w:lineRule="auto"/>
        <w:rPr>
          <w:rFonts w:ascii="Arial" w:hAnsi="Arial" w:cs="Arial"/>
          <w:b/>
          <w:bCs/>
          <w:sz w:val="22"/>
          <w:szCs w:val="22"/>
          <w:lang w:val="en-US"/>
        </w:rPr>
      </w:pPr>
      <w:bookmarkStart w:id="10" w:name="_Toc209673776"/>
      <w:r w:rsidRPr="00D6611A">
        <w:rPr>
          <w:rFonts w:ascii="Arial" w:hAnsi="Arial" w:cs="Arial"/>
          <w:b/>
          <w:bCs/>
          <w:sz w:val="22"/>
          <w:szCs w:val="22"/>
          <w:lang w:val="en-US"/>
        </w:rPr>
        <w:t>Introduction</w:t>
      </w:r>
      <w:bookmarkEnd w:id="10"/>
    </w:p>
    <w:p w14:paraId="77A37554" w14:textId="690C6A5B" w:rsidR="00593E29"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Type 2 Diabetes Mellitus (T2DM) is a long-term metabolic disease with insulin resistance and compromised glucose regulation, being one of the most important international public health issues. It is linked with serious health complications, such as cardiovascular illness, renal failure, blindness, amputations of the lower limbs, and shorter life expectancy, with a further contribution to stigma and diminished quality of life (Chew et al., 2024). The World Health Organization (2024) approximates that more than 422 million adults globally live with diabetes, with 1.5 million related deaths each year. In the UK, approximately 4.9 million are diagnosed with diabetes, 90% being T2DM, and prevalence increases because of ageing populations, obesity, and lifestyle (Diabetes UK, 2023). Locally, Tower Hamlets has one of the highest rates of prevalence in London, with 8–9% residents compared with the 6% London average (Chowdhury and Huda, 2016). This paper considers critically the epidemiological processes behind the identification, assessment, and management of T2DM in Tower Hamlets.</w:t>
      </w:r>
    </w:p>
    <w:p w14:paraId="05EF0FA5" w14:textId="4F3F419E" w:rsidR="00A54267" w:rsidRPr="00D6611A" w:rsidRDefault="00A54267" w:rsidP="005D2610">
      <w:pPr>
        <w:spacing w:line="360" w:lineRule="auto"/>
        <w:rPr>
          <w:rFonts w:ascii="Arial" w:hAnsi="Arial" w:cs="Arial"/>
          <w:b/>
          <w:bCs/>
          <w:sz w:val="22"/>
          <w:lang w:val="en-US"/>
        </w:rPr>
      </w:pPr>
    </w:p>
    <w:p w14:paraId="15EFBAF3" w14:textId="60EB1C78" w:rsidR="00A54267" w:rsidRPr="00D6611A" w:rsidRDefault="00E42F2C" w:rsidP="005D2610">
      <w:pPr>
        <w:pStyle w:val="Heading2"/>
        <w:spacing w:line="360" w:lineRule="auto"/>
        <w:rPr>
          <w:rFonts w:ascii="Arial" w:hAnsi="Arial" w:cs="Arial"/>
          <w:b/>
          <w:bCs/>
          <w:sz w:val="22"/>
          <w:szCs w:val="22"/>
          <w:lang w:val="en-US"/>
        </w:rPr>
      </w:pPr>
      <w:bookmarkStart w:id="11" w:name="_Toc209673777"/>
      <w:r w:rsidRPr="00D6611A">
        <w:rPr>
          <w:rFonts w:ascii="Arial" w:hAnsi="Arial" w:cs="Arial"/>
          <w:b/>
          <w:bCs/>
          <w:sz w:val="22"/>
          <w:szCs w:val="22"/>
          <w:lang w:val="en-US"/>
        </w:rPr>
        <w:t>Determinants and Risk Factors</w:t>
      </w:r>
      <w:bookmarkEnd w:id="11"/>
    </w:p>
    <w:p w14:paraId="28E3A81D" w14:textId="7DE835E5" w:rsidR="00A54267"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 xml:space="preserve">Determinants of T2DM are multifactorial, influenced by biological, </w:t>
      </w:r>
      <w:proofErr w:type="spellStart"/>
      <w:r w:rsidRPr="005D2610">
        <w:rPr>
          <w:rFonts w:ascii="Arial" w:hAnsi="Arial" w:cs="Arial"/>
          <w:sz w:val="22"/>
          <w:lang w:val="en-US"/>
        </w:rPr>
        <w:t>behavioural</w:t>
      </w:r>
      <w:proofErr w:type="spellEnd"/>
      <w:r w:rsidRPr="005D2610">
        <w:rPr>
          <w:rFonts w:ascii="Arial" w:hAnsi="Arial" w:cs="Arial"/>
          <w:sz w:val="22"/>
          <w:lang w:val="en-US"/>
        </w:rPr>
        <w:t xml:space="preserve">, social, cultural, and environmental factors which interact to increase risk. Biologically, older age, genetic predisposition, family history, and obesity predict T2DM development strongly (Wang et al., 2021). Diets rich in sugar and saturated fats, physical inactivity, smoking, and heavy alcohol drinking further increase this risk (Laakso and Fernandes, 2022). In Tower Hamlets, elevated deprivation, unemployment, and lower educational achievement have profound effects on health </w:t>
      </w:r>
      <w:proofErr w:type="spellStart"/>
      <w:r w:rsidRPr="005D2610">
        <w:rPr>
          <w:rFonts w:ascii="Arial" w:hAnsi="Arial" w:cs="Arial"/>
          <w:sz w:val="22"/>
          <w:lang w:val="en-US"/>
        </w:rPr>
        <w:t>behaviours</w:t>
      </w:r>
      <w:proofErr w:type="spellEnd"/>
      <w:r w:rsidRPr="005D2610">
        <w:rPr>
          <w:rFonts w:ascii="Arial" w:hAnsi="Arial" w:cs="Arial"/>
          <w:sz w:val="22"/>
          <w:lang w:val="en-US"/>
        </w:rPr>
        <w:t xml:space="preserve"> and access to care and correlate with evidence that socioeconomic disadvantage has a strong association with diabetes incidence (Sharpe et al., 2024). </w:t>
      </w:r>
      <w:r w:rsidR="004B4936" w:rsidRPr="004B4936">
        <w:rPr>
          <w:rFonts w:ascii="Arial" w:hAnsi="Arial" w:cs="Arial"/>
          <w:sz w:val="22"/>
          <w:lang w:val="en-US"/>
        </w:rPr>
        <w:t xml:space="preserve">Cultural aspects also play an important role. Ethnic groups of South Asian and the Black communities (Refer to Bangladeshi community in Tower Hamlets) are prone to develop diabetes more than others because of genetic conditions and a mix of food habits (Quin et al., 2023). Unhealthy lifestyles are also comprising of inadequate </w:t>
      </w:r>
      <w:r w:rsidR="004B4936" w:rsidRPr="004B4936">
        <w:rPr>
          <w:rFonts w:ascii="Arial" w:hAnsi="Arial" w:cs="Arial"/>
          <w:sz w:val="22"/>
          <w:lang w:val="en-US"/>
        </w:rPr>
        <w:lastRenderedPageBreak/>
        <w:t>environmental conditions such as inaccessibility of green spaces and the increasing number of fast-food restaurants. Individual risk factors present in conjunction with the social determinants of health predisposes individuals and make diabetes more difficult to control or prevent.</w:t>
      </w:r>
      <w:r w:rsidR="004B4936">
        <w:rPr>
          <w:rFonts w:ascii="Arial" w:hAnsi="Arial" w:cs="Arial"/>
          <w:sz w:val="22"/>
          <w:lang w:val="en-US"/>
        </w:rPr>
        <w:t xml:space="preserve"> </w:t>
      </w:r>
    </w:p>
    <w:p w14:paraId="6BA73C4E" w14:textId="77777777" w:rsidR="00AB3405" w:rsidRPr="00D6611A" w:rsidRDefault="00AB3405" w:rsidP="005D2610">
      <w:pPr>
        <w:spacing w:line="360" w:lineRule="auto"/>
        <w:rPr>
          <w:rFonts w:ascii="Arial" w:hAnsi="Arial" w:cs="Arial"/>
          <w:b/>
          <w:bCs/>
          <w:sz w:val="22"/>
          <w:lang w:val="en-US"/>
        </w:rPr>
      </w:pPr>
    </w:p>
    <w:p w14:paraId="1669461F" w14:textId="42C70AF5" w:rsidR="00A54267" w:rsidRPr="00D6611A" w:rsidRDefault="00E42F2C" w:rsidP="005D2610">
      <w:pPr>
        <w:pStyle w:val="Heading2"/>
        <w:spacing w:line="360" w:lineRule="auto"/>
        <w:rPr>
          <w:rFonts w:ascii="Arial" w:hAnsi="Arial" w:cs="Arial"/>
          <w:b/>
          <w:bCs/>
          <w:sz w:val="22"/>
          <w:szCs w:val="22"/>
          <w:lang w:val="en-US"/>
        </w:rPr>
      </w:pPr>
      <w:bookmarkStart w:id="12" w:name="_Toc209673778"/>
      <w:r w:rsidRPr="00D6611A">
        <w:rPr>
          <w:rFonts w:ascii="Arial" w:hAnsi="Arial" w:cs="Arial"/>
          <w:b/>
          <w:bCs/>
          <w:sz w:val="22"/>
          <w:szCs w:val="22"/>
          <w:lang w:val="en-US"/>
        </w:rPr>
        <w:t>Epidemiological Evidence in Tower Hamlets</w:t>
      </w:r>
      <w:bookmarkEnd w:id="12"/>
    </w:p>
    <w:p w14:paraId="60C72E39" w14:textId="109F2FC6" w:rsidR="000E3EAD" w:rsidRPr="005D2610" w:rsidRDefault="00710E68" w:rsidP="00006EB9">
      <w:pPr>
        <w:spacing w:line="360" w:lineRule="auto"/>
        <w:jc w:val="both"/>
        <w:rPr>
          <w:rFonts w:ascii="Arial" w:hAnsi="Arial" w:cs="Arial"/>
          <w:sz w:val="22"/>
          <w:lang w:val="en-US"/>
        </w:rPr>
      </w:pPr>
      <w:r w:rsidRPr="00710E68">
        <w:rPr>
          <w:rFonts w:ascii="Arial" w:hAnsi="Arial" w:cs="Arial"/>
          <w:sz w:val="22"/>
          <w:lang w:val="en-US"/>
        </w:rPr>
        <w:t>According to epidemiological statistics, T2DM is over-represented in Tower Hamlets, and more common, not to mention more complicated when compared to the rest of London.</w:t>
      </w:r>
      <w:r>
        <w:rPr>
          <w:rFonts w:ascii="Arial" w:hAnsi="Arial" w:cs="Arial"/>
          <w:sz w:val="22"/>
          <w:lang w:val="en-US"/>
        </w:rPr>
        <w:t xml:space="preserve"> </w:t>
      </w:r>
      <w:r w:rsidR="000E3EAD" w:rsidRPr="000E3EAD">
        <w:rPr>
          <w:rFonts w:ascii="Arial" w:hAnsi="Arial" w:cs="Arial"/>
          <w:sz w:val="22"/>
          <w:lang w:val="en-US"/>
        </w:rPr>
        <w:t xml:space="preserve">The frequent Health Needs Assessment (HNA) reveals that the onset of the disease is earlier, especially among the majority of the Bangladeshi residents of the borough, who puts ethnicity at a risk of the socioeconomic disadvantage (Quin et al., 2023). It is also noted that the prevalence rate is high according to GP registers, and the extent of complications associated with diabetic retinopathy and cardiovascular disease is above that of </w:t>
      </w:r>
      <w:proofErr w:type="spellStart"/>
      <w:r w:rsidR="000E3EAD" w:rsidRPr="000E3EAD">
        <w:rPr>
          <w:rFonts w:ascii="Arial" w:hAnsi="Arial" w:cs="Arial"/>
          <w:sz w:val="22"/>
          <w:lang w:val="en-US"/>
        </w:rPr>
        <w:t>neighbouring</w:t>
      </w:r>
      <w:proofErr w:type="spellEnd"/>
      <w:r w:rsidR="000E3EAD" w:rsidRPr="000E3EAD">
        <w:rPr>
          <w:rFonts w:ascii="Arial" w:hAnsi="Arial" w:cs="Arial"/>
          <w:sz w:val="22"/>
          <w:lang w:val="en-US"/>
        </w:rPr>
        <w:t xml:space="preserve"> boroughs (Sharpe et al., 2022). Multimorbidity is common and most of the patients are experiencing hypertension and obesity along with mental conditions in addition to diabetes, which makes them hard to treat in addition to diabetes, confirmed by cross-sectional survey, cohort study, and </w:t>
      </w:r>
      <w:proofErr w:type="spellStart"/>
      <w:r w:rsidR="000E3EAD" w:rsidRPr="000E3EAD">
        <w:rPr>
          <w:rFonts w:ascii="Arial" w:hAnsi="Arial" w:cs="Arial"/>
          <w:sz w:val="22"/>
          <w:lang w:val="en-US"/>
        </w:rPr>
        <w:t>practise</w:t>
      </w:r>
      <w:proofErr w:type="spellEnd"/>
      <w:r w:rsidR="000E3EAD" w:rsidRPr="000E3EAD">
        <w:rPr>
          <w:rFonts w:ascii="Arial" w:hAnsi="Arial" w:cs="Arial"/>
          <w:sz w:val="22"/>
          <w:lang w:val="en-US"/>
        </w:rPr>
        <w:t>-level audit (</w:t>
      </w:r>
      <w:proofErr w:type="spellStart"/>
      <w:r w:rsidR="000E3EAD" w:rsidRPr="000E3EAD">
        <w:rPr>
          <w:rFonts w:ascii="Arial" w:hAnsi="Arial" w:cs="Arial"/>
          <w:sz w:val="22"/>
          <w:lang w:val="en-US"/>
        </w:rPr>
        <w:t>Shamsutdinova</w:t>
      </w:r>
      <w:proofErr w:type="spellEnd"/>
      <w:r w:rsidR="000E3EAD" w:rsidRPr="000E3EAD">
        <w:rPr>
          <w:rFonts w:ascii="Arial" w:hAnsi="Arial" w:cs="Arial"/>
          <w:sz w:val="22"/>
          <w:lang w:val="en-US"/>
        </w:rPr>
        <w:t xml:space="preserve"> et al., 2023). The premature death caused by T2DM has been established by Public Health England Fingertips and Tower Hamlets Joint Strategic Needs Assessment (JSNA), where the life expectancy of the affected individuals is many years shorter. These reports point to the unequal distribution of the disease burden of the borough and the need to have targeted epidemiological interventions.</w:t>
      </w:r>
    </w:p>
    <w:p w14:paraId="7EF0ACDD" w14:textId="77777777" w:rsidR="00EB4030" w:rsidRPr="005D2610" w:rsidRDefault="00EB4030" w:rsidP="005D2610">
      <w:pPr>
        <w:spacing w:line="360" w:lineRule="auto"/>
        <w:rPr>
          <w:rFonts w:ascii="Arial" w:hAnsi="Arial" w:cs="Arial"/>
          <w:sz w:val="22"/>
          <w:lang w:val="en-US"/>
        </w:rPr>
      </w:pPr>
    </w:p>
    <w:p w14:paraId="6FF2AD8C" w14:textId="6365FFD0" w:rsidR="00A54267" w:rsidRPr="00D6611A" w:rsidRDefault="00E42F2C" w:rsidP="005D2610">
      <w:pPr>
        <w:pStyle w:val="Heading2"/>
        <w:spacing w:line="360" w:lineRule="auto"/>
        <w:rPr>
          <w:rFonts w:ascii="Arial" w:hAnsi="Arial" w:cs="Arial"/>
          <w:b/>
          <w:bCs/>
          <w:sz w:val="22"/>
          <w:szCs w:val="22"/>
          <w:lang w:val="en-US"/>
        </w:rPr>
      </w:pPr>
      <w:bookmarkStart w:id="13" w:name="_Toc209673779"/>
      <w:r w:rsidRPr="00D6611A">
        <w:rPr>
          <w:rFonts w:ascii="Arial" w:hAnsi="Arial" w:cs="Arial"/>
          <w:b/>
          <w:bCs/>
          <w:sz w:val="22"/>
          <w:szCs w:val="22"/>
          <w:lang w:val="en-US"/>
        </w:rPr>
        <w:t>Surveillance and Monitoring Systems</w:t>
      </w:r>
      <w:bookmarkEnd w:id="13"/>
    </w:p>
    <w:p w14:paraId="77FEFA26" w14:textId="52C5007B" w:rsidR="009B6FB9" w:rsidRPr="005D2610" w:rsidRDefault="000E3EAD" w:rsidP="00006EB9">
      <w:pPr>
        <w:spacing w:line="360" w:lineRule="auto"/>
        <w:jc w:val="both"/>
        <w:rPr>
          <w:rFonts w:ascii="Arial" w:hAnsi="Arial" w:cs="Arial"/>
          <w:sz w:val="22"/>
          <w:lang w:val="en-US"/>
        </w:rPr>
      </w:pPr>
      <w:r w:rsidRPr="000E3EAD">
        <w:rPr>
          <w:rFonts w:ascii="Arial" w:hAnsi="Arial" w:cs="Arial"/>
          <w:sz w:val="22"/>
          <w:lang w:val="en-US"/>
        </w:rPr>
        <w:t xml:space="preserve">The T2DM surveillance and monitoring systems are critical to understanding and managing T2DM in Tower Hamlets. Local GP registers and Quality and Outcomes Framework (QOF) provide periodic data on the management, diagnosis, outcomes, and enables the comparison of </w:t>
      </w:r>
      <w:proofErr w:type="spellStart"/>
      <w:r w:rsidRPr="000E3EAD">
        <w:rPr>
          <w:rFonts w:ascii="Arial" w:hAnsi="Arial" w:cs="Arial"/>
          <w:sz w:val="22"/>
          <w:lang w:val="en-US"/>
        </w:rPr>
        <w:t>practise</w:t>
      </w:r>
      <w:proofErr w:type="spellEnd"/>
      <w:r w:rsidRPr="000E3EAD">
        <w:rPr>
          <w:rFonts w:ascii="Arial" w:hAnsi="Arial" w:cs="Arial"/>
          <w:sz w:val="22"/>
          <w:lang w:val="en-US"/>
        </w:rPr>
        <w:t xml:space="preserve"> and performance to be monitored (Mathur et al., 2022).</w:t>
      </w:r>
      <w:r>
        <w:rPr>
          <w:rFonts w:ascii="Arial" w:hAnsi="Arial" w:cs="Arial"/>
          <w:sz w:val="22"/>
          <w:lang w:val="en-US"/>
        </w:rPr>
        <w:t xml:space="preserve"> </w:t>
      </w:r>
      <w:r w:rsidR="00E42F2C" w:rsidRPr="005D2610">
        <w:rPr>
          <w:rFonts w:ascii="Arial" w:hAnsi="Arial" w:cs="Arial"/>
          <w:sz w:val="22"/>
          <w:lang w:val="en-US"/>
        </w:rPr>
        <w:t xml:space="preserve">At a national level, the National Diabetes Audit and Public Health England's Diabetes Prevalence Model provide advanced insights into trends, complications, and service quality, with modelling of undiagnosed cases (Holman et al., 2021). Screening </w:t>
      </w:r>
      <w:proofErr w:type="spellStart"/>
      <w:r w:rsidR="00E42F2C" w:rsidRPr="005D2610">
        <w:rPr>
          <w:rFonts w:ascii="Arial" w:hAnsi="Arial" w:cs="Arial"/>
          <w:sz w:val="22"/>
          <w:lang w:val="en-US"/>
        </w:rPr>
        <w:t>programmes</w:t>
      </w:r>
      <w:proofErr w:type="spellEnd"/>
      <w:r w:rsidR="00E42F2C" w:rsidRPr="005D2610">
        <w:rPr>
          <w:rFonts w:ascii="Arial" w:hAnsi="Arial" w:cs="Arial"/>
          <w:sz w:val="22"/>
          <w:lang w:val="en-US"/>
        </w:rPr>
        <w:t xml:space="preserve">, such as NHS Health Checks in adults aged 40–74 and the national diabetic retinopathy screening </w:t>
      </w:r>
      <w:proofErr w:type="spellStart"/>
      <w:r w:rsidR="00E42F2C" w:rsidRPr="005D2610">
        <w:rPr>
          <w:rFonts w:ascii="Arial" w:hAnsi="Arial" w:cs="Arial"/>
          <w:sz w:val="22"/>
          <w:lang w:val="en-US"/>
        </w:rPr>
        <w:t>programme</w:t>
      </w:r>
      <w:proofErr w:type="spellEnd"/>
      <w:r w:rsidR="00E42F2C" w:rsidRPr="005D2610">
        <w:rPr>
          <w:rFonts w:ascii="Arial" w:hAnsi="Arial" w:cs="Arial"/>
          <w:sz w:val="22"/>
          <w:lang w:val="en-US"/>
        </w:rPr>
        <w:t xml:space="preserve">, are essential for early diagnosis and prevention of complications (Scanlon, 2021). Strengths of such systems are the capacity for </w:t>
      </w:r>
      <w:r w:rsidR="00E42F2C" w:rsidRPr="005D2610">
        <w:rPr>
          <w:rFonts w:ascii="Arial" w:hAnsi="Arial" w:cs="Arial"/>
          <w:sz w:val="22"/>
          <w:lang w:val="en-US"/>
        </w:rPr>
        <w:lastRenderedPageBreak/>
        <w:t>strong longitudinal data and allowing benchmarking between boroughs. Weaknesses are underdiagnosis, estimated at 20–30% of cases, and a lack of integration with broader social determinant indicators, limiting the ability to act on structural drivers for diabetes inequalities.</w:t>
      </w:r>
    </w:p>
    <w:p w14:paraId="5B5610A6" w14:textId="77777777" w:rsidR="00186C19" w:rsidRPr="005D2610" w:rsidRDefault="00186C19" w:rsidP="005D2610">
      <w:pPr>
        <w:spacing w:line="360" w:lineRule="auto"/>
        <w:rPr>
          <w:rFonts w:ascii="Arial" w:hAnsi="Arial" w:cs="Arial"/>
          <w:sz w:val="22"/>
          <w:lang w:val="en-US"/>
        </w:rPr>
      </w:pPr>
    </w:p>
    <w:p w14:paraId="3CD86742" w14:textId="5929F014" w:rsidR="00A54267" w:rsidRPr="00D6611A" w:rsidRDefault="00E42F2C" w:rsidP="005D2610">
      <w:pPr>
        <w:pStyle w:val="Heading2"/>
        <w:spacing w:line="360" w:lineRule="auto"/>
        <w:rPr>
          <w:rFonts w:ascii="Arial" w:hAnsi="Arial" w:cs="Arial"/>
          <w:b/>
          <w:bCs/>
          <w:sz w:val="22"/>
          <w:szCs w:val="22"/>
          <w:lang w:val="en-US"/>
        </w:rPr>
      </w:pPr>
      <w:bookmarkStart w:id="14" w:name="_Toc209673780"/>
      <w:r w:rsidRPr="00D6611A">
        <w:rPr>
          <w:rFonts w:ascii="Arial" w:hAnsi="Arial" w:cs="Arial"/>
          <w:b/>
          <w:bCs/>
          <w:sz w:val="22"/>
          <w:szCs w:val="22"/>
          <w:lang w:val="en-US"/>
        </w:rPr>
        <w:t>Public Health Measures and Interventions</w:t>
      </w:r>
      <w:bookmarkEnd w:id="14"/>
    </w:p>
    <w:p w14:paraId="54FE20B9" w14:textId="2B67191E" w:rsidR="00A54267"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 xml:space="preserve">Public health interventions in Tower Hamlets for T2DM utilize a tiered prevention approach targeting risk reduction, early detection, and disease management.  prevention involves health promotion campaigns for healthy eating and physical activity, NHS Health Checks, and obesity prevention </w:t>
      </w:r>
      <w:proofErr w:type="spellStart"/>
      <w:r w:rsidRPr="005D2610">
        <w:rPr>
          <w:rFonts w:ascii="Arial" w:hAnsi="Arial" w:cs="Arial"/>
          <w:sz w:val="22"/>
          <w:lang w:val="en-US"/>
        </w:rPr>
        <w:t>programmes</w:t>
      </w:r>
      <w:proofErr w:type="spellEnd"/>
      <w:r w:rsidRPr="005D2610">
        <w:rPr>
          <w:rFonts w:ascii="Arial" w:hAnsi="Arial" w:cs="Arial"/>
          <w:sz w:val="22"/>
          <w:lang w:val="en-US"/>
        </w:rPr>
        <w:t xml:space="preserve">, especially important in a deprived borough with high obesity rates (Prothero et al., 2021).  prevention is based on early diagnosis, through GP screening, HbA1c testing, and referral to the NHS Diabetes Prevention </w:t>
      </w:r>
      <w:proofErr w:type="spellStart"/>
      <w:r w:rsidRPr="005D2610">
        <w:rPr>
          <w:rFonts w:ascii="Arial" w:hAnsi="Arial" w:cs="Arial"/>
          <w:sz w:val="22"/>
          <w:lang w:val="en-US"/>
        </w:rPr>
        <w:t>Programme</w:t>
      </w:r>
      <w:proofErr w:type="spellEnd"/>
      <w:r w:rsidRPr="005D2610">
        <w:rPr>
          <w:rFonts w:ascii="Arial" w:hAnsi="Arial" w:cs="Arial"/>
          <w:sz w:val="22"/>
          <w:lang w:val="en-US"/>
        </w:rPr>
        <w:t xml:space="preserve"> (NDPP). National reviews demonstrate NDPP lowers diabetes incidence by approximately 26% within three years, with take-up still lower in disadvantaged areas, restricting local effect (</w:t>
      </w:r>
      <w:proofErr w:type="spellStart"/>
      <w:r w:rsidRPr="005D2610">
        <w:rPr>
          <w:rFonts w:ascii="Arial" w:hAnsi="Arial" w:cs="Arial"/>
          <w:sz w:val="22"/>
          <w:lang w:val="en-US"/>
        </w:rPr>
        <w:t>Ravindrarajah</w:t>
      </w:r>
      <w:proofErr w:type="spellEnd"/>
      <w:r w:rsidRPr="005D2610">
        <w:rPr>
          <w:rFonts w:ascii="Arial" w:hAnsi="Arial" w:cs="Arial"/>
          <w:sz w:val="22"/>
          <w:lang w:val="en-US"/>
        </w:rPr>
        <w:t xml:space="preserve"> et al., 2023). Tertiary prevention focuses on organized education like DESMOND and X-PERT, medication, and community interventions specifically designed for Tower Hamlets' Bangladeshi population, which are at increased genetic and lifestyle risk (Calderón-Larrañaga et al., 2021). These interventions fit the 3 P's framework: promotion through culturally sensitive engagement, prevention through weight management and NDPP, and protection through effective monitoring and complication management. Effective frameworks do exist, but challenges in accessibility, cultural appropriateness, and long-term engagement remain, which underlines the use of locally adapted interventions to maximize long-term gains in population health.</w:t>
      </w:r>
    </w:p>
    <w:p w14:paraId="109F28AB" w14:textId="77777777" w:rsidR="00B14565" w:rsidRPr="005D2610" w:rsidRDefault="00B14565" w:rsidP="005D2610">
      <w:pPr>
        <w:spacing w:line="360" w:lineRule="auto"/>
        <w:rPr>
          <w:rFonts w:ascii="Arial" w:hAnsi="Arial" w:cs="Arial"/>
          <w:sz w:val="22"/>
          <w:lang w:val="en-US"/>
        </w:rPr>
      </w:pPr>
    </w:p>
    <w:p w14:paraId="768B0098" w14:textId="0BDBE2D2" w:rsidR="00A54267" w:rsidRPr="00D6611A" w:rsidRDefault="00E42F2C" w:rsidP="005D2610">
      <w:pPr>
        <w:pStyle w:val="Heading2"/>
        <w:spacing w:line="360" w:lineRule="auto"/>
        <w:rPr>
          <w:rFonts w:ascii="Arial" w:hAnsi="Arial" w:cs="Arial"/>
          <w:b/>
          <w:bCs/>
          <w:sz w:val="22"/>
          <w:szCs w:val="22"/>
          <w:lang w:val="en-US"/>
        </w:rPr>
      </w:pPr>
      <w:bookmarkStart w:id="15" w:name="_Toc209673781"/>
      <w:r w:rsidRPr="00D6611A">
        <w:rPr>
          <w:rFonts w:ascii="Arial" w:hAnsi="Arial" w:cs="Arial"/>
          <w:b/>
          <w:bCs/>
          <w:sz w:val="22"/>
          <w:szCs w:val="22"/>
          <w:lang w:val="en-US"/>
        </w:rPr>
        <w:t>Public Health Impact and Consequences</w:t>
      </w:r>
      <w:bookmarkEnd w:id="15"/>
    </w:p>
    <w:p w14:paraId="4DA2C3F9" w14:textId="27446D49" w:rsidR="00A54267" w:rsidRPr="005D2610" w:rsidRDefault="00E42F2C" w:rsidP="00006EB9">
      <w:pPr>
        <w:spacing w:line="360" w:lineRule="auto"/>
        <w:jc w:val="both"/>
        <w:rPr>
          <w:rFonts w:ascii="Arial" w:hAnsi="Arial" w:cs="Arial"/>
          <w:sz w:val="22"/>
          <w:lang w:val="en-US"/>
        </w:rPr>
      </w:pPr>
      <w:r w:rsidRPr="005D2610">
        <w:rPr>
          <w:rFonts w:ascii="Arial" w:hAnsi="Arial" w:cs="Arial"/>
          <w:sz w:val="22"/>
          <w:lang w:val="en-US"/>
        </w:rPr>
        <w:t xml:space="preserve">The public health burden of T2DM in Tower Hamlets is tremendous, with </w:t>
      </w:r>
      <w:proofErr w:type="gramStart"/>
      <w:r w:rsidRPr="005D2610">
        <w:rPr>
          <w:rFonts w:ascii="Arial" w:hAnsi="Arial" w:cs="Arial"/>
          <w:sz w:val="22"/>
          <w:lang w:val="en-US"/>
        </w:rPr>
        <w:t>big short</w:t>
      </w:r>
      <w:proofErr w:type="gramEnd"/>
      <w:r w:rsidRPr="005D2610">
        <w:rPr>
          <w:rFonts w:ascii="Arial" w:hAnsi="Arial" w:cs="Arial"/>
          <w:sz w:val="22"/>
          <w:lang w:val="en-US"/>
        </w:rPr>
        <w:t xml:space="preserve">- and long-term effects. In the short term, patients suffer decreased quality of life, loss of productivity, and increased healthcare use, which puts pressure on both primary care and inpatient services (Shah et al., 2025). Long-term effects are debilitating complications like renal failure, blindness, and amputations of lower limbs, and uncontrolled diabetes lowers life expectancy by as much as ten years (Han et al., 2022). Nationally, T2DM costs the NHS about 10% of its budget—some £10 billion per year—following the high expense of treatment and managing complications (NHS England, 2024). Within Tower Hamlets, where prevalence is significantly higher than the London </w:t>
      </w:r>
      <w:r w:rsidRPr="005D2610">
        <w:rPr>
          <w:rFonts w:ascii="Arial" w:hAnsi="Arial" w:cs="Arial"/>
          <w:sz w:val="22"/>
          <w:lang w:val="en-US"/>
        </w:rPr>
        <w:lastRenderedPageBreak/>
        <w:t>average, the cost is disproportionally weighted among deprived and ethnically diverse groups, increasing pressure on local health services and widening health inequalities (Das-Munshi et al., 2021). These effects illustrate the necessity for effective, locally adapted interventions in decreasing both economic and clinical burdens.</w:t>
      </w:r>
    </w:p>
    <w:p w14:paraId="2E3E9B2E" w14:textId="77777777" w:rsidR="0023754A" w:rsidRPr="005D2610" w:rsidRDefault="0023754A" w:rsidP="005D2610">
      <w:pPr>
        <w:spacing w:line="360" w:lineRule="auto"/>
        <w:rPr>
          <w:rFonts w:ascii="Arial" w:hAnsi="Arial" w:cs="Arial"/>
          <w:sz w:val="22"/>
          <w:lang w:val="en-US"/>
        </w:rPr>
      </w:pPr>
    </w:p>
    <w:p w14:paraId="6C97B191" w14:textId="37A9BC99" w:rsidR="00A54267" w:rsidRPr="00D6611A" w:rsidRDefault="00E42F2C" w:rsidP="005D2610">
      <w:pPr>
        <w:pStyle w:val="Heading2"/>
        <w:spacing w:line="360" w:lineRule="auto"/>
        <w:rPr>
          <w:rFonts w:ascii="Arial" w:hAnsi="Arial" w:cs="Arial"/>
          <w:b/>
          <w:bCs/>
          <w:sz w:val="22"/>
          <w:szCs w:val="22"/>
          <w:lang w:val="en-US"/>
        </w:rPr>
      </w:pPr>
      <w:bookmarkStart w:id="16" w:name="_Toc209673782"/>
      <w:r w:rsidRPr="00D6611A">
        <w:rPr>
          <w:rFonts w:ascii="Arial" w:hAnsi="Arial" w:cs="Arial"/>
          <w:b/>
          <w:bCs/>
          <w:sz w:val="22"/>
          <w:szCs w:val="22"/>
          <w:lang w:val="en-US"/>
        </w:rPr>
        <w:t xml:space="preserve">Designing an Intervention </w:t>
      </w:r>
      <w:proofErr w:type="spellStart"/>
      <w:r w:rsidRPr="00D6611A">
        <w:rPr>
          <w:rFonts w:ascii="Arial" w:hAnsi="Arial" w:cs="Arial"/>
          <w:b/>
          <w:bCs/>
          <w:sz w:val="22"/>
          <w:szCs w:val="22"/>
          <w:lang w:val="en-US"/>
        </w:rPr>
        <w:t>Programme</w:t>
      </w:r>
      <w:bookmarkEnd w:id="16"/>
      <w:proofErr w:type="spellEnd"/>
      <w:r w:rsidR="00A64814" w:rsidRPr="00A64814">
        <w:rPr>
          <w:rFonts w:ascii="Arial" w:hAnsi="Arial" w:cs="Arial"/>
          <w:sz w:val="22"/>
          <w:lang w:val="en-US"/>
        </w:rPr>
        <w:t xml:space="preserve"> </w:t>
      </w:r>
    </w:p>
    <w:p w14:paraId="116A0EA5" w14:textId="0809D9B3" w:rsidR="000E3EAD" w:rsidRPr="005E37FA" w:rsidRDefault="00E42F2C" w:rsidP="000E3EAD">
      <w:pPr>
        <w:spacing w:line="360" w:lineRule="auto"/>
        <w:jc w:val="both"/>
        <w:rPr>
          <w:rFonts w:ascii="Arial" w:hAnsi="Arial" w:cs="Arial"/>
          <w:i/>
          <w:iCs/>
          <w:sz w:val="22"/>
          <w:lang w:val="en-US"/>
        </w:rPr>
      </w:pPr>
      <w:r w:rsidRPr="005D2610">
        <w:rPr>
          <w:rFonts w:ascii="Arial" w:hAnsi="Arial" w:cs="Arial"/>
          <w:sz w:val="22"/>
          <w:lang w:val="en-US"/>
        </w:rPr>
        <w:t xml:space="preserve">The culturally adapted community-based intervention in Tower Hamlets among the address the increased risk of T2DM by peer-led and locally grounded approaches. Peer educators from the community would provide group-based physical activity classes in mosques and community </w:t>
      </w:r>
      <w:r w:rsidR="006F78EE" w:rsidRPr="005D2610">
        <w:rPr>
          <w:rFonts w:ascii="Arial" w:hAnsi="Arial" w:cs="Arial"/>
          <w:sz w:val="22"/>
          <w:lang w:val="en-US"/>
        </w:rPr>
        <w:t>centers</w:t>
      </w:r>
      <w:r w:rsidRPr="005D2610">
        <w:rPr>
          <w:rFonts w:ascii="Arial" w:hAnsi="Arial" w:cs="Arial"/>
          <w:sz w:val="22"/>
          <w:lang w:val="en-US"/>
        </w:rPr>
        <w:t xml:space="preserve"> to promote cultural acceptance and long-term participation (Vivian and Flanagan, 2022). Nutrition education would address transitioning to traditional South Asian diets to more healthful versions, and digital technologies like glucose-monitoring apps would enhance self-management (Katula et al., 2022). </w:t>
      </w:r>
      <w:r w:rsidR="000E3EAD" w:rsidRPr="000E3EAD">
        <w:rPr>
          <w:rFonts w:ascii="Arial" w:hAnsi="Arial" w:cs="Arial"/>
          <w:sz w:val="22"/>
          <w:lang w:val="en-US"/>
        </w:rPr>
        <w:t>The measure of impact will be pre and post intervention HbA1c, BMI, treatment uptake, and quality of life.</w:t>
      </w:r>
      <w:r w:rsidR="000C0033" w:rsidRPr="000C0033">
        <w:t xml:space="preserve"> </w:t>
      </w:r>
      <w:r w:rsidR="000C0033" w:rsidRPr="005E37FA">
        <w:rPr>
          <w:rFonts w:ascii="Arial" w:hAnsi="Arial" w:cs="Arial"/>
          <w:sz w:val="22"/>
        </w:rPr>
        <w:t xml:space="preserve">Evaluation of the programme includes different types: </w:t>
      </w:r>
      <w:r w:rsidR="000C0033" w:rsidRPr="005E37FA">
        <w:rPr>
          <w:rStyle w:val="Strong"/>
          <w:rFonts w:ascii="Arial" w:hAnsi="Arial" w:cs="Arial"/>
          <w:sz w:val="22"/>
        </w:rPr>
        <w:t>process evaluation</w:t>
      </w:r>
      <w:r w:rsidR="000C0033" w:rsidRPr="005E37FA">
        <w:rPr>
          <w:rFonts w:ascii="Arial" w:hAnsi="Arial" w:cs="Arial"/>
          <w:sz w:val="22"/>
        </w:rPr>
        <w:t xml:space="preserve"> (to assess how the programme was delivered), </w:t>
      </w:r>
      <w:r w:rsidR="000C0033" w:rsidRPr="005E37FA">
        <w:rPr>
          <w:rStyle w:val="Strong"/>
          <w:rFonts w:ascii="Arial" w:hAnsi="Arial" w:cs="Arial"/>
          <w:sz w:val="22"/>
        </w:rPr>
        <w:t>impact evaluation</w:t>
      </w:r>
      <w:r w:rsidR="000C0033" w:rsidRPr="005E37FA">
        <w:rPr>
          <w:rFonts w:ascii="Arial" w:hAnsi="Arial" w:cs="Arial"/>
          <w:sz w:val="22"/>
        </w:rPr>
        <w:t xml:space="preserve"> (to measure short-term changes in knowledge and </w:t>
      </w:r>
      <w:proofErr w:type="spellStart"/>
      <w:r w:rsidR="000C0033" w:rsidRPr="005E37FA">
        <w:rPr>
          <w:rFonts w:ascii="Arial" w:hAnsi="Arial" w:cs="Arial"/>
          <w:sz w:val="22"/>
        </w:rPr>
        <w:t>behavior</w:t>
      </w:r>
      <w:proofErr w:type="spellEnd"/>
      <w:r w:rsidR="000C0033" w:rsidRPr="005E37FA">
        <w:rPr>
          <w:rFonts w:ascii="Arial" w:hAnsi="Arial" w:cs="Arial"/>
          <w:sz w:val="22"/>
        </w:rPr>
        <w:t xml:space="preserve">), and </w:t>
      </w:r>
      <w:r w:rsidR="000C0033" w:rsidRPr="005E37FA">
        <w:rPr>
          <w:rStyle w:val="Strong"/>
          <w:rFonts w:ascii="Arial" w:hAnsi="Arial" w:cs="Arial"/>
          <w:sz w:val="22"/>
        </w:rPr>
        <w:t>outcome evaluation</w:t>
      </w:r>
      <w:r w:rsidR="000C0033" w:rsidRPr="005E37FA">
        <w:rPr>
          <w:rFonts w:ascii="Arial" w:hAnsi="Arial" w:cs="Arial"/>
          <w:sz w:val="22"/>
        </w:rPr>
        <w:t xml:space="preserve"> (to assess long-term improvements in health indicators such as HbA1c, weight, and blood pressure). </w:t>
      </w:r>
      <w:r w:rsidR="000C0033" w:rsidRPr="005E37FA">
        <w:rPr>
          <w:rStyle w:val="Strong"/>
          <w:rFonts w:ascii="Arial" w:hAnsi="Arial" w:cs="Arial"/>
          <w:sz w:val="22"/>
        </w:rPr>
        <w:t>Formative and summative evaluations</w:t>
      </w:r>
      <w:r w:rsidR="000C0033" w:rsidRPr="005E37FA">
        <w:rPr>
          <w:rFonts w:ascii="Arial" w:hAnsi="Arial" w:cs="Arial"/>
          <w:sz w:val="22"/>
        </w:rPr>
        <w:t xml:space="preserve"> ensure ongoing improvement and measure overall effectiveness</w:t>
      </w:r>
      <w:r w:rsidR="000C0033">
        <w:t>.</w:t>
      </w:r>
    </w:p>
    <w:p w14:paraId="53FE452D" w14:textId="77777777" w:rsidR="000E3EAD" w:rsidRPr="005D2610" w:rsidRDefault="000E3EAD" w:rsidP="000E3EAD">
      <w:pPr>
        <w:spacing w:line="360" w:lineRule="auto"/>
        <w:jc w:val="both"/>
        <w:rPr>
          <w:rFonts w:ascii="Arial" w:hAnsi="Arial" w:cs="Arial"/>
          <w:sz w:val="22"/>
          <w:lang w:val="en-US"/>
        </w:rPr>
      </w:pPr>
    </w:p>
    <w:p w14:paraId="75BC743E" w14:textId="503FF69E" w:rsidR="00A54267" w:rsidRPr="000C0033" w:rsidRDefault="00E42F2C" w:rsidP="005D2610">
      <w:pPr>
        <w:pStyle w:val="Heading2"/>
        <w:spacing w:line="360" w:lineRule="auto"/>
        <w:rPr>
          <w:rFonts w:ascii="Arial" w:hAnsi="Arial" w:cs="Arial"/>
          <w:b/>
          <w:bCs/>
          <w:sz w:val="22"/>
          <w:szCs w:val="22"/>
          <w:lang w:val="en-US"/>
        </w:rPr>
      </w:pPr>
      <w:bookmarkStart w:id="17" w:name="_Toc209673783"/>
      <w:r w:rsidRPr="000C0033">
        <w:rPr>
          <w:rFonts w:ascii="Arial" w:hAnsi="Arial" w:cs="Arial"/>
          <w:b/>
          <w:bCs/>
          <w:sz w:val="22"/>
          <w:szCs w:val="22"/>
          <w:lang w:val="en-US"/>
        </w:rPr>
        <w:t>Strengths and Weaknesses of Epidemiological Approach</w:t>
      </w:r>
      <w:bookmarkEnd w:id="17"/>
    </w:p>
    <w:p w14:paraId="030C28F2" w14:textId="660B88D3" w:rsidR="000E3EAD" w:rsidRPr="005D2610" w:rsidRDefault="000E3EAD" w:rsidP="00006EB9">
      <w:pPr>
        <w:spacing w:line="360" w:lineRule="auto"/>
        <w:jc w:val="both"/>
        <w:rPr>
          <w:rFonts w:ascii="Arial" w:hAnsi="Arial" w:cs="Arial"/>
          <w:sz w:val="22"/>
          <w:lang w:val="en-US"/>
        </w:rPr>
      </w:pPr>
      <w:r w:rsidRPr="000E3EAD">
        <w:rPr>
          <w:rFonts w:ascii="Arial" w:hAnsi="Arial" w:cs="Arial"/>
          <w:sz w:val="22"/>
          <w:lang w:val="en-US"/>
        </w:rPr>
        <w:t xml:space="preserve">The Tower Hamlets T2DM epidemiological strategy possesses several strengths. It relies on regular statistics, including QOF and the National Diabetes Prevention </w:t>
      </w:r>
      <w:proofErr w:type="spellStart"/>
      <w:r w:rsidRPr="000E3EAD">
        <w:rPr>
          <w:rFonts w:ascii="Arial" w:hAnsi="Arial" w:cs="Arial"/>
          <w:sz w:val="22"/>
          <w:lang w:val="en-US"/>
        </w:rPr>
        <w:t>Programme</w:t>
      </w:r>
      <w:proofErr w:type="spellEnd"/>
      <w:r w:rsidRPr="000E3EAD">
        <w:rPr>
          <w:rFonts w:ascii="Arial" w:hAnsi="Arial" w:cs="Arial"/>
          <w:sz w:val="22"/>
          <w:lang w:val="en-US"/>
        </w:rPr>
        <w:t xml:space="preserve"> (NDPP), that provide powerful pre-epidemiology and control statistics. The Local sources involve the use of the JSNA that are compared between inter-borough and offer evidence-based interventions (Assessment, 2022). However, the shortcomings include inadequate reporting of undiagnosed cases, which is estimated to be 30</w:t>
      </w:r>
      <w:r>
        <w:rPr>
          <w:rFonts w:ascii="Arial" w:hAnsi="Arial" w:cs="Arial"/>
          <w:sz w:val="22"/>
          <w:lang w:val="en-US"/>
        </w:rPr>
        <w:t xml:space="preserve">% </w:t>
      </w:r>
      <w:r w:rsidRPr="000E3EAD">
        <w:rPr>
          <w:rFonts w:ascii="Arial" w:hAnsi="Arial" w:cs="Arial"/>
          <w:sz w:val="22"/>
          <w:lang w:val="en-US"/>
        </w:rPr>
        <w:t>nationwide (Asmar et al., 2024) and the lack of the consideration of lifestyle and cultural factors in the dataset. The fact of ethnic variations is imprecisely portrayed and cause and effect supposition can decrease socioeconomic determinants.</w:t>
      </w:r>
    </w:p>
    <w:p w14:paraId="22D3E5A2" w14:textId="77777777" w:rsidR="00207FE4" w:rsidRPr="005D2610" w:rsidRDefault="00207FE4" w:rsidP="005D2610">
      <w:pPr>
        <w:spacing w:line="360" w:lineRule="auto"/>
        <w:rPr>
          <w:rFonts w:ascii="Arial" w:hAnsi="Arial" w:cs="Arial"/>
          <w:sz w:val="22"/>
          <w:lang w:val="en-US"/>
        </w:rPr>
      </w:pPr>
    </w:p>
    <w:p w14:paraId="4E1E839B" w14:textId="1250A453" w:rsidR="00E52AD8" w:rsidRPr="000C0033" w:rsidRDefault="00E42F2C" w:rsidP="005D2610">
      <w:pPr>
        <w:pStyle w:val="Heading2"/>
        <w:spacing w:line="360" w:lineRule="auto"/>
        <w:rPr>
          <w:rFonts w:ascii="Arial" w:hAnsi="Arial" w:cs="Arial"/>
          <w:b/>
          <w:bCs/>
          <w:sz w:val="22"/>
          <w:szCs w:val="22"/>
          <w:lang w:val="en-US"/>
        </w:rPr>
      </w:pPr>
      <w:bookmarkStart w:id="18" w:name="_Toc209673784"/>
      <w:r w:rsidRPr="000C0033">
        <w:rPr>
          <w:rFonts w:ascii="Arial" w:hAnsi="Arial" w:cs="Arial"/>
          <w:b/>
          <w:bCs/>
          <w:sz w:val="22"/>
          <w:szCs w:val="22"/>
          <w:lang w:val="en-US"/>
        </w:rPr>
        <w:lastRenderedPageBreak/>
        <w:t>Conclusion</w:t>
      </w:r>
      <w:bookmarkEnd w:id="18"/>
    </w:p>
    <w:p w14:paraId="3939B22C" w14:textId="1CD2566E" w:rsidR="00802976" w:rsidRPr="005D2610" w:rsidRDefault="000E3EAD" w:rsidP="00006EB9">
      <w:pPr>
        <w:spacing w:line="360" w:lineRule="auto"/>
        <w:jc w:val="both"/>
        <w:rPr>
          <w:rFonts w:ascii="Arial" w:hAnsi="Arial" w:cs="Arial"/>
          <w:sz w:val="22"/>
          <w:lang w:val="en-US"/>
        </w:rPr>
      </w:pPr>
      <w:r w:rsidRPr="000E3EAD">
        <w:rPr>
          <w:rFonts w:ascii="Arial" w:hAnsi="Arial" w:cs="Arial"/>
          <w:sz w:val="22"/>
          <w:lang w:val="en-US"/>
        </w:rPr>
        <w:t>Type 2 diabetes mellitus has become one of the biggest health problems in Tower Hamlets with high rates of prevalence and rampant rates of deprivation as well as ethnic inequalities that go hand in hand to increase risk and disease burden. It is demonstrated with the usage of epidemiological analysis that it is imperative to identify the determinants, to trace the trends and to evaluate the interventions and culturally specific and locally sensitive interventions should be taken.</w:t>
      </w:r>
      <w:r w:rsidR="00E27903">
        <w:rPr>
          <w:rFonts w:ascii="Arial" w:hAnsi="Arial" w:cs="Arial"/>
          <w:sz w:val="22"/>
          <w:lang w:val="en-US"/>
        </w:rPr>
        <w:t xml:space="preserve"> </w:t>
      </w:r>
      <w:r w:rsidR="00E42F2C" w:rsidRPr="005D2610">
        <w:rPr>
          <w:rFonts w:ascii="Arial" w:hAnsi="Arial" w:cs="Arial"/>
          <w:sz w:val="22"/>
          <w:lang w:val="en-US"/>
        </w:rPr>
        <w:t>Improved systems of surveillance and investment in prevention at community level are still necessary to control complications and long-term healthcare needs. While data collection and interpretation limitations still exist, systematic epidemiological methods allow more efficient use of resources and facilitate continued population health improvements throughout the borough.</w:t>
      </w:r>
    </w:p>
    <w:p w14:paraId="24C28CFA" w14:textId="56A72936" w:rsidR="00802976" w:rsidRPr="005D2610" w:rsidRDefault="00E42F2C" w:rsidP="005D2610">
      <w:pPr>
        <w:spacing w:line="360" w:lineRule="auto"/>
        <w:rPr>
          <w:rFonts w:ascii="Arial" w:hAnsi="Arial" w:cs="Arial"/>
          <w:sz w:val="22"/>
          <w:lang w:val="en-US"/>
        </w:rPr>
      </w:pPr>
      <w:r w:rsidRPr="005D2610">
        <w:rPr>
          <w:rFonts w:ascii="Arial" w:hAnsi="Arial" w:cs="Arial"/>
          <w:sz w:val="22"/>
          <w:lang w:val="en-US"/>
        </w:rPr>
        <w:br w:type="page"/>
      </w:r>
    </w:p>
    <w:p w14:paraId="65E4E703" w14:textId="501BA3ED" w:rsidR="00802976" w:rsidRPr="00D6611A" w:rsidRDefault="00E42F2C" w:rsidP="005D2610">
      <w:pPr>
        <w:pStyle w:val="Heading2"/>
        <w:spacing w:line="360" w:lineRule="auto"/>
        <w:rPr>
          <w:rFonts w:ascii="Arial" w:hAnsi="Arial" w:cs="Arial"/>
          <w:b/>
          <w:bCs/>
          <w:sz w:val="22"/>
          <w:szCs w:val="22"/>
          <w:lang w:val="en-US"/>
        </w:rPr>
      </w:pPr>
      <w:bookmarkStart w:id="19" w:name="_Toc209673785"/>
      <w:r w:rsidRPr="00D6611A">
        <w:rPr>
          <w:rFonts w:ascii="Arial" w:hAnsi="Arial" w:cs="Arial"/>
          <w:b/>
          <w:bCs/>
          <w:sz w:val="22"/>
          <w:szCs w:val="22"/>
          <w:lang w:val="en-US"/>
        </w:rPr>
        <w:lastRenderedPageBreak/>
        <w:t>References</w:t>
      </w:r>
      <w:bookmarkEnd w:id="19"/>
    </w:p>
    <w:p w14:paraId="3C9D5072" w14:textId="1C7E88AB"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Asmar, M.L.E., Karki, M., Mall, B., Riboli-</w:t>
      </w:r>
      <w:proofErr w:type="spellStart"/>
      <w:r w:rsidRPr="005D2610">
        <w:rPr>
          <w:rFonts w:ascii="Arial" w:hAnsi="Arial" w:cs="Arial"/>
          <w:sz w:val="22"/>
        </w:rPr>
        <w:t>Sasco</w:t>
      </w:r>
      <w:proofErr w:type="spellEnd"/>
      <w:r w:rsidRPr="005D2610">
        <w:rPr>
          <w:rFonts w:ascii="Arial" w:hAnsi="Arial" w:cs="Arial"/>
          <w:sz w:val="22"/>
        </w:rPr>
        <w:t xml:space="preserve">, E. and El-Osta, A., </w:t>
      </w:r>
      <w:r w:rsidR="00D6611A">
        <w:rPr>
          <w:rFonts w:ascii="Arial" w:hAnsi="Arial" w:cs="Arial"/>
          <w:sz w:val="22"/>
        </w:rPr>
        <w:t>(</w:t>
      </w:r>
      <w:r w:rsidRPr="005D2610">
        <w:rPr>
          <w:rFonts w:ascii="Arial" w:hAnsi="Arial" w:cs="Arial"/>
          <w:sz w:val="22"/>
        </w:rPr>
        <w:t>2024</w:t>
      </w:r>
      <w:r w:rsidR="00D6611A">
        <w:rPr>
          <w:rFonts w:ascii="Arial" w:hAnsi="Arial" w:cs="Arial"/>
          <w:sz w:val="22"/>
        </w:rPr>
        <w:t>)</w:t>
      </w:r>
      <w:r w:rsidRPr="005D2610">
        <w:rPr>
          <w:rFonts w:ascii="Arial" w:hAnsi="Arial" w:cs="Arial"/>
          <w:sz w:val="22"/>
        </w:rPr>
        <w:t>. Components of joint health and wellbeing strategies: a pan-London review of all 33 local authorities. </w:t>
      </w:r>
      <w:r w:rsidRPr="005D2610">
        <w:rPr>
          <w:rFonts w:ascii="Arial" w:hAnsi="Arial" w:cs="Arial"/>
          <w:i/>
          <w:iCs/>
          <w:sz w:val="22"/>
        </w:rPr>
        <w:t>BMC Public Health</w:t>
      </w:r>
      <w:r w:rsidRPr="005D2610">
        <w:rPr>
          <w:rFonts w:ascii="Arial" w:hAnsi="Arial" w:cs="Arial"/>
          <w:sz w:val="22"/>
        </w:rPr>
        <w:t>, </w:t>
      </w:r>
      <w:r w:rsidRPr="005D2610">
        <w:rPr>
          <w:rFonts w:ascii="Arial" w:hAnsi="Arial" w:cs="Arial"/>
          <w:i/>
          <w:iCs/>
          <w:sz w:val="22"/>
        </w:rPr>
        <w:t>24</w:t>
      </w:r>
      <w:r w:rsidRPr="005D2610">
        <w:rPr>
          <w:rFonts w:ascii="Arial" w:hAnsi="Arial" w:cs="Arial"/>
          <w:sz w:val="22"/>
        </w:rPr>
        <w:t>(1), p.3432.</w:t>
      </w:r>
    </w:p>
    <w:p w14:paraId="7A23EA1F" w14:textId="799B26BA"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Assessment, J.S.N.,</w:t>
      </w:r>
      <w:r w:rsidR="00D6611A">
        <w:rPr>
          <w:rFonts w:ascii="Arial" w:hAnsi="Arial" w:cs="Arial"/>
          <w:sz w:val="22"/>
        </w:rPr>
        <w:t xml:space="preserve"> (</w:t>
      </w:r>
      <w:r w:rsidRPr="005D2610">
        <w:rPr>
          <w:rFonts w:ascii="Arial" w:hAnsi="Arial" w:cs="Arial"/>
          <w:sz w:val="22"/>
        </w:rPr>
        <w:t>2022</w:t>
      </w:r>
      <w:r w:rsidR="00D6611A">
        <w:rPr>
          <w:rFonts w:ascii="Arial" w:hAnsi="Arial" w:cs="Arial"/>
          <w:sz w:val="22"/>
        </w:rPr>
        <w:t>)</w:t>
      </w:r>
      <w:r w:rsidRPr="005D2610">
        <w:rPr>
          <w:rFonts w:ascii="Arial" w:hAnsi="Arial" w:cs="Arial"/>
          <w:sz w:val="22"/>
        </w:rPr>
        <w:t>. Ageing Well Joint Strategic Needs Assessment. </w:t>
      </w:r>
      <w:r w:rsidRPr="005D2610">
        <w:rPr>
          <w:rFonts w:ascii="Arial" w:hAnsi="Arial" w:cs="Arial"/>
          <w:i/>
          <w:iCs/>
          <w:sz w:val="22"/>
        </w:rPr>
        <w:t>Public Health</w:t>
      </w:r>
      <w:r w:rsidRPr="005D2610">
        <w:rPr>
          <w:rFonts w:ascii="Arial" w:hAnsi="Arial" w:cs="Arial"/>
          <w:sz w:val="22"/>
        </w:rPr>
        <w:t>, </w:t>
      </w:r>
      <w:r w:rsidRPr="005D2610">
        <w:rPr>
          <w:rFonts w:ascii="Arial" w:hAnsi="Arial" w:cs="Arial"/>
          <w:i/>
          <w:iCs/>
          <w:sz w:val="22"/>
        </w:rPr>
        <w:t>19</w:t>
      </w:r>
      <w:r w:rsidRPr="005D2610">
        <w:rPr>
          <w:rFonts w:ascii="Arial" w:hAnsi="Arial" w:cs="Arial"/>
          <w:sz w:val="22"/>
        </w:rPr>
        <w:t>, p.12.</w:t>
      </w:r>
    </w:p>
    <w:p w14:paraId="4ED996C1" w14:textId="68FC8242"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Calderón-Larrañaga, S., Clinch, M., Greenhalgh, T. and Finer, S., </w:t>
      </w:r>
      <w:r w:rsidR="00D6611A">
        <w:rPr>
          <w:rFonts w:ascii="Arial" w:hAnsi="Arial" w:cs="Arial"/>
          <w:sz w:val="22"/>
        </w:rPr>
        <w:t>(</w:t>
      </w:r>
      <w:r w:rsidRPr="005D2610">
        <w:rPr>
          <w:rFonts w:ascii="Arial" w:hAnsi="Arial" w:cs="Arial"/>
          <w:sz w:val="22"/>
        </w:rPr>
        <w:t>2021</w:t>
      </w:r>
      <w:r w:rsidR="00D6611A">
        <w:rPr>
          <w:rFonts w:ascii="Arial" w:hAnsi="Arial" w:cs="Arial"/>
          <w:sz w:val="22"/>
        </w:rPr>
        <w:t>)</w:t>
      </w:r>
      <w:r w:rsidRPr="005D2610">
        <w:rPr>
          <w:rFonts w:ascii="Arial" w:hAnsi="Arial" w:cs="Arial"/>
          <w:sz w:val="22"/>
        </w:rPr>
        <w:t>. Could social prescribing contribute to type 2 diabetes prevention in people at high risk? Protocol for a realist, multilevel, mixed methods review and evaluation. </w:t>
      </w:r>
      <w:r w:rsidRPr="005D2610">
        <w:rPr>
          <w:rFonts w:ascii="Arial" w:hAnsi="Arial" w:cs="Arial"/>
          <w:i/>
          <w:iCs/>
          <w:sz w:val="22"/>
        </w:rPr>
        <w:t>BMJ open</w:t>
      </w:r>
      <w:r w:rsidRPr="005D2610">
        <w:rPr>
          <w:rFonts w:ascii="Arial" w:hAnsi="Arial" w:cs="Arial"/>
          <w:sz w:val="22"/>
        </w:rPr>
        <w:t>, </w:t>
      </w:r>
      <w:r w:rsidRPr="005D2610">
        <w:rPr>
          <w:rFonts w:ascii="Arial" w:hAnsi="Arial" w:cs="Arial"/>
          <w:i/>
          <w:iCs/>
          <w:sz w:val="22"/>
        </w:rPr>
        <w:t>11</w:t>
      </w:r>
      <w:r w:rsidRPr="005D2610">
        <w:rPr>
          <w:rFonts w:ascii="Arial" w:hAnsi="Arial" w:cs="Arial"/>
          <w:sz w:val="22"/>
        </w:rPr>
        <w:t>(4), p.e042303.</w:t>
      </w:r>
    </w:p>
    <w:p w14:paraId="0C794EBF" w14:textId="2FF74234"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Chew, N.W., Pan, X.H., Chong, B., Chandramouli, C., Muthiah, M. and Lam, C.S., </w:t>
      </w:r>
      <w:r w:rsidR="00D6611A">
        <w:rPr>
          <w:rFonts w:ascii="Arial" w:hAnsi="Arial" w:cs="Arial"/>
          <w:sz w:val="22"/>
        </w:rPr>
        <w:t>(</w:t>
      </w:r>
      <w:r w:rsidRPr="005D2610">
        <w:rPr>
          <w:rFonts w:ascii="Arial" w:hAnsi="Arial" w:cs="Arial"/>
          <w:sz w:val="22"/>
        </w:rPr>
        <w:t>2024</w:t>
      </w:r>
      <w:r w:rsidR="00D6611A">
        <w:rPr>
          <w:rFonts w:ascii="Arial" w:hAnsi="Arial" w:cs="Arial"/>
          <w:sz w:val="22"/>
        </w:rPr>
        <w:t>)</w:t>
      </w:r>
      <w:r w:rsidRPr="005D2610">
        <w:rPr>
          <w:rFonts w:ascii="Arial" w:hAnsi="Arial" w:cs="Arial"/>
          <w:sz w:val="22"/>
        </w:rPr>
        <w:t xml:space="preserve">. Type 2 diabetes mellitus and cardiometabolic outcomes in metabolic dysfunction-associated </w:t>
      </w:r>
      <w:proofErr w:type="spellStart"/>
      <w:r w:rsidRPr="005D2610">
        <w:rPr>
          <w:rFonts w:ascii="Arial" w:hAnsi="Arial" w:cs="Arial"/>
          <w:sz w:val="22"/>
        </w:rPr>
        <w:t>steatotic</w:t>
      </w:r>
      <w:proofErr w:type="spellEnd"/>
      <w:r w:rsidRPr="005D2610">
        <w:rPr>
          <w:rFonts w:ascii="Arial" w:hAnsi="Arial" w:cs="Arial"/>
          <w:sz w:val="22"/>
        </w:rPr>
        <w:t xml:space="preserve"> liver disease population. </w:t>
      </w:r>
      <w:r w:rsidRPr="005D2610">
        <w:rPr>
          <w:rFonts w:ascii="Arial" w:hAnsi="Arial" w:cs="Arial"/>
          <w:i/>
          <w:iCs/>
          <w:sz w:val="22"/>
        </w:rPr>
        <w:t>Diabetes Research and Clinical Practice</w:t>
      </w:r>
      <w:r w:rsidRPr="005D2610">
        <w:rPr>
          <w:rFonts w:ascii="Arial" w:hAnsi="Arial" w:cs="Arial"/>
          <w:sz w:val="22"/>
        </w:rPr>
        <w:t>, </w:t>
      </w:r>
      <w:r w:rsidRPr="005D2610">
        <w:rPr>
          <w:rFonts w:ascii="Arial" w:hAnsi="Arial" w:cs="Arial"/>
          <w:i/>
          <w:iCs/>
          <w:sz w:val="22"/>
        </w:rPr>
        <w:t>211</w:t>
      </w:r>
      <w:r w:rsidRPr="005D2610">
        <w:rPr>
          <w:rFonts w:ascii="Arial" w:hAnsi="Arial" w:cs="Arial"/>
          <w:sz w:val="22"/>
        </w:rPr>
        <w:t>, p.111652.</w:t>
      </w:r>
    </w:p>
    <w:p w14:paraId="24CEA6B1" w14:textId="73D7A95F"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Chowdhury, T.A. and Huda, B., </w:t>
      </w:r>
      <w:r w:rsidR="00D6611A">
        <w:rPr>
          <w:rFonts w:ascii="Arial" w:hAnsi="Arial" w:cs="Arial"/>
          <w:sz w:val="22"/>
        </w:rPr>
        <w:t>(</w:t>
      </w:r>
      <w:r w:rsidRPr="005D2610">
        <w:rPr>
          <w:rFonts w:ascii="Arial" w:hAnsi="Arial" w:cs="Arial"/>
          <w:sz w:val="22"/>
        </w:rPr>
        <w:t>2016</w:t>
      </w:r>
      <w:r w:rsidR="00D6611A">
        <w:rPr>
          <w:rFonts w:ascii="Arial" w:hAnsi="Arial" w:cs="Arial"/>
          <w:sz w:val="22"/>
        </w:rPr>
        <w:t>)</w:t>
      </w:r>
      <w:r w:rsidRPr="005D2610">
        <w:rPr>
          <w:rFonts w:ascii="Arial" w:hAnsi="Arial" w:cs="Arial"/>
          <w:sz w:val="22"/>
        </w:rPr>
        <w:t>. A decade of change in diabetes services in a deprived multiethnic inner city area: diabetes in Tower Hamlets. </w:t>
      </w:r>
      <w:r w:rsidRPr="005D2610">
        <w:rPr>
          <w:rFonts w:ascii="Arial" w:hAnsi="Arial" w:cs="Arial"/>
          <w:i/>
          <w:iCs/>
          <w:sz w:val="22"/>
        </w:rPr>
        <w:t>British Journal of Diabetes</w:t>
      </w:r>
      <w:r w:rsidRPr="005D2610">
        <w:rPr>
          <w:rFonts w:ascii="Arial" w:hAnsi="Arial" w:cs="Arial"/>
          <w:sz w:val="22"/>
        </w:rPr>
        <w:t>, </w:t>
      </w:r>
      <w:r w:rsidRPr="005D2610">
        <w:rPr>
          <w:rFonts w:ascii="Arial" w:hAnsi="Arial" w:cs="Arial"/>
          <w:i/>
          <w:iCs/>
          <w:sz w:val="22"/>
        </w:rPr>
        <w:t>16</w:t>
      </w:r>
      <w:r w:rsidRPr="005D2610">
        <w:rPr>
          <w:rFonts w:ascii="Arial" w:hAnsi="Arial" w:cs="Arial"/>
          <w:sz w:val="22"/>
        </w:rPr>
        <w:t>(4), pp.188-192.</w:t>
      </w:r>
    </w:p>
    <w:p w14:paraId="26DD9BB6" w14:textId="40B1EAF3"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Das-Munshi, J., Schofield, P., Ashworth, M., Gaughran, F., Hull, S., Ismail, K., Robson, J., Stewart, R. and Mathur, R., </w:t>
      </w:r>
      <w:r w:rsidR="00D6611A">
        <w:rPr>
          <w:rFonts w:ascii="Arial" w:hAnsi="Arial" w:cs="Arial"/>
          <w:sz w:val="22"/>
        </w:rPr>
        <w:t>(</w:t>
      </w:r>
      <w:r w:rsidRPr="005D2610">
        <w:rPr>
          <w:rFonts w:ascii="Arial" w:hAnsi="Arial" w:cs="Arial"/>
          <w:sz w:val="22"/>
        </w:rPr>
        <w:t>2021</w:t>
      </w:r>
      <w:r w:rsidR="00D6611A">
        <w:rPr>
          <w:rFonts w:ascii="Arial" w:hAnsi="Arial" w:cs="Arial"/>
          <w:sz w:val="22"/>
        </w:rPr>
        <w:t>)</w:t>
      </w:r>
      <w:r w:rsidRPr="005D2610">
        <w:rPr>
          <w:rFonts w:ascii="Arial" w:hAnsi="Arial" w:cs="Arial"/>
          <w:sz w:val="22"/>
        </w:rPr>
        <w:t xml:space="preserve">. Inequalities in </w:t>
      </w:r>
      <w:proofErr w:type="spellStart"/>
      <w:r w:rsidRPr="005D2610">
        <w:rPr>
          <w:rFonts w:ascii="Arial" w:hAnsi="Arial" w:cs="Arial"/>
          <w:sz w:val="22"/>
        </w:rPr>
        <w:t>glycemic</w:t>
      </w:r>
      <w:proofErr w:type="spellEnd"/>
      <w:r w:rsidRPr="005D2610">
        <w:rPr>
          <w:rFonts w:ascii="Arial" w:hAnsi="Arial" w:cs="Arial"/>
          <w:sz w:val="22"/>
        </w:rPr>
        <w:t xml:space="preserve"> management in people living with type 2 diabetes mellitus and severe mental illnesses: cohort study from the UK over 10 years. </w:t>
      </w:r>
      <w:r w:rsidRPr="005D2610">
        <w:rPr>
          <w:rFonts w:ascii="Arial" w:hAnsi="Arial" w:cs="Arial"/>
          <w:i/>
          <w:iCs/>
          <w:sz w:val="22"/>
        </w:rPr>
        <w:t>BMJ Open Diabetes Research and Care</w:t>
      </w:r>
      <w:r w:rsidRPr="005D2610">
        <w:rPr>
          <w:rFonts w:ascii="Arial" w:hAnsi="Arial" w:cs="Arial"/>
          <w:sz w:val="22"/>
        </w:rPr>
        <w:t>, </w:t>
      </w:r>
      <w:r w:rsidRPr="005D2610">
        <w:rPr>
          <w:rFonts w:ascii="Arial" w:hAnsi="Arial" w:cs="Arial"/>
          <w:i/>
          <w:iCs/>
          <w:sz w:val="22"/>
        </w:rPr>
        <w:t>9</w:t>
      </w:r>
      <w:r w:rsidRPr="005D2610">
        <w:rPr>
          <w:rFonts w:ascii="Arial" w:hAnsi="Arial" w:cs="Arial"/>
          <w:sz w:val="22"/>
        </w:rPr>
        <w:t>(1), p.e002118.</w:t>
      </w:r>
    </w:p>
    <w:p w14:paraId="1EAB4C91" w14:textId="77777777" w:rsidR="00D618FF"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Diabetes UK (2023). </w:t>
      </w:r>
      <w:r w:rsidRPr="005D2610">
        <w:rPr>
          <w:rFonts w:ascii="Arial" w:hAnsi="Arial" w:cs="Arial"/>
          <w:i/>
          <w:iCs/>
          <w:sz w:val="22"/>
          <w:lang w:val="en-US"/>
        </w:rPr>
        <w:t>How Many People in the UK Have diabetes?</w:t>
      </w:r>
      <w:r w:rsidRPr="005D2610">
        <w:rPr>
          <w:rFonts w:ascii="Arial" w:hAnsi="Arial" w:cs="Arial"/>
          <w:sz w:val="22"/>
          <w:lang w:val="en-US"/>
        </w:rPr>
        <w:t xml:space="preserve"> [online] Diabetes UK. Available at: https://www.diabetes.org.uk/about-us/about-the-charity/our-strategy/statistics [Accessed 25 Sep. 2025].</w:t>
      </w:r>
    </w:p>
    <w:p w14:paraId="2CA51A0A" w14:textId="77777777"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Han, H., Cao, Y., Feng, C., Zheng, Y., Dhana, K., Zhu, S., Shang, C., Yuan, C. and Zong, G., 2022. Association of a healthy lifestyle with all-cause and cause-specific mortality among individuals with type 2 diabetes: a prospective study in UK Biobank. </w:t>
      </w:r>
      <w:r w:rsidRPr="005D2610">
        <w:rPr>
          <w:rFonts w:ascii="Arial" w:hAnsi="Arial" w:cs="Arial"/>
          <w:i/>
          <w:iCs/>
          <w:sz w:val="22"/>
        </w:rPr>
        <w:t>Diabetes care</w:t>
      </w:r>
      <w:r w:rsidRPr="005D2610">
        <w:rPr>
          <w:rFonts w:ascii="Arial" w:hAnsi="Arial" w:cs="Arial"/>
          <w:sz w:val="22"/>
        </w:rPr>
        <w:t>, </w:t>
      </w:r>
      <w:r w:rsidRPr="005D2610">
        <w:rPr>
          <w:rFonts w:ascii="Arial" w:hAnsi="Arial" w:cs="Arial"/>
          <w:i/>
          <w:iCs/>
          <w:sz w:val="22"/>
        </w:rPr>
        <w:t>45</w:t>
      </w:r>
      <w:r w:rsidRPr="005D2610">
        <w:rPr>
          <w:rFonts w:ascii="Arial" w:hAnsi="Arial" w:cs="Arial"/>
          <w:sz w:val="22"/>
        </w:rPr>
        <w:t>(2), pp.319-329.</w:t>
      </w:r>
    </w:p>
    <w:p w14:paraId="54E4B06C" w14:textId="0984476D"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Holman, N., Knighton, P., Wild, S.H., Sattar, N., Dew, C., Gregg, E.W., </w:t>
      </w:r>
      <w:proofErr w:type="spellStart"/>
      <w:r w:rsidRPr="005D2610">
        <w:rPr>
          <w:rFonts w:ascii="Arial" w:hAnsi="Arial" w:cs="Arial"/>
          <w:sz w:val="22"/>
        </w:rPr>
        <w:t>Khunti</w:t>
      </w:r>
      <w:proofErr w:type="spellEnd"/>
      <w:r w:rsidRPr="005D2610">
        <w:rPr>
          <w:rFonts w:ascii="Arial" w:hAnsi="Arial" w:cs="Arial"/>
          <w:sz w:val="22"/>
        </w:rPr>
        <w:t xml:space="preserve">, K., </w:t>
      </w:r>
      <w:proofErr w:type="spellStart"/>
      <w:r w:rsidRPr="005D2610">
        <w:rPr>
          <w:rFonts w:ascii="Arial" w:hAnsi="Arial" w:cs="Arial"/>
          <w:sz w:val="22"/>
        </w:rPr>
        <w:t>Valabhji</w:t>
      </w:r>
      <w:proofErr w:type="spellEnd"/>
      <w:r w:rsidRPr="005D2610">
        <w:rPr>
          <w:rFonts w:ascii="Arial" w:hAnsi="Arial" w:cs="Arial"/>
          <w:sz w:val="22"/>
        </w:rPr>
        <w:t xml:space="preserve">, J. and Young, B., </w:t>
      </w:r>
      <w:r w:rsidR="00D6611A">
        <w:rPr>
          <w:rFonts w:ascii="Arial" w:hAnsi="Arial" w:cs="Arial"/>
          <w:sz w:val="22"/>
        </w:rPr>
        <w:t>(</w:t>
      </w:r>
      <w:r w:rsidRPr="005D2610">
        <w:rPr>
          <w:rFonts w:ascii="Arial" w:hAnsi="Arial" w:cs="Arial"/>
          <w:sz w:val="22"/>
        </w:rPr>
        <w:t>2021</w:t>
      </w:r>
      <w:r w:rsidR="00D6611A">
        <w:rPr>
          <w:rFonts w:ascii="Arial" w:hAnsi="Arial" w:cs="Arial"/>
          <w:sz w:val="22"/>
        </w:rPr>
        <w:t>)</w:t>
      </w:r>
      <w:r w:rsidRPr="005D2610">
        <w:rPr>
          <w:rFonts w:ascii="Arial" w:hAnsi="Arial" w:cs="Arial"/>
          <w:sz w:val="22"/>
        </w:rPr>
        <w:t>. Cohort profile: national diabetes audit for England and Wales. </w:t>
      </w:r>
      <w:r w:rsidRPr="005D2610">
        <w:rPr>
          <w:rFonts w:ascii="Arial" w:hAnsi="Arial" w:cs="Arial"/>
          <w:i/>
          <w:iCs/>
          <w:sz w:val="22"/>
        </w:rPr>
        <w:t>Diabetic Medicine</w:t>
      </w:r>
      <w:r w:rsidRPr="005D2610">
        <w:rPr>
          <w:rFonts w:ascii="Arial" w:hAnsi="Arial" w:cs="Arial"/>
          <w:sz w:val="22"/>
        </w:rPr>
        <w:t>, </w:t>
      </w:r>
      <w:r w:rsidRPr="005D2610">
        <w:rPr>
          <w:rFonts w:ascii="Arial" w:hAnsi="Arial" w:cs="Arial"/>
          <w:i/>
          <w:iCs/>
          <w:sz w:val="22"/>
        </w:rPr>
        <w:t>38</w:t>
      </w:r>
      <w:r w:rsidRPr="005D2610">
        <w:rPr>
          <w:rFonts w:ascii="Arial" w:hAnsi="Arial" w:cs="Arial"/>
          <w:sz w:val="22"/>
        </w:rPr>
        <w:t>(9), p.e14616.</w:t>
      </w:r>
    </w:p>
    <w:p w14:paraId="64510150" w14:textId="5CD71E7B"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lastRenderedPageBreak/>
        <w:t xml:space="preserve">Katula, J.A., Dressler, E.V., Kittel, C.A., Harvin, L.N., Almeida, F.A., Wilson, K.E., Michaud, T.L., Porter, G.C., Brito, F.A., Goessl, C.L. and Jasik, C.B., </w:t>
      </w:r>
      <w:r w:rsidR="00D6611A">
        <w:rPr>
          <w:rFonts w:ascii="Arial" w:hAnsi="Arial" w:cs="Arial"/>
          <w:sz w:val="22"/>
        </w:rPr>
        <w:t>(</w:t>
      </w:r>
      <w:r w:rsidRPr="005D2610">
        <w:rPr>
          <w:rFonts w:ascii="Arial" w:hAnsi="Arial" w:cs="Arial"/>
          <w:sz w:val="22"/>
        </w:rPr>
        <w:t>2022</w:t>
      </w:r>
      <w:r w:rsidR="00D6611A">
        <w:rPr>
          <w:rFonts w:ascii="Arial" w:hAnsi="Arial" w:cs="Arial"/>
          <w:sz w:val="22"/>
        </w:rPr>
        <w:t>)</w:t>
      </w:r>
      <w:r w:rsidRPr="005D2610">
        <w:rPr>
          <w:rFonts w:ascii="Arial" w:hAnsi="Arial" w:cs="Arial"/>
          <w:sz w:val="22"/>
        </w:rPr>
        <w:t>. Effects of a digital diabetes prevention program: an RCT. </w:t>
      </w:r>
      <w:r w:rsidRPr="005D2610">
        <w:rPr>
          <w:rFonts w:ascii="Arial" w:hAnsi="Arial" w:cs="Arial"/>
          <w:i/>
          <w:iCs/>
          <w:sz w:val="22"/>
        </w:rPr>
        <w:t>American journal of preventive medicine</w:t>
      </w:r>
      <w:r w:rsidRPr="005D2610">
        <w:rPr>
          <w:rFonts w:ascii="Arial" w:hAnsi="Arial" w:cs="Arial"/>
          <w:sz w:val="22"/>
        </w:rPr>
        <w:t>, </w:t>
      </w:r>
      <w:r w:rsidRPr="005D2610">
        <w:rPr>
          <w:rFonts w:ascii="Arial" w:hAnsi="Arial" w:cs="Arial"/>
          <w:i/>
          <w:iCs/>
          <w:sz w:val="22"/>
        </w:rPr>
        <w:t>62</w:t>
      </w:r>
      <w:r w:rsidRPr="005D2610">
        <w:rPr>
          <w:rFonts w:ascii="Arial" w:hAnsi="Arial" w:cs="Arial"/>
          <w:sz w:val="22"/>
        </w:rPr>
        <w:t>(4), pp.567-577.</w:t>
      </w:r>
    </w:p>
    <w:p w14:paraId="12AC515A" w14:textId="3362AF08"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Laakso, M. and Fernandes Silva, L., </w:t>
      </w:r>
      <w:r w:rsidR="00D6611A">
        <w:rPr>
          <w:rFonts w:ascii="Arial" w:hAnsi="Arial" w:cs="Arial"/>
          <w:sz w:val="22"/>
        </w:rPr>
        <w:t>(</w:t>
      </w:r>
      <w:r w:rsidRPr="005D2610">
        <w:rPr>
          <w:rFonts w:ascii="Arial" w:hAnsi="Arial" w:cs="Arial"/>
          <w:sz w:val="22"/>
        </w:rPr>
        <w:t>2022</w:t>
      </w:r>
      <w:r w:rsidR="00D6611A">
        <w:rPr>
          <w:rFonts w:ascii="Arial" w:hAnsi="Arial" w:cs="Arial"/>
          <w:sz w:val="22"/>
        </w:rPr>
        <w:t>)</w:t>
      </w:r>
      <w:r w:rsidRPr="005D2610">
        <w:rPr>
          <w:rFonts w:ascii="Arial" w:hAnsi="Arial" w:cs="Arial"/>
          <w:sz w:val="22"/>
        </w:rPr>
        <w:t>. Genetics of type 2 diabetes: past, present, and future. </w:t>
      </w:r>
      <w:r w:rsidRPr="005D2610">
        <w:rPr>
          <w:rFonts w:ascii="Arial" w:hAnsi="Arial" w:cs="Arial"/>
          <w:i/>
          <w:iCs/>
          <w:sz w:val="22"/>
        </w:rPr>
        <w:t>Nutrients</w:t>
      </w:r>
      <w:r w:rsidRPr="005D2610">
        <w:rPr>
          <w:rFonts w:ascii="Arial" w:hAnsi="Arial" w:cs="Arial"/>
          <w:sz w:val="22"/>
        </w:rPr>
        <w:t>, </w:t>
      </w:r>
      <w:r w:rsidRPr="005D2610">
        <w:rPr>
          <w:rFonts w:ascii="Arial" w:hAnsi="Arial" w:cs="Arial"/>
          <w:i/>
          <w:iCs/>
          <w:sz w:val="22"/>
        </w:rPr>
        <w:t>14</w:t>
      </w:r>
      <w:r w:rsidRPr="005D2610">
        <w:rPr>
          <w:rFonts w:ascii="Arial" w:hAnsi="Arial" w:cs="Arial"/>
          <w:sz w:val="22"/>
        </w:rPr>
        <w:t>(15), p.3201.</w:t>
      </w:r>
    </w:p>
    <w:p w14:paraId="77B9A3C3" w14:textId="494A191A"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Mathur, R., Hull, S., Hodgson, S. and Finer, S., </w:t>
      </w:r>
      <w:r w:rsidR="00D6611A">
        <w:rPr>
          <w:rFonts w:ascii="Arial" w:hAnsi="Arial" w:cs="Arial"/>
          <w:sz w:val="22"/>
        </w:rPr>
        <w:t>(</w:t>
      </w:r>
      <w:r w:rsidRPr="005D2610">
        <w:rPr>
          <w:rFonts w:ascii="Arial" w:hAnsi="Arial" w:cs="Arial"/>
          <w:sz w:val="22"/>
        </w:rPr>
        <w:t>2022</w:t>
      </w:r>
      <w:r w:rsidR="00D6611A">
        <w:rPr>
          <w:rFonts w:ascii="Arial" w:hAnsi="Arial" w:cs="Arial"/>
          <w:sz w:val="22"/>
        </w:rPr>
        <w:t>)</w:t>
      </w:r>
      <w:r w:rsidRPr="005D2610">
        <w:rPr>
          <w:rFonts w:ascii="Arial" w:hAnsi="Arial" w:cs="Arial"/>
          <w:sz w:val="22"/>
        </w:rPr>
        <w:t>. Characterisation of type 2 diabetes subgroups and their association with ethnicity and clinical outcomes: a UK real-world data study using the East London Database. </w:t>
      </w:r>
      <w:r w:rsidRPr="005D2610">
        <w:rPr>
          <w:rFonts w:ascii="Arial" w:hAnsi="Arial" w:cs="Arial"/>
          <w:i/>
          <w:iCs/>
          <w:sz w:val="22"/>
        </w:rPr>
        <w:t>British Journal of General Practice</w:t>
      </w:r>
      <w:r w:rsidRPr="005D2610">
        <w:rPr>
          <w:rFonts w:ascii="Arial" w:hAnsi="Arial" w:cs="Arial"/>
          <w:sz w:val="22"/>
        </w:rPr>
        <w:t>.</w:t>
      </w:r>
    </w:p>
    <w:p w14:paraId="27CC6747" w14:textId="0892DCED" w:rsidR="00D618FF" w:rsidRPr="005D2610" w:rsidRDefault="00E42F2C" w:rsidP="005D2610">
      <w:pPr>
        <w:spacing w:line="360" w:lineRule="auto"/>
        <w:ind w:left="720" w:hanging="720"/>
        <w:rPr>
          <w:rFonts w:ascii="Arial" w:hAnsi="Arial" w:cs="Arial"/>
          <w:sz w:val="22"/>
          <w:lang w:val="en-US"/>
        </w:rPr>
      </w:pPr>
      <w:r w:rsidRPr="005D2610">
        <w:rPr>
          <w:rFonts w:ascii="Arial" w:hAnsi="Arial" w:cs="Arial"/>
          <w:sz w:val="22"/>
          <w:lang w:val="en-US"/>
        </w:rPr>
        <w:t xml:space="preserve">NHS England (2024). </w:t>
      </w:r>
      <w:r w:rsidRPr="005D2610">
        <w:rPr>
          <w:rFonts w:ascii="Arial" w:hAnsi="Arial" w:cs="Arial"/>
          <w:i/>
          <w:iCs/>
          <w:sz w:val="22"/>
          <w:lang w:val="en-US"/>
        </w:rPr>
        <w:t>NHS Identifies over Half a Million More People at Risk of Type 2 Diabetes in a Year</w:t>
      </w:r>
      <w:r w:rsidRPr="005D2610">
        <w:rPr>
          <w:rFonts w:ascii="Arial" w:hAnsi="Arial" w:cs="Arial"/>
          <w:sz w:val="22"/>
          <w:lang w:val="en-US"/>
        </w:rPr>
        <w:t xml:space="preserve">. [online] www.england.nhs.uk. Available at: </w:t>
      </w:r>
      <w:hyperlink r:id="rId15" w:history="1">
        <w:r w:rsidR="005F5BEF" w:rsidRPr="005D2610">
          <w:rPr>
            <w:rStyle w:val="Hyperlink"/>
            <w:rFonts w:ascii="Arial" w:hAnsi="Arial" w:cs="Arial"/>
            <w:sz w:val="22"/>
            <w:lang w:val="en-US"/>
          </w:rPr>
          <w:t>https://www.england.nhs.uk/2024/06/nhs-identifies-over-half-a-million-more-people-at-risk-of-type-2-diabetes-in-a-year/</w:t>
        </w:r>
      </w:hyperlink>
      <w:r w:rsidR="005F5BEF" w:rsidRPr="005D2610">
        <w:rPr>
          <w:rFonts w:ascii="Arial" w:hAnsi="Arial" w:cs="Arial"/>
          <w:sz w:val="22"/>
          <w:lang w:val="en-US"/>
        </w:rPr>
        <w:t xml:space="preserve"> </w:t>
      </w:r>
      <w:r w:rsidRPr="005D2610">
        <w:rPr>
          <w:rFonts w:ascii="Arial" w:hAnsi="Arial" w:cs="Arial"/>
          <w:sz w:val="22"/>
          <w:lang w:val="en-US"/>
        </w:rPr>
        <w:t>[Accessed 25 Sep. 2025].</w:t>
      </w:r>
    </w:p>
    <w:p w14:paraId="67A2D6F2" w14:textId="108CCFA5"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Prothero, L., </w:t>
      </w:r>
      <w:proofErr w:type="spellStart"/>
      <w:r w:rsidRPr="005D2610">
        <w:rPr>
          <w:rFonts w:ascii="Arial" w:hAnsi="Arial" w:cs="Arial"/>
          <w:sz w:val="22"/>
        </w:rPr>
        <w:t>Lorencatto</w:t>
      </w:r>
      <w:proofErr w:type="spellEnd"/>
      <w:r w:rsidRPr="005D2610">
        <w:rPr>
          <w:rFonts w:ascii="Arial" w:hAnsi="Arial" w:cs="Arial"/>
          <w:sz w:val="22"/>
        </w:rPr>
        <w:t xml:space="preserve">, F., Cartwright, M., Burr, J.M., Gardner, P., Anderson, J., </w:t>
      </w:r>
      <w:proofErr w:type="spellStart"/>
      <w:r w:rsidRPr="005D2610">
        <w:rPr>
          <w:rFonts w:ascii="Arial" w:hAnsi="Arial" w:cs="Arial"/>
          <w:sz w:val="22"/>
        </w:rPr>
        <w:t>Presseau</w:t>
      </w:r>
      <w:proofErr w:type="spellEnd"/>
      <w:r w:rsidRPr="005D2610">
        <w:rPr>
          <w:rFonts w:ascii="Arial" w:hAnsi="Arial" w:cs="Arial"/>
          <w:sz w:val="22"/>
        </w:rPr>
        <w:t xml:space="preserve">, J., Ivers, N., Grimshaw, J.M. and Lawrenson, J.G., </w:t>
      </w:r>
      <w:r w:rsidR="006F78EE">
        <w:rPr>
          <w:rFonts w:ascii="Arial" w:hAnsi="Arial" w:cs="Arial"/>
          <w:sz w:val="22"/>
        </w:rPr>
        <w:t>(</w:t>
      </w:r>
      <w:r w:rsidRPr="005D2610">
        <w:rPr>
          <w:rFonts w:ascii="Arial" w:hAnsi="Arial" w:cs="Arial"/>
          <w:sz w:val="22"/>
        </w:rPr>
        <w:t>2021</w:t>
      </w:r>
      <w:r w:rsidR="00D6611A">
        <w:rPr>
          <w:rFonts w:ascii="Arial" w:hAnsi="Arial" w:cs="Arial"/>
          <w:sz w:val="22"/>
        </w:rPr>
        <w:t>)</w:t>
      </w:r>
      <w:r w:rsidRPr="005D2610">
        <w:rPr>
          <w:rFonts w:ascii="Arial" w:hAnsi="Arial" w:cs="Arial"/>
          <w:sz w:val="22"/>
        </w:rPr>
        <w:t>. Perceived barriers and enablers to the provision of diabetic retinopathy screening for young adults: a cross-sectional survey of healthcare professionals working in the UK National Diabetic Eye Screening Programme. </w:t>
      </w:r>
      <w:r w:rsidRPr="005D2610">
        <w:rPr>
          <w:rFonts w:ascii="Arial" w:hAnsi="Arial" w:cs="Arial"/>
          <w:i/>
          <w:iCs/>
          <w:sz w:val="22"/>
        </w:rPr>
        <w:t>BMJ Open Diabetes Research &amp; Care</w:t>
      </w:r>
      <w:r w:rsidRPr="005D2610">
        <w:rPr>
          <w:rFonts w:ascii="Arial" w:hAnsi="Arial" w:cs="Arial"/>
          <w:sz w:val="22"/>
        </w:rPr>
        <w:t>, </w:t>
      </w:r>
      <w:r w:rsidRPr="005D2610">
        <w:rPr>
          <w:rFonts w:ascii="Arial" w:hAnsi="Arial" w:cs="Arial"/>
          <w:i/>
          <w:iCs/>
          <w:sz w:val="22"/>
        </w:rPr>
        <w:t>9</w:t>
      </w:r>
      <w:r w:rsidRPr="005D2610">
        <w:rPr>
          <w:rFonts w:ascii="Arial" w:hAnsi="Arial" w:cs="Arial"/>
          <w:sz w:val="22"/>
        </w:rPr>
        <w:t>(2).</w:t>
      </w:r>
    </w:p>
    <w:p w14:paraId="6D1CFF0B" w14:textId="6566E69B"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Quin, M., Carmichael, L. and Hopper, C., </w:t>
      </w:r>
      <w:r w:rsidR="000C0033">
        <w:rPr>
          <w:rFonts w:ascii="Arial" w:hAnsi="Arial" w:cs="Arial"/>
          <w:sz w:val="22"/>
        </w:rPr>
        <w:t>(</w:t>
      </w:r>
      <w:r w:rsidRPr="005D2610">
        <w:rPr>
          <w:rFonts w:ascii="Arial" w:hAnsi="Arial" w:cs="Arial"/>
          <w:sz w:val="22"/>
        </w:rPr>
        <w:t>2023</w:t>
      </w:r>
      <w:r w:rsidR="000C0033">
        <w:rPr>
          <w:rFonts w:ascii="Arial" w:hAnsi="Arial" w:cs="Arial"/>
          <w:sz w:val="22"/>
        </w:rPr>
        <w:t>)</w:t>
      </w:r>
      <w:r w:rsidRPr="005D2610">
        <w:rPr>
          <w:rFonts w:ascii="Arial" w:hAnsi="Arial" w:cs="Arial"/>
          <w:sz w:val="22"/>
        </w:rPr>
        <w:t>. Implementing health impact assessment policy on infrastructure development in the London borough of tower hamlets. </w:t>
      </w:r>
      <w:r w:rsidRPr="005D2610">
        <w:rPr>
          <w:rFonts w:ascii="Arial" w:hAnsi="Arial" w:cs="Arial"/>
          <w:i/>
          <w:iCs/>
          <w:sz w:val="22"/>
        </w:rPr>
        <w:t>Cities &amp; health</w:t>
      </w:r>
      <w:r w:rsidRPr="005D2610">
        <w:rPr>
          <w:rFonts w:ascii="Arial" w:hAnsi="Arial" w:cs="Arial"/>
          <w:sz w:val="22"/>
        </w:rPr>
        <w:t>, </w:t>
      </w:r>
      <w:r w:rsidRPr="005D2610">
        <w:rPr>
          <w:rFonts w:ascii="Arial" w:hAnsi="Arial" w:cs="Arial"/>
          <w:i/>
          <w:iCs/>
          <w:sz w:val="22"/>
        </w:rPr>
        <w:t>7</w:t>
      </w:r>
      <w:r w:rsidRPr="005D2610">
        <w:rPr>
          <w:rFonts w:ascii="Arial" w:hAnsi="Arial" w:cs="Arial"/>
          <w:sz w:val="22"/>
        </w:rPr>
        <w:t>(3), pp.303-311.</w:t>
      </w:r>
    </w:p>
    <w:p w14:paraId="0C712FE0" w14:textId="66685F9E" w:rsidR="00D618FF" w:rsidRPr="005D2610" w:rsidRDefault="00E42F2C" w:rsidP="005D2610">
      <w:pPr>
        <w:spacing w:line="360" w:lineRule="auto"/>
        <w:ind w:left="720" w:hanging="720"/>
        <w:rPr>
          <w:rFonts w:ascii="Arial" w:hAnsi="Arial" w:cs="Arial"/>
          <w:sz w:val="22"/>
        </w:rPr>
      </w:pPr>
      <w:proofErr w:type="spellStart"/>
      <w:r w:rsidRPr="005D2610">
        <w:rPr>
          <w:rFonts w:ascii="Arial" w:hAnsi="Arial" w:cs="Arial"/>
          <w:sz w:val="22"/>
        </w:rPr>
        <w:t>Ravindrarajah</w:t>
      </w:r>
      <w:proofErr w:type="spellEnd"/>
      <w:r w:rsidRPr="005D2610">
        <w:rPr>
          <w:rFonts w:ascii="Arial" w:hAnsi="Arial" w:cs="Arial"/>
          <w:sz w:val="22"/>
        </w:rPr>
        <w:t xml:space="preserve">, R., Sutton, M., Reeves, D., Cotterill, S., </w:t>
      </w:r>
      <w:proofErr w:type="spellStart"/>
      <w:r w:rsidRPr="005D2610">
        <w:rPr>
          <w:rFonts w:ascii="Arial" w:hAnsi="Arial" w:cs="Arial"/>
          <w:sz w:val="22"/>
        </w:rPr>
        <w:t>Mcmanus</w:t>
      </w:r>
      <w:proofErr w:type="spellEnd"/>
      <w:r w:rsidRPr="005D2610">
        <w:rPr>
          <w:rFonts w:ascii="Arial" w:hAnsi="Arial" w:cs="Arial"/>
          <w:sz w:val="22"/>
        </w:rPr>
        <w:t xml:space="preserve">, E., Meacock, R., Whittaker, W., </w:t>
      </w:r>
      <w:proofErr w:type="spellStart"/>
      <w:r w:rsidRPr="005D2610">
        <w:rPr>
          <w:rFonts w:ascii="Arial" w:hAnsi="Arial" w:cs="Arial"/>
          <w:sz w:val="22"/>
        </w:rPr>
        <w:t>Soiland</w:t>
      </w:r>
      <w:proofErr w:type="spellEnd"/>
      <w:r w:rsidRPr="005D2610">
        <w:rPr>
          <w:rFonts w:ascii="Arial" w:hAnsi="Arial" w:cs="Arial"/>
          <w:sz w:val="22"/>
        </w:rPr>
        <w:t xml:space="preserve">-Reyes, C., Heller, S., Bower, P. and </w:t>
      </w:r>
      <w:proofErr w:type="spellStart"/>
      <w:r w:rsidRPr="005D2610">
        <w:rPr>
          <w:rFonts w:ascii="Arial" w:hAnsi="Arial" w:cs="Arial"/>
          <w:sz w:val="22"/>
        </w:rPr>
        <w:t>Kontopantelis</w:t>
      </w:r>
      <w:proofErr w:type="spellEnd"/>
      <w:r w:rsidRPr="005D2610">
        <w:rPr>
          <w:rFonts w:ascii="Arial" w:hAnsi="Arial" w:cs="Arial"/>
          <w:sz w:val="22"/>
        </w:rPr>
        <w:t xml:space="preserve">, </w:t>
      </w:r>
      <w:r w:rsidR="006F78EE" w:rsidRPr="005D2610">
        <w:rPr>
          <w:rFonts w:ascii="Arial" w:hAnsi="Arial" w:cs="Arial"/>
          <w:sz w:val="22"/>
        </w:rPr>
        <w:t>E.,</w:t>
      </w:r>
      <w:r w:rsidR="006F78EE">
        <w:rPr>
          <w:rFonts w:ascii="Arial" w:hAnsi="Arial" w:cs="Arial"/>
          <w:sz w:val="22"/>
        </w:rPr>
        <w:t xml:space="preserve"> (</w:t>
      </w:r>
      <w:r w:rsidR="006F78EE" w:rsidRPr="005D2610">
        <w:rPr>
          <w:rFonts w:ascii="Arial" w:hAnsi="Arial" w:cs="Arial"/>
          <w:sz w:val="22"/>
        </w:rPr>
        <w:t>2023</w:t>
      </w:r>
      <w:r w:rsidR="006F78EE">
        <w:rPr>
          <w:rFonts w:ascii="Arial" w:hAnsi="Arial" w:cs="Arial"/>
          <w:sz w:val="22"/>
        </w:rPr>
        <w:t>)</w:t>
      </w:r>
      <w:r w:rsidRPr="005D2610">
        <w:rPr>
          <w:rFonts w:ascii="Arial" w:hAnsi="Arial" w:cs="Arial"/>
          <w:sz w:val="22"/>
        </w:rPr>
        <w:t>. Referral to the NHS Diabetes Prevention Programme and conversion from nondiabetic hyperglycaemia to type 2 diabetes mellitus in England: A matched cohort analysis. </w:t>
      </w:r>
      <w:proofErr w:type="spellStart"/>
      <w:r w:rsidRPr="005D2610">
        <w:rPr>
          <w:rFonts w:ascii="Arial" w:hAnsi="Arial" w:cs="Arial"/>
          <w:i/>
          <w:iCs/>
          <w:sz w:val="22"/>
        </w:rPr>
        <w:t>PLoS</w:t>
      </w:r>
      <w:proofErr w:type="spellEnd"/>
      <w:r w:rsidRPr="005D2610">
        <w:rPr>
          <w:rFonts w:ascii="Arial" w:hAnsi="Arial" w:cs="Arial"/>
          <w:i/>
          <w:iCs/>
          <w:sz w:val="22"/>
        </w:rPr>
        <w:t xml:space="preserve"> medicine</w:t>
      </w:r>
      <w:r w:rsidRPr="005D2610">
        <w:rPr>
          <w:rFonts w:ascii="Arial" w:hAnsi="Arial" w:cs="Arial"/>
          <w:sz w:val="22"/>
        </w:rPr>
        <w:t>, </w:t>
      </w:r>
      <w:r w:rsidRPr="005D2610">
        <w:rPr>
          <w:rFonts w:ascii="Arial" w:hAnsi="Arial" w:cs="Arial"/>
          <w:i/>
          <w:iCs/>
          <w:sz w:val="22"/>
        </w:rPr>
        <w:t>20</w:t>
      </w:r>
      <w:r w:rsidRPr="005D2610">
        <w:rPr>
          <w:rFonts w:ascii="Arial" w:hAnsi="Arial" w:cs="Arial"/>
          <w:sz w:val="22"/>
        </w:rPr>
        <w:t>(2), p.e1004177.</w:t>
      </w:r>
    </w:p>
    <w:p w14:paraId="6D4666FC" w14:textId="77777777"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Scanlon, P.H., 2021. The contribution of the English NHS Diabetic Eye Screening Programme to reductions in diabetes-related blindness, comparisons within Europe, and future challenges. </w:t>
      </w:r>
      <w:r w:rsidRPr="005D2610">
        <w:rPr>
          <w:rFonts w:ascii="Arial" w:hAnsi="Arial" w:cs="Arial"/>
          <w:i/>
          <w:iCs/>
          <w:sz w:val="22"/>
        </w:rPr>
        <w:t xml:space="preserve">Acta </w:t>
      </w:r>
      <w:proofErr w:type="spellStart"/>
      <w:r w:rsidRPr="005D2610">
        <w:rPr>
          <w:rFonts w:ascii="Arial" w:hAnsi="Arial" w:cs="Arial"/>
          <w:i/>
          <w:iCs/>
          <w:sz w:val="22"/>
        </w:rPr>
        <w:t>diabetologica</w:t>
      </w:r>
      <w:proofErr w:type="spellEnd"/>
      <w:r w:rsidRPr="005D2610">
        <w:rPr>
          <w:rFonts w:ascii="Arial" w:hAnsi="Arial" w:cs="Arial"/>
          <w:sz w:val="22"/>
        </w:rPr>
        <w:t>, </w:t>
      </w:r>
      <w:r w:rsidRPr="005D2610">
        <w:rPr>
          <w:rFonts w:ascii="Arial" w:hAnsi="Arial" w:cs="Arial"/>
          <w:i/>
          <w:iCs/>
          <w:sz w:val="22"/>
        </w:rPr>
        <w:t>58</w:t>
      </w:r>
      <w:r w:rsidRPr="005D2610">
        <w:rPr>
          <w:rFonts w:ascii="Arial" w:hAnsi="Arial" w:cs="Arial"/>
          <w:sz w:val="22"/>
        </w:rPr>
        <w:t>(4), pp.521-530.</w:t>
      </w:r>
    </w:p>
    <w:p w14:paraId="40E9BDBE" w14:textId="51307537"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Shah, R., Finlay, A.Y., Ali, F.M., </w:t>
      </w:r>
      <w:proofErr w:type="spellStart"/>
      <w:r w:rsidRPr="005D2610">
        <w:rPr>
          <w:rFonts w:ascii="Arial" w:hAnsi="Arial" w:cs="Arial"/>
          <w:sz w:val="22"/>
        </w:rPr>
        <w:t>Otwombe</w:t>
      </w:r>
      <w:proofErr w:type="spellEnd"/>
      <w:r w:rsidRPr="005D2610">
        <w:rPr>
          <w:rFonts w:ascii="Arial" w:hAnsi="Arial" w:cs="Arial"/>
          <w:sz w:val="22"/>
        </w:rPr>
        <w:t xml:space="preserve">, K., Nixon, S.J., George, L., Evans, M., Ingram, J.R. and Salek, </w:t>
      </w:r>
      <w:r w:rsidR="006F78EE" w:rsidRPr="005D2610">
        <w:rPr>
          <w:rFonts w:ascii="Arial" w:hAnsi="Arial" w:cs="Arial"/>
          <w:sz w:val="22"/>
        </w:rPr>
        <w:t>S.,</w:t>
      </w:r>
      <w:r w:rsidR="006F78EE">
        <w:rPr>
          <w:rFonts w:ascii="Arial" w:hAnsi="Arial" w:cs="Arial"/>
          <w:sz w:val="22"/>
        </w:rPr>
        <w:t xml:space="preserve"> (</w:t>
      </w:r>
      <w:r w:rsidRPr="005D2610">
        <w:rPr>
          <w:rFonts w:ascii="Arial" w:hAnsi="Arial" w:cs="Arial"/>
          <w:sz w:val="22"/>
        </w:rPr>
        <w:t>2025</w:t>
      </w:r>
      <w:r w:rsidR="006F78EE">
        <w:rPr>
          <w:rFonts w:ascii="Arial" w:hAnsi="Arial" w:cs="Arial"/>
          <w:sz w:val="22"/>
        </w:rPr>
        <w:t>)</w:t>
      </w:r>
      <w:r w:rsidRPr="005D2610">
        <w:rPr>
          <w:rFonts w:ascii="Arial" w:hAnsi="Arial" w:cs="Arial"/>
          <w:sz w:val="22"/>
        </w:rPr>
        <w:t xml:space="preserve">. Comparison of the impact of type 1 and type 2 diabetes on quality </w:t>
      </w:r>
      <w:r w:rsidRPr="005D2610">
        <w:rPr>
          <w:rFonts w:ascii="Arial" w:hAnsi="Arial" w:cs="Arial"/>
          <w:sz w:val="22"/>
        </w:rPr>
        <w:lastRenderedPageBreak/>
        <w:t>of life of families of patients: A UK cross</w:t>
      </w:r>
      <w:r w:rsidRPr="005D2610">
        <w:rPr>
          <w:rFonts w:ascii="Cambria Math" w:hAnsi="Cambria Math" w:cs="Cambria Math"/>
          <w:sz w:val="22"/>
        </w:rPr>
        <w:t>‐</w:t>
      </w:r>
      <w:r w:rsidRPr="005D2610">
        <w:rPr>
          <w:rFonts w:ascii="Arial" w:hAnsi="Arial" w:cs="Arial"/>
          <w:sz w:val="22"/>
        </w:rPr>
        <w:t>sectional study. </w:t>
      </w:r>
      <w:r w:rsidRPr="005D2610">
        <w:rPr>
          <w:rFonts w:ascii="Arial" w:hAnsi="Arial" w:cs="Arial"/>
          <w:i/>
          <w:iCs/>
          <w:sz w:val="22"/>
        </w:rPr>
        <w:t>Diabetes, Obesity and Metabolism</w:t>
      </w:r>
      <w:r w:rsidRPr="005D2610">
        <w:rPr>
          <w:rFonts w:ascii="Arial" w:hAnsi="Arial" w:cs="Arial"/>
          <w:sz w:val="22"/>
        </w:rPr>
        <w:t>, </w:t>
      </w:r>
      <w:r w:rsidRPr="005D2610">
        <w:rPr>
          <w:rFonts w:ascii="Arial" w:hAnsi="Arial" w:cs="Arial"/>
          <w:i/>
          <w:iCs/>
          <w:sz w:val="22"/>
        </w:rPr>
        <w:t>27</w:t>
      </w:r>
      <w:r w:rsidRPr="005D2610">
        <w:rPr>
          <w:rFonts w:ascii="Arial" w:hAnsi="Arial" w:cs="Arial"/>
          <w:sz w:val="22"/>
        </w:rPr>
        <w:t>(2), pp.652-662.</w:t>
      </w:r>
    </w:p>
    <w:p w14:paraId="622106F3" w14:textId="3B7D4C31" w:rsidR="00D618FF" w:rsidRPr="005D2610" w:rsidRDefault="00E42F2C" w:rsidP="005D2610">
      <w:pPr>
        <w:spacing w:line="360" w:lineRule="auto"/>
        <w:ind w:left="720" w:hanging="720"/>
        <w:rPr>
          <w:rFonts w:ascii="Arial" w:hAnsi="Arial" w:cs="Arial"/>
          <w:sz w:val="22"/>
        </w:rPr>
      </w:pPr>
      <w:proofErr w:type="spellStart"/>
      <w:r w:rsidRPr="005D2610">
        <w:rPr>
          <w:rFonts w:ascii="Arial" w:hAnsi="Arial" w:cs="Arial"/>
          <w:sz w:val="22"/>
        </w:rPr>
        <w:t>Shamsutdinova</w:t>
      </w:r>
      <w:proofErr w:type="spellEnd"/>
      <w:r w:rsidRPr="005D2610">
        <w:rPr>
          <w:rFonts w:ascii="Arial" w:hAnsi="Arial" w:cs="Arial"/>
          <w:sz w:val="22"/>
        </w:rPr>
        <w:t xml:space="preserve">, D., Das-Munshi, J., Ashworth, M., Roberts, A. and Stahl, D., </w:t>
      </w:r>
      <w:r w:rsidR="006F78EE">
        <w:rPr>
          <w:rFonts w:ascii="Arial" w:hAnsi="Arial" w:cs="Arial"/>
          <w:sz w:val="22"/>
        </w:rPr>
        <w:t>(</w:t>
      </w:r>
      <w:r w:rsidRPr="005D2610">
        <w:rPr>
          <w:rFonts w:ascii="Arial" w:hAnsi="Arial" w:cs="Arial"/>
          <w:sz w:val="22"/>
        </w:rPr>
        <w:t>2023</w:t>
      </w:r>
      <w:r w:rsidR="006F78EE">
        <w:rPr>
          <w:rFonts w:ascii="Arial" w:hAnsi="Arial" w:cs="Arial"/>
          <w:sz w:val="22"/>
        </w:rPr>
        <w:t>)</w:t>
      </w:r>
      <w:r w:rsidRPr="005D2610">
        <w:rPr>
          <w:rFonts w:ascii="Arial" w:hAnsi="Arial" w:cs="Arial"/>
          <w:sz w:val="22"/>
        </w:rPr>
        <w:t>. Predicting type 2 diabetes prevalence for people with severe mental illness in a multi-ethnic East London population. </w:t>
      </w:r>
      <w:r w:rsidRPr="005D2610">
        <w:rPr>
          <w:rFonts w:ascii="Arial" w:hAnsi="Arial" w:cs="Arial"/>
          <w:i/>
          <w:iCs/>
          <w:sz w:val="22"/>
        </w:rPr>
        <w:t>International Journal of Medical Informatics</w:t>
      </w:r>
      <w:r w:rsidRPr="005D2610">
        <w:rPr>
          <w:rFonts w:ascii="Arial" w:hAnsi="Arial" w:cs="Arial"/>
          <w:sz w:val="22"/>
        </w:rPr>
        <w:t>, </w:t>
      </w:r>
      <w:r w:rsidRPr="005D2610">
        <w:rPr>
          <w:rFonts w:ascii="Arial" w:hAnsi="Arial" w:cs="Arial"/>
          <w:i/>
          <w:iCs/>
          <w:sz w:val="22"/>
        </w:rPr>
        <w:t>172</w:t>
      </w:r>
      <w:r w:rsidRPr="005D2610">
        <w:rPr>
          <w:rFonts w:ascii="Arial" w:hAnsi="Arial" w:cs="Arial"/>
          <w:sz w:val="22"/>
        </w:rPr>
        <w:t>, p.105019.</w:t>
      </w:r>
    </w:p>
    <w:p w14:paraId="28148BD2" w14:textId="266F8403"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Sharpe, D., Barnfield, A., </w:t>
      </w:r>
      <w:proofErr w:type="spellStart"/>
      <w:r w:rsidRPr="005D2610">
        <w:rPr>
          <w:rFonts w:ascii="Arial" w:hAnsi="Arial" w:cs="Arial"/>
          <w:sz w:val="22"/>
        </w:rPr>
        <w:t>Morocza</w:t>
      </w:r>
      <w:proofErr w:type="spellEnd"/>
      <w:r w:rsidRPr="005D2610">
        <w:rPr>
          <w:rFonts w:ascii="Arial" w:hAnsi="Arial" w:cs="Arial"/>
          <w:sz w:val="22"/>
        </w:rPr>
        <w:t xml:space="preserve">, N., Keenan, O. and Galicia Mesa, L., </w:t>
      </w:r>
      <w:r w:rsidR="000C0033">
        <w:rPr>
          <w:rFonts w:ascii="Arial" w:hAnsi="Arial" w:cs="Arial"/>
          <w:sz w:val="22"/>
        </w:rPr>
        <w:t>(</w:t>
      </w:r>
      <w:r w:rsidRPr="005D2610">
        <w:rPr>
          <w:rFonts w:ascii="Arial" w:hAnsi="Arial" w:cs="Arial"/>
          <w:sz w:val="22"/>
        </w:rPr>
        <w:t>2024</w:t>
      </w:r>
      <w:r w:rsidR="000C0033">
        <w:rPr>
          <w:rFonts w:ascii="Arial" w:hAnsi="Arial" w:cs="Arial"/>
          <w:sz w:val="22"/>
        </w:rPr>
        <w:t>)</w:t>
      </w:r>
      <w:r w:rsidRPr="005D2610">
        <w:rPr>
          <w:rFonts w:ascii="Arial" w:hAnsi="Arial" w:cs="Arial"/>
          <w:sz w:val="22"/>
        </w:rPr>
        <w:t>. Tower Hamlets Council Healthy Lives Programme Evaluation.</w:t>
      </w:r>
    </w:p>
    <w:p w14:paraId="3744AE36" w14:textId="5648C10E"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Sharpe, D., </w:t>
      </w:r>
      <w:proofErr w:type="spellStart"/>
      <w:r w:rsidRPr="005D2610">
        <w:rPr>
          <w:rFonts w:ascii="Arial" w:hAnsi="Arial" w:cs="Arial"/>
          <w:sz w:val="22"/>
        </w:rPr>
        <w:t>Morocza</w:t>
      </w:r>
      <w:proofErr w:type="spellEnd"/>
      <w:r w:rsidRPr="005D2610">
        <w:rPr>
          <w:rFonts w:ascii="Arial" w:hAnsi="Arial" w:cs="Arial"/>
          <w:sz w:val="22"/>
        </w:rPr>
        <w:t xml:space="preserve">, N., Syed, A., </w:t>
      </w:r>
      <w:proofErr w:type="spellStart"/>
      <w:r w:rsidRPr="005D2610">
        <w:rPr>
          <w:rFonts w:ascii="Arial" w:hAnsi="Arial" w:cs="Arial"/>
          <w:sz w:val="22"/>
        </w:rPr>
        <w:t>Canitrot</w:t>
      </w:r>
      <w:proofErr w:type="spellEnd"/>
      <w:r w:rsidRPr="005D2610">
        <w:rPr>
          <w:rFonts w:ascii="Arial" w:hAnsi="Arial" w:cs="Arial"/>
          <w:sz w:val="22"/>
        </w:rPr>
        <w:t xml:space="preserve">, D., Narayan, V., </w:t>
      </w:r>
      <w:proofErr w:type="spellStart"/>
      <w:r w:rsidRPr="005D2610">
        <w:rPr>
          <w:rFonts w:ascii="Arial" w:hAnsi="Arial" w:cs="Arial"/>
          <w:sz w:val="22"/>
        </w:rPr>
        <w:t>Alloh</w:t>
      </w:r>
      <w:proofErr w:type="spellEnd"/>
      <w:r w:rsidRPr="005D2610">
        <w:rPr>
          <w:rFonts w:ascii="Arial" w:hAnsi="Arial" w:cs="Arial"/>
          <w:sz w:val="22"/>
        </w:rPr>
        <w:t xml:space="preserve">, F., Galicia Mesa, L.P. and </w:t>
      </w:r>
      <w:proofErr w:type="spellStart"/>
      <w:r w:rsidRPr="005D2610">
        <w:rPr>
          <w:rFonts w:ascii="Arial" w:hAnsi="Arial" w:cs="Arial"/>
          <w:sz w:val="22"/>
        </w:rPr>
        <w:t>Hanafiah</w:t>
      </w:r>
      <w:proofErr w:type="spellEnd"/>
      <w:r w:rsidRPr="005D2610">
        <w:rPr>
          <w:rFonts w:ascii="Arial" w:hAnsi="Arial" w:cs="Arial"/>
          <w:sz w:val="22"/>
        </w:rPr>
        <w:t xml:space="preserve">, A., </w:t>
      </w:r>
      <w:r w:rsidR="006F78EE">
        <w:rPr>
          <w:rFonts w:ascii="Arial" w:hAnsi="Arial" w:cs="Arial"/>
          <w:sz w:val="22"/>
        </w:rPr>
        <w:t>(</w:t>
      </w:r>
      <w:r w:rsidRPr="005D2610">
        <w:rPr>
          <w:rFonts w:ascii="Arial" w:hAnsi="Arial" w:cs="Arial"/>
          <w:sz w:val="22"/>
        </w:rPr>
        <w:t>2022</w:t>
      </w:r>
      <w:r w:rsidR="006F78EE">
        <w:rPr>
          <w:rFonts w:ascii="Arial" w:hAnsi="Arial" w:cs="Arial"/>
          <w:sz w:val="22"/>
        </w:rPr>
        <w:t>)</w:t>
      </w:r>
      <w:r w:rsidRPr="005D2610">
        <w:rPr>
          <w:rFonts w:ascii="Arial" w:hAnsi="Arial" w:cs="Arial"/>
          <w:sz w:val="22"/>
        </w:rPr>
        <w:t>. Prevention and Promotion for Better Mental Health Fund: Evaluation of Projects to Support a Borough-Wide Trauma-Informed Initiative in Tower Hamlets.</w:t>
      </w:r>
    </w:p>
    <w:p w14:paraId="60DC2CED" w14:textId="07E16F40"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Vivian, E. and Flanagan, C., </w:t>
      </w:r>
      <w:r w:rsidR="006F78EE">
        <w:rPr>
          <w:rFonts w:ascii="Arial" w:hAnsi="Arial" w:cs="Arial"/>
          <w:sz w:val="22"/>
        </w:rPr>
        <w:t>(</w:t>
      </w:r>
      <w:r w:rsidRPr="005D2610">
        <w:rPr>
          <w:rFonts w:ascii="Arial" w:hAnsi="Arial" w:cs="Arial"/>
          <w:sz w:val="22"/>
        </w:rPr>
        <w:t>2022</w:t>
      </w:r>
      <w:r w:rsidR="006F78EE">
        <w:rPr>
          <w:rFonts w:ascii="Arial" w:hAnsi="Arial" w:cs="Arial"/>
          <w:sz w:val="22"/>
        </w:rPr>
        <w:t>)</w:t>
      </w:r>
      <w:r w:rsidRPr="005D2610">
        <w:rPr>
          <w:rFonts w:ascii="Arial" w:hAnsi="Arial" w:cs="Arial"/>
          <w:sz w:val="22"/>
        </w:rPr>
        <w:t>. Peers empowering peers-feasibility of a peer educator training program to prevent diabetes. </w:t>
      </w:r>
      <w:r w:rsidRPr="005D2610">
        <w:rPr>
          <w:rFonts w:ascii="Arial" w:hAnsi="Arial" w:cs="Arial"/>
          <w:i/>
          <w:iCs/>
          <w:sz w:val="22"/>
        </w:rPr>
        <w:t>BMC Women's Health</w:t>
      </w:r>
      <w:r w:rsidRPr="005D2610">
        <w:rPr>
          <w:rFonts w:ascii="Arial" w:hAnsi="Arial" w:cs="Arial"/>
          <w:sz w:val="22"/>
        </w:rPr>
        <w:t>, </w:t>
      </w:r>
      <w:r w:rsidRPr="005D2610">
        <w:rPr>
          <w:rFonts w:ascii="Arial" w:hAnsi="Arial" w:cs="Arial"/>
          <w:i/>
          <w:iCs/>
          <w:sz w:val="22"/>
        </w:rPr>
        <w:t>22</w:t>
      </w:r>
      <w:r w:rsidRPr="005D2610">
        <w:rPr>
          <w:rFonts w:ascii="Arial" w:hAnsi="Arial" w:cs="Arial"/>
          <w:sz w:val="22"/>
        </w:rPr>
        <w:t>(1), p.65.</w:t>
      </w:r>
    </w:p>
    <w:p w14:paraId="79B45BBB" w14:textId="33D71BB9" w:rsidR="00D618FF" w:rsidRPr="005D2610" w:rsidRDefault="00E42F2C" w:rsidP="005D2610">
      <w:pPr>
        <w:spacing w:line="360" w:lineRule="auto"/>
        <w:ind w:left="720" w:hanging="720"/>
        <w:rPr>
          <w:rFonts w:ascii="Arial" w:hAnsi="Arial" w:cs="Arial"/>
          <w:sz w:val="22"/>
        </w:rPr>
      </w:pPr>
      <w:r w:rsidRPr="005D2610">
        <w:rPr>
          <w:rFonts w:ascii="Arial" w:hAnsi="Arial" w:cs="Arial"/>
          <w:sz w:val="22"/>
        </w:rPr>
        <w:t xml:space="preserve">Wang, K., </w:t>
      </w:r>
      <w:proofErr w:type="spellStart"/>
      <w:r w:rsidRPr="005D2610">
        <w:rPr>
          <w:rFonts w:ascii="Arial" w:hAnsi="Arial" w:cs="Arial"/>
          <w:sz w:val="22"/>
        </w:rPr>
        <w:t>Kavousi</w:t>
      </w:r>
      <w:proofErr w:type="spellEnd"/>
      <w:r w:rsidRPr="005D2610">
        <w:rPr>
          <w:rFonts w:ascii="Arial" w:hAnsi="Arial" w:cs="Arial"/>
          <w:sz w:val="22"/>
        </w:rPr>
        <w:t xml:space="preserve">, M., Voortman, T., Ikram, M.A., Ghanbari, M. and </w:t>
      </w:r>
      <w:proofErr w:type="spellStart"/>
      <w:r w:rsidRPr="005D2610">
        <w:rPr>
          <w:rFonts w:ascii="Arial" w:hAnsi="Arial" w:cs="Arial"/>
          <w:sz w:val="22"/>
        </w:rPr>
        <w:t>Ahmadizar</w:t>
      </w:r>
      <w:proofErr w:type="spellEnd"/>
      <w:r w:rsidRPr="005D2610">
        <w:rPr>
          <w:rFonts w:ascii="Arial" w:hAnsi="Arial" w:cs="Arial"/>
          <w:sz w:val="22"/>
        </w:rPr>
        <w:t xml:space="preserve">, F., </w:t>
      </w:r>
      <w:r w:rsidR="006F78EE">
        <w:rPr>
          <w:rFonts w:ascii="Arial" w:hAnsi="Arial" w:cs="Arial"/>
          <w:sz w:val="22"/>
        </w:rPr>
        <w:t>(</w:t>
      </w:r>
      <w:r w:rsidRPr="005D2610">
        <w:rPr>
          <w:rFonts w:ascii="Arial" w:hAnsi="Arial" w:cs="Arial"/>
          <w:sz w:val="22"/>
        </w:rPr>
        <w:t>2021</w:t>
      </w:r>
      <w:r w:rsidR="006F78EE">
        <w:rPr>
          <w:rFonts w:ascii="Arial" w:hAnsi="Arial" w:cs="Arial"/>
          <w:sz w:val="22"/>
        </w:rPr>
        <w:t>)</w:t>
      </w:r>
      <w:r w:rsidRPr="005D2610">
        <w:rPr>
          <w:rFonts w:ascii="Arial" w:hAnsi="Arial" w:cs="Arial"/>
          <w:sz w:val="22"/>
        </w:rPr>
        <w:t>. Cardiovascular health, genetic predisposition, and lifetime risk of type 2 diabetes. </w:t>
      </w:r>
      <w:r w:rsidRPr="005D2610">
        <w:rPr>
          <w:rFonts w:ascii="Arial" w:hAnsi="Arial" w:cs="Arial"/>
          <w:i/>
          <w:iCs/>
          <w:sz w:val="22"/>
        </w:rPr>
        <w:t>European Journal of Preventive Cardiology</w:t>
      </w:r>
      <w:r w:rsidRPr="005D2610">
        <w:rPr>
          <w:rFonts w:ascii="Arial" w:hAnsi="Arial" w:cs="Arial"/>
          <w:sz w:val="22"/>
        </w:rPr>
        <w:t>, </w:t>
      </w:r>
      <w:r w:rsidRPr="005D2610">
        <w:rPr>
          <w:rFonts w:ascii="Arial" w:hAnsi="Arial" w:cs="Arial"/>
          <w:i/>
          <w:iCs/>
          <w:sz w:val="22"/>
        </w:rPr>
        <w:t>28</w:t>
      </w:r>
      <w:r w:rsidRPr="005D2610">
        <w:rPr>
          <w:rFonts w:ascii="Arial" w:hAnsi="Arial" w:cs="Arial"/>
          <w:sz w:val="22"/>
        </w:rPr>
        <w:t>(16), pp.1850-1857.</w:t>
      </w:r>
    </w:p>
    <w:p w14:paraId="30320007" w14:textId="0CA5C546" w:rsidR="00C233E8" w:rsidRPr="00E57D10" w:rsidRDefault="00E42F2C" w:rsidP="00E57D10">
      <w:pPr>
        <w:spacing w:line="360" w:lineRule="auto"/>
        <w:ind w:left="720" w:hanging="720"/>
        <w:rPr>
          <w:rFonts w:ascii="Arial" w:hAnsi="Arial" w:cs="Arial"/>
          <w:sz w:val="22"/>
          <w:lang w:val="en-US"/>
        </w:rPr>
      </w:pPr>
      <w:r w:rsidRPr="005D2610">
        <w:rPr>
          <w:rFonts w:ascii="Arial" w:hAnsi="Arial" w:cs="Arial"/>
          <w:sz w:val="22"/>
          <w:lang w:val="en-US"/>
        </w:rPr>
        <w:t xml:space="preserve">World Health Organization (2024). </w:t>
      </w:r>
      <w:r w:rsidRPr="005D2610">
        <w:rPr>
          <w:rFonts w:ascii="Arial" w:hAnsi="Arial" w:cs="Arial"/>
          <w:i/>
          <w:iCs/>
          <w:sz w:val="22"/>
          <w:lang w:val="en-US"/>
        </w:rPr>
        <w:t>Diabetes</w:t>
      </w:r>
      <w:r w:rsidRPr="005D2610">
        <w:rPr>
          <w:rFonts w:ascii="Arial" w:hAnsi="Arial" w:cs="Arial"/>
          <w:sz w:val="22"/>
          <w:lang w:val="en-US"/>
        </w:rPr>
        <w:t xml:space="preserve">. [online] World Health Organization. Available at: </w:t>
      </w:r>
      <w:hyperlink r:id="rId16" w:history="1">
        <w:r w:rsidR="005F5BEF" w:rsidRPr="005D2610">
          <w:rPr>
            <w:rStyle w:val="Hyperlink"/>
            <w:rFonts w:ascii="Arial" w:hAnsi="Arial" w:cs="Arial"/>
            <w:sz w:val="22"/>
            <w:lang w:val="en-US"/>
          </w:rPr>
          <w:t>https://www.who.int/news-room/fact-sheets/detail/diabetes</w:t>
        </w:r>
      </w:hyperlink>
      <w:r w:rsidR="005F5BEF" w:rsidRPr="005D2610">
        <w:rPr>
          <w:rFonts w:ascii="Arial" w:hAnsi="Arial" w:cs="Arial"/>
          <w:sz w:val="22"/>
          <w:lang w:val="en-US"/>
        </w:rPr>
        <w:t xml:space="preserve"> </w:t>
      </w:r>
      <w:r w:rsidRPr="005D2610">
        <w:rPr>
          <w:rFonts w:ascii="Arial" w:hAnsi="Arial" w:cs="Arial"/>
          <w:sz w:val="22"/>
          <w:lang w:val="en-US"/>
        </w:rPr>
        <w:t>[Accessed 25 Sep. 2025].</w:t>
      </w:r>
    </w:p>
    <w:sectPr w:rsidR="00C233E8" w:rsidRPr="00E57D10">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0200E" w14:textId="77777777" w:rsidR="00254ADA" w:rsidRDefault="00254ADA">
      <w:pPr>
        <w:spacing w:after="0" w:line="240" w:lineRule="auto"/>
      </w:pPr>
      <w:r>
        <w:separator/>
      </w:r>
    </w:p>
  </w:endnote>
  <w:endnote w:type="continuationSeparator" w:id="0">
    <w:p w14:paraId="67DAD6DC" w14:textId="77777777" w:rsidR="00254ADA" w:rsidRDefault="00254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74C0A" w14:textId="77777777" w:rsidR="00254ADA" w:rsidRDefault="00254ADA">
      <w:pPr>
        <w:spacing w:after="0" w:line="240" w:lineRule="auto"/>
      </w:pPr>
      <w:r>
        <w:separator/>
      </w:r>
    </w:p>
  </w:footnote>
  <w:footnote w:type="continuationSeparator" w:id="0">
    <w:p w14:paraId="148CAB1E" w14:textId="77777777" w:rsidR="00254ADA" w:rsidRDefault="00254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540FF6" w:rsidRDefault="00E42F2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3A1B"/>
    <w:multiLevelType w:val="multilevel"/>
    <w:tmpl w:val="E128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261DF"/>
    <w:multiLevelType w:val="multilevel"/>
    <w:tmpl w:val="C39A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11F25"/>
    <w:multiLevelType w:val="hybridMultilevel"/>
    <w:tmpl w:val="25F0AD82"/>
    <w:lvl w:ilvl="0" w:tplc="735CF64C">
      <w:start w:val="1"/>
      <w:numFmt w:val="bullet"/>
      <w:lvlText w:val=""/>
      <w:lvlJc w:val="left"/>
      <w:pPr>
        <w:ind w:left="720" w:hanging="360"/>
      </w:pPr>
      <w:rPr>
        <w:rFonts w:ascii="Symbol" w:hAnsi="Symbol" w:hint="default"/>
      </w:rPr>
    </w:lvl>
    <w:lvl w:ilvl="1" w:tplc="63DEC5A0" w:tentative="1">
      <w:start w:val="1"/>
      <w:numFmt w:val="bullet"/>
      <w:lvlText w:val="o"/>
      <w:lvlJc w:val="left"/>
      <w:pPr>
        <w:ind w:left="1440" w:hanging="360"/>
      </w:pPr>
      <w:rPr>
        <w:rFonts w:ascii="Courier New" w:hAnsi="Courier New" w:cs="Courier New" w:hint="default"/>
      </w:rPr>
    </w:lvl>
    <w:lvl w:ilvl="2" w:tplc="37EA7486" w:tentative="1">
      <w:start w:val="1"/>
      <w:numFmt w:val="bullet"/>
      <w:lvlText w:val=""/>
      <w:lvlJc w:val="left"/>
      <w:pPr>
        <w:ind w:left="2160" w:hanging="360"/>
      </w:pPr>
      <w:rPr>
        <w:rFonts w:ascii="Wingdings" w:hAnsi="Wingdings" w:hint="default"/>
      </w:rPr>
    </w:lvl>
    <w:lvl w:ilvl="3" w:tplc="AAD66324" w:tentative="1">
      <w:start w:val="1"/>
      <w:numFmt w:val="bullet"/>
      <w:lvlText w:val=""/>
      <w:lvlJc w:val="left"/>
      <w:pPr>
        <w:ind w:left="2880" w:hanging="360"/>
      </w:pPr>
      <w:rPr>
        <w:rFonts w:ascii="Symbol" w:hAnsi="Symbol" w:hint="default"/>
      </w:rPr>
    </w:lvl>
    <w:lvl w:ilvl="4" w:tplc="F24C0FA6" w:tentative="1">
      <w:start w:val="1"/>
      <w:numFmt w:val="bullet"/>
      <w:lvlText w:val="o"/>
      <w:lvlJc w:val="left"/>
      <w:pPr>
        <w:ind w:left="3600" w:hanging="360"/>
      </w:pPr>
      <w:rPr>
        <w:rFonts w:ascii="Courier New" w:hAnsi="Courier New" w:cs="Courier New" w:hint="default"/>
      </w:rPr>
    </w:lvl>
    <w:lvl w:ilvl="5" w:tplc="BCC21572" w:tentative="1">
      <w:start w:val="1"/>
      <w:numFmt w:val="bullet"/>
      <w:lvlText w:val=""/>
      <w:lvlJc w:val="left"/>
      <w:pPr>
        <w:ind w:left="4320" w:hanging="360"/>
      </w:pPr>
      <w:rPr>
        <w:rFonts w:ascii="Wingdings" w:hAnsi="Wingdings" w:hint="default"/>
      </w:rPr>
    </w:lvl>
    <w:lvl w:ilvl="6" w:tplc="129EADC8" w:tentative="1">
      <w:start w:val="1"/>
      <w:numFmt w:val="bullet"/>
      <w:lvlText w:val=""/>
      <w:lvlJc w:val="left"/>
      <w:pPr>
        <w:ind w:left="5040" w:hanging="360"/>
      </w:pPr>
      <w:rPr>
        <w:rFonts w:ascii="Symbol" w:hAnsi="Symbol" w:hint="default"/>
      </w:rPr>
    </w:lvl>
    <w:lvl w:ilvl="7" w:tplc="53869B82" w:tentative="1">
      <w:start w:val="1"/>
      <w:numFmt w:val="bullet"/>
      <w:lvlText w:val="o"/>
      <w:lvlJc w:val="left"/>
      <w:pPr>
        <w:ind w:left="5760" w:hanging="360"/>
      </w:pPr>
      <w:rPr>
        <w:rFonts w:ascii="Courier New" w:hAnsi="Courier New" w:cs="Courier New" w:hint="default"/>
      </w:rPr>
    </w:lvl>
    <w:lvl w:ilvl="8" w:tplc="5E0A1C14" w:tentative="1">
      <w:start w:val="1"/>
      <w:numFmt w:val="bullet"/>
      <w:lvlText w:val=""/>
      <w:lvlJc w:val="left"/>
      <w:pPr>
        <w:ind w:left="6480" w:hanging="360"/>
      </w:pPr>
      <w:rPr>
        <w:rFonts w:ascii="Wingdings" w:hAnsi="Wingdings" w:hint="default"/>
      </w:rPr>
    </w:lvl>
  </w:abstractNum>
  <w:abstractNum w:abstractNumId="3" w15:restartNumberingAfterBreak="0">
    <w:nsid w:val="0B920ACE"/>
    <w:multiLevelType w:val="multilevel"/>
    <w:tmpl w:val="7538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82870"/>
    <w:multiLevelType w:val="multilevel"/>
    <w:tmpl w:val="FB10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86BF2"/>
    <w:multiLevelType w:val="hybridMultilevel"/>
    <w:tmpl w:val="E5C8BE4E"/>
    <w:lvl w:ilvl="0" w:tplc="17C07D76">
      <w:start w:val="1"/>
      <w:numFmt w:val="bullet"/>
      <w:lvlText w:val=""/>
      <w:lvlJc w:val="left"/>
      <w:pPr>
        <w:ind w:left="720" w:hanging="360"/>
      </w:pPr>
      <w:rPr>
        <w:rFonts w:ascii="Symbol" w:hAnsi="Symbol" w:hint="default"/>
      </w:rPr>
    </w:lvl>
    <w:lvl w:ilvl="1" w:tplc="AB4E79FE" w:tentative="1">
      <w:start w:val="1"/>
      <w:numFmt w:val="bullet"/>
      <w:lvlText w:val="o"/>
      <w:lvlJc w:val="left"/>
      <w:pPr>
        <w:ind w:left="1440" w:hanging="360"/>
      </w:pPr>
      <w:rPr>
        <w:rFonts w:ascii="Courier New" w:hAnsi="Courier New" w:cs="Courier New" w:hint="default"/>
      </w:rPr>
    </w:lvl>
    <w:lvl w:ilvl="2" w:tplc="63A2D0A0" w:tentative="1">
      <w:start w:val="1"/>
      <w:numFmt w:val="bullet"/>
      <w:lvlText w:val=""/>
      <w:lvlJc w:val="left"/>
      <w:pPr>
        <w:ind w:left="2160" w:hanging="360"/>
      </w:pPr>
      <w:rPr>
        <w:rFonts w:ascii="Wingdings" w:hAnsi="Wingdings" w:hint="default"/>
      </w:rPr>
    </w:lvl>
    <w:lvl w:ilvl="3" w:tplc="1E26D700" w:tentative="1">
      <w:start w:val="1"/>
      <w:numFmt w:val="bullet"/>
      <w:lvlText w:val=""/>
      <w:lvlJc w:val="left"/>
      <w:pPr>
        <w:ind w:left="2880" w:hanging="360"/>
      </w:pPr>
      <w:rPr>
        <w:rFonts w:ascii="Symbol" w:hAnsi="Symbol" w:hint="default"/>
      </w:rPr>
    </w:lvl>
    <w:lvl w:ilvl="4" w:tplc="9D3ED3C2" w:tentative="1">
      <w:start w:val="1"/>
      <w:numFmt w:val="bullet"/>
      <w:lvlText w:val="o"/>
      <w:lvlJc w:val="left"/>
      <w:pPr>
        <w:ind w:left="3600" w:hanging="360"/>
      </w:pPr>
      <w:rPr>
        <w:rFonts w:ascii="Courier New" w:hAnsi="Courier New" w:cs="Courier New" w:hint="default"/>
      </w:rPr>
    </w:lvl>
    <w:lvl w:ilvl="5" w:tplc="6DC8F246" w:tentative="1">
      <w:start w:val="1"/>
      <w:numFmt w:val="bullet"/>
      <w:lvlText w:val=""/>
      <w:lvlJc w:val="left"/>
      <w:pPr>
        <w:ind w:left="4320" w:hanging="360"/>
      </w:pPr>
      <w:rPr>
        <w:rFonts w:ascii="Wingdings" w:hAnsi="Wingdings" w:hint="default"/>
      </w:rPr>
    </w:lvl>
    <w:lvl w:ilvl="6" w:tplc="017EC168" w:tentative="1">
      <w:start w:val="1"/>
      <w:numFmt w:val="bullet"/>
      <w:lvlText w:val=""/>
      <w:lvlJc w:val="left"/>
      <w:pPr>
        <w:ind w:left="5040" w:hanging="360"/>
      </w:pPr>
      <w:rPr>
        <w:rFonts w:ascii="Symbol" w:hAnsi="Symbol" w:hint="default"/>
      </w:rPr>
    </w:lvl>
    <w:lvl w:ilvl="7" w:tplc="2E7210B2" w:tentative="1">
      <w:start w:val="1"/>
      <w:numFmt w:val="bullet"/>
      <w:lvlText w:val="o"/>
      <w:lvlJc w:val="left"/>
      <w:pPr>
        <w:ind w:left="5760" w:hanging="360"/>
      </w:pPr>
      <w:rPr>
        <w:rFonts w:ascii="Courier New" w:hAnsi="Courier New" w:cs="Courier New" w:hint="default"/>
      </w:rPr>
    </w:lvl>
    <w:lvl w:ilvl="8" w:tplc="E6D645A8" w:tentative="1">
      <w:start w:val="1"/>
      <w:numFmt w:val="bullet"/>
      <w:lvlText w:val=""/>
      <w:lvlJc w:val="left"/>
      <w:pPr>
        <w:ind w:left="6480" w:hanging="360"/>
      </w:pPr>
      <w:rPr>
        <w:rFonts w:ascii="Wingdings" w:hAnsi="Wingdings" w:hint="default"/>
      </w:rPr>
    </w:lvl>
  </w:abstractNum>
  <w:abstractNum w:abstractNumId="6" w15:restartNumberingAfterBreak="0">
    <w:nsid w:val="21A5716F"/>
    <w:multiLevelType w:val="multilevel"/>
    <w:tmpl w:val="F20A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47048"/>
    <w:multiLevelType w:val="multilevel"/>
    <w:tmpl w:val="A19ED3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542879"/>
    <w:multiLevelType w:val="multilevel"/>
    <w:tmpl w:val="DB8A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017B1"/>
    <w:multiLevelType w:val="multilevel"/>
    <w:tmpl w:val="23AC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02413"/>
    <w:multiLevelType w:val="multilevel"/>
    <w:tmpl w:val="6304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9156AD"/>
    <w:multiLevelType w:val="multilevel"/>
    <w:tmpl w:val="D50E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1289E"/>
    <w:multiLevelType w:val="multilevel"/>
    <w:tmpl w:val="FA0C2C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5D7DC8"/>
    <w:multiLevelType w:val="multilevel"/>
    <w:tmpl w:val="8A5E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D00DC"/>
    <w:multiLevelType w:val="multilevel"/>
    <w:tmpl w:val="5F1E88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DD0D0D"/>
    <w:multiLevelType w:val="multilevel"/>
    <w:tmpl w:val="A102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98689C"/>
    <w:multiLevelType w:val="multilevel"/>
    <w:tmpl w:val="F774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5D183F"/>
    <w:multiLevelType w:val="multilevel"/>
    <w:tmpl w:val="AE68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6073C9"/>
    <w:multiLevelType w:val="multilevel"/>
    <w:tmpl w:val="4EE2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B17494"/>
    <w:multiLevelType w:val="multilevel"/>
    <w:tmpl w:val="5C6E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CF1ADC"/>
    <w:multiLevelType w:val="multilevel"/>
    <w:tmpl w:val="2654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8271A8"/>
    <w:multiLevelType w:val="multilevel"/>
    <w:tmpl w:val="29B8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DE3A74"/>
    <w:multiLevelType w:val="multilevel"/>
    <w:tmpl w:val="58923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671407"/>
    <w:multiLevelType w:val="hybridMultilevel"/>
    <w:tmpl w:val="274E4772"/>
    <w:lvl w:ilvl="0" w:tplc="33D26284">
      <w:start w:val="1"/>
      <w:numFmt w:val="decimal"/>
      <w:lvlText w:val="%1."/>
      <w:lvlJc w:val="left"/>
      <w:pPr>
        <w:ind w:left="720" w:hanging="360"/>
      </w:pPr>
    </w:lvl>
    <w:lvl w:ilvl="1" w:tplc="C540D134" w:tentative="1">
      <w:start w:val="1"/>
      <w:numFmt w:val="lowerLetter"/>
      <w:lvlText w:val="%2."/>
      <w:lvlJc w:val="left"/>
      <w:pPr>
        <w:ind w:left="1440" w:hanging="360"/>
      </w:pPr>
    </w:lvl>
    <w:lvl w:ilvl="2" w:tplc="3C56318C" w:tentative="1">
      <w:start w:val="1"/>
      <w:numFmt w:val="lowerRoman"/>
      <w:lvlText w:val="%3."/>
      <w:lvlJc w:val="right"/>
      <w:pPr>
        <w:ind w:left="2160" w:hanging="180"/>
      </w:pPr>
    </w:lvl>
    <w:lvl w:ilvl="3" w:tplc="10921416" w:tentative="1">
      <w:start w:val="1"/>
      <w:numFmt w:val="decimal"/>
      <w:lvlText w:val="%4."/>
      <w:lvlJc w:val="left"/>
      <w:pPr>
        <w:ind w:left="2880" w:hanging="360"/>
      </w:pPr>
    </w:lvl>
    <w:lvl w:ilvl="4" w:tplc="F86849E8" w:tentative="1">
      <w:start w:val="1"/>
      <w:numFmt w:val="lowerLetter"/>
      <w:lvlText w:val="%5."/>
      <w:lvlJc w:val="left"/>
      <w:pPr>
        <w:ind w:left="3600" w:hanging="360"/>
      </w:pPr>
    </w:lvl>
    <w:lvl w:ilvl="5" w:tplc="CE9E1DD4" w:tentative="1">
      <w:start w:val="1"/>
      <w:numFmt w:val="lowerRoman"/>
      <w:lvlText w:val="%6."/>
      <w:lvlJc w:val="right"/>
      <w:pPr>
        <w:ind w:left="4320" w:hanging="180"/>
      </w:pPr>
    </w:lvl>
    <w:lvl w:ilvl="6" w:tplc="D58A8C24" w:tentative="1">
      <w:start w:val="1"/>
      <w:numFmt w:val="decimal"/>
      <w:lvlText w:val="%7."/>
      <w:lvlJc w:val="left"/>
      <w:pPr>
        <w:ind w:left="5040" w:hanging="360"/>
      </w:pPr>
    </w:lvl>
    <w:lvl w:ilvl="7" w:tplc="D2D02214" w:tentative="1">
      <w:start w:val="1"/>
      <w:numFmt w:val="lowerLetter"/>
      <w:lvlText w:val="%8."/>
      <w:lvlJc w:val="left"/>
      <w:pPr>
        <w:ind w:left="5760" w:hanging="360"/>
      </w:pPr>
    </w:lvl>
    <w:lvl w:ilvl="8" w:tplc="C8E6A4DE" w:tentative="1">
      <w:start w:val="1"/>
      <w:numFmt w:val="lowerRoman"/>
      <w:lvlText w:val="%9."/>
      <w:lvlJc w:val="right"/>
      <w:pPr>
        <w:ind w:left="6480" w:hanging="180"/>
      </w:pPr>
    </w:lvl>
  </w:abstractNum>
  <w:abstractNum w:abstractNumId="24" w15:restartNumberingAfterBreak="0">
    <w:nsid w:val="618A3B85"/>
    <w:multiLevelType w:val="multilevel"/>
    <w:tmpl w:val="5CAA81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9C61D3"/>
    <w:multiLevelType w:val="multilevel"/>
    <w:tmpl w:val="45622D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633622"/>
    <w:multiLevelType w:val="multilevel"/>
    <w:tmpl w:val="CBF89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DC715A"/>
    <w:multiLevelType w:val="multilevel"/>
    <w:tmpl w:val="AA10C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2460636">
    <w:abstractNumId w:val="2"/>
  </w:num>
  <w:num w:numId="2" w16cid:durableId="1303735180">
    <w:abstractNumId w:val="5"/>
  </w:num>
  <w:num w:numId="3" w16cid:durableId="456946916">
    <w:abstractNumId w:val="23"/>
  </w:num>
  <w:num w:numId="4" w16cid:durableId="293487671">
    <w:abstractNumId w:val="13"/>
  </w:num>
  <w:num w:numId="5" w16cid:durableId="1583105593">
    <w:abstractNumId w:val="22"/>
  </w:num>
  <w:num w:numId="6" w16cid:durableId="1122305737">
    <w:abstractNumId w:val="6"/>
  </w:num>
  <w:num w:numId="7" w16cid:durableId="723257359">
    <w:abstractNumId w:val="12"/>
  </w:num>
  <w:num w:numId="8" w16cid:durableId="1984843705">
    <w:abstractNumId w:val="3"/>
  </w:num>
  <w:num w:numId="9" w16cid:durableId="201332244">
    <w:abstractNumId w:val="24"/>
  </w:num>
  <w:num w:numId="10" w16cid:durableId="2046127221">
    <w:abstractNumId w:val="15"/>
  </w:num>
  <w:num w:numId="11" w16cid:durableId="2041125614">
    <w:abstractNumId w:val="14"/>
  </w:num>
  <w:num w:numId="12" w16cid:durableId="1900478948">
    <w:abstractNumId w:val="16"/>
  </w:num>
  <w:num w:numId="13" w16cid:durableId="2029016768">
    <w:abstractNumId w:val="25"/>
  </w:num>
  <w:num w:numId="14" w16cid:durableId="327515337">
    <w:abstractNumId w:val="8"/>
  </w:num>
  <w:num w:numId="15" w16cid:durableId="1361324525">
    <w:abstractNumId w:val="7"/>
  </w:num>
  <w:num w:numId="16" w16cid:durableId="2109696725">
    <w:abstractNumId w:val="18"/>
  </w:num>
  <w:num w:numId="17" w16cid:durableId="498546434">
    <w:abstractNumId w:val="10"/>
  </w:num>
  <w:num w:numId="18" w16cid:durableId="754588859">
    <w:abstractNumId w:val="20"/>
  </w:num>
  <w:num w:numId="19" w16cid:durableId="945498363">
    <w:abstractNumId w:val="4"/>
  </w:num>
  <w:num w:numId="20" w16cid:durableId="440757355">
    <w:abstractNumId w:val="1"/>
  </w:num>
  <w:num w:numId="21" w16cid:durableId="1646008964">
    <w:abstractNumId w:val="19"/>
  </w:num>
  <w:num w:numId="22" w16cid:durableId="1588071558">
    <w:abstractNumId w:val="0"/>
  </w:num>
  <w:num w:numId="23" w16cid:durableId="216740768">
    <w:abstractNumId w:val="11"/>
  </w:num>
  <w:num w:numId="24" w16cid:durableId="1187793903">
    <w:abstractNumId w:val="27"/>
  </w:num>
  <w:num w:numId="25" w16cid:durableId="63376728">
    <w:abstractNumId w:val="21"/>
  </w:num>
  <w:num w:numId="26" w16cid:durableId="764426347">
    <w:abstractNumId w:val="26"/>
  </w:num>
  <w:num w:numId="27" w16cid:durableId="1279414877">
    <w:abstractNumId w:val="17"/>
  </w:num>
  <w:num w:numId="28" w16cid:durableId="2152368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06EB9"/>
    <w:rsid w:val="00012D57"/>
    <w:rsid w:val="00017183"/>
    <w:rsid w:val="00022609"/>
    <w:rsid w:val="00032608"/>
    <w:rsid w:val="00034E85"/>
    <w:rsid w:val="000403DC"/>
    <w:rsid w:val="00040DA7"/>
    <w:rsid w:val="0004353C"/>
    <w:rsid w:val="00043794"/>
    <w:rsid w:val="00045CD9"/>
    <w:rsid w:val="000528D5"/>
    <w:rsid w:val="00056441"/>
    <w:rsid w:val="0006606B"/>
    <w:rsid w:val="0006684D"/>
    <w:rsid w:val="00074F43"/>
    <w:rsid w:val="00084A85"/>
    <w:rsid w:val="00093AC1"/>
    <w:rsid w:val="00093C6D"/>
    <w:rsid w:val="000A31C2"/>
    <w:rsid w:val="000B2B02"/>
    <w:rsid w:val="000B4A79"/>
    <w:rsid w:val="000C0033"/>
    <w:rsid w:val="000D1E49"/>
    <w:rsid w:val="000D5ED6"/>
    <w:rsid w:val="000E3EAD"/>
    <w:rsid w:val="000E4057"/>
    <w:rsid w:val="000F098C"/>
    <w:rsid w:val="000F0C31"/>
    <w:rsid w:val="00100298"/>
    <w:rsid w:val="00102444"/>
    <w:rsid w:val="00104C71"/>
    <w:rsid w:val="0010608A"/>
    <w:rsid w:val="00107498"/>
    <w:rsid w:val="00127B56"/>
    <w:rsid w:val="00144F69"/>
    <w:rsid w:val="00145914"/>
    <w:rsid w:val="00145C7E"/>
    <w:rsid w:val="00147687"/>
    <w:rsid w:val="00154BAF"/>
    <w:rsid w:val="001574FE"/>
    <w:rsid w:val="00160724"/>
    <w:rsid w:val="0016554E"/>
    <w:rsid w:val="001732CE"/>
    <w:rsid w:val="001817CB"/>
    <w:rsid w:val="0018235D"/>
    <w:rsid w:val="0018545A"/>
    <w:rsid w:val="001863CD"/>
    <w:rsid w:val="00186C19"/>
    <w:rsid w:val="00187A42"/>
    <w:rsid w:val="00191971"/>
    <w:rsid w:val="00192B0D"/>
    <w:rsid w:val="00197EC8"/>
    <w:rsid w:val="001A3032"/>
    <w:rsid w:val="001B0942"/>
    <w:rsid w:val="001B6154"/>
    <w:rsid w:val="001C159B"/>
    <w:rsid w:val="001C7A8A"/>
    <w:rsid w:val="001D4E2D"/>
    <w:rsid w:val="001D7C27"/>
    <w:rsid w:val="001E41E5"/>
    <w:rsid w:val="001E437A"/>
    <w:rsid w:val="001F169B"/>
    <w:rsid w:val="00205FBC"/>
    <w:rsid w:val="0020661F"/>
    <w:rsid w:val="00207FE4"/>
    <w:rsid w:val="0022050C"/>
    <w:rsid w:val="0022569B"/>
    <w:rsid w:val="0023754A"/>
    <w:rsid w:val="002429C1"/>
    <w:rsid w:val="00242AC4"/>
    <w:rsid w:val="00245C9A"/>
    <w:rsid w:val="00246EB9"/>
    <w:rsid w:val="00250BAF"/>
    <w:rsid w:val="0025147C"/>
    <w:rsid w:val="00252656"/>
    <w:rsid w:val="002530CD"/>
    <w:rsid w:val="00254ADA"/>
    <w:rsid w:val="00256E5C"/>
    <w:rsid w:val="00261381"/>
    <w:rsid w:val="00265C34"/>
    <w:rsid w:val="00272E44"/>
    <w:rsid w:val="0027447D"/>
    <w:rsid w:val="0027481C"/>
    <w:rsid w:val="00275D22"/>
    <w:rsid w:val="00277520"/>
    <w:rsid w:val="00280313"/>
    <w:rsid w:val="00287DEB"/>
    <w:rsid w:val="002A44C8"/>
    <w:rsid w:val="002A7CB0"/>
    <w:rsid w:val="002D24C4"/>
    <w:rsid w:val="002D4310"/>
    <w:rsid w:val="002D45C2"/>
    <w:rsid w:val="002D4E24"/>
    <w:rsid w:val="002E4813"/>
    <w:rsid w:val="002F2E1B"/>
    <w:rsid w:val="002F31F6"/>
    <w:rsid w:val="002F503C"/>
    <w:rsid w:val="00300584"/>
    <w:rsid w:val="00307E34"/>
    <w:rsid w:val="00324C80"/>
    <w:rsid w:val="00336DA3"/>
    <w:rsid w:val="003461BF"/>
    <w:rsid w:val="00350909"/>
    <w:rsid w:val="00354E9B"/>
    <w:rsid w:val="00357A2D"/>
    <w:rsid w:val="00357E35"/>
    <w:rsid w:val="00361D02"/>
    <w:rsid w:val="00366FF9"/>
    <w:rsid w:val="00381AFE"/>
    <w:rsid w:val="00382DDD"/>
    <w:rsid w:val="003851D9"/>
    <w:rsid w:val="0039112E"/>
    <w:rsid w:val="00392165"/>
    <w:rsid w:val="00394034"/>
    <w:rsid w:val="003966CB"/>
    <w:rsid w:val="00397A12"/>
    <w:rsid w:val="003A062D"/>
    <w:rsid w:val="003A7B54"/>
    <w:rsid w:val="003B2E32"/>
    <w:rsid w:val="003B6220"/>
    <w:rsid w:val="003B6D98"/>
    <w:rsid w:val="003C23A3"/>
    <w:rsid w:val="003C7E07"/>
    <w:rsid w:val="003D3815"/>
    <w:rsid w:val="003D6D49"/>
    <w:rsid w:val="003D74CE"/>
    <w:rsid w:val="003E6B5D"/>
    <w:rsid w:val="003F0F03"/>
    <w:rsid w:val="003F1C6D"/>
    <w:rsid w:val="003F1E6B"/>
    <w:rsid w:val="003F2565"/>
    <w:rsid w:val="003F3465"/>
    <w:rsid w:val="00401929"/>
    <w:rsid w:val="00403B81"/>
    <w:rsid w:val="00407E47"/>
    <w:rsid w:val="00422194"/>
    <w:rsid w:val="00427AAD"/>
    <w:rsid w:val="00434F1F"/>
    <w:rsid w:val="00440D8C"/>
    <w:rsid w:val="00450270"/>
    <w:rsid w:val="00452538"/>
    <w:rsid w:val="004536DF"/>
    <w:rsid w:val="00454DC2"/>
    <w:rsid w:val="00463A29"/>
    <w:rsid w:val="0046442B"/>
    <w:rsid w:val="00466B61"/>
    <w:rsid w:val="00466B91"/>
    <w:rsid w:val="004768E0"/>
    <w:rsid w:val="00483286"/>
    <w:rsid w:val="00486402"/>
    <w:rsid w:val="004959F3"/>
    <w:rsid w:val="0049655F"/>
    <w:rsid w:val="00496A07"/>
    <w:rsid w:val="004A02E4"/>
    <w:rsid w:val="004A351B"/>
    <w:rsid w:val="004A7F11"/>
    <w:rsid w:val="004B0727"/>
    <w:rsid w:val="004B4936"/>
    <w:rsid w:val="004C085F"/>
    <w:rsid w:val="004C10AA"/>
    <w:rsid w:val="004C1916"/>
    <w:rsid w:val="004C1A41"/>
    <w:rsid w:val="004C30B1"/>
    <w:rsid w:val="004C3729"/>
    <w:rsid w:val="004C5212"/>
    <w:rsid w:val="004D1F75"/>
    <w:rsid w:val="004F0D68"/>
    <w:rsid w:val="00504EBA"/>
    <w:rsid w:val="00513519"/>
    <w:rsid w:val="00521BE3"/>
    <w:rsid w:val="0052281F"/>
    <w:rsid w:val="005236E9"/>
    <w:rsid w:val="005241FE"/>
    <w:rsid w:val="00532E4D"/>
    <w:rsid w:val="00535E70"/>
    <w:rsid w:val="0054023C"/>
    <w:rsid w:val="00540FF6"/>
    <w:rsid w:val="00542920"/>
    <w:rsid w:val="005475A8"/>
    <w:rsid w:val="00550721"/>
    <w:rsid w:val="00555591"/>
    <w:rsid w:val="00560E15"/>
    <w:rsid w:val="0056676C"/>
    <w:rsid w:val="00572527"/>
    <w:rsid w:val="00572FB2"/>
    <w:rsid w:val="00586C08"/>
    <w:rsid w:val="00593E29"/>
    <w:rsid w:val="005A0FCA"/>
    <w:rsid w:val="005A6D79"/>
    <w:rsid w:val="005B2A8C"/>
    <w:rsid w:val="005B342F"/>
    <w:rsid w:val="005B61EA"/>
    <w:rsid w:val="005C0391"/>
    <w:rsid w:val="005C0433"/>
    <w:rsid w:val="005C1D9B"/>
    <w:rsid w:val="005C3C8D"/>
    <w:rsid w:val="005D2610"/>
    <w:rsid w:val="005D6AE7"/>
    <w:rsid w:val="005E08F6"/>
    <w:rsid w:val="005E1D3B"/>
    <w:rsid w:val="005E37FA"/>
    <w:rsid w:val="005F185D"/>
    <w:rsid w:val="005F1FBF"/>
    <w:rsid w:val="005F2D01"/>
    <w:rsid w:val="005F303D"/>
    <w:rsid w:val="005F5BEF"/>
    <w:rsid w:val="005F66FD"/>
    <w:rsid w:val="0060528A"/>
    <w:rsid w:val="0062484B"/>
    <w:rsid w:val="00634BE7"/>
    <w:rsid w:val="006468C0"/>
    <w:rsid w:val="006475B8"/>
    <w:rsid w:val="00653B6E"/>
    <w:rsid w:val="006551F5"/>
    <w:rsid w:val="0065581E"/>
    <w:rsid w:val="006619C5"/>
    <w:rsid w:val="00692C4C"/>
    <w:rsid w:val="00693C5D"/>
    <w:rsid w:val="006A3C3F"/>
    <w:rsid w:val="006C177A"/>
    <w:rsid w:val="006C5E87"/>
    <w:rsid w:val="006D0DF4"/>
    <w:rsid w:val="006D7BF8"/>
    <w:rsid w:val="006E00DC"/>
    <w:rsid w:val="006E4C6E"/>
    <w:rsid w:val="006E6917"/>
    <w:rsid w:val="006E7D34"/>
    <w:rsid w:val="006F1534"/>
    <w:rsid w:val="006F1D2D"/>
    <w:rsid w:val="006F5378"/>
    <w:rsid w:val="006F789B"/>
    <w:rsid w:val="006F78EE"/>
    <w:rsid w:val="007022E0"/>
    <w:rsid w:val="007029F9"/>
    <w:rsid w:val="00702A7C"/>
    <w:rsid w:val="00707748"/>
    <w:rsid w:val="00710E68"/>
    <w:rsid w:val="00713C53"/>
    <w:rsid w:val="00713C96"/>
    <w:rsid w:val="00720B6C"/>
    <w:rsid w:val="00730027"/>
    <w:rsid w:val="0073472B"/>
    <w:rsid w:val="00742BA4"/>
    <w:rsid w:val="00743A9E"/>
    <w:rsid w:val="00745758"/>
    <w:rsid w:val="00750BAC"/>
    <w:rsid w:val="007521CF"/>
    <w:rsid w:val="0075338C"/>
    <w:rsid w:val="007533BB"/>
    <w:rsid w:val="00754D9C"/>
    <w:rsid w:val="00754FBF"/>
    <w:rsid w:val="00757A1D"/>
    <w:rsid w:val="0077682B"/>
    <w:rsid w:val="00791442"/>
    <w:rsid w:val="007978B8"/>
    <w:rsid w:val="007A3A32"/>
    <w:rsid w:val="007B21A0"/>
    <w:rsid w:val="007B230D"/>
    <w:rsid w:val="007B3780"/>
    <w:rsid w:val="007B4F60"/>
    <w:rsid w:val="007B6983"/>
    <w:rsid w:val="007C5313"/>
    <w:rsid w:val="007E07BB"/>
    <w:rsid w:val="007E74A7"/>
    <w:rsid w:val="007F54F4"/>
    <w:rsid w:val="008006A9"/>
    <w:rsid w:val="00802976"/>
    <w:rsid w:val="008044AD"/>
    <w:rsid w:val="0080735E"/>
    <w:rsid w:val="00815E6B"/>
    <w:rsid w:val="0082057A"/>
    <w:rsid w:val="00823052"/>
    <w:rsid w:val="008269B1"/>
    <w:rsid w:val="0082744B"/>
    <w:rsid w:val="00832D8B"/>
    <w:rsid w:val="00840E87"/>
    <w:rsid w:val="00843E71"/>
    <w:rsid w:val="00846BC2"/>
    <w:rsid w:val="008517D5"/>
    <w:rsid w:val="00853131"/>
    <w:rsid w:val="00854362"/>
    <w:rsid w:val="00860E05"/>
    <w:rsid w:val="00864E3F"/>
    <w:rsid w:val="0087093B"/>
    <w:rsid w:val="008718F9"/>
    <w:rsid w:val="008775E8"/>
    <w:rsid w:val="0088274F"/>
    <w:rsid w:val="008B0268"/>
    <w:rsid w:val="008B1B80"/>
    <w:rsid w:val="008C054A"/>
    <w:rsid w:val="008C579F"/>
    <w:rsid w:val="008C5C0D"/>
    <w:rsid w:val="008D27B5"/>
    <w:rsid w:val="008D404B"/>
    <w:rsid w:val="008D4AAB"/>
    <w:rsid w:val="008D5D56"/>
    <w:rsid w:val="008D6A25"/>
    <w:rsid w:val="008E165D"/>
    <w:rsid w:val="008E78C9"/>
    <w:rsid w:val="0090717A"/>
    <w:rsid w:val="00912223"/>
    <w:rsid w:val="00912E5C"/>
    <w:rsid w:val="0091483F"/>
    <w:rsid w:val="00915F56"/>
    <w:rsid w:val="0091704F"/>
    <w:rsid w:val="00921548"/>
    <w:rsid w:val="00921602"/>
    <w:rsid w:val="0092632C"/>
    <w:rsid w:val="00927825"/>
    <w:rsid w:val="00932377"/>
    <w:rsid w:val="00933181"/>
    <w:rsid w:val="00935075"/>
    <w:rsid w:val="00937C07"/>
    <w:rsid w:val="00937C4B"/>
    <w:rsid w:val="0094411A"/>
    <w:rsid w:val="00955871"/>
    <w:rsid w:val="009721F0"/>
    <w:rsid w:val="00972B60"/>
    <w:rsid w:val="00983947"/>
    <w:rsid w:val="00985542"/>
    <w:rsid w:val="00991F89"/>
    <w:rsid w:val="00992402"/>
    <w:rsid w:val="0099341C"/>
    <w:rsid w:val="00993458"/>
    <w:rsid w:val="009953C5"/>
    <w:rsid w:val="009A4EAD"/>
    <w:rsid w:val="009A5F09"/>
    <w:rsid w:val="009B6724"/>
    <w:rsid w:val="009B6FB9"/>
    <w:rsid w:val="009C60F1"/>
    <w:rsid w:val="009F64FD"/>
    <w:rsid w:val="009F6BDF"/>
    <w:rsid w:val="00A01E49"/>
    <w:rsid w:val="00A030FF"/>
    <w:rsid w:val="00A04A1E"/>
    <w:rsid w:val="00A04C6F"/>
    <w:rsid w:val="00A05A71"/>
    <w:rsid w:val="00A0768B"/>
    <w:rsid w:val="00A105DC"/>
    <w:rsid w:val="00A11162"/>
    <w:rsid w:val="00A11485"/>
    <w:rsid w:val="00A25300"/>
    <w:rsid w:val="00A32E6F"/>
    <w:rsid w:val="00A33BEC"/>
    <w:rsid w:val="00A369FD"/>
    <w:rsid w:val="00A457FD"/>
    <w:rsid w:val="00A478DB"/>
    <w:rsid w:val="00A51969"/>
    <w:rsid w:val="00A53E0A"/>
    <w:rsid w:val="00A54267"/>
    <w:rsid w:val="00A5551E"/>
    <w:rsid w:val="00A56384"/>
    <w:rsid w:val="00A56FA8"/>
    <w:rsid w:val="00A610B5"/>
    <w:rsid w:val="00A64046"/>
    <w:rsid w:val="00A64814"/>
    <w:rsid w:val="00A67CE4"/>
    <w:rsid w:val="00A723F4"/>
    <w:rsid w:val="00A731A5"/>
    <w:rsid w:val="00A74605"/>
    <w:rsid w:val="00A76269"/>
    <w:rsid w:val="00A85BE5"/>
    <w:rsid w:val="00A87576"/>
    <w:rsid w:val="00A87622"/>
    <w:rsid w:val="00A94AE9"/>
    <w:rsid w:val="00AA1B02"/>
    <w:rsid w:val="00AA3E53"/>
    <w:rsid w:val="00AA3FA5"/>
    <w:rsid w:val="00AB3405"/>
    <w:rsid w:val="00AC54B3"/>
    <w:rsid w:val="00AC7BB7"/>
    <w:rsid w:val="00AD3547"/>
    <w:rsid w:val="00AD4684"/>
    <w:rsid w:val="00AD5B39"/>
    <w:rsid w:val="00AE67F4"/>
    <w:rsid w:val="00AF01F3"/>
    <w:rsid w:val="00AF1065"/>
    <w:rsid w:val="00AF4BAA"/>
    <w:rsid w:val="00B01C11"/>
    <w:rsid w:val="00B04C54"/>
    <w:rsid w:val="00B05AB6"/>
    <w:rsid w:val="00B066D4"/>
    <w:rsid w:val="00B10528"/>
    <w:rsid w:val="00B114A1"/>
    <w:rsid w:val="00B12550"/>
    <w:rsid w:val="00B14565"/>
    <w:rsid w:val="00B214DE"/>
    <w:rsid w:val="00B26E83"/>
    <w:rsid w:val="00B44CA7"/>
    <w:rsid w:val="00B45FD2"/>
    <w:rsid w:val="00B46594"/>
    <w:rsid w:val="00B47BEB"/>
    <w:rsid w:val="00B55170"/>
    <w:rsid w:val="00B806E9"/>
    <w:rsid w:val="00B83D0E"/>
    <w:rsid w:val="00B853C5"/>
    <w:rsid w:val="00B92472"/>
    <w:rsid w:val="00B93FEC"/>
    <w:rsid w:val="00B951BB"/>
    <w:rsid w:val="00BA4BE3"/>
    <w:rsid w:val="00BA5040"/>
    <w:rsid w:val="00BB28CD"/>
    <w:rsid w:val="00BB7347"/>
    <w:rsid w:val="00BC588B"/>
    <w:rsid w:val="00BC6237"/>
    <w:rsid w:val="00BD14D2"/>
    <w:rsid w:val="00BD2D4F"/>
    <w:rsid w:val="00BE1926"/>
    <w:rsid w:val="00BF3797"/>
    <w:rsid w:val="00BF732C"/>
    <w:rsid w:val="00C00B31"/>
    <w:rsid w:val="00C019D3"/>
    <w:rsid w:val="00C07098"/>
    <w:rsid w:val="00C233E8"/>
    <w:rsid w:val="00C23CE5"/>
    <w:rsid w:val="00C33318"/>
    <w:rsid w:val="00C404C2"/>
    <w:rsid w:val="00C40DF5"/>
    <w:rsid w:val="00C4185F"/>
    <w:rsid w:val="00C52FD1"/>
    <w:rsid w:val="00C579D7"/>
    <w:rsid w:val="00C60C92"/>
    <w:rsid w:val="00C67B6F"/>
    <w:rsid w:val="00C71C6A"/>
    <w:rsid w:val="00C73F67"/>
    <w:rsid w:val="00C76260"/>
    <w:rsid w:val="00C809C2"/>
    <w:rsid w:val="00C82246"/>
    <w:rsid w:val="00C87318"/>
    <w:rsid w:val="00C91D4B"/>
    <w:rsid w:val="00C92CCD"/>
    <w:rsid w:val="00C9395F"/>
    <w:rsid w:val="00C9396F"/>
    <w:rsid w:val="00C93A96"/>
    <w:rsid w:val="00C9620A"/>
    <w:rsid w:val="00CA0925"/>
    <w:rsid w:val="00CA4D05"/>
    <w:rsid w:val="00CC6206"/>
    <w:rsid w:val="00CD05D4"/>
    <w:rsid w:val="00CD1BE3"/>
    <w:rsid w:val="00CD3422"/>
    <w:rsid w:val="00CE149A"/>
    <w:rsid w:val="00CE20FE"/>
    <w:rsid w:val="00CE2C47"/>
    <w:rsid w:val="00CF40DB"/>
    <w:rsid w:val="00CF59CF"/>
    <w:rsid w:val="00D03ED2"/>
    <w:rsid w:val="00D10612"/>
    <w:rsid w:val="00D16580"/>
    <w:rsid w:val="00D165ED"/>
    <w:rsid w:val="00D33EED"/>
    <w:rsid w:val="00D410CC"/>
    <w:rsid w:val="00D446A5"/>
    <w:rsid w:val="00D44719"/>
    <w:rsid w:val="00D51288"/>
    <w:rsid w:val="00D55D36"/>
    <w:rsid w:val="00D618FF"/>
    <w:rsid w:val="00D65EED"/>
    <w:rsid w:val="00D6611A"/>
    <w:rsid w:val="00D82749"/>
    <w:rsid w:val="00D82995"/>
    <w:rsid w:val="00D9395E"/>
    <w:rsid w:val="00D96FEC"/>
    <w:rsid w:val="00DA2693"/>
    <w:rsid w:val="00DA3053"/>
    <w:rsid w:val="00DA49C4"/>
    <w:rsid w:val="00DB0878"/>
    <w:rsid w:val="00DB626B"/>
    <w:rsid w:val="00DB6CEB"/>
    <w:rsid w:val="00DD1B7E"/>
    <w:rsid w:val="00DD4155"/>
    <w:rsid w:val="00DD5E48"/>
    <w:rsid w:val="00DD6690"/>
    <w:rsid w:val="00DD7D3A"/>
    <w:rsid w:val="00DE1E73"/>
    <w:rsid w:val="00DE7403"/>
    <w:rsid w:val="00DE7DA3"/>
    <w:rsid w:val="00DF21BF"/>
    <w:rsid w:val="00E006C7"/>
    <w:rsid w:val="00E039D5"/>
    <w:rsid w:val="00E11D66"/>
    <w:rsid w:val="00E13095"/>
    <w:rsid w:val="00E13BAC"/>
    <w:rsid w:val="00E14ABE"/>
    <w:rsid w:val="00E16DF8"/>
    <w:rsid w:val="00E27903"/>
    <w:rsid w:val="00E30880"/>
    <w:rsid w:val="00E42F2C"/>
    <w:rsid w:val="00E47C7D"/>
    <w:rsid w:val="00E52AD8"/>
    <w:rsid w:val="00E533BE"/>
    <w:rsid w:val="00E56D9A"/>
    <w:rsid w:val="00E57D10"/>
    <w:rsid w:val="00E64810"/>
    <w:rsid w:val="00E67A9C"/>
    <w:rsid w:val="00E7014C"/>
    <w:rsid w:val="00E96197"/>
    <w:rsid w:val="00EA0088"/>
    <w:rsid w:val="00EA0975"/>
    <w:rsid w:val="00EB191A"/>
    <w:rsid w:val="00EB2373"/>
    <w:rsid w:val="00EB2682"/>
    <w:rsid w:val="00EB4030"/>
    <w:rsid w:val="00EB5E21"/>
    <w:rsid w:val="00EB6749"/>
    <w:rsid w:val="00EC1BC4"/>
    <w:rsid w:val="00ED63A9"/>
    <w:rsid w:val="00EF6D1E"/>
    <w:rsid w:val="00EF7B52"/>
    <w:rsid w:val="00F01B92"/>
    <w:rsid w:val="00F04923"/>
    <w:rsid w:val="00F1212A"/>
    <w:rsid w:val="00F14A8E"/>
    <w:rsid w:val="00F150A3"/>
    <w:rsid w:val="00F307B6"/>
    <w:rsid w:val="00F3521B"/>
    <w:rsid w:val="00F3599C"/>
    <w:rsid w:val="00F42366"/>
    <w:rsid w:val="00F42650"/>
    <w:rsid w:val="00F45B30"/>
    <w:rsid w:val="00F47358"/>
    <w:rsid w:val="00F47FFB"/>
    <w:rsid w:val="00F66F3F"/>
    <w:rsid w:val="00F67CF1"/>
    <w:rsid w:val="00F720F0"/>
    <w:rsid w:val="00F75473"/>
    <w:rsid w:val="00F76964"/>
    <w:rsid w:val="00F80ADB"/>
    <w:rsid w:val="00F859EC"/>
    <w:rsid w:val="00F91634"/>
    <w:rsid w:val="00F91ADF"/>
    <w:rsid w:val="00F9239F"/>
    <w:rsid w:val="00F9787E"/>
    <w:rsid w:val="00FB3FCA"/>
    <w:rsid w:val="00FC0AC6"/>
    <w:rsid w:val="00FC32D4"/>
    <w:rsid w:val="00FC46A5"/>
    <w:rsid w:val="00FC501E"/>
    <w:rsid w:val="00FD10CF"/>
    <w:rsid w:val="00FD62BA"/>
    <w:rsid w:val="00FE0130"/>
    <w:rsid w:val="00FE2410"/>
    <w:rsid w:val="00FE5044"/>
    <w:rsid w:val="00FF2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A369FD"/>
    <w:pPr>
      <w:outlineLvl w:val="3"/>
    </w:pPr>
    <w:rPr>
      <w:b/>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rsid w:val="00A369FD"/>
    <w:rPr>
      <w:rFonts w:ascii="Times New Roman" w:hAnsi="Times New Roman"/>
      <w:b/>
      <w:sz w:val="24"/>
      <w:u w:val="single"/>
    </w:rPr>
  </w:style>
  <w:style w:type="paragraph" w:styleId="TOCHeading">
    <w:name w:val="TOC Heading"/>
    <w:basedOn w:val="Heading1"/>
    <w:next w:val="Normal"/>
    <w:uiPriority w:val="39"/>
    <w:unhideWhenUsed/>
    <w:qFormat/>
    <w:rsid w:val="00F45B30"/>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F45B30"/>
    <w:pPr>
      <w:spacing w:after="100"/>
    </w:pPr>
  </w:style>
  <w:style w:type="paragraph" w:styleId="TOC2">
    <w:name w:val="toc 2"/>
    <w:basedOn w:val="Normal"/>
    <w:next w:val="Normal"/>
    <w:autoRedefine/>
    <w:uiPriority w:val="39"/>
    <w:unhideWhenUsed/>
    <w:rsid w:val="00F45B30"/>
    <w:pPr>
      <w:spacing w:after="100"/>
      <w:ind w:left="240"/>
    </w:pPr>
  </w:style>
  <w:style w:type="paragraph" w:styleId="TOC3">
    <w:name w:val="toc 3"/>
    <w:basedOn w:val="Normal"/>
    <w:next w:val="Normal"/>
    <w:autoRedefine/>
    <w:uiPriority w:val="39"/>
    <w:unhideWhenUsed/>
    <w:rsid w:val="00F45B30"/>
    <w:pPr>
      <w:spacing w:after="100"/>
      <w:ind w:left="480"/>
    </w:pPr>
  </w:style>
  <w:style w:type="character" w:styleId="Strong">
    <w:name w:val="Strong"/>
    <w:basedOn w:val="DefaultParagraphFont"/>
    <w:uiPriority w:val="22"/>
    <w:qFormat/>
    <w:rsid w:val="000C00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327917">
      <w:bodyDiv w:val="1"/>
      <w:marLeft w:val="0"/>
      <w:marRight w:val="0"/>
      <w:marTop w:val="0"/>
      <w:marBottom w:val="0"/>
      <w:divBdr>
        <w:top w:val="none" w:sz="0" w:space="0" w:color="auto"/>
        <w:left w:val="none" w:sz="0" w:space="0" w:color="auto"/>
        <w:bottom w:val="none" w:sz="0" w:space="0" w:color="auto"/>
        <w:right w:val="none" w:sz="0" w:space="0" w:color="auto"/>
      </w:divBdr>
      <w:divsChild>
        <w:div w:id="1590507938">
          <w:marLeft w:val="0"/>
          <w:marRight w:val="0"/>
          <w:marTop w:val="0"/>
          <w:marBottom w:val="0"/>
          <w:divBdr>
            <w:top w:val="none" w:sz="0" w:space="0" w:color="auto"/>
            <w:left w:val="none" w:sz="0" w:space="0" w:color="auto"/>
            <w:bottom w:val="none" w:sz="0" w:space="0" w:color="auto"/>
            <w:right w:val="none" w:sz="0" w:space="0" w:color="auto"/>
          </w:divBdr>
        </w:div>
      </w:divsChild>
    </w:div>
    <w:div w:id="1459495383">
      <w:bodyDiv w:val="1"/>
      <w:marLeft w:val="0"/>
      <w:marRight w:val="0"/>
      <w:marTop w:val="0"/>
      <w:marBottom w:val="0"/>
      <w:divBdr>
        <w:top w:val="none" w:sz="0" w:space="0" w:color="auto"/>
        <w:left w:val="none" w:sz="0" w:space="0" w:color="auto"/>
        <w:bottom w:val="none" w:sz="0" w:space="0" w:color="auto"/>
        <w:right w:val="none" w:sz="0" w:space="0" w:color="auto"/>
      </w:divBdr>
      <w:divsChild>
        <w:div w:id="384989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us/news-and-views/30-people-living-type-2-diabetes-england-are-undiagnosed-ons-analysis-shows" TargetMode="External"/><Relationship Id="rId13" Type="http://schemas.openxmlformats.org/officeDocument/2006/relationships/hyperlink" Target="https://www.ons.gov.uk/peoplepopulationandcommunity/healthandsocialcare/disability/articles/disabledpeoplesaccesstoproductsandservicesgreatbritain/februarytomarch202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ons.gov.uk/peoplepopulationandcommunity/healthandsocialcare/disability/articles/outcomesfordisabledpeopleintheuk/2021/previous/v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ho.int/news-room/fact-sheets/detail/diabet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research-briefings/cbp-960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2024/06/nhs-identifies-over-half-a-million-more-people-at-risk-of-type-2-diabetes-in-a-year/" TargetMode="External"/><Relationship Id="rId23" Type="http://schemas.openxmlformats.org/officeDocument/2006/relationships/fontTable" Target="fontTable.xml"/><Relationship Id="rId10" Type="http://schemas.openxmlformats.org/officeDocument/2006/relationships/hyperlink" Target="https://www.gov.uk/government/statistics/the-employment-of-disabled-people-2024/the-employment-of-disabled-people-202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yperlink" Target="https://www.gov.uk/government/publications/health-matters-preventing-cardiovascular-disease/health-matters-preventing-cardiovascular-disease"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81204-1B57-45D0-839A-1D0B8DCF7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4216</Words>
  <Characters>26899</Characters>
  <Application>Microsoft Office Word</Application>
  <DocSecurity>0</DocSecurity>
  <Lines>455</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Nadeie Seaied (2212621)</cp:lastModifiedBy>
  <cp:revision>3</cp:revision>
  <dcterms:created xsi:type="dcterms:W3CDTF">2025-11-05T10:01:00Z</dcterms:created>
  <dcterms:modified xsi:type="dcterms:W3CDTF">2025-11-05T19:15:00Z</dcterms:modified>
</cp:coreProperties>
</file>