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Arial" w:hAnsi="Arial" w:cs="Arial"/>
          <w:color w:val="auto"/>
          <w:sz w:val="24"/>
          <w:szCs w:val="24"/>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5B5E730" w14:textId="0E33613E" w:rsidR="007D1947" w:rsidRPr="00FC02B6" w:rsidRDefault="00FC02B6" w:rsidP="00FC02B6">
          <w:pPr>
            <w:pStyle w:val="NoSpacing"/>
            <w:pBdr>
              <w:top w:val="single" w:sz="6" w:space="5" w:color="5B9BD5" w:themeColor="accent1"/>
              <w:bottom w:val="single" w:sz="6" w:space="6" w:color="5B9BD5" w:themeColor="accent1"/>
            </w:pBdr>
            <w:spacing w:after="240"/>
            <w:jc w:val="center"/>
            <w:rPr>
              <w:color w:val="5B9BD5" w:themeColor="accent1"/>
              <w:sz w:val="72"/>
              <w:szCs w:val="72"/>
            </w:rPr>
          </w:pPr>
          <w:r w:rsidRPr="00FC02B6">
            <w:rPr>
              <w:rFonts w:asciiTheme="majorHAnsi" w:eastAsiaTheme="majorEastAsia" w:hAnsiTheme="majorHAnsi" w:cstheme="majorBidi"/>
              <w:caps/>
              <w:color w:val="5B9BD5" w:themeColor="accent1"/>
              <w:sz w:val="72"/>
              <w:szCs w:val="72"/>
            </w:rPr>
            <w:t xml:space="preserve">MARRIOTT </w:t>
          </w:r>
          <w:r w:rsidR="0064064C" w:rsidRPr="00FC02B6">
            <w:rPr>
              <w:rFonts w:asciiTheme="majorHAnsi" w:eastAsiaTheme="majorEastAsia" w:hAnsiTheme="majorHAnsi" w:cstheme="majorBidi"/>
              <w:caps/>
              <w:color w:val="5B9BD5" w:themeColor="accent1"/>
              <w:sz w:val="72"/>
              <w:szCs w:val="72"/>
            </w:rPr>
            <w:t>International</w:t>
          </w:r>
        </w:p>
        <w:p w14:paraId="0E730CFC" w14:textId="631100F8" w:rsidR="007D1947" w:rsidRDefault="00000000">
          <w:pPr>
            <w:pStyle w:val="NoSpacing"/>
            <w:spacing w:before="480"/>
            <w:jc w:val="center"/>
            <w:rPr>
              <w:color w:val="5B9BD5" w:themeColor="accent1"/>
            </w:rPr>
          </w:pPr>
          <w:r>
            <w:rPr>
              <w:noProof/>
            </w:rPr>
            <w:pict w14:anchorId="4F43473E">
              <v:shapetype id="_x0000_t202" coordsize="21600,21600" o:spt="202" path="m,l,21600r21600,l21600,xe">
                <v:stroke joinstyle="miter"/>
                <v:path gradientshapeok="t" o:connecttype="rect"/>
              </v:shapetype>
              <v:shape id="Text Box 142" o:spid="_x0000_s2050"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275C62E" w14:textId="0E688E6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64064C" w:rsidRPr="0064064C">
            <w:rPr>
              <w:color w:val="5B9BD5" w:themeColor="accent1"/>
              <w:sz w:val="28"/>
              <w:szCs w:val="28"/>
            </w:rPr>
            <w:t xml:space="preserve"> </w:t>
          </w:r>
        </w:p>
        <w:p w14:paraId="42C19836" w14:textId="21275C34" w:rsidR="007D1947" w:rsidRPr="003C78B4" w:rsidRDefault="00854416" w:rsidP="003C78B4">
          <w:pPr>
            <w:pStyle w:val="Heading1"/>
            <w:rPr>
              <w:sz w:val="24"/>
              <w:szCs w:val="24"/>
            </w:rPr>
          </w:pPr>
          <w:bookmarkStart w:id="0" w:name="_Toc121425720"/>
          <w:r w:rsidRPr="00854416">
            <w:rPr>
              <w:noProof/>
              <w:color w:val="5B9BD5" w:themeColor="accent1"/>
            </w:rPr>
            <w:drawing>
              <wp:anchor distT="0" distB="0" distL="114300" distR="114300" simplePos="0" relativeHeight="251660288" behindDoc="0" locked="0" layoutInCell="1" allowOverlap="1" wp14:anchorId="16C25F73" wp14:editId="7891CC96">
                <wp:simplePos x="0" y="0"/>
                <wp:positionH relativeFrom="margin">
                  <wp:align>left</wp:align>
                </wp:positionH>
                <wp:positionV relativeFrom="paragraph">
                  <wp:posOffset>3567854</wp:posOffset>
                </wp:positionV>
                <wp:extent cx="5725160" cy="1522095"/>
                <wp:effectExtent l="0" t="0" r="0" b="0"/>
                <wp:wrapThrough wrapText="bothSides">
                  <wp:wrapPolygon edited="0">
                    <wp:start x="6109" y="4325"/>
                    <wp:lineTo x="6109" y="6218"/>
                    <wp:lineTo x="9200" y="9191"/>
                    <wp:lineTo x="1797" y="9191"/>
                    <wp:lineTo x="1797" y="11084"/>
                    <wp:lineTo x="10781" y="13517"/>
                    <wp:lineTo x="7043" y="13517"/>
                    <wp:lineTo x="7043" y="15409"/>
                    <wp:lineTo x="10781" y="17842"/>
                    <wp:lineTo x="6972" y="18113"/>
                    <wp:lineTo x="6972" y="20275"/>
                    <wp:lineTo x="14590" y="20275"/>
                    <wp:lineTo x="14734" y="18383"/>
                    <wp:lineTo x="14159" y="18113"/>
                    <wp:lineTo x="10781" y="17842"/>
                    <wp:lineTo x="14446" y="15409"/>
                    <wp:lineTo x="14446" y="13517"/>
                    <wp:lineTo x="10781" y="13517"/>
                    <wp:lineTo x="19765" y="11084"/>
                    <wp:lineTo x="19765" y="9191"/>
                    <wp:lineTo x="12721" y="9191"/>
                    <wp:lineTo x="15381" y="6758"/>
                    <wp:lineTo x="15309" y="4325"/>
                    <wp:lineTo x="6109" y="4325"/>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160" cy="1522095"/>
                        </a:xfrm>
                        <a:prstGeom prst="rect">
                          <a:avLst/>
                        </a:prstGeom>
                        <a:noFill/>
                        <a:ln>
                          <a:noFill/>
                        </a:ln>
                      </pic:spPr>
                    </pic:pic>
                  </a:graphicData>
                </a:graphic>
              </wp:anchor>
            </w:drawing>
          </w:r>
          <w:r w:rsidR="007D1947">
            <w:br w:type="page"/>
          </w:r>
          <w:bookmarkEnd w:id="0"/>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7F927D0" w14:textId="77777777" w:rsidR="007D1947" w:rsidRDefault="007D1947">
              <w:pPr>
                <w:pStyle w:val="TOCHeading"/>
              </w:pPr>
              <w:r>
                <w:t>Table of Contents</w:t>
              </w:r>
            </w:p>
            <w:p w14:paraId="5AFEF579" w14:textId="4E5243BF" w:rsidR="00811B5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425720" w:history="1">
                <w:r w:rsidR="00811B5F" w:rsidRPr="00344155">
                  <w:rPr>
                    <w:rStyle w:val="Hyperlink"/>
                    <w:noProof/>
                  </w:rPr>
                  <w:t>Executive Summary</w:t>
                </w:r>
                <w:r w:rsidR="00811B5F">
                  <w:rPr>
                    <w:noProof/>
                    <w:webHidden/>
                  </w:rPr>
                  <w:tab/>
                </w:r>
                <w:r w:rsidR="003B7D49">
                  <w:rPr>
                    <w:noProof/>
                    <w:webHidden/>
                  </w:rPr>
                  <w:t>2</w:t>
                </w:r>
              </w:hyperlink>
            </w:p>
            <w:p w14:paraId="021C0079" w14:textId="7B204234" w:rsidR="00811B5F" w:rsidRDefault="00000000">
              <w:pPr>
                <w:pStyle w:val="TOC1"/>
                <w:tabs>
                  <w:tab w:val="right" w:leader="dot" w:pos="9016"/>
                </w:tabs>
                <w:rPr>
                  <w:rFonts w:eastAsiaTheme="minorEastAsia"/>
                  <w:noProof/>
                  <w:lang w:eastAsia="en-GB"/>
                </w:rPr>
              </w:pPr>
              <w:hyperlink w:anchor="_Toc121425721" w:history="1">
                <w:r w:rsidR="00811B5F" w:rsidRPr="00344155">
                  <w:rPr>
                    <w:rStyle w:val="Hyperlink"/>
                    <w:noProof/>
                  </w:rPr>
                  <w:t>Introduction</w:t>
                </w:r>
                <w:r w:rsidR="00811B5F">
                  <w:rPr>
                    <w:noProof/>
                    <w:webHidden/>
                  </w:rPr>
                  <w:tab/>
                </w:r>
                <w:r w:rsidR="003B7D49">
                  <w:rPr>
                    <w:noProof/>
                    <w:webHidden/>
                  </w:rPr>
                  <w:t>3</w:t>
                </w:r>
              </w:hyperlink>
            </w:p>
            <w:p w14:paraId="074AC973" w14:textId="4AA6EC09" w:rsidR="00811B5F" w:rsidRDefault="00000000">
              <w:pPr>
                <w:pStyle w:val="TOC1"/>
                <w:tabs>
                  <w:tab w:val="right" w:leader="dot" w:pos="9016"/>
                </w:tabs>
                <w:rPr>
                  <w:rFonts w:eastAsiaTheme="minorEastAsia"/>
                  <w:noProof/>
                  <w:lang w:eastAsia="en-GB"/>
                </w:rPr>
              </w:pPr>
              <w:hyperlink w:anchor="_Toc121425722" w:history="1">
                <w:r w:rsidR="00811B5F" w:rsidRPr="00344155">
                  <w:rPr>
                    <w:rStyle w:val="Hyperlink"/>
                    <w:noProof/>
                  </w:rPr>
                  <w:t xml:space="preserve">Financial Analysis </w:t>
                </w:r>
                <w:r w:rsidR="00811B5F">
                  <w:rPr>
                    <w:rStyle w:val="Hyperlink"/>
                    <w:noProof/>
                  </w:rPr>
                  <w:t xml:space="preserve">– Figure 1 and 2 </w:t>
                </w:r>
                <w:r w:rsidR="00811B5F">
                  <w:rPr>
                    <w:noProof/>
                    <w:webHidden/>
                  </w:rPr>
                  <w:tab/>
                </w:r>
                <w:r w:rsidR="003B7D49">
                  <w:rPr>
                    <w:noProof/>
                    <w:webHidden/>
                  </w:rPr>
                  <w:t>4</w:t>
                </w:r>
              </w:hyperlink>
            </w:p>
            <w:p w14:paraId="5B1EE9B0" w14:textId="1742C0A3" w:rsidR="00811B5F" w:rsidRDefault="00000000">
              <w:pPr>
                <w:pStyle w:val="TOC1"/>
                <w:tabs>
                  <w:tab w:val="right" w:leader="dot" w:pos="9016"/>
                </w:tabs>
                <w:rPr>
                  <w:rFonts w:eastAsiaTheme="minorEastAsia"/>
                  <w:noProof/>
                  <w:lang w:eastAsia="en-GB"/>
                </w:rPr>
              </w:pPr>
              <w:hyperlink w:anchor="_Toc121425723" w:history="1">
                <w:r w:rsidR="00811B5F" w:rsidRPr="00344155">
                  <w:rPr>
                    <w:rStyle w:val="Hyperlink"/>
                    <w:noProof/>
                  </w:rPr>
                  <w:t>Financial Analysis Trends</w:t>
                </w:r>
                <w:r w:rsidR="00811B5F">
                  <w:rPr>
                    <w:noProof/>
                    <w:webHidden/>
                  </w:rPr>
                  <w:tab/>
                </w:r>
                <w:r w:rsidR="00811B5F">
                  <w:rPr>
                    <w:noProof/>
                    <w:webHidden/>
                  </w:rPr>
                  <w:fldChar w:fldCharType="begin"/>
                </w:r>
                <w:r w:rsidR="00811B5F">
                  <w:rPr>
                    <w:noProof/>
                    <w:webHidden/>
                  </w:rPr>
                  <w:instrText xml:space="preserve"> PAGEREF _Toc121425723 \h </w:instrText>
                </w:r>
                <w:r w:rsidR="00811B5F">
                  <w:rPr>
                    <w:noProof/>
                    <w:webHidden/>
                  </w:rPr>
                </w:r>
                <w:r w:rsidR="00811B5F">
                  <w:rPr>
                    <w:noProof/>
                    <w:webHidden/>
                  </w:rPr>
                  <w:fldChar w:fldCharType="separate"/>
                </w:r>
                <w:r w:rsidR="003B7D49">
                  <w:rPr>
                    <w:noProof/>
                    <w:webHidden/>
                  </w:rPr>
                  <w:t>5</w:t>
                </w:r>
                <w:r w:rsidR="00811B5F">
                  <w:rPr>
                    <w:noProof/>
                    <w:webHidden/>
                  </w:rPr>
                  <w:fldChar w:fldCharType="end"/>
                </w:r>
              </w:hyperlink>
            </w:p>
            <w:p w14:paraId="4BF7FC83" w14:textId="44536612" w:rsidR="00811B5F" w:rsidRDefault="00000000">
              <w:pPr>
                <w:pStyle w:val="TOC2"/>
                <w:tabs>
                  <w:tab w:val="right" w:leader="dot" w:pos="9016"/>
                </w:tabs>
                <w:rPr>
                  <w:rFonts w:eastAsiaTheme="minorEastAsia"/>
                  <w:noProof/>
                  <w:lang w:eastAsia="en-GB"/>
                </w:rPr>
              </w:pPr>
              <w:hyperlink w:anchor="_Toc121425724" w:history="1">
                <w:r w:rsidR="00811B5F" w:rsidRPr="00344155">
                  <w:rPr>
                    <w:rStyle w:val="Hyperlink"/>
                    <w:noProof/>
                  </w:rPr>
                  <w:t>Profitability</w:t>
                </w:r>
                <w:r w:rsidR="00811B5F">
                  <w:rPr>
                    <w:noProof/>
                    <w:webHidden/>
                  </w:rPr>
                  <w:tab/>
                </w:r>
                <w:r w:rsidR="00811B5F">
                  <w:rPr>
                    <w:noProof/>
                    <w:webHidden/>
                  </w:rPr>
                  <w:fldChar w:fldCharType="begin"/>
                </w:r>
                <w:r w:rsidR="00811B5F">
                  <w:rPr>
                    <w:noProof/>
                    <w:webHidden/>
                  </w:rPr>
                  <w:instrText xml:space="preserve"> PAGEREF _Toc121425724 \h </w:instrText>
                </w:r>
                <w:r w:rsidR="00811B5F">
                  <w:rPr>
                    <w:noProof/>
                    <w:webHidden/>
                  </w:rPr>
                </w:r>
                <w:r w:rsidR="00811B5F">
                  <w:rPr>
                    <w:noProof/>
                    <w:webHidden/>
                  </w:rPr>
                  <w:fldChar w:fldCharType="separate"/>
                </w:r>
                <w:r w:rsidR="003B7D49">
                  <w:rPr>
                    <w:noProof/>
                    <w:webHidden/>
                  </w:rPr>
                  <w:t>5</w:t>
                </w:r>
                <w:r w:rsidR="00811B5F">
                  <w:rPr>
                    <w:noProof/>
                    <w:webHidden/>
                  </w:rPr>
                  <w:fldChar w:fldCharType="end"/>
                </w:r>
              </w:hyperlink>
            </w:p>
            <w:p w14:paraId="039F1A9D" w14:textId="0E97A0D4" w:rsidR="00811B5F" w:rsidRDefault="00000000">
              <w:pPr>
                <w:pStyle w:val="TOC2"/>
                <w:tabs>
                  <w:tab w:val="right" w:leader="dot" w:pos="9016"/>
                </w:tabs>
                <w:rPr>
                  <w:rFonts w:eastAsiaTheme="minorEastAsia"/>
                  <w:noProof/>
                  <w:lang w:eastAsia="en-GB"/>
                </w:rPr>
              </w:pPr>
              <w:hyperlink w:anchor="_Toc121425725" w:history="1">
                <w:r w:rsidR="00811B5F" w:rsidRPr="00344155">
                  <w:rPr>
                    <w:rStyle w:val="Hyperlink"/>
                    <w:noProof/>
                  </w:rPr>
                  <w:t>Liquidity</w:t>
                </w:r>
                <w:r w:rsidR="00811B5F">
                  <w:rPr>
                    <w:noProof/>
                    <w:webHidden/>
                  </w:rPr>
                  <w:tab/>
                </w:r>
                <w:r w:rsidR="00811B5F">
                  <w:rPr>
                    <w:noProof/>
                    <w:webHidden/>
                  </w:rPr>
                  <w:fldChar w:fldCharType="begin"/>
                </w:r>
                <w:r w:rsidR="00811B5F">
                  <w:rPr>
                    <w:noProof/>
                    <w:webHidden/>
                  </w:rPr>
                  <w:instrText xml:space="preserve"> PAGEREF _Toc121425725 \h </w:instrText>
                </w:r>
                <w:r w:rsidR="00811B5F">
                  <w:rPr>
                    <w:noProof/>
                    <w:webHidden/>
                  </w:rPr>
                </w:r>
                <w:r w:rsidR="00811B5F">
                  <w:rPr>
                    <w:noProof/>
                    <w:webHidden/>
                  </w:rPr>
                  <w:fldChar w:fldCharType="separate"/>
                </w:r>
                <w:r w:rsidR="003B7D49">
                  <w:rPr>
                    <w:noProof/>
                    <w:webHidden/>
                  </w:rPr>
                  <w:t>6</w:t>
                </w:r>
                <w:r w:rsidR="00811B5F">
                  <w:rPr>
                    <w:noProof/>
                    <w:webHidden/>
                  </w:rPr>
                  <w:fldChar w:fldCharType="end"/>
                </w:r>
              </w:hyperlink>
            </w:p>
            <w:p w14:paraId="09CCB787" w14:textId="5D51C844" w:rsidR="00811B5F" w:rsidRDefault="00000000">
              <w:pPr>
                <w:pStyle w:val="TOC2"/>
                <w:tabs>
                  <w:tab w:val="right" w:leader="dot" w:pos="9016"/>
                </w:tabs>
                <w:rPr>
                  <w:rFonts w:eastAsiaTheme="minorEastAsia"/>
                  <w:noProof/>
                  <w:lang w:eastAsia="en-GB"/>
                </w:rPr>
              </w:pPr>
              <w:hyperlink w:anchor="_Toc121425726" w:history="1">
                <w:r w:rsidR="00811B5F" w:rsidRPr="00344155">
                  <w:rPr>
                    <w:rStyle w:val="Hyperlink"/>
                    <w:noProof/>
                  </w:rPr>
                  <w:t>Gearing</w:t>
                </w:r>
                <w:r w:rsidR="00811B5F">
                  <w:rPr>
                    <w:noProof/>
                    <w:webHidden/>
                  </w:rPr>
                  <w:tab/>
                </w:r>
                <w:r w:rsidR="00811B5F">
                  <w:rPr>
                    <w:noProof/>
                    <w:webHidden/>
                  </w:rPr>
                  <w:fldChar w:fldCharType="begin"/>
                </w:r>
                <w:r w:rsidR="00811B5F">
                  <w:rPr>
                    <w:noProof/>
                    <w:webHidden/>
                  </w:rPr>
                  <w:instrText xml:space="preserve"> PAGEREF _Toc121425726 \h </w:instrText>
                </w:r>
                <w:r w:rsidR="00811B5F">
                  <w:rPr>
                    <w:noProof/>
                    <w:webHidden/>
                  </w:rPr>
                </w:r>
                <w:r w:rsidR="00811B5F">
                  <w:rPr>
                    <w:noProof/>
                    <w:webHidden/>
                  </w:rPr>
                  <w:fldChar w:fldCharType="separate"/>
                </w:r>
                <w:r w:rsidR="003B7D49">
                  <w:rPr>
                    <w:noProof/>
                    <w:webHidden/>
                  </w:rPr>
                  <w:t>7</w:t>
                </w:r>
                <w:r w:rsidR="00811B5F">
                  <w:rPr>
                    <w:noProof/>
                    <w:webHidden/>
                  </w:rPr>
                  <w:fldChar w:fldCharType="end"/>
                </w:r>
              </w:hyperlink>
            </w:p>
            <w:p w14:paraId="0DA97C41" w14:textId="4046DD37" w:rsidR="00811B5F" w:rsidRDefault="00000000">
              <w:pPr>
                <w:pStyle w:val="TOC1"/>
                <w:tabs>
                  <w:tab w:val="right" w:leader="dot" w:pos="9016"/>
                </w:tabs>
                <w:rPr>
                  <w:rFonts w:eastAsiaTheme="minorEastAsia"/>
                  <w:noProof/>
                  <w:lang w:eastAsia="en-GB"/>
                </w:rPr>
              </w:pPr>
              <w:hyperlink w:anchor="_Toc121425727" w:history="1">
                <w:r w:rsidR="00811B5F" w:rsidRPr="00344155">
                  <w:rPr>
                    <w:rStyle w:val="Hyperlink"/>
                    <w:noProof/>
                  </w:rPr>
                  <w:t>Knowledge from Ratio Analysis</w:t>
                </w:r>
                <w:r w:rsidR="00811B5F">
                  <w:rPr>
                    <w:noProof/>
                    <w:webHidden/>
                  </w:rPr>
                  <w:tab/>
                </w:r>
                <w:r w:rsidR="00811B5F">
                  <w:rPr>
                    <w:noProof/>
                    <w:webHidden/>
                  </w:rPr>
                  <w:fldChar w:fldCharType="begin"/>
                </w:r>
                <w:r w:rsidR="00811B5F">
                  <w:rPr>
                    <w:noProof/>
                    <w:webHidden/>
                  </w:rPr>
                  <w:instrText xml:space="preserve"> PAGEREF _Toc121425727 \h </w:instrText>
                </w:r>
                <w:r w:rsidR="00811B5F">
                  <w:rPr>
                    <w:noProof/>
                    <w:webHidden/>
                  </w:rPr>
                </w:r>
                <w:r w:rsidR="00811B5F">
                  <w:rPr>
                    <w:noProof/>
                    <w:webHidden/>
                  </w:rPr>
                  <w:fldChar w:fldCharType="separate"/>
                </w:r>
                <w:r w:rsidR="003B7D49">
                  <w:rPr>
                    <w:noProof/>
                    <w:webHidden/>
                  </w:rPr>
                  <w:t>8</w:t>
                </w:r>
                <w:r w:rsidR="00811B5F">
                  <w:rPr>
                    <w:noProof/>
                    <w:webHidden/>
                  </w:rPr>
                  <w:fldChar w:fldCharType="end"/>
                </w:r>
              </w:hyperlink>
            </w:p>
            <w:p w14:paraId="3A1084A8" w14:textId="3D1DC035" w:rsidR="00811B5F" w:rsidRDefault="00000000">
              <w:pPr>
                <w:pStyle w:val="TOC1"/>
                <w:tabs>
                  <w:tab w:val="right" w:leader="dot" w:pos="9016"/>
                </w:tabs>
                <w:rPr>
                  <w:rFonts w:eastAsiaTheme="minorEastAsia"/>
                  <w:noProof/>
                  <w:lang w:eastAsia="en-GB"/>
                </w:rPr>
              </w:pPr>
              <w:hyperlink w:anchor="_Toc121425728" w:history="1">
                <w:r w:rsidR="00811B5F" w:rsidRPr="00344155">
                  <w:rPr>
                    <w:rStyle w:val="Hyperlink"/>
                    <w:noProof/>
                  </w:rPr>
                  <w:t>Benefits and Limitations of Ratio Analysis</w:t>
                </w:r>
                <w:r w:rsidR="00811B5F">
                  <w:rPr>
                    <w:noProof/>
                    <w:webHidden/>
                  </w:rPr>
                  <w:tab/>
                </w:r>
                <w:r w:rsidR="00811B5F">
                  <w:rPr>
                    <w:noProof/>
                    <w:webHidden/>
                  </w:rPr>
                  <w:fldChar w:fldCharType="begin"/>
                </w:r>
                <w:r w:rsidR="00811B5F">
                  <w:rPr>
                    <w:noProof/>
                    <w:webHidden/>
                  </w:rPr>
                  <w:instrText xml:space="preserve"> PAGEREF _Toc121425728 \h </w:instrText>
                </w:r>
                <w:r w:rsidR="00811B5F">
                  <w:rPr>
                    <w:noProof/>
                    <w:webHidden/>
                  </w:rPr>
                </w:r>
                <w:r w:rsidR="00811B5F">
                  <w:rPr>
                    <w:noProof/>
                    <w:webHidden/>
                  </w:rPr>
                  <w:fldChar w:fldCharType="separate"/>
                </w:r>
                <w:r w:rsidR="003B7D49">
                  <w:rPr>
                    <w:noProof/>
                    <w:webHidden/>
                  </w:rPr>
                  <w:t>9</w:t>
                </w:r>
                <w:r w:rsidR="00811B5F">
                  <w:rPr>
                    <w:noProof/>
                    <w:webHidden/>
                  </w:rPr>
                  <w:fldChar w:fldCharType="end"/>
                </w:r>
              </w:hyperlink>
            </w:p>
            <w:p w14:paraId="26BDFFF8" w14:textId="37CE0C91" w:rsidR="00811B5F" w:rsidRDefault="00000000">
              <w:pPr>
                <w:pStyle w:val="TOC1"/>
                <w:tabs>
                  <w:tab w:val="right" w:leader="dot" w:pos="9016"/>
                </w:tabs>
                <w:rPr>
                  <w:rFonts w:eastAsiaTheme="minorEastAsia"/>
                  <w:noProof/>
                  <w:lang w:eastAsia="en-GB"/>
                </w:rPr>
              </w:pPr>
              <w:hyperlink w:anchor="_Toc121425729" w:history="1">
                <w:r w:rsidR="00811B5F" w:rsidRPr="00344155">
                  <w:rPr>
                    <w:rStyle w:val="Hyperlink"/>
                    <w:noProof/>
                  </w:rPr>
                  <w:t>Conclusion (average of 10% of word count)</w:t>
                </w:r>
                <w:r w:rsidR="00811B5F">
                  <w:rPr>
                    <w:noProof/>
                    <w:webHidden/>
                  </w:rPr>
                  <w:tab/>
                </w:r>
                <w:r w:rsidR="00811B5F">
                  <w:rPr>
                    <w:noProof/>
                    <w:webHidden/>
                  </w:rPr>
                  <w:fldChar w:fldCharType="begin"/>
                </w:r>
                <w:r w:rsidR="00811B5F">
                  <w:rPr>
                    <w:noProof/>
                    <w:webHidden/>
                  </w:rPr>
                  <w:instrText xml:space="preserve"> PAGEREF _Toc121425729 \h </w:instrText>
                </w:r>
                <w:r w:rsidR="00811B5F">
                  <w:rPr>
                    <w:noProof/>
                    <w:webHidden/>
                  </w:rPr>
                </w:r>
                <w:r w:rsidR="00811B5F">
                  <w:rPr>
                    <w:noProof/>
                    <w:webHidden/>
                  </w:rPr>
                  <w:fldChar w:fldCharType="separate"/>
                </w:r>
                <w:r w:rsidR="003B7D49">
                  <w:rPr>
                    <w:noProof/>
                    <w:webHidden/>
                  </w:rPr>
                  <w:t>10</w:t>
                </w:r>
                <w:r w:rsidR="00811B5F">
                  <w:rPr>
                    <w:noProof/>
                    <w:webHidden/>
                  </w:rPr>
                  <w:fldChar w:fldCharType="end"/>
                </w:r>
              </w:hyperlink>
            </w:p>
            <w:p w14:paraId="621185E3" w14:textId="7D7C7BEA" w:rsidR="00811B5F" w:rsidRDefault="00000000">
              <w:pPr>
                <w:pStyle w:val="TOC1"/>
                <w:tabs>
                  <w:tab w:val="right" w:leader="dot" w:pos="9016"/>
                </w:tabs>
                <w:rPr>
                  <w:rFonts w:eastAsiaTheme="minorEastAsia"/>
                  <w:noProof/>
                  <w:lang w:eastAsia="en-GB"/>
                </w:rPr>
              </w:pPr>
              <w:hyperlink w:anchor="_Toc121425730" w:history="1">
                <w:r w:rsidR="00811B5F" w:rsidRPr="00344155">
                  <w:rPr>
                    <w:rStyle w:val="Hyperlink"/>
                    <w:noProof/>
                  </w:rPr>
                  <w:t>Bibliography</w:t>
                </w:r>
                <w:r w:rsidR="00811B5F">
                  <w:rPr>
                    <w:noProof/>
                    <w:webHidden/>
                  </w:rPr>
                  <w:tab/>
                </w:r>
                <w:r w:rsidR="00811B5F">
                  <w:rPr>
                    <w:noProof/>
                    <w:webHidden/>
                  </w:rPr>
                  <w:fldChar w:fldCharType="begin"/>
                </w:r>
                <w:r w:rsidR="00811B5F">
                  <w:rPr>
                    <w:noProof/>
                    <w:webHidden/>
                  </w:rPr>
                  <w:instrText xml:space="preserve"> PAGEREF _Toc121425730 \h </w:instrText>
                </w:r>
                <w:r w:rsidR="00811B5F">
                  <w:rPr>
                    <w:noProof/>
                    <w:webHidden/>
                  </w:rPr>
                </w:r>
                <w:r w:rsidR="00811B5F">
                  <w:rPr>
                    <w:noProof/>
                    <w:webHidden/>
                  </w:rPr>
                  <w:fldChar w:fldCharType="separate"/>
                </w:r>
                <w:r w:rsidR="003B7D49">
                  <w:rPr>
                    <w:noProof/>
                    <w:webHidden/>
                  </w:rPr>
                  <w:t>11</w:t>
                </w:r>
                <w:r w:rsidR="00811B5F">
                  <w:rPr>
                    <w:noProof/>
                    <w:webHidden/>
                  </w:rPr>
                  <w:fldChar w:fldCharType="end"/>
                </w:r>
              </w:hyperlink>
            </w:p>
            <w:p w14:paraId="5849B348" w14:textId="6D20C6E8" w:rsidR="007D1947" w:rsidRDefault="007D1947">
              <w:r>
                <w:rPr>
                  <w:b/>
                  <w:bCs/>
                  <w:noProof/>
                </w:rPr>
                <w:fldChar w:fldCharType="end"/>
              </w:r>
            </w:p>
          </w:sdtContent>
        </w:sdt>
        <w:p w14:paraId="1E6FA7DA" w14:textId="77777777" w:rsidR="007D1947" w:rsidRDefault="007D1947"/>
        <w:p w14:paraId="3C870FBE" w14:textId="77777777" w:rsidR="007D1947" w:rsidRDefault="007D1947"/>
        <w:p w14:paraId="2473B2AF" w14:textId="77777777" w:rsidR="007D1947" w:rsidRDefault="007D1947"/>
        <w:p w14:paraId="059AA211" w14:textId="77777777" w:rsidR="007D1947" w:rsidRDefault="007D1947"/>
        <w:p w14:paraId="18482C63" w14:textId="77777777" w:rsidR="007D1947" w:rsidRDefault="007D1947"/>
        <w:p w14:paraId="23DB8D03" w14:textId="77777777" w:rsidR="007D1947" w:rsidRDefault="007D1947"/>
        <w:p w14:paraId="73DCE944" w14:textId="77777777" w:rsidR="003C78B4" w:rsidRDefault="003C78B4" w:rsidP="003C78B4">
          <w:pPr>
            <w:pStyle w:val="Heading1"/>
          </w:pPr>
        </w:p>
        <w:p w14:paraId="4A8D3E87" w14:textId="77777777" w:rsidR="003C78B4" w:rsidRDefault="003C78B4" w:rsidP="003C78B4">
          <w:pPr>
            <w:pStyle w:val="Heading1"/>
          </w:pPr>
        </w:p>
        <w:p w14:paraId="7326C721" w14:textId="77777777" w:rsidR="003C78B4" w:rsidRDefault="003C78B4" w:rsidP="003C78B4">
          <w:pPr>
            <w:pStyle w:val="Heading1"/>
          </w:pPr>
        </w:p>
        <w:p w14:paraId="1D135BDD" w14:textId="77777777" w:rsidR="003C78B4" w:rsidRDefault="003C78B4" w:rsidP="003C78B4">
          <w:pPr>
            <w:pStyle w:val="Heading1"/>
          </w:pPr>
        </w:p>
        <w:p w14:paraId="6D2B6755" w14:textId="35281068" w:rsidR="003C78B4" w:rsidRDefault="003C78B4" w:rsidP="003C78B4">
          <w:pPr>
            <w:pStyle w:val="Heading1"/>
          </w:pPr>
        </w:p>
        <w:p w14:paraId="5D0A283E" w14:textId="69B6B0C8" w:rsidR="003C78B4" w:rsidRDefault="003C78B4" w:rsidP="003C78B4"/>
        <w:p w14:paraId="20A8D5D4" w14:textId="081FF272" w:rsidR="003C78B4" w:rsidRDefault="003C78B4" w:rsidP="003C78B4"/>
        <w:p w14:paraId="4CA4BD61" w14:textId="67021464" w:rsidR="003C78B4" w:rsidRDefault="003C78B4" w:rsidP="003C78B4"/>
        <w:p w14:paraId="55D53E95" w14:textId="70CEB670" w:rsidR="003C78B4" w:rsidRDefault="003C78B4" w:rsidP="003C78B4"/>
        <w:p w14:paraId="4539DE7F" w14:textId="77777777" w:rsidR="003C78B4" w:rsidRPr="003C78B4" w:rsidRDefault="003C78B4" w:rsidP="003C78B4"/>
        <w:p w14:paraId="7E0902CA" w14:textId="6EEF4B5F" w:rsidR="003C78B4" w:rsidRDefault="003C78B4" w:rsidP="003C78B4">
          <w:pPr>
            <w:pStyle w:val="Heading1"/>
          </w:pPr>
          <w:r>
            <w:lastRenderedPageBreak/>
            <w:t>Executive Summary</w:t>
          </w:r>
        </w:p>
        <w:p w14:paraId="3ABCFFA9" w14:textId="77777777" w:rsidR="003C78B4" w:rsidRPr="00FA4C18" w:rsidRDefault="003C78B4" w:rsidP="003C78B4">
          <w:pPr>
            <w:rPr>
              <w:rFonts w:ascii="Arial" w:hAnsi="Arial" w:cs="Arial"/>
            </w:rPr>
          </w:pPr>
        </w:p>
        <w:p w14:paraId="7FA8CF08" w14:textId="77777777" w:rsidR="003C78B4" w:rsidRPr="008F6CCB" w:rsidRDefault="003C78B4" w:rsidP="003C78B4">
          <w:pPr>
            <w:spacing w:line="360" w:lineRule="auto"/>
            <w:jc w:val="both"/>
            <w:rPr>
              <w:sz w:val="24"/>
              <w:szCs w:val="24"/>
            </w:rPr>
          </w:pPr>
          <w:r w:rsidRPr="00535838">
            <w:rPr>
              <w:sz w:val="24"/>
              <w:szCs w:val="24"/>
            </w:rPr>
            <w:t>The purpose of this report is to analyse a company's financial ratios by measuring its performance, as it has been stated in the hospitality industry that evaluating a company's performance is critical. The review focuses on the company's performance, which will be used to forecast future economic growth. First, the profitability, liquidity, and leverage of Marriott International are examined. The structure of the hotel manager's ratio analysis allows future planning to minimise numerous economic statements by obtaining relevant statistics. When considering the effectiveness of the ratio analysis, there is equality in aids and limits, allowing an understanding of the results and provid</w:t>
          </w:r>
          <w:r>
            <w:rPr>
              <w:sz w:val="24"/>
              <w:szCs w:val="24"/>
            </w:rPr>
            <w:t>ing</w:t>
          </w:r>
          <w:r w:rsidRPr="00535838">
            <w:rPr>
              <w:sz w:val="24"/>
              <w:szCs w:val="24"/>
            </w:rPr>
            <w:t xml:space="preserve"> growth tools to the financial management department</w:t>
          </w:r>
          <w:r>
            <w:rPr>
              <w:sz w:val="24"/>
              <w:szCs w:val="24"/>
            </w:rPr>
            <w:t>.</w:t>
          </w:r>
        </w:p>
        <w:p w14:paraId="0A1B618B" w14:textId="77777777" w:rsidR="003C78B4" w:rsidRDefault="003C78B4" w:rsidP="003C78B4"/>
        <w:p w14:paraId="38BD64A9" w14:textId="77777777" w:rsidR="007D1947" w:rsidRDefault="007D1947"/>
        <w:p w14:paraId="238F3D05" w14:textId="5F561265" w:rsidR="0081686D" w:rsidRDefault="0081686D"/>
        <w:p w14:paraId="040C9D16" w14:textId="5819990F" w:rsidR="0081686D" w:rsidRDefault="0081686D"/>
        <w:p w14:paraId="6911B601" w14:textId="6780313B" w:rsidR="003C78B4" w:rsidRDefault="003C78B4"/>
        <w:p w14:paraId="3BEDA1B7" w14:textId="2661B7EF" w:rsidR="003C78B4" w:rsidRDefault="003C78B4"/>
        <w:p w14:paraId="0DDA061F" w14:textId="002992E1" w:rsidR="003C78B4" w:rsidRDefault="003C78B4"/>
        <w:p w14:paraId="55F47D61" w14:textId="1F7AE28F" w:rsidR="003C78B4" w:rsidRDefault="003C78B4"/>
        <w:p w14:paraId="48525487" w14:textId="19818AF3" w:rsidR="003C78B4" w:rsidRDefault="003C78B4"/>
        <w:p w14:paraId="19BC3FD5" w14:textId="65E980A7" w:rsidR="003C78B4" w:rsidRDefault="003C78B4"/>
        <w:p w14:paraId="49F9824D" w14:textId="04089294" w:rsidR="003C78B4" w:rsidRDefault="003C78B4"/>
        <w:p w14:paraId="57EBD9A2" w14:textId="0E08F997" w:rsidR="003C78B4" w:rsidRDefault="003C78B4"/>
        <w:p w14:paraId="4E717D80" w14:textId="3A022CC6" w:rsidR="0081686D" w:rsidRDefault="0081686D"/>
        <w:p w14:paraId="007C8332" w14:textId="77777777" w:rsidR="003C78B4" w:rsidRDefault="003C78B4"/>
        <w:p w14:paraId="1C9A6709" w14:textId="43C1D1C8" w:rsidR="000F5B20" w:rsidRDefault="000F5B20"/>
        <w:p w14:paraId="7D99BD78" w14:textId="0E06ABC5" w:rsidR="003C78B4" w:rsidRDefault="003C78B4"/>
        <w:p w14:paraId="30F84BC1" w14:textId="47FD2A90" w:rsidR="003C78B4" w:rsidRDefault="003C78B4"/>
        <w:p w14:paraId="245F342A" w14:textId="77777777" w:rsidR="003C78B4" w:rsidRDefault="003C78B4" w:rsidP="000F5B20">
          <w:pPr>
            <w:pStyle w:val="Heading1"/>
          </w:pPr>
          <w:bookmarkStart w:id="1" w:name="_Toc121425721"/>
        </w:p>
        <w:p w14:paraId="52FDF8CA" w14:textId="599781E6" w:rsidR="000F5B20" w:rsidRPr="000F5B20" w:rsidRDefault="007D1947" w:rsidP="000F5B20">
          <w:pPr>
            <w:pStyle w:val="Heading1"/>
          </w:pPr>
          <w:r>
            <w:t>Introduction</w:t>
          </w:r>
          <w:bookmarkEnd w:id="1"/>
        </w:p>
        <w:p w14:paraId="17EE7206" w14:textId="1D624E3B" w:rsidR="00E475E5" w:rsidRDefault="00577754" w:rsidP="0081686D">
          <w:pPr>
            <w:spacing w:line="360" w:lineRule="auto"/>
            <w:jc w:val="both"/>
            <w:rPr>
              <w:rFonts w:ascii="Arial" w:hAnsi="Arial" w:cs="Arial"/>
              <w:sz w:val="24"/>
              <w:szCs w:val="24"/>
            </w:rPr>
          </w:pPr>
          <w:r w:rsidRPr="00577754">
            <w:rPr>
              <w:rFonts w:ascii="Arial" w:hAnsi="Arial" w:cs="Arial"/>
              <w:sz w:val="24"/>
              <w:szCs w:val="24"/>
            </w:rPr>
            <w:t>Marriott International, Inc. is a luxury hotel chain that owns and operates establishments in the Great Britain. The displayed financial transactions are directly illustrated to the CEO, discussing the following ratios for 2020 and 2021 to support in the evaluation of the financial data for the proposed hotel. From analysing the financial gains and balance sheet, Marriott international will indeed be able to identify the trends comprehended in these ratios' components, which will facilitate a suitable conclusion focused on the hotel's profitability, liquidity, and gearing.</w:t>
          </w:r>
          <w:r w:rsidR="00E475E5">
            <w:rPr>
              <w:rFonts w:ascii="Arial" w:hAnsi="Arial" w:cs="Arial"/>
              <w:sz w:val="24"/>
              <w:szCs w:val="24"/>
            </w:rPr>
            <w:t xml:space="preserve"> </w:t>
          </w:r>
          <w:r w:rsidR="0081686D" w:rsidRPr="0081686D">
            <w:rPr>
              <w:rFonts w:ascii="Arial" w:hAnsi="Arial" w:cs="Arial"/>
              <w:sz w:val="24"/>
              <w:szCs w:val="24"/>
            </w:rPr>
            <w:t xml:space="preserve">Financial analysis helps to make good decisions, aimed at converting available resources into productive, profitable, and value-generating resources, while at the same time allowing the deployment of the company's strategic objectives. </w:t>
          </w:r>
        </w:p>
        <w:p w14:paraId="01A9937D" w14:textId="45AACF50" w:rsidR="00780E5E" w:rsidRDefault="00780E5E" w:rsidP="0081686D">
          <w:pPr>
            <w:spacing w:line="360" w:lineRule="auto"/>
            <w:jc w:val="both"/>
            <w:rPr>
              <w:rFonts w:ascii="Arial" w:hAnsi="Arial" w:cs="Arial"/>
              <w:sz w:val="24"/>
              <w:szCs w:val="24"/>
            </w:rPr>
          </w:pPr>
          <w:r>
            <w:rPr>
              <w:rFonts w:ascii="Arial" w:hAnsi="Arial" w:cs="Arial"/>
              <w:sz w:val="24"/>
              <w:szCs w:val="24"/>
            </w:rPr>
            <w:t xml:space="preserve">According to </w:t>
          </w:r>
          <w:r w:rsidRPr="00780E5E">
            <w:rPr>
              <w:rFonts w:ascii="Arial" w:hAnsi="Arial" w:cs="Arial"/>
              <w:sz w:val="24"/>
              <w:szCs w:val="24"/>
            </w:rPr>
            <w:t>Iyengar</w:t>
          </w:r>
          <w:r>
            <w:rPr>
              <w:rFonts w:ascii="Arial" w:hAnsi="Arial" w:cs="Arial"/>
              <w:sz w:val="24"/>
              <w:szCs w:val="24"/>
            </w:rPr>
            <w:t xml:space="preserve"> (2008), </w:t>
          </w:r>
          <w:r w:rsidRPr="00780E5E">
            <w:rPr>
              <w:rFonts w:ascii="Arial" w:hAnsi="Arial" w:cs="Arial"/>
              <w:sz w:val="24"/>
              <w:szCs w:val="24"/>
            </w:rPr>
            <w:t>A reasonable assessment can only be made after considering several ratios as well as the economic, business, and other environmental variables that will impact the hotel's financial performance. Liquidity ratios highlight a company's ability to meet short-term commitments.</w:t>
          </w:r>
        </w:p>
        <w:p w14:paraId="4479227A" w14:textId="0DCF0DBD" w:rsidR="00F131F9" w:rsidRDefault="0081686D" w:rsidP="0081686D">
          <w:pPr>
            <w:spacing w:line="360" w:lineRule="auto"/>
            <w:jc w:val="both"/>
            <w:rPr>
              <w:rFonts w:ascii="Arial" w:hAnsi="Arial" w:cs="Arial"/>
              <w:sz w:val="24"/>
              <w:szCs w:val="24"/>
            </w:rPr>
          </w:pPr>
          <w:r w:rsidRPr="0081686D">
            <w:rPr>
              <w:rFonts w:ascii="Arial" w:hAnsi="Arial" w:cs="Arial"/>
              <w:sz w:val="24"/>
              <w:szCs w:val="24"/>
            </w:rPr>
            <w:t xml:space="preserve">The financial management of organisations has been recognised in recent years as one of the strategic areas with the greatest impact on the general results of business activity. Its difficulties, problems and perspectives have been the subject of different interpretations, studies and research leading to generate elements of judgement of a decision-making nature and better instruments of analysis and evaluation. In this sense, training in financial management should be a priority for companies and the implementation of an information system that constitutes an effective support for projecting, monitoring, and evaluating the company's management. </w:t>
          </w:r>
          <w:r w:rsidR="00037C2E" w:rsidRPr="00037C2E">
            <w:rPr>
              <w:rFonts w:ascii="Arial" w:hAnsi="Arial" w:cs="Arial"/>
              <w:sz w:val="24"/>
              <w:szCs w:val="24"/>
            </w:rPr>
            <w:t>The goal of reviewing the financial returns</w:t>
          </w:r>
          <w:r w:rsidR="005A1C54">
            <w:rPr>
              <w:rFonts w:ascii="Arial" w:hAnsi="Arial" w:cs="Arial"/>
              <w:sz w:val="24"/>
              <w:szCs w:val="24"/>
            </w:rPr>
            <w:t xml:space="preserve"> </w:t>
          </w:r>
          <w:r w:rsidR="005A1C54" w:rsidRPr="005A1C54">
            <w:rPr>
              <w:rFonts w:ascii="Arial" w:hAnsi="Arial" w:cs="Arial"/>
              <w:sz w:val="24"/>
              <w:szCs w:val="24"/>
            </w:rPr>
            <w:t>in relation to the previous two years' history</w:t>
          </w:r>
          <w:r w:rsidR="00037C2E" w:rsidRPr="00037C2E">
            <w:rPr>
              <w:rFonts w:ascii="Arial" w:hAnsi="Arial" w:cs="Arial"/>
              <w:sz w:val="24"/>
              <w:szCs w:val="24"/>
            </w:rPr>
            <w:t xml:space="preserve"> is to recognise the distinction between the anticipated results and the venue's effectiveness. To proceed, is necessary to identify the three ratios that will be examined in the data gathering: Profitability ratio, Liquidity ratio and </w:t>
          </w:r>
          <w:r w:rsidR="00F131F9">
            <w:rPr>
              <w:rFonts w:ascii="Arial" w:hAnsi="Arial" w:cs="Arial"/>
              <w:sz w:val="24"/>
              <w:szCs w:val="24"/>
            </w:rPr>
            <w:t>Gearing ratio.</w:t>
          </w:r>
        </w:p>
        <w:p w14:paraId="79024404" w14:textId="11BF788C" w:rsidR="00CB19CB" w:rsidRDefault="00CB19CB" w:rsidP="0081686D">
          <w:pPr>
            <w:spacing w:line="360" w:lineRule="auto"/>
            <w:jc w:val="both"/>
            <w:rPr>
              <w:rFonts w:ascii="Arial" w:hAnsi="Arial" w:cs="Arial"/>
              <w:sz w:val="24"/>
              <w:szCs w:val="24"/>
            </w:rPr>
          </w:pPr>
        </w:p>
        <w:p w14:paraId="798044AF" w14:textId="48D7E5C2" w:rsidR="000F5B20" w:rsidRDefault="000F5B20" w:rsidP="0081686D">
          <w:pPr>
            <w:spacing w:line="360" w:lineRule="auto"/>
            <w:jc w:val="both"/>
            <w:rPr>
              <w:rFonts w:ascii="Arial" w:hAnsi="Arial" w:cs="Arial"/>
              <w:sz w:val="24"/>
              <w:szCs w:val="24"/>
            </w:rPr>
          </w:pPr>
        </w:p>
        <w:p w14:paraId="1D962ACE" w14:textId="77777777" w:rsidR="000F5B20" w:rsidRPr="00037C2E" w:rsidRDefault="000F5B20" w:rsidP="0081686D">
          <w:pPr>
            <w:spacing w:line="360" w:lineRule="auto"/>
            <w:jc w:val="both"/>
            <w:rPr>
              <w:rFonts w:ascii="Arial" w:hAnsi="Arial" w:cs="Arial"/>
              <w:sz w:val="24"/>
              <w:szCs w:val="24"/>
            </w:rPr>
          </w:pPr>
        </w:p>
        <w:p w14:paraId="69E811B0" w14:textId="77777777" w:rsidR="003D494F" w:rsidRDefault="003D494F" w:rsidP="003D494F">
          <w:pPr>
            <w:pStyle w:val="Heading1"/>
          </w:pPr>
          <w:bookmarkStart w:id="2" w:name="_Toc121425722"/>
          <w:r>
            <w:lastRenderedPageBreak/>
            <w:t xml:space="preserve">Financial Analysis </w:t>
          </w:r>
          <w:bookmarkEnd w:id="2"/>
          <w:r>
            <w:t>– Figure 1 &amp; 2</w:t>
          </w:r>
        </w:p>
        <w:p w14:paraId="083111A4" w14:textId="5D7E6A76" w:rsidR="006D130D" w:rsidRDefault="006D130D" w:rsidP="00284F1F"/>
        <w:p w14:paraId="55C71F4F" w14:textId="5D9700E5" w:rsidR="006D130D" w:rsidRDefault="006D130D" w:rsidP="00284F1F"/>
        <w:tbl>
          <w:tblPr>
            <w:tblStyle w:val="PlainTable1"/>
            <w:tblpPr w:leftFromText="180" w:rightFromText="180" w:vertAnchor="page" w:horzAnchor="margin" w:tblpY="2794"/>
            <w:tblW w:w="9474" w:type="dxa"/>
            <w:tblLook w:val="04A0" w:firstRow="1" w:lastRow="0" w:firstColumn="1" w:lastColumn="0" w:noHBand="0" w:noVBand="1"/>
          </w:tblPr>
          <w:tblGrid>
            <w:gridCol w:w="3350"/>
            <w:gridCol w:w="3062"/>
            <w:gridCol w:w="3062"/>
          </w:tblGrid>
          <w:tr w:rsidR="00F131F9" w14:paraId="4B0512F8" w14:textId="77777777" w:rsidTr="00F131F9">
            <w:trPr>
              <w:cnfStyle w:val="100000000000" w:firstRow="1" w:lastRow="0" w:firstColumn="0" w:lastColumn="0" w:oddVBand="0" w:evenVBand="0" w:oddHBand="0"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566E75BE" w14:textId="77777777" w:rsidR="00F131F9" w:rsidRDefault="00F131F9" w:rsidP="00F131F9">
                <w:r>
                  <w:t xml:space="preserve">Data </w:t>
                </w:r>
              </w:p>
            </w:tc>
            <w:tc>
              <w:tcPr>
                <w:tcW w:w="3062" w:type="dxa"/>
              </w:tcPr>
              <w:p w14:paraId="66A7EC23" w14:textId="77777777" w:rsidR="00F131F9" w:rsidRDefault="00F131F9" w:rsidP="00F131F9">
                <w:pPr>
                  <w:jc w:val="right"/>
                  <w:cnfStyle w:val="100000000000" w:firstRow="1" w:lastRow="0" w:firstColumn="0" w:lastColumn="0" w:oddVBand="0" w:evenVBand="0" w:oddHBand="0" w:evenHBand="0" w:firstRowFirstColumn="0" w:firstRowLastColumn="0" w:lastRowFirstColumn="0" w:lastRowLastColumn="0"/>
                </w:pPr>
                <w:r>
                  <w:t>2020</w:t>
                </w:r>
              </w:p>
            </w:tc>
            <w:tc>
              <w:tcPr>
                <w:tcW w:w="3062" w:type="dxa"/>
              </w:tcPr>
              <w:p w14:paraId="531AED0E" w14:textId="77777777" w:rsidR="00F131F9" w:rsidRDefault="00F131F9" w:rsidP="00F131F9">
                <w:pPr>
                  <w:jc w:val="right"/>
                  <w:cnfStyle w:val="100000000000" w:firstRow="1" w:lastRow="0" w:firstColumn="0" w:lastColumn="0" w:oddVBand="0" w:evenVBand="0" w:oddHBand="0" w:evenHBand="0" w:firstRowFirstColumn="0" w:firstRowLastColumn="0" w:lastRowFirstColumn="0" w:lastRowLastColumn="0"/>
                </w:pPr>
                <w:r>
                  <w:t>2021</w:t>
                </w:r>
              </w:p>
            </w:tc>
          </w:tr>
          <w:tr w:rsidR="00F131F9" w:rsidRPr="006831CD" w14:paraId="026E7B07"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1CB5889E" w14:textId="77777777" w:rsidR="00F131F9" w:rsidRPr="007F5D6A" w:rsidRDefault="00F131F9" w:rsidP="00F131F9">
                <w:pPr>
                  <w:rPr>
                    <w:sz w:val="20"/>
                    <w:szCs w:val="20"/>
                    <w:u w:val="single"/>
                  </w:rPr>
                </w:pPr>
                <w:r w:rsidRPr="007F5D6A">
                  <w:rPr>
                    <w:sz w:val="20"/>
                    <w:szCs w:val="20"/>
                    <w:u w:val="single"/>
                  </w:rPr>
                  <w:t>Current Ratio</w:t>
                </w:r>
              </w:p>
            </w:tc>
            <w:tc>
              <w:tcPr>
                <w:tcW w:w="3062" w:type="dxa"/>
              </w:tcPr>
              <w:p w14:paraId="7B46C4AD" w14:textId="77777777" w:rsidR="00F131F9" w:rsidRPr="004439BB" w:rsidRDefault="00F131F9" w:rsidP="00F131F9">
                <w:pPr>
                  <w:jc w:val="right"/>
                  <w:cnfStyle w:val="000000100000" w:firstRow="0" w:lastRow="0" w:firstColumn="0" w:lastColumn="0" w:oddVBand="0" w:evenVBand="0" w:oddHBand="1" w:evenHBand="0" w:firstRowFirstColumn="0" w:firstRowLastColumn="0" w:lastRowFirstColumn="0" w:lastRowLastColumn="0"/>
                </w:pPr>
                <w:r w:rsidRPr="004439BB">
                  <w:t>0.4911</w:t>
                </w:r>
              </w:p>
            </w:tc>
            <w:tc>
              <w:tcPr>
                <w:tcW w:w="3062" w:type="dxa"/>
              </w:tcPr>
              <w:p w14:paraId="64F4124A" w14:textId="77777777" w:rsidR="00F131F9" w:rsidRPr="004439BB" w:rsidRDefault="00F131F9" w:rsidP="00F131F9">
                <w:pPr>
                  <w:jc w:val="right"/>
                  <w:cnfStyle w:val="000000100000" w:firstRow="0" w:lastRow="0" w:firstColumn="0" w:lastColumn="0" w:oddVBand="0" w:evenVBand="0" w:oddHBand="1" w:evenHBand="0" w:firstRowFirstColumn="0" w:firstRowLastColumn="0" w:lastRowFirstColumn="0" w:lastRowLastColumn="0"/>
                </w:pPr>
                <w:r w:rsidRPr="004439BB">
                  <w:t>0.5659</w:t>
                </w:r>
              </w:p>
            </w:tc>
          </w:tr>
          <w:tr w:rsidR="00F131F9" w14:paraId="397CC482"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63725C5C" w14:textId="77777777" w:rsidR="00F131F9" w:rsidRPr="007F5D6A" w:rsidRDefault="00F131F9" w:rsidP="00F131F9">
                <w:pPr>
                  <w:rPr>
                    <w:sz w:val="20"/>
                    <w:szCs w:val="20"/>
                    <w:u w:val="single"/>
                  </w:rPr>
                </w:pPr>
                <w:r w:rsidRPr="007F5D6A">
                  <w:rPr>
                    <w:sz w:val="20"/>
                    <w:szCs w:val="20"/>
                    <w:u w:val="single"/>
                  </w:rPr>
                  <w:t xml:space="preserve">Long-term Debt / Capital </w:t>
                </w:r>
              </w:p>
            </w:tc>
            <w:tc>
              <w:tcPr>
                <w:tcW w:w="3062" w:type="dxa"/>
              </w:tcPr>
              <w:p w14:paraId="354E24B2"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0.9554</w:t>
                </w:r>
              </w:p>
            </w:tc>
            <w:tc>
              <w:tcPr>
                <w:tcW w:w="3062" w:type="dxa"/>
              </w:tcPr>
              <w:p w14:paraId="11E28108"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0.8684</w:t>
                </w:r>
              </w:p>
            </w:tc>
          </w:tr>
          <w:tr w:rsidR="00F131F9" w14:paraId="7278F53E"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028B7656" w14:textId="77777777" w:rsidR="00F131F9" w:rsidRPr="007F5D6A" w:rsidRDefault="00F131F9" w:rsidP="00F131F9">
                <w:pPr>
                  <w:rPr>
                    <w:sz w:val="20"/>
                    <w:szCs w:val="20"/>
                    <w:u w:val="single"/>
                  </w:rPr>
                </w:pPr>
                <w:r w:rsidRPr="007F5D6A">
                  <w:rPr>
                    <w:sz w:val="20"/>
                    <w:szCs w:val="20"/>
                    <w:u w:val="single"/>
                  </w:rPr>
                  <w:t>Debt / Equity Ratio</w:t>
                </w:r>
              </w:p>
            </w:tc>
            <w:tc>
              <w:tcPr>
                <w:tcW w:w="3062" w:type="dxa"/>
              </w:tcPr>
              <w:p w14:paraId="3B47832E"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24.1302</w:t>
                </w:r>
              </w:p>
            </w:tc>
            <w:tc>
              <w:tcPr>
                <w:tcW w:w="3062" w:type="dxa"/>
              </w:tcPr>
              <w:p w14:paraId="41804F8F"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7.1697</w:t>
                </w:r>
              </w:p>
            </w:tc>
          </w:tr>
          <w:tr w:rsidR="00F131F9" w14:paraId="05C2124F"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256532A0" w14:textId="23CFBED1" w:rsidR="00F131F9" w:rsidRPr="007F5D6A" w:rsidRDefault="00A948A7" w:rsidP="00F131F9">
                <w:pPr>
                  <w:rPr>
                    <w:sz w:val="20"/>
                    <w:szCs w:val="20"/>
                    <w:u w:val="single"/>
                  </w:rPr>
                </w:pPr>
                <w:r>
                  <w:rPr>
                    <w:sz w:val="20"/>
                    <w:szCs w:val="20"/>
                    <w:u w:val="single"/>
                  </w:rPr>
                  <w:t xml:space="preserve">GPM- </w:t>
                </w:r>
                <w:r w:rsidR="00F131F9" w:rsidRPr="007F5D6A">
                  <w:rPr>
                    <w:sz w:val="20"/>
                    <w:szCs w:val="20"/>
                    <w:u w:val="single"/>
                  </w:rPr>
                  <w:t>Gross</w:t>
                </w:r>
                <w:r>
                  <w:rPr>
                    <w:sz w:val="20"/>
                    <w:szCs w:val="20"/>
                    <w:u w:val="single"/>
                  </w:rPr>
                  <w:t xml:space="preserve"> Profit</w:t>
                </w:r>
                <w:r w:rsidR="00F131F9" w:rsidRPr="007F5D6A">
                  <w:rPr>
                    <w:sz w:val="20"/>
                    <w:szCs w:val="20"/>
                    <w:u w:val="single"/>
                  </w:rPr>
                  <w:t xml:space="preserve"> Margin</w:t>
                </w:r>
              </w:p>
            </w:tc>
            <w:tc>
              <w:tcPr>
                <w:tcW w:w="3062" w:type="dxa"/>
              </w:tcPr>
              <w:p w14:paraId="3653FB91"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13.8019</w:t>
                </w:r>
              </w:p>
            </w:tc>
            <w:tc>
              <w:tcPr>
                <w:tcW w:w="3062" w:type="dxa"/>
              </w:tcPr>
              <w:p w14:paraId="4EE6C28A"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20.2136</w:t>
                </w:r>
              </w:p>
            </w:tc>
          </w:tr>
          <w:tr w:rsidR="00F131F9" w14:paraId="1B1A8BE4"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014522F1" w14:textId="77777777" w:rsidR="00F131F9" w:rsidRPr="007F5D6A" w:rsidRDefault="00F131F9" w:rsidP="00F131F9">
                <w:pPr>
                  <w:rPr>
                    <w:sz w:val="20"/>
                    <w:szCs w:val="20"/>
                    <w:u w:val="single"/>
                  </w:rPr>
                </w:pPr>
                <w:r w:rsidRPr="007F5D6A">
                  <w:rPr>
                    <w:sz w:val="20"/>
                    <w:szCs w:val="20"/>
                    <w:u w:val="single"/>
                  </w:rPr>
                  <w:t>Operating Margin</w:t>
                </w:r>
              </w:p>
            </w:tc>
            <w:tc>
              <w:tcPr>
                <w:tcW w:w="3062" w:type="dxa"/>
              </w:tcPr>
              <w:p w14:paraId="545A1A8B"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0.7946</w:t>
                </w:r>
              </w:p>
            </w:tc>
            <w:tc>
              <w:tcPr>
                <w:tcW w:w="3062" w:type="dxa"/>
              </w:tcPr>
              <w:p w14:paraId="1FB919AC"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12.629</w:t>
                </w:r>
              </w:p>
            </w:tc>
          </w:tr>
          <w:tr w:rsidR="00F131F9" w14:paraId="4A858168"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64756A57" w14:textId="77777777" w:rsidR="00F131F9" w:rsidRPr="007F5D6A" w:rsidRDefault="00F131F9" w:rsidP="00F131F9">
                <w:pPr>
                  <w:rPr>
                    <w:sz w:val="20"/>
                    <w:szCs w:val="20"/>
                    <w:u w:val="single"/>
                  </w:rPr>
                </w:pPr>
                <w:r w:rsidRPr="007F5D6A">
                  <w:rPr>
                    <w:sz w:val="20"/>
                    <w:szCs w:val="20"/>
                    <w:u w:val="single"/>
                  </w:rPr>
                  <w:t xml:space="preserve">EBIT Margin </w:t>
                </w:r>
              </w:p>
            </w:tc>
            <w:tc>
              <w:tcPr>
                <w:tcW w:w="3062" w:type="dxa"/>
              </w:tcPr>
              <w:p w14:paraId="077D7482"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0.7946</w:t>
                </w:r>
              </w:p>
            </w:tc>
            <w:tc>
              <w:tcPr>
                <w:tcW w:w="3062" w:type="dxa"/>
              </w:tcPr>
              <w:p w14:paraId="72EB5E17"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12.629</w:t>
                </w:r>
              </w:p>
            </w:tc>
          </w:tr>
          <w:tr w:rsidR="00F131F9" w14:paraId="7FA1CFA4" w14:textId="77777777" w:rsidTr="00F131F9">
            <w:trPr>
              <w:cnfStyle w:val="000000100000" w:firstRow="0" w:lastRow="0" w:firstColumn="0" w:lastColumn="0" w:oddVBand="0" w:evenVBand="0" w:oddHBand="1"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3350" w:type="dxa"/>
              </w:tcPr>
              <w:p w14:paraId="7EC23FBB" w14:textId="77777777" w:rsidR="00F131F9" w:rsidRPr="007F5D6A" w:rsidRDefault="00F131F9" w:rsidP="00F131F9">
                <w:pPr>
                  <w:rPr>
                    <w:sz w:val="20"/>
                    <w:szCs w:val="20"/>
                    <w:u w:val="single"/>
                  </w:rPr>
                </w:pPr>
                <w:r w:rsidRPr="007F5D6A">
                  <w:rPr>
                    <w:sz w:val="20"/>
                    <w:szCs w:val="20"/>
                    <w:u w:val="single"/>
                  </w:rPr>
                  <w:t>EBITDA Margin</w:t>
                </w:r>
              </w:p>
            </w:tc>
            <w:tc>
              <w:tcPr>
                <w:tcW w:w="3062" w:type="dxa"/>
              </w:tcPr>
              <w:p w14:paraId="7D13D7AD"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5.3164</w:t>
                </w:r>
              </w:p>
            </w:tc>
            <w:tc>
              <w:tcPr>
                <w:tcW w:w="3062" w:type="dxa"/>
              </w:tcPr>
              <w:p w14:paraId="7D45F3AB"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14.7579</w:t>
                </w:r>
              </w:p>
            </w:tc>
          </w:tr>
          <w:tr w:rsidR="00F131F9" w14:paraId="16804FD3"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7DA7D5C3" w14:textId="77777777" w:rsidR="00F131F9" w:rsidRPr="007F5D6A" w:rsidRDefault="00F131F9" w:rsidP="00F131F9">
                <w:pPr>
                  <w:rPr>
                    <w:sz w:val="20"/>
                    <w:szCs w:val="20"/>
                    <w:u w:val="single"/>
                  </w:rPr>
                </w:pPr>
                <w:r w:rsidRPr="007F5D6A">
                  <w:rPr>
                    <w:sz w:val="20"/>
                    <w:szCs w:val="20"/>
                    <w:u w:val="single"/>
                  </w:rPr>
                  <w:t>Pre-Tax Profit Margin</w:t>
                </w:r>
              </w:p>
            </w:tc>
            <w:tc>
              <w:tcPr>
                <w:tcW w:w="3062" w:type="dxa"/>
              </w:tcPr>
              <w:p w14:paraId="2AC09E8A"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-4.4083</w:t>
                </w:r>
              </w:p>
            </w:tc>
            <w:tc>
              <w:tcPr>
                <w:tcW w:w="3062" w:type="dxa"/>
              </w:tcPr>
              <w:p w14:paraId="3A8EE1FC"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8.5156</w:t>
                </w:r>
              </w:p>
            </w:tc>
          </w:tr>
          <w:tr w:rsidR="00F131F9" w14:paraId="42C54F7E"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53830BDF" w14:textId="6D7E6FDE" w:rsidR="00F131F9" w:rsidRPr="007F5D6A" w:rsidRDefault="00A948A7" w:rsidP="00F131F9">
                <w:pPr>
                  <w:rPr>
                    <w:sz w:val="20"/>
                    <w:szCs w:val="20"/>
                    <w:u w:val="single"/>
                  </w:rPr>
                </w:pPr>
                <w:r>
                  <w:rPr>
                    <w:sz w:val="20"/>
                    <w:szCs w:val="20"/>
                    <w:u w:val="single"/>
                  </w:rPr>
                  <w:t xml:space="preserve">NPM - </w:t>
                </w:r>
                <w:r w:rsidR="00F131F9" w:rsidRPr="007F5D6A">
                  <w:rPr>
                    <w:sz w:val="20"/>
                    <w:szCs w:val="20"/>
                    <w:u w:val="single"/>
                  </w:rPr>
                  <w:t>Net Profit Margin</w:t>
                </w:r>
              </w:p>
            </w:tc>
            <w:tc>
              <w:tcPr>
                <w:tcW w:w="3062" w:type="dxa"/>
              </w:tcPr>
              <w:p w14:paraId="656B4905"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-2.5258</w:t>
                </w:r>
              </w:p>
            </w:tc>
            <w:tc>
              <w:tcPr>
                <w:tcW w:w="3062" w:type="dxa"/>
              </w:tcPr>
              <w:p w14:paraId="5FDD2AF1"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7.931</w:t>
                </w:r>
              </w:p>
            </w:tc>
          </w:tr>
          <w:tr w:rsidR="00F131F9" w14:paraId="5F479331"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26877CDA" w14:textId="77777777" w:rsidR="00F131F9" w:rsidRPr="007F5D6A" w:rsidRDefault="00F131F9" w:rsidP="00F131F9">
                <w:pPr>
                  <w:rPr>
                    <w:sz w:val="20"/>
                    <w:szCs w:val="20"/>
                    <w:u w:val="single"/>
                  </w:rPr>
                </w:pPr>
                <w:r w:rsidRPr="007F5D6A">
                  <w:rPr>
                    <w:sz w:val="20"/>
                    <w:szCs w:val="20"/>
                    <w:u w:val="single"/>
                  </w:rPr>
                  <w:t xml:space="preserve">Asset Turnover </w:t>
                </w:r>
              </w:p>
            </w:tc>
            <w:tc>
              <w:tcPr>
                <w:tcW w:w="3062" w:type="dxa"/>
              </w:tcPr>
              <w:p w14:paraId="36CD7623"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0.428</w:t>
                </w:r>
              </w:p>
            </w:tc>
            <w:tc>
              <w:tcPr>
                <w:tcW w:w="3062" w:type="dxa"/>
              </w:tcPr>
              <w:p w14:paraId="0339E660"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0.5423</w:t>
                </w:r>
              </w:p>
            </w:tc>
          </w:tr>
          <w:tr w:rsidR="00F131F9" w14:paraId="35C2071C"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57E69FFC" w14:textId="77777777" w:rsidR="00F131F9" w:rsidRPr="007F5D6A" w:rsidRDefault="00F131F9" w:rsidP="00F131F9">
                <w:pPr>
                  <w:rPr>
                    <w:sz w:val="20"/>
                    <w:szCs w:val="20"/>
                    <w:u w:val="single"/>
                  </w:rPr>
                </w:pPr>
                <w:r w:rsidRPr="007F5D6A">
                  <w:rPr>
                    <w:sz w:val="20"/>
                    <w:szCs w:val="20"/>
                    <w:u w:val="single"/>
                  </w:rPr>
                  <w:t>Inventory Turnover Ratio</w:t>
                </w:r>
              </w:p>
            </w:tc>
            <w:tc>
              <w:tcPr>
                <w:tcW w:w="3062" w:type="dxa"/>
              </w:tcPr>
              <w:p w14:paraId="45946794"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w:t>
                </w:r>
              </w:p>
            </w:tc>
            <w:tc>
              <w:tcPr>
                <w:tcW w:w="3062" w:type="dxa"/>
              </w:tcPr>
              <w:p w14:paraId="69567B38"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w:t>
                </w:r>
              </w:p>
            </w:tc>
          </w:tr>
          <w:tr w:rsidR="00F131F9" w14:paraId="24DAD09D"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6F9788FF" w14:textId="77777777" w:rsidR="00F131F9" w:rsidRPr="007F5D6A" w:rsidRDefault="00F131F9" w:rsidP="00F131F9">
                <w:pPr>
                  <w:rPr>
                    <w:sz w:val="20"/>
                    <w:szCs w:val="20"/>
                    <w:u w:val="single"/>
                  </w:rPr>
                </w:pPr>
                <w:proofErr w:type="spellStart"/>
                <w:r w:rsidRPr="007F5D6A">
                  <w:rPr>
                    <w:sz w:val="20"/>
                    <w:szCs w:val="20"/>
                    <w:u w:val="single"/>
                  </w:rPr>
                  <w:t>Receiveable</w:t>
                </w:r>
                <w:proofErr w:type="spellEnd"/>
                <w:r w:rsidRPr="007F5D6A">
                  <w:rPr>
                    <w:sz w:val="20"/>
                    <w:szCs w:val="20"/>
                    <w:u w:val="single"/>
                  </w:rPr>
                  <w:t xml:space="preserve"> Turnover </w:t>
                </w:r>
              </w:p>
            </w:tc>
            <w:tc>
              <w:tcPr>
                <w:tcW w:w="3062" w:type="dxa"/>
              </w:tcPr>
              <w:p w14:paraId="236F97F3"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5.9791</w:t>
                </w:r>
              </w:p>
            </w:tc>
            <w:tc>
              <w:tcPr>
                <w:tcW w:w="3062" w:type="dxa"/>
              </w:tcPr>
              <w:p w14:paraId="0B24FBC1"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6.9914</w:t>
                </w:r>
              </w:p>
            </w:tc>
          </w:tr>
          <w:tr w:rsidR="00F131F9" w14:paraId="396C6FF0"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7981E508" w14:textId="636B7032" w:rsidR="00F131F9" w:rsidRPr="007F5D6A" w:rsidRDefault="00F131F9" w:rsidP="00F131F9">
                <w:pPr>
                  <w:rPr>
                    <w:sz w:val="20"/>
                    <w:szCs w:val="20"/>
                    <w:u w:val="single"/>
                  </w:rPr>
                </w:pPr>
                <w:r w:rsidRPr="007F5D6A">
                  <w:rPr>
                    <w:sz w:val="20"/>
                    <w:szCs w:val="20"/>
                    <w:u w:val="single"/>
                  </w:rPr>
                  <w:t xml:space="preserve">Days Sales </w:t>
                </w:r>
                <w:r w:rsidR="00A44D31" w:rsidRPr="007F5D6A">
                  <w:rPr>
                    <w:sz w:val="20"/>
                    <w:szCs w:val="20"/>
                    <w:u w:val="single"/>
                  </w:rPr>
                  <w:t>in</w:t>
                </w:r>
                <w:r w:rsidRPr="007F5D6A">
                  <w:rPr>
                    <w:sz w:val="20"/>
                    <w:szCs w:val="20"/>
                    <w:u w:val="single"/>
                  </w:rPr>
                  <w:t xml:space="preserve"> Receivables </w:t>
                </w:r>
              </w:p>
            </w:tc>
            <w:tc>
              <w:tcPr>
                <w:tcW w:w="3062" w:type="dxa"/>
              </w:tcPr>
              <w:p w14:paraId="073C677C"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61.0463</w:t>
                </w:r>
              </w:p>
            </w:tc>
            <w:tc>
              <w:tcPr>
                <w:tcW w:w="3062" w:type="dxa"/>
              </w:tcPr>
              <w:p w14:paraId="335AB206"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52.2068</w:t>
                </w:r>
              </w:p>
            </w:tc>
          </w:tr>
          <w:tr w:rsidR="00F131F9" w14:paraId="674155EE"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100F2946" w14:textId="41519ADD" w:rsidR="00F131F9" w:rsidRPr="007F5D6A" w:rsidRDefault="00F131F9" w:rsidP="00F131F9">
                <w:pPr>
                  <w:rPr>
                    <w:sz w:val="20"/>
                    <w:szCs w:val="20"/>
                    <w:u w:val="single"/>
                  </w:rPr>
                </w:pPr>
                <w:r w:rsidRPr="007F5D6A">
                  <w:rPr>
                    <w:sz w:val="20"/>
                    <w:szCs w:val="20"/>
                    <w:u w:val="single"/>
                  </w:rPr>
                  <w:t xml:space="preserve">ROE – Return </w:t>
                </w:r>
                <w:r w:rsidR="00A44D31" w:rsidRPr="007F5D6A">
                  <w:rPr>
                    <w:sz w:val="20"/>
                    <w:szCs w:val="20"/>
                    <w:u w:val="single"/>
                  </w:rPr>
                  <w:t>on</w:t>
                </w:r>
                <w:r w:rsidRPr="007F5D6A">
                  <w:rPr>
                    <w:sz w:val="20"/>
                    <w:szCs w:val="20"/>
                    <w:u w:val="single"/>
                  </w:rPr>
                  <w:t xml:space="preserve"> </w:t>
                </w:r>
                <w:r>
                  <w:rPr>
                    <w:sz w:val="20"/>
                    <w:szCs w:val="20"/>
                    <w:u w:val="single"/>
                  </w:rPr>
                  <w:t>Equity</w:t>
                </w:r>
              </w:p>
            </w:tc>
            <w:tc>
              <w:tcPr>
                <w:tcW w:w="3062" w:type="dxa"/>
              </w:tcPr>
              <w:p w14:paraId="30AF292A"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-62.093</w:t>
                </w:r>
              </w:p>
            </w:tc>
            <w:tc>
              <w:tcPr>
                <w:tcW w:w="3062" w:type="dxa"/>
              </w:tcPr>
              <w:p w14:paraId="4ACAF5B7"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77.7228</w:t>
                </w:r>
              </w:p>
            </w:tc>
          </w:tr>
          <w:tr w:rsidR="00F131F9" w14:paraId="0015939A"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508A6D3E" w14:textId="77777777" w:rsidR="00F131F9" w:rsidRPr="007F5D6A" w:rsidRDefault="00F131F9" w:rsidP="00F131F9">
                <w:pPr>
                  <w:rPr>
                    <w:sz w:val="20"/>
                    <w:szCs w:val="20"/>
                    <w:u w:val="single"/>
                  </w:rPr>
                </w:pPr>
                <w:r w:rsidRPr="007F5D6A">
                  <w:rPr>
                    <w:sz w:val="20"/>
                    <w:szCs w:val="20"/>
                    <w:u w:val="single"/>
                  </w:rPr>
                  <w:t xml:space="preserve">Return On Tangible Equity </w:t>
                </w:r>
              </w:p>
            </w:tc>
            <w:tc>
              <w:tcPr>
                <w:tcW w:w="3062" w:type="dxa"/>
              </w:tcPr>
              <w:p w14:paraId="698DBEEF"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1.5056</w:t>
                </w:r>
              </w:p>
            </w:tc>
            <w:tc>
              <w:tcPr>
                <w:tcW w:w="3062" w:type="dxa"/>
              </w:tcPr>
              <w:p w14:paraId="7DE2C7BD"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-6.6265</w:t>
                </w:r>
              </w:p>
            </w:tc>
          </w:tr>
          <w:tr w:rsidR="00F131F9" w14:paraId="432EA284"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56CC2AD3" w14:textId="3C80B1FA" w:rsidR="00F131F9" w:rsidRPr="007F5D6A" w:rsidRDefault="00F131F9" w:rsidP="00F131F9">
                <w:pPr>
                  <w:rPr>
                    <w:sz w:val="20"/>
                    <w:szCs w:val="20"/>
                    <w:u w:val="single"/>
                  </w:rPr>
                </w:pPr>
                <w:r w:rsidRPr="007F5D6A">
                  <w:rPr>
                    <w:sz w:val="20"/>
                    <w:szCs w:val="20"/>
                    <w:u w:val="single"/>
                  </w:rPr>
                  <w:t xml:space="preserve">ROA – Return </w:t>
                </w:r>
                <w:r w:rsidR="00A44D31" w:rsidRPr="007F5D6A">
                  <w:rPr>
                    <w:sz w:val="20"/>
                    <w:szCs w:val="20"/>
                    <w:u w:val="single"/>
                  </w:rPr>
                  <w:t>on</w:t>
                </w:r>
                <w:r w:rsidRPr="007F5D6A">
                  <w:rPr>
                    <w:sz w:val="20"/>
                    <w:szCs w:val="20"/>
                    <w:u w:val="single"/>
                  </w:rPr>
                  <w:t xml:space="preserve"> Assets</w:t>
                </w:r>
              </w:p>
            </w:tc>
            <w:tc>
              <w:tcPr>
                <w:tcW w:w="3062" w:type="dxa"/>
              </w:tcPr>
              <w:p w14:paraId="7193BD1D"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-1.0809</w:t>
                </w:r>
              </w:p>
            </w:tc>
            <w:tc>
              <w:tcPr>
                <w:tcW w:w="3062" w:type="dxa"/>
              </w:tcPr>
              <w:p w14:paraId="4BCAEE8E"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4.3009</w:t>
                </w:r>
              </w:p>
            </w:tc>
          </w:tr>
          <w:tr w:rsidR="00F131F9" w14:paraId="696A2C2A"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6F1D6F20" w14:textId="0697F2FC" w:rsidR="00F131F9" w:rsidRPr="007F5D6A" w:rsidRDefault="00F131F9" w:rsidP="00F131F9">
                <w:pPr>
                  <w:rPr>
                    <w:sz w:val="20"/>
                    <w:szCs w:val="20"/>
                    <w:u w:val="single"/>
                  </w:rPr>
                </w:pPr>
                <w:r w:rsidRPr="007F5D6A">
                  <w:rPr>
                    <w:sz w:val="20"/>
                    <w:szCs w:val="20"/>
                    <w:u w:val="single"/>
                  </w:rPr>
                  <w:t xml:space="preserve">ROI – Return </w:t>
                </w:r>
                <w:r w:rsidR="00A44D31" w:rsidRPr="007F5D6A">
                  <w:rPr>
                    <w:sz w:val="20"/>
                    <w:szCs w:val="20"/>
                    <w:u w:val="single"/>
                  </w:rPr>
                  <w:t>on</w:t>
                </w:r>
                <w:r w:rsidRPr="007F5D6A">
                  <w:rPr>
                    <w:sz w:val="20"/>
                    <w:szCs w:val="20"/>
                    <w:u w:val="single"/>
                  </w:rPr>
                  <w:t xml:space="preserve"> Investment</w:t>
                </w:r>
              </w:p>
            </w:tc>
            <w:tc>
              <w:tcPr>
                <w:tcW w:w="3062" w:type="dxa"/>
              </w:tcPr>
              <w:p w14:paraId="573D2246"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-2.7717</w:t>
                </w:r>
              </w:p>
            </w:tc>
            <w:tc>
              <w:tcPr>
                <w:tcW w:w="3062" w:type="dxa"/>
              </w:tcPr>
              <w:p w14:paraId="5F58B6D0"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10.2261</w:t>
                </w:r>
              </w:p>
            </w:tc>
          </w:tr>
          <w:tr w:rsidR="00F131F9" w14:paraId="341C14F6" w14:textId="77777777" w:rsidTr="00F131F9">
            <w:trPr>
              <w:trHeight w:val="504"/>
            </w:trPr>
            <w:tc>
              <w:tcPr>
                <w:cnfStyle w:val="001000000000" w:firstRow="0" w:lastRow="0" w:firstColumn="1" w:lastColumn="0" w:oddVBand="0" w:evenVBand="0" w:oddHBand="0" w:evenHBand="0" w:firstRowFirstColumn="0" w:firstRowLastColumn="0" w:lastRowFirstColumn="0" w:lastRowLastColumn="0"/>
                <w:tcW w:w="3350" w:type="dxa"/>
              </w:tcPr>
              <w:p w14:paraId="292D48F6" w14:textId="77777777" w:rsidR="00F131F9" w:rsidRPr="007F5D6A" w:rsidRDefault="00F131F9" w:rsidP="00F131F9">
                <w:pPr>
                  <w:rPr>
                    <w:sz w:val="20"/>
                    <w:szCs w:val="20"/>
                    <w:u w:val="single"/>
                  </w:rPr>
                </w:pPr>
                <w:r w:rsidRPr="007F5D6A">
                  <w:rPr>
                    <w:sz w:val="20"/>
                    <w:szCs w:val="20"/>
                    <w:u w:val="single"/>
                  </w:rPr>
                  <w:t xml:space="preserve">Book Value Per Share </w:t>
                </w:r>
              </w:p>
            </w:tc>
            <w:tc>
              <w:tcPr>
                <w:tcW w:w="3062" w:type="dxa"/>
              </w:tcPr>
              <w:p w14:paraId="4954C8F4"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1.3255</w:t>
                </w:r>
              </w:p>
            </w:tc>
            <w:tc>
              <w:tcPr>
                <w:tcW w:w="3062" w:type="dxa"/>
              </w:tcPr>
              <w:p w14:paraId="54AE0C56"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4.3334</w:t>
                </w:r>
              </w:p>
            </w:tc>
          </w:tr>
          <w:tr w:rsidR="00F131F9" w14:paraId="31EDF6A0" w14:textId="77777777" w:rsidTr="00F131F9">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350" w:type="dxa"/>
              </w:tcPr>
              <w:p w14:paraId="345CF36A" w14:textId="77777777" w:rsidR="00F131F9" w:rsidRPr="007F5D6A" w:rsidRDefault="00F131F9" w:rsidP="00F131F9">
                <w:pPr>
                  <w:rPr>
                    <w:sz w:val="20"/>
                    <w:szCs w:val="20"/>
                    <w:u w:val="single"/>
                  </w:rPr>
                </w:pPr>
                <w:r w:rsidRPr="007F5D6A">
                  <w:rPr>
                    <w:sz w:val="20"/>
                    <w:szCs w:val="20"/>
                    <w:u w:val="single"/>
                  </w:rPr>
                  <w:t xml:space="preserve">Operating Cash Flow Per Share </w:t>
                </w:r>
              </w:p>
            </w:tc>
            <w:tc>
              <w:tcPr>
                <w:tcW w:w="3062" w:type="dxa"/>
              </w:tcPr>
              <w:p w14:paraId="6CF2FF60"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0.0083</w:t>
                </w:r>
              </w:p>
            </w:tc>
            <w:tc>
              <w:tcPr>
                <w:tcW w:w="3062" w:type="dxa"/>
              </w:tcPr>
              <w:p w14:paraId="413BE5DC" w14:textId="77777777" w:rsidR="00F131F9" w:rsidRDefault="00F131F9" w:rsidP="00F131F9">
                <w:pPr>
                  <w:jc w:val="right"/>
                  <w:cnfStyle w:val="000000100000" w:firstRow="0" w:lastRow="0" w:firstColumn="0" w:lastColumn="0" w:oddVBand="0" w:evenVBand="0" w:oddHBand="1" w:evenHBand="0" w:firstRowFirstColumn="0" w:firstRowLastColumn="0" w:lastRowFirstColumn="0" w:lastRowLastColumn="0"/>
                </w:pPr>
                <w:r>
                  <w:t>-1.4565</w:t>
                </w:r>
              </w:p>
            </w:tc>
          </w:tr>
          <w:tr w:rsidR="00F131F9" w14:paraId="76D8BB1E" w14:textId="77777777" w:rsidTr="00F131F9">
            <w:trPr>
              <w:trHeight w:val="464"/>
            </w:trPr>
            <w:tc>
              <w:tcPr>
                <w:cnfStyle w:val="001000000000" w:firstRow="0" w:lastRow="0" w:firstColumn="1" w:lastColumn="0" w:oddVBand="0" w:evenVBand="0" w:oddHBand="0" w:evenHBand="0" w:firstRowFirstColumn="0" w:firstRowLastColumn="0" w:lastRowFirstColumn="0" w:lastRowLastColumn="0"/>
                <w:tcW w:w="3350" w:type="dxa"/>
              </w:tcPr>
              <w:p w14:paraId="111B1977" w14:textId="77777777" w:rsidR="00F131F9" w:rsidRPr="007F5D6A" w:rsidRDefault="00F131F9" w:rsidP="00F131F9">
                <w:pPr>
                  <w:rPr>
                    <w:sz w:val="20"/>
                    <w:szCs w:val="20"/>
                    <w:u w:val="single"/>
                  </w:rPr>
                </w:pPr>
                <w:r w:rsidRPr="007F5D6A">
                  <w:rPr>
                    <w:sz w:val="20"/>
                    <w:szCs w:val="20"/>
                    <w:u w:val="single"/>
                  </w:rPr>
                  <w:t xml:space="preserve">Free Cash Flow Per Share </w:t>
                </w:r>
              </w:p>
            </w:tc>
            <w:tc>
              <w:tcPr>
                <w:tcW w:w="3062" w:type="dxa"/>
              </w:tcPr>
              <w:p w14:paraId="57ACACB1"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1.161</w:t>
                </w:r>
              </w:p>
            </w:tc>
            <w:tc>
              <w:tcPr>
                <w:tcW w:w="3062" w:type="dxa"/>
              </w:tcPr>
              <w:p w14:paraId="1669E090" w14:textId="77777777" w:rsidR="00F131F9" w:rsidRDefault="00F131F9" w:rsidP="00F131F9">
                <w:pPr>
                  <w:jc w:val="right"/>
                  <w:cnfStyle w:val="000000000000" w:firstRow="0" w:lastRow="0" w:firstColumn="0" w:lastColumn="0" w:oddVBand="0" w:evenVBand="0" w:oddHBand="0" w:evenHBand="0" w:firstRowFirstColumn="0" w:firstRowLastColumn="0" w:lastRowFirstColumn="0" w:lastRowLastColumn="0"/>
                </w:pPr>
                <w:r>
                  <w:t>-2.3594</w:t>
                </w:r>
              </w:p>
            </w:tc>
          </w:tr>
        </w:tbl>
        <w:p w14:paraId="050A39F2" w14:textId="48E8AB1B" w:rsidR="006D130D" w:rsidRDefault="006D130D" w:rsidP="00284F1F"/>
        <w:p w14:paraId="20F912A9" w14:textId="0C3C98C3" w:rsidR="006D130D" w:rsidRDefault="006D130D" w:rsidP="00284F1F"/>
        <w:p w14:paraId="0BBD363A" w14:textId="7856D5FB" w:rsidR="006D130D" w:rsidRDefault="006D130D" w:rsidP="00284F1F"/>
        <w:p w14:paraId="47078F87" w14:textId="081A1287" w:rsidR="00811B5F" w:rsidRDefault="00811B5F" w:rsidP="00284F1F"/>
        <w:p w14:paraId="6B456868" w14:textId="5B54FFCF" w:rsidR="00811B5F" w:rsidRDefault="003D494F" w:rsidP="00284F1F">
          <w:r>
            <w:rPr>
              <w:noProof/>
            </w:rPr>
            <w:lastRenderedPageBreak/>
            <w:drawing>
              <wp:inline distT="0" distB="0" distL="0" distR="0" wp14:anchorId="66E6949E" wp14:editId="0E422804">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2BC5AA8" w14:textId="6FD5999D" w:rsidR="003D494F" w:rsidRDefault="003D494F" w:rsidP="007215FC">
          <w:bookmarkStart w:id="3" w:name="_Toc121425723"/>
        </w:p>
        <w:p w14:paraId="66E731F3" w14:textId="2EB1C687" w:rsidR="00811B5F" w:rsidRPr="003B7D49" w:rsidRDefault="00811B5F" w:rsidP="003959F9">
          <w:pPr>
            <w:pStyle w:val="Heading1"/>
            <w:spacing w:line="360" w:lineRule="auto"/>
            <w:jc w:val="both"/>
            <w:rPr>
              <w:rFonts w:ascii="Arial" w:hAnsi="Arial" w:cs="Arial"/>
              <w:sz w:val="24"/>
              <w:szCs w:val="24"/>
              <w:u w:val="single"/>
            </w:rPr>
          </w:pPr>
          <w:r w:rsidRPr="003B7D49">
            <w:rPr>
              <w:rFonts w:ascii="Arial" w:hAnsi="Arial" w:cs="Arial"/>
              <w:sz w:val="24"/>
              <w:szCs w:val="24"/>
              <w:u w:val="single"/>
            </w:rPr>
            <w:t>Financial Analysis Trends</w:t>
          </w:r>
          <w:bookmarkEnd w:id="3"/>
        </w:p>
        <w:p w14:paraId="4E741AEE" w14:textId="27AE2DC2" w:rsidR="00811B5F" w:rsidRPr="003959F9" w:rsidRDefault="00811B5F" w:rsidP="003959F9">
          <w:pPr>
            <w:spacing w:line="360" w:lineRule="auto"/>
            <w:jc w:val="both"/>
            <w:rPr>
              <w:rFonts w:ascii="Arial" w:hAnsi="Arial" w:cs="Arial"/>
              <w:sz w:val="24"/>
              <w:szCs w:val="24"/>
            </w:rPr>
          </w:pPr>
          <w:bookmarkStart w:id="4" w:name="_Hlk122094171"/>
        </w:p>
        <w:p w14:paraId="4DC6FCCD" w14:textId="6E00D847" w:rsidR="004D519C" w:rsidRPr="003959F9" w:rsidRDefault="004D519C" w:rsidP="00191E8F">
          <w:pPr>
            <w:pStyle w:val="Heading2"/>
            <w:spacing w:line="360" w:lineRule="auto"/>
            <w:jc w:val="both"/>
            <w:rPr>
              <w:rFonts w:ascii="Arial" w:hAnsi="Arial" w:cs="Arial"/>
              <w:sz w:val="24"/>
              <w:szCs w:val="24"/>
            </w:rPr>
          </w:pPr>
          <w:bookmarkStart w:id="5" w:name="_Toc121425724"/>
          <w:r w:rsidRPr="003959F9">
            <w:rPr>
              <w:rFonts w:ascii="Arial" w:hAnsi="Arial" w:cs="Arial"/>
              <w:sz w:val="24"/>
              <w:szCs w:val="24"/>
            </w:rPr>
            <w:t>Profitability</w:t>
          </w:r>
          <w:bookmarkEnd w:id="5"/>
        </w:p>
        <w:p w14:paraId="31760BD0" w14:textId="77777777" w:rsidR="007215FC" w:rsidRPr="003959F9" w:rsidRDefault="007215FC" w:rsidP="00191E8F">
          <w:pPr>
            <w:spacing w:line="360" w:lineRule="auto"/>
            <w:jc w:val="both"/>
            <w:rPr>
              <w:rFonts w:ascii="Arial" w:hAnsi="Arial" w:cs="Arial"/>
              <w:sz w:val="24"/>
              <w:szCs w:val="24"/>
            </w:rPr>
          </w:pPr>
        </w:p>
        <w:p w14:paraId="6F4E079D" w14:textId="4C6895B6" w:rsidR="007215FC" w:rsidRPr="003959F9" w:rsidRDefault="007215FC" w:rsidP="00191E8F">
          <w:pPr>
            <w:spacing w:line="360" w:lineRule="auto"/>
            <w:jc w:val="both"/>
            <w:rPr>
              <w:rFonts w:ascii="Arial" w:hAnsi="Arial" w:cs="Arial"/>
              <w:sz w:val="24"/>
              <w:szCs w:val="24"/>
            </w:rPr>
          </w:pPr>
          <w:r w:rsidRPr="003959F9">
            <w:rPr>
              <w:rFonts w:ascii="Arial" w:hAnsi="Arial" w:cs="Arial"/>
              <w:sz w:val="24"/>
              <w:szCs w:val="24"/>
            </w:rPr>
            <w:t>The profitability of a company is the ability of an organisation to make a profit. This index measures the ratio of the profit obtained to the investment made to achieve it. Profitability is the key to the success of your business. If you do not know the percentage of money or capital invested that you have earned or recovered, then you cannot know whether the performance of this investment was good or bad. It also reflects the existence of profits or, if not, detects mistakes in time to boost your growth. Therefore, profitability helps you identify operations that help you drive growth and assertively detect mistakes.</w:t>
          </w:r>
        </w:p>
        <w:p w14:paraId="18022BE1" w14:textId="655D6E97" w:rsidR="007215FC" w:rsidRPr="003959F9" w:rsidRDefault="007215FC" w:rsidP="00191E8F">
          <w:pPr>
            <w:spacing w:line="360" w:lineRule="auto"/>
            <w:jc w:val="both"/>
            <w:rPr>
              <w:rFonts w:ascii="Arial" w:hAnsi="Arial" w:cs="Arial"/>
              <w:sz w:val="24"/>
              <w:szCs w:val="24"/>
            </w:rPr>
          </w:pPr>
          <w:r w:rsidRPr="003959F9">
            <w:rPr>
              <w:rFonts w:ascii="Arial" w:hAnsi="Arial" w:cs="Arial"/>
              <w:sz w:val="24"/>
              <w:szCs w:val="24"/>
            </w:rPr>
            <w:t>Profitability ratio projections allow you to establish how well you have used your capital. That's why you need to consider the value of the profits you expect, compared to the operating expenses.</w:t>
          </w:r>
        </w:p>
        <w:p w14:paraId="09D01685" w14:textId="77777777" w:rsidR="00666B35" w:rsidRPr="003959F9" w:rsidRDefault="007215FC" w:rsidP="00191E8F">
          <w:pPr>
            <w:spacing w:line="360" w:lineRule="auto"/>
            <w:jc w:val="both"/>
            <w:rPr>
              <w:rFonts w:ascii="Arial" w:hAnsi="Arial" w:cs="Arial"/>
              <w:sz w:val="24"/>
              <w:szCs w:val="24"/>
            </w:rPr>
          </w:pPr>
          <w:r w:rsidRPr="003959F9">
            <w:rPr>
              <w:rFonts w:ascii="Arial" w:hAnsi="Arial" w:cs="Arial"/>
              <w:sz w:val="24"/>
              <w:szCs w:val="24"/>
            </w:rPr>
            <w:t xml:space="preserve">It is all a matter of dividing the present value by the initial investment required. If the result is greater than one, it means that the project will be profitable beyond the break-even point. </w:t>
          </w:r>
          <w:r w:rsidR="00A42705" w:rsidRPr="003959F9">
            <w:rPr>
              <w:rFonts w:ascii="Arial" w:hAnsi="Arial" w:cs="Arial"/>
              <w:sz w:val="24"/>
              <w:szCs w:val="24"/>
            </w:rPr>
            <w:t xml:space="preserve">The profitability ratio focuses on five ratios in </w:t>
          </w:r>
          <w:r w:rsidR="005516C0" w:rsidRPr="003959F9">
            <w:rPr>
              <w:rFonts w:ascii="Arial" w:hAnsi="Arial" w:cs="Arial"/>
              <w:sz w:val="24"/>
              <w:szCs w:val="24"/>
            </w:rPr>
            <w:t xml:space="preserve">the second figure, </w:t>
          </w:r>
          <w:r w:rsidR="005516C0" w:rsidRPr="003959F9">
            <w:rPr>
              <w:rFonts w:ascii="Arial" w:hAnsi="Arial" w:cs="Arial"/>
              <w:sz w:val="24"/>
              <w:szCs w:val="24"/>
            </w:rPr>
            <w:lastRenderedPageBreak/>
            <w:t xml:space="preserve">the results show that (1) </w:t>
          </w:r>
          <w:r w:rsidR="008D3C29" w:rsidRPr="003959F9">
            <w:rPr>
              <w:rFonts w:ascii="Arial" w:hAnsi="Arial" w:cs="Arial"/>
              <w:sz w:val="24"/>
              <w:szCs w:val="24"/>
            </w:rPr>
            <w:t>the G</w:t>
          </w:r>
          <w:r w:rsidR="005516C0" w:rsidRPr="003959F9">
            <w:rPr>
              <w:rFonts w:ascii="Arial" w:hAnsi="Arial" w:cs="Arial"/>
              <w:sz w:val="24"/>
              <w:szCs w:val="24"/>
            </w:rPr>
            <w:t xml:space="preserve">ross </w:t>
          </w:r>
          <w:r w:rsidR="008D3C29" w:rsidRPr="003959F9">
            <w:rPr>
              <w:rFonts w:ascii="Arial" w:hAnsi="Arial" w:cs="Arial"/>
              <w:sz w:val="24"/>
              <w:szCs w:val="24"/>
            </w:rPr>
            <w:t>P</w:t>
          </w:r>
          <w:r w:rsidR="005516C0" w:rsidRPr="003959F9">
            <w:rPr>
              <w:rFonts w:ascii="Arial" w:hAnsi="Arial" w:cs="Arial"/>
              <w:sz w:val="24"/>
              <w:szCs w:val="24"/>
            </w:rPr>
            <w:t xml:space="preserve">rofit </w:t>
          </w:r>
          <w:r w:rsidR="008D3C29" w:rsidRPr="003959F9">
            <w:rPr>
              <w:rFonts w:ascii="Arial" w:hAnsi="Arial" w:cs="Arial"/>
              <w:sz w:val="24"/>
              <w:szCs w:val="24"/>
            </w:rPr>
            <w:t>M</w:t>
          </w:r>
          <w:r w:rsidR="005516C0" w:rsidRPr="003959F9">
            <w:rPr>
              <w:rFonts w:ascii="Arial" w:hAnsi="Arial" w:cs="Arial"/>
              <w:sz w:val="24"/>
              <w:szCs w:val="24"/>
            </w:rPr>
            <w:t>argin has increased by 6.41%</w:t>
          </w:r>
          <w:r w:rsidR="008D3C29" w:rsidRPr="003959F9">
            <w:rPr>
              <w:rFonts w:ascii="Arial" w:hAnsi="Arial" w:cs="Arial"/>
              <w:sz w:val="24"/>
              <w:szCs w:val="24"/>
            </w:rPr>
            <w:t xml:space="preserve"> thus if the gross margin indicates that the pricing strategy is effective, or that the cost of sales is being properly managed. (2) The Net Profit Margin or NPM marked a growth of 5.68% compared to 2020, giving us positive figures, this represents the excess sales revenue during the period under observation over its cost, before </w:t>
          </w:r>
          <w:r w:rsidR="002B68A7" w:rsidRPr="003959F9">
            <w:rPr>
              <w:rFonts w:ascii="Arial" w:hAnsi="Arial" w:cs="Arial"/>
              <w:sz w:val="24"/>
              <w:szCs w:val="24"/>
            </w:rPr>
            <w:t>considering</w:t>
          </w:r>
          <w:r w:rsidR="008D3C29" w:rsidRPr="003959F9">
            <w:rPr>
              <w:rFonts w:ascii="Arial" w:hAnsi="Arial" w:cs="Arial"/>
              <w:sz w:val="24"/>
              <w:szCs w:val="24"/>
            </w:rPr>
            <w:t xml:space="preserve"> administration, sales and distribution, and financing charges. </w:t>
          </w:r>
        </w:p>
        <w:p w14:paraId="265A24D1" w14:textId="2AFB67F6" w:rsidR="007215FC" w:rsidRPr="003959F9" w:rsidRDefault="008D3C29" w:rsidP="00191E8F">
          <w:pPr>
            <w:spacing w:line="360" w:lineRule="auto"/>
            <w:jc w:val="both"/>
            <w:rPr>
              <w:rFonts w:ascii="Arial" w:hAnsi="Arial" w:cs="Arial"/>
              <w:sz w:val="24"/>
              <w:szCs w:val="24"/>
            </w:rPr>
          </w:pPr>
          <w:r w:rsidRPr="003959F9">
            <w:rPr>
              <w:rFonts w:ascii="Arial" w:hAnsi="Arial" w:cs="Arial"/>
              <w:sz w:val="24"/>
              <w:szCs w:val="24"/>
            </w:rPr>
            <w:t xml:space="preserve">(3) The ROE </w:t>
          </w:r>
          <w:r w:rsidR="002B68A7" w:rsidRPr="003959F9">
            <w:rPr>
              <w:rFonts w:ascii="Arial" w:hAnsi="Arial" w:cs="Arial"/>
              <w:sz w:val="24"/>
              <w:szCs w:val="24"/>
            </w:rPr>
            <w:t xml:space="preserve">or Return of Equity marks a remarkable growth in the year 2021 as can be seen in figure 1 the ROE rises by 15.63%. </w:t>
          </w:r>
          <w:r w:rsidR="00C815BF" w:rsidRPr="003959F9">
            <w:rPr>
              <w:rFonts w:ascii="Arial" w:hAnsi="Arial" w:cs="Arial"/>
              <w:sz w:val="24"/>
              <w:szCs w:val="24"/>
            </w:rPr>
            <w:t>This underlines that the higher the ROE, the higher the profitability that a company can generate in relation to the equity it uses to finance itself.</w:t>
          </w:r>
          <w:r w:rsidR="00D947BE" w:rsidRPr="003959F9">
            <w:rPr>
              <w:rFonts w:ascii="Arial" w:hAnsi="Arial" w:cs="Arial"/>
              <w:sz w:val="24"/>
              <w:szCs w:val="24"/>
            </w:rPr>
            <w:t xml:space="preserve"> (4) The Return on Investment, on the other hand, it also denotes a year-on-year increase in the process, from negative numbers to a rise of 7.45% in 2021. </w:t>
          </w:r>
        </w:p>
        <w:p w14:paraId="7B9741FF" w14:textId="60611BDA" w:rsidR="00D60643" w:rsidRPr="003959F9" w:rsidRDefault="00D60643" w:rsidP="00191E8F">
          <w:pPr>
            <w:spacing w:line="360" w:lineRule="auto"/>
            <w:jc w:val="both"/>
            <w:rPr>
              <w:rFonts w:ascii="Arial" w:hAnsi="Arial" w:cs="Arial"/>
              <w:sz w:val="24"/>
              <w:szCs w:val="24"/>
            </w:rPr>
          </w:pPr>
          <w:r w:rsidRPr="003959F9">
            <w:rPr>
              <w:rFonts w:ascii="Arial" w:hAnsi="Arial" w:cs="Arial"/>
              <w:sz w:val="24"/>
              <w:szCs w:val="24"/>
            </w:rPr>
            <w:t>Increasing ROI is one of the objectives of companies when undertaking any activity or making any investment with the aim of increasing turnover.</w:t>
          </w:r>
          <w:r w:rsidR="00F050A5" w:rsidRPr="003959F9">
            <w:rPr>
              <w:rFonts w:ascii="Arial" w:hAnsi="Arial" w:cs="Arial"/>
              <w:sz w:val="24"/>
              <w:szCs w:val="24"/>
            </w:rPr>
            <w:t xml:space="preserve"> (5) The Return on Assets</w:t>
          </w:r>
          <w:r w:rsidR="005B6C12" w:rsidRPr="003959F9">
            <w:rPr>
              <w:rFonts w:ascii="Arial" w:hAnsi="Arial" w:cs="Arial"/>
              <w:sz w:val="24"/>
              <w:szCs w:val="24"/>
            </w:rPr>
            <w:t xml:space="preserve"> increased by 3.22%. If this number continues to increase over time, it is an indicator that the company is earning more and more profit per dollar invested in assets. On the other hand, a decreasing ROA as seen in 2020 indicates that bad investments were made or that money was being mismanaged.</w:t>
          </w:r>
        </w:p>
        <w:p w14:paraId="1B690CC3" w14:textId="77777777" w:rsidR="007215FC" w:rsidRPr="003959F9" w:rsidRDefault="007215FC" w:rsidP="00191E8F">
          <w:pPr>
            <w:spacing w:line="360" w:lineRule="auto"/>
            <w:jc w:val="both"/>
            <w:rPr>
              <w:rFonts w:ascii="Arial" w:hAnsi="Arial" w:cs="Arial"/>
              <w:sz w:val="24"/>
              <w:szCs w:val="24"/>
            </w:rPr>
          </w:pPr>
        </w:p>
        <w:p w14:paraId="6CD58C45" w14:textId="25B5A342" w:rsidR="004D519C" w:rsidRPr="003959F9" w:rsidRDefault="004D519C" w:rsidP="00191E8F">
          <w:pPr>
            <w:pStyle w:val="Heading2"/>
            <w:spacing w:line="360" w:lineRule="auto"/>
            <w:jc w:val="both"/>
            <w:rPr>
              <w:rFonts w:ascii="Arial" w:hAnsi="Arial" w:cs="Arial"/>
              <w:sz w:val="24"/>
              <w:szCs w:val="24"/>
            </w:rPr>
          </w:pPr>
          <w:bookmarkStart w:id="6" w:name="_Toc121425725"/>
          <w:r w:rsidRPr="003959F9">
            <w:rPr>
              <w:rFonts w:ascii="Arial" w:hAnsi="Arial" w:cs="Arial"/>
              <w:sz w:val="24"/>
              <w:szCs w:val="24"/>
            </w:rPr>
            <w:t>Liquidity</w:t>
          </w:r>
          <w:bookmarkEnd w:id="6"/>
        </w:p>
        <w:p w14:paraId="0F23028C" w14:textId="2A65ECA1" w:rsidR="00666B35" w:rsidRPr="003959F9" w:rsidRDefault="00666B35" w:rsidP="00191E8F">
          <w:pPr>
            <w:spacing w:line="360" w:lineRule="auto"/>
            <w:jc w:val="both"/>
            <w:rPr>
              <w:rFonts w:ascii="Arial" w:hAnsi="Arial" w:cs="Arial"/>
              <w:sz w:val="24"/>
              <w:szCs w:val="24"/>
            </w:rPr>
          </w:pPr>
        </w:p>
        <w:p w14:paraId="1C6B33B3" w14:textId="50C2711B" w:rsidR="003227FF" w:rsidRPr="003959F9" w:rsidRDefault="003227FF" w:rsidP="00191E8F">
          <w:pPr>
            <w:spacing w:line="360" w:lineRule="auto"/>
            <w:jc w:val="both"/>
            <w:rPr>
              <w:rFonts w:ascii="Arial" w:hAnsi="Arial" w:cs="Arial"/>
              <w:sz w:val="24"/>
              <w:szCs w:val="24"/>
            </w:rPr>
          </w:pPr>
          <w:r w:rsidRPr="003959F9">
            <w:rPr>
              <w:rFonts w:ascii="Arial" w:hAnsi="Arial" w:cs="Arial"/>
              <w:sz w:val="24"/>
              <w:szCs w:val="24"/>
            </w:rPr>
            <w:t>Liquidity analysis is a ratio and indicator that relates two economic magnitudes at a given time, which also allows to check their evolution over time. It is used to measure, compare, and evaluate a variable that is interesting to analyse its behaviour for the development of the company.</w:t>
          </w:r>
        </w:p>
        <w:p w14:paraId="2333A578" w14:textId="649FAB38" w:rsidR="003227FF" w:rsidRPr="003959F9" w:rsidRDefault="003227FF" w:rsidP="00191E8F">
          <w:pPr>
            <w:spacing w:line="360" w:lineRule="auto"/>
            <w:jc w:val="both"/>
            <w:rPr>
              <w:rFonts w:ascii="Arial" w:hAnsi="Arial" w:cs="Arial"/>
              <w:sz w:val="24"/>
              <w:szCs w:val="24"/>
            </w:rPr>
          </w:pPr>
          <w:r w:rsidRPr="003959F9">
            <w:rPr>
              <w:rFonts w:ascii="Arial" w:hAnsi="Arial" w:cs="Arial"/>
              <w:sz w:val="24"/>
              <w:szCs w:val="24"/>
            </w:rPr>
            <w:t>To explain what the liquidity ratio is, what we are looking for is to measure the short-term payment capacity of a company and, depending on the result, to study its current situation and the possible risks of insolvency.</w:t>
          </w:r>
        </w:p>
        <w:p w14:paraId="5C7871DD" w14:textId="24AC86B7" w:rsidR="00880155" w:rsidRPr="003959F9" w:rsidRDefault="00880155" w:rsidP="00191E8F">
          <w:pPr>
            <w:spacing w:line="360" w:lineRule="auto"/>
            <w:jc w:val="both"/>
            <w:rPr>
              <w:rFonts w:ascii="Arial" w:hAnsi="Arial" w:cs="Arial"/>
              <w:sz w:val="24"/>
              <w:szCs w:val="24"/>
            </w:rPr>
          </w:pPr>
          <w:r w:rsidRPr="003959F9">
            <w:rPr>
              <w:rFonts w:ascii="Arial" w:hAnsi="Arial" w:cs="Arial"/>
              <w:sz w:val="24"/>
              <w:szCs w:val="24"/>
            </w:rPr>
            <w:t>According to John Maynard Keynes' theory (1935), liquid investments are easier to sell for full value. As per Liquidity Preference Theory, investors require progressively higher premiums on medium-term and long-term equities over short-term securities.</w:t>
          </w:r>
        </w:p>
        <w:p w14:paraId="09B8CE72" w14:textId="4C22D0BB" w:rsidR="003572A2" w:rsidRPr="003959F9" w:rsidRDefault="003572A2" w:rsidP="00191E8F">
          <w:pPr>
            <w:spacing w:line="360" w:lineRule="auto"/>
            <w:jc w:val="both"/>
            <w:rPr>
              <w:rFonts w:ascii="Arial" w:hAnsi="Arial" w:cs="Arial"/>
              <w:sz w:val="24"/>
              <w:szCs w:val="24"/>
            </w:rPr>
          </w:pPr>
          <w:r w:rsidRPr="003959F9">
            <w:rPr>
              <w:rFonts w:ascii="Arial" w:hAnsi="Arial" w:cs="Arial"/>
              <w:sz w:val="24"/>
              <w:szCs w:val="24"/>
            </w:rPr>
            <w:lastRenderedPageBreak/>
            <w:t xml:space="preserve">(1) Current Ratio </w:t>
          </w:r>
          <w:r w:rsidR="00E616A4" w:rsidRPr="003959F9">
            <w:rPr>
              <w:rFonts w:ascii="Arial" w:hAnsi="Arial" w:cs="Arial"/>
              <w:sz w:val="24"/>
              <w:szCs w:val="24"/>
            </w:rPr>
            <w:t xml:space="preserve">has increased by 0.07% establishing a very linear stability from year to year. (2) Quick ratio has decreased by 1.19%. (3) </w:t>
          </w:r>
          <w:r w:rsidR="003959F9" w:rsidRPr="003959F9">
            <w:rPr>
              <w:rFonts w:ascii="Arial" w:hAnsi="Arial" w:cs="Arial"/>
              <w:sz w:val="24"/>
              <w:szCs w:val="24"/>
            </w:rPr>
            <w:t>The Operating Cash Flow Ratio fell by 1.19% and remained in negative figures.</w:t>
          </w:r>
          <w:r w:rsidR="003959F9">
            <w:rPr>
              <w:rFonts w:ascii="Arial" w:hAnsi="Arial" w:cs="Arial"/>
              <w:sz w:val="24"/>
              <w:szCs w:val="24"/>
            </w:rPr>
            <w:t xml:space="preserve"> T</w:t>
          </w:r>
          <w:r w:rsidR="003959F9" w:rsidRPr="003959F9">
            <w:rPr>
              <w:rFonts w:ascii="Arial" w:hAnsi="Arial" w:cs="Arial"/>
              <w:sz w:val="24"/>
              <w:szCs w:val="24"/>
            </w:rPr>
            <w:t xml:space="preserve">he </w:t>
          </w:r>
          <w:r w:rsidR="003959F9">
            <w:rPr>
              <w:rFonts w:ascii="Arial" w:hAnsi="Arial" w:cs="Arial"/>
              <w:sz w:val="24"/>
              <w:szCs w:val="24"/>
            </w:rPr>
            <w:t>company</w:t>
          </w:r>
          <w:r w:rsidR="003959F9" w:rsidRPr="003959F9">
            <w:rPr>
              <w:rFonts w:ascii="Arial" w:hAnsi="Arial" w:cs="Arial"/>
              <w:sz w:val="24"/>
              <w:szCs w:val="24"/>
            </w:rPr>
            <w:t xml:space="preserve"> has not created enough currency to cover its current liabilities</w:t>
          </w:r>
          <w:r w:rsidR="003959F9">
            <w:rPr>
              <w:rFonts w:ascii="Arial" w:hAnsi="Arial" w:cs="Arial"/>
              <w:sz w:val="24"/>
              <w:szCs w:val="24"/>
            </w:rPr>
            <w:t>.</w:t>
          </w:r>
        </w:p>
        <w:p w14:paraId="5189C028" w14:textId="175AEA8D" w:rsidR="00666B35" w:rsidRDefault="003959F9" w:rsidP="00191E8F">
          <w:pPr>
            <w:spacing w:line="360" w:lineRule="auto"/>
            <w:jc w:val="both"/>
            <w:rPr>
              <w:rFonts w:ascii="Arial" w:hAnsi="Arial" w:cs="Arial"/>
              <w:color w:val="111111"/>
              <w:spacing w:val="1"/>
              <w:sz w:val="24"/>
              <w:szCs w:val="24"/>
              <w:shd w:val="clear" w:color="auto" w:fill="FFFFFF"/>
            </w:rPr>
          </w:pPr>
          <w:r w:rsidRPr="003959F9">
            <w:rPr>
              <w:rFonts w:ascii="Arial" w:hAnsi="Arial" w:cs="Arial"/>
              <w:sz w:val="24"/>
              <w:szCs w:val="24"/>
            </w:rPr>
            <w:t>It is important to bear in mind that cash flow provides important indicators of a company's financial health and provides valuable information about a company's ability to pay its debts. It is important to note that cash flow does not measure a company's profit or loss, but rather the balance resulting from its activity, whether it generates profit or loss.</w:t>
          </w:r>
          <w:r w:rsidR="004756F0">
            <w:rPr>
              <w:rFonts w:ascii="Arial" w:hAnsi="Arial" w:cs="Arial"/>
              <w:sz w:val="24"/>
              <w:szCs w:val="24"/>
            </w:rPr>
            <w:t xml:space="preserve"> T</w:t>
          </w:r>
          <w:r w:rsidR="00E616A4" w:rsidRPr="003959F9">
            <w:rPr>
              <w:rFonts w:ascii="Arial" w:hAnsi="Arial" w:cs="Arial"/>
              <w:color w:val="111111"/>
              <w:spacing w:val="1"/>
              <w:sz w:val="24"/>
              <w:szCs w:val="24"/>
              <w:shd w:val="clear" w:color="auto" w:fill="FFFFFF"/>
            </w:rPr>
            <w:t>he more quickly an asset can be converted into currency, the more liquid it becomes.</w:t>
          </w:r>
        </w:p>
        <w:p w14:paraId="15E4D102" w14:textId="77777777" w:rsidR="00DC38D0" w:rsidRPr="007215FC" w:rsidRDefault="00DC38D0" w:rsidP="00191E8F">
          <w:pPr>
            <w:spacing w:line="360" w:lineRule="auto"/>
            <w:jc w:val="both"/>
            <w:rPr>
              <w:rFonts w:ascii="Arial" w:hAnsi="Arial" w:cs="Arial"/>
              <w:sz w:val="24"/>
              <w:szCs w:val="24"/>
            </w:rPr>
          </w:pPr>
        </w:p>
        <w:p w14:paraId="76DC4E55" w14:textId="1B1FC393" w:rsidR="004D519C" w:rsidRPr="007215FC" w:rsidRDefault="004D519C" w:rsidP="00191E8F">
          <w:pPr>
            <w:pStyle w:val="Heading2"/>
            <w:spacing w:line="360" w:lineRule="auto"/>
            <w:jc w:val="both"/>
            <w:rPr>
              <w:rFonts w:ascii="Arial" w:hAnsi="Arial" w:cs="Arial"/>
              <w:sz w:val="24"/>
              <w:szCs w:val="24"/>
            </w:rPr>
          </w:pPr>
          <w:bookmarkStart w:id="7" w:name="_Toc121425726"/>
          <w:r w:rsidRPr="007215FC">
            <w:rPr>
              <w:rFonts w:ascii="Arial" w:hAnsi="Arial" w:cs="Arial"/>
              <w:sz w:val="24"/>
              <w:szCs w:val="24"/>
            </w:rPr>
            <w:t>Gearing</w:t>
          </w:r>
          <w:bookmarkEnd w:id="7"/>
        </w:p>
        <w:p w14:paraId="7376E9C4" w14:textId="6E1D6794" w:rsidR="00EE62F0" w:rsidRDefault="00EE62F0" w:rsidP="00191E8F">
          <w:pPr>
            <w:spacing w:line="360" w:lineRule="auto"/>
            <w:jc w:val="both"/>
            <w:rPr>
              <w:rFonts w:ascii="Arial" w:hAnsi="Arial" w:cs="Arial"/>
              <w:sz w:val="24"/>
              <w:szCs w:val="24"/>
            </w:rPr>
          </w:pPr>
        </w:p>
        <w:p w14:paraId="791B8795" w14:textId="3EAE8EA7" w:rsidR="00EA48DE" w:rsidRDefault="00EA48DE" w:rsidP="00191E8F">
          <w:pPr>
            <w:spacing w:line="360" w:lineRule="auto"/>
            <w:jc w:val="both"/>
            <w:rPr>
              <w:rFonts w:ascii="Arial" w:hAnsi="Arial" w:cs="Arial"/>
              <w:sz w:val="24"/>
              <w:szCs w:val="24"/>
            </w:rPr>
          </w:pPr>
          <w:r w:rsidRPr="00EA48DE">
            <w:rPr>
              <w:rFonts w:ascii="Arial" w:hAnsi="Arial" w:cs="Arial"/>
              <w:sz w:val="24"/>
              <w:szCs w:val="24"/>
            </w:rPr>
            <w:t>Financial analysts commonly use the gearing ratio to understand a company's overall capital structure by dividing total debt by total equity. The higher the ratio, the greater the likelihood of default and, as a result, the greater the impediment to the company's growth. Likewise, the lower the ratio, the better. There are also other formulas that compare owner equity to long-term or short-term debt.</w:t>
          </w:r>
        </w:p>
        <w:p w14:paraId="49A36460" w14:textId="75C24008" w:rsidR="00EA48DE" w:rsidRDefault="00EA48DE" w:rsidP="00191E8F">
          <w:pPr>
            <w:spacing w:line="360" w:lineRule="auto"/>
            <w:jc w:val="both"/>
            <w:rPr>
              <w:rFonts w:ascii="Arial" w:hAnsi="Arial" w:cs="Arial"/>
              <w:sz w:val="24"/>
              <w:szCs w:val="24"/>
            </w:rPr>
          </w:pPr>
          <w:r>
            <w:rPr>
              <w:rFonts w:ascii="Arial" w:hAnsi="Arial" w:cs="Arial"/>
              <w:sz w:val="24"/>
              <w:szCs w:val="24"/>
            </w:rPr>
            <w:t xml:space="preserve">According to figure </w:t>
          </w:r>
          <w:r w:rsidR="00226708">
            <w:rPr>
              <w:rFonts w:ascii="Arial" w:hAnsi="Arial" w:cs="Arial"/>
              <w:sz w:val="24"/>
              <w:szCs w:val="24"/>
            </w:rPr>
            <w:t xml:space="preserve">2, </w:t>
          </w:r>
          <w:r w:rsidR="00226708" w:rsidRPr="00226708">
            <w:rPr>
              <w:rFonts w:ascii="Arial" w:hAnsi="Arial" w:cs="Arial"/>
              <w:sz w:val="24"/>
              <w:szCs w:val="24"/>
            </w:rPr>
            <w:t xml:space="preserve">the following can be analysed: (1) </w:t>
          </w:r>
          <w:r w:rsidR="00226708">
            <w:rPr>
              <w:rFonts w:ascii="Arial" w:hAnsi="Arial" w:cs="Arial"/>
              <w:sz w:val="24"/>
              <w:szCs w:val="24"/>
            </w:rPr>
            <w:t>T</w:t>
          </w:r>
          <w:r w:rsidR="00226708" w:rsidRPr="00226708">
            <w:rPr>
              <w:rFonts w:ascii="Arial" w:hAnsi="Arial" w:cs="Arial"/>
              <w:sz w:val="24"/>
              <w:szCs w:val="24"/>
            </w:rPr>
            <w:t>he Debt / Equity Ratio managed to lower its annual figure by 17%. While if we analyse (2) Long Term Debt / Equity it remains in the same line with a slight decrease of 0.09%.</w:t>
          </w:r>
          <w:r w:rsidR="00CD46C5">
            <w:rPr>
              <w:rFonts w:ascii="Arial" w:hAnsi="Arial" w:cs="Arial"/>
              <w:sz w:val="24"/>
              <w:szCs w:val="24"/>
            </w:rPr>
            <w:t xml:space="preserve"> (3) EBIT Margin / Interest Cost has increased by 12% </w:t>
          </w:r>
          <w:r w:rsidR="00DB7CB6">
            <w:rPr>
              <w:rFonts w:ascii="Arial" w:hAnsi="Arial" w:cs="Arial"/>
              <w:sz w:val="24"/>
              <w:szCs w:val="24"/>
            </w:rPr>
            <w:t xml:space="preserve">- </w:t>
          </w:r>
          <w:r w:rsidR="00DB7CB6" w:rsidRPr="00DB7CB6">
            <w:rPr>
              <w:rFonts w:ascii="Arial" w:hAnsi="Arial" w:cs="Arial"/>
              <w:sz w:val="24"/>
              <w:szCs w:val="24"/>
            </w:rPr>
            <w:t>Therefore</w:t>
          </w:r>
          <w:r w:rsidR="00DB7CB6">
            <w:rPr>
              <w:rFonts w:ascii="Arial" w:hAnsi="Arial" w:cs="Arial"/>
              <w:sz w:val="24"/>
              <w:szCs w:val="24"/>
            </w:rPr>
            <w:t>, the G</w:t>
          </w:r>
          <w:r w:rsidR="00DB7CB6" w:rsidRPr="00DB7CB6">
            <w:rPr>
              <w:rFonts w:ascii="Arial" w:hAnsi="Arial" w:cs="Arial"/>
              <w:sz w:val="24"/>
              <w:szCs w:val="24"/>
            </w:rPr>
            <w:t>earing has a lower impact on interest coverage ratios that are comfortable.</w:t>
          </w:r>
        </w:p>
        <w:p w14:paraId="6EE1F914" w14:textId="77777777" w:rsidR="00EA48DE" w:rsidRDefault="00EA48DE" w:rsidP="00191E8F">
          <w:pPr>
            <w:spacing w:line="360" w:lineRule="auto"/>
            <w:jc w:val="both"/>
            <w:rPr>
              <w:rFonts w:ascii="Arial" w:hAnsi="Arial" w:cs="Arial"/>
              <w:sz w:val="24"/>
              <w:szCs w:val="24"/>
            </w:rPr>
          </w:pPr>
        </w:p>
        <w:bookmarkEnd w:id="4"/>
        <w:p w14:paraId="66417325" w14:textId="2C44A230" w:rsidR="00EE62F0" w:rsidRDefault="00EE62F0" w:rsidP="00191E8F">
          <w:pPr>
            <w:spacing w:line="360" w:lineRule="auto"/>
            <w:jc w:val="both"/>
            <w:rPr>
              <w:rFonts w:ascii="Arial" w:hAnsi="Arial" w:cs="Arial"/>
              <w:sz w:val="24"/>
              <w:szCs w:val="24"/>
            </w:rPr>
          </w:pPr>
        </w:p>
        <w:p w14:paraId="441F9571" w14:textId="10FD0BF0" w:rsidR="00EE62F0" w:rsidRDefault="00EE62F0" w:rsidP="00191E8F">
          <w:pPr>
            <w:spacing w:line="360" w:lineRule="auto"/>
            <w:jc w:val="both"/>
            <w:rPr>
              <w:rFonts w:ascii="Arial" w:hAnsi="Arial" w:cs="Arial"/>
              <w:sz w:val="24"/>
              <w:szCs w:val="24"/>
            </w:rPr>
          </w:pPr>
        </w:p>
        <w:p w14:paraId="56BFB0C8" w14:textId="77777777" w:rsidR="00191E8F" w:rsidRDefault="00191E8F" w:rsidP="00191E8F">
          <w:pPr>
            <w:spacing w:line="360" w:lineRule="auto"/>
            <w:jc w:val="both"/>
            <w:rPr>
              <w:rFonts w:ascii="Arial" w:hAnsi="Arial" w:cs="Arial"/>
              <w:sz w:val="24"/>
              <w:szCs w:val="24"/>
            </w:rPr>
          </w:pPr>
        </w:p>
        <w:p w14:paraId="387188D5" w14:textId="77777777" w:rsidR="00EE62F0" w:rsidRPr="007215FC" w:rsidRDefault="00EE62F0" w:rsidP="00191E8F">
          <w:pPr>
            <w:spacing w:line="360" w:lineRule="auto"/>
            <w:jc w:val="both"/>
            <w:rPr>
              <w:rFonts w:ascii="Arial" w:hAnsi="Arial" w:cs="Arial"/>
              <w:sz w:val="24"/>
              <w:szCs w:val="24"/>
            </w:rPr>
          </w:pPr>
        </w:p>
        <w:p w14:paraId="6D469E22" w14:textId="6F6EFA7D" w:rsidR="00AA2A91" w:rsidRDefault="00AA2A91" w:rsidP="00191E8F">
          <w:pPr>
            <w:pStyle w:val="Heading1"/>
            <w:spacing w:line="360" w:lineRule="auto"/>
            <w:jc w:val="both"/>
            <w:rPr>
              <w:rFonts w:ascii="Arial" w:hAnsi="Arial" w:cs="Arial"/>
              <w:sz w:val="24"/>
              <w:szCs w:val="24"/>
            </w:rPr>
          </w:pPr>
          <w:bookmarkStart w:id="8" w:name="_Toc121425727"/>
          <w:r w:rsidRPr="007215FC">
            <w:rPr>
              <w:rFonts w:ascii="Arial" w:hAnsi="Arial" w:cs="Arial"/>
              <w:sz w:val="24"/>
              <w:szCs w:val="24"/>
            </w:rPr>
            <w:lastRenderedPageBreak/>
            <w:t>Knowledge from Ratio Analysis</w:t>
          </w:r>
          <w:bookmarkEnd w:id="8"/>
        </w:p>
        <w:p w14:paraId="0F8C873F" w14:textId="77777777" w:rsidR="00741B73" w:rsidRPr="00741B73" w:rsidRDefault="00741B73" w:rsidP="00191E8F">
          <w:pPr>
            <w:spacing w:line="360" w:lineRule="auto"/>
            <w:jc w:val="both"/>
          </w:pPr>
        </w:p>
        <w:p w14:paraId="458C5FF7" w14:textId="0B78DC6F" w:rsidR="00A91230" w:rsidRPr="00906605" w:rsidRDefault="00741B73" w:rsidP="00191E8F">
          <w:pPr>
            <w:spacing w:line="360" w:lineRule="auto"/>
            <w:jc w:val="both"/>
            <w:rPr>
              <w:rFonts w:ascii="Arial" w:hAnsi="Arial" w:cs="Arial"/>
              <w:sz w:val="24"/>
              <w:szCs w:val="24"/>
            </w:rPr>
          </w:pPr>
          <w:r w:rsidRPr="00906605">
            <w:rPr>
              <w:rFonts w:ascii="Arial" w:hAnsi="Arial" w:cs="Arial"/>
              <w:sz w:val="24"/>
              <w:szCs w:val="24"/>
            </w:rPr>
            <w:t>The hospitality sector is a large branch of the service sector that includes smaller divisions such as resorts and accommodation, special events, entertainment venues, logistics, shipping companies, and other tourism-related fields.</w:t>
          </w:r>
        </w:p>
        <w:p w14:paraId="2C0774C5" w14:textId="2AC24E22" w:rsidR="00A91230" w:rsidRPr="00906605" w:rsidRDefault="00906605" w:rsidP="00191E8F">
          <w:pPr>
            <w:spacing w:line="360" w:lineRule="auto"/>
            <w:jc w:val="both"/>
            <w:rPr>
              <w:rFonts w:ascii="Arial" w:hAnsi="Arial" w:cs="Arial"/>
              <w:b/>
              <w:bCs/>
              <w:sz w:val="24"/>
              <w:szCs w:val="24"/>
            </w:rPr>
          </w:pPr>
          <w:r w:rsidRPr="00906605">
            <w:rPr>
              <w:rFonts w:ascii="Arial" w:hAnsi="Arial" w:cs="Arial"/>
              <w:sz w:val="24"/>
              <w:szCs w:val="24"/>
            </w:rPr>
            <w:t xml:space="preserve">Since the hospitality industry is so broad, it is critical to develop a set of ratios that can be employed to evaluate businesses throughout the industry. A very particular set of economic ratios is needed to accurately examine the sector and the success of individual organisations. There are various types of financial ratios that each company uses based on its industry or specific needs. In any case, they all respond to the same criterion: to analyse the economic situation </w:t>
          </w:r>
          <w:r w:rsidR="00A44D31" w:rsidRPr="00906605">
            <w:rPr>
              <w:rFonts w:ascii="Arial" w:hAnsi="Arial" w:cs="Arial"/>
              <w:sz w:val="24"/>
              <w:szCs w:val="24"/>
            </w:rPr>
            <w:t>to</w:t>
          </w:r>
          <w:r w:rsidRPr="00906605">
            <w:rPr>
              <w:rFonts w:ascii="Arial" w:hAnsi="Arial" w:cs="Arial"/>
              <w:sz w:val="24"/>
              <w:szCs w:val="24"/>
            </w:rPr>
            <w:t xml:space="preserve"> evaluate and then adjust the management points of improvement </w:t>
          </w:r>
          <w:r w:rsidR="00A44D31" w:rsidRPr="00906605">
            <w:rPr>
              <w:rFonts w:ascii="Arial" w:hAnsi="Arial" w:cs="Arial"/>
              <w:sz w:val="24"/>
              <w:szCs w:val="24"/>
            </w:rPr>
            <w:t>to</w:t>
          </w:r>
          <w:r w:rsidRPr="00906605">
            <w:rPr>
              <w:rFonts w:ascii="Arial" w:hAnsi="Arial" w:cs="Arial"/>
              <w:sz w:val="24"/>
              <w:szCs w:val="24"/>
            </w:rPr>
            <w:t xml:space="preserve"> make the right decisions.</w:t>
          </w:r>
          <w:r>
            <w:rPr>
              <w:rFonts w:ascii="Arial" w:hAnsi="Arial" w:cs="Arial"/>
              <w:sz w:val="24"/>
              <w:szCs w:val="24"/>
            </w:rPr>
            <w:t xml:space="preserve"> </w:t>
          </w:r>
          <w:r w:rsidRPr="00906605">
            <w:rPr>
              <w:rFonts w:ascii="Arial" w:hAnsi="Arial" w:cs="Arial"/>
              <w:sz w:val="24"/>
              <w:szCs w:val="24"/>
            </w:rPr>
            <w:t>The following are crucial financial ratios to evaluate companies in the hospitality industry</w:t>
          </w:r>
          <w:r>
            <w:rPr>
              <w:rFonts w:ascii="Arial" w:hAnsi="Arial" w:cs="Arial"/>
              <w:sz w:val="24"/>
              <w:szCs w:val="24"/>
            </w:rPr>
            <w:t>:</w:t>
          </w:r>
        </w:p>
        <w:p w14:paraId="261AFCA1" w14:textId="1019C5AD" w:rsidR="00906605" w:rsidRDefault="00906605" w:rsidP="00191E8F">
          <w:pPr>
            <w:pStyle w:val="ListParagraph"/>
            <w:numPr>
              <w:ilvl w:val="0"/>
              <w:numId w:val="1"/>
            </w:numPr>
            <w:spacing w:line="360" w:lineRule="auto"/>
            <w:jc w:val="both"/>
            <w:rPr>
              <w:rFonts w:ascii="Arial" w:hAnsi="Arial" w:cs="Arial"/>
              <w:sz w:val="24"/>
              <w:szCs w:val="24"/>
            </w:rPr>
          </w:pPr>
          <w:r w:rsidRPr="00906605">
            <w:rPr>
              <w:rFonts w:ascii="Arial" w:hAnsi="Arial" w:cs="Arial"/>
              <w:b/>
              <w:bCs/>
              <w:sz w:val="24"/>
              <w:szCs w:val="24"/>
            </w:rPr>
            <w:t>Financial Leverage Ratios.</w:t>
          </w:r>
          <w:r>
            <w:rPr>
              <w:rFonts w:ascii="Arial" w:hAnsi="Arial" w:cs="Arial"/>
              <w:sz w:val="24"/>
              <w:szCs w:val="24"/>
            </w:rPr>
            <w:t xml:space="preserve"> </w:t>
          </w:r>
          <w:r w:rsidRPr="00906605">
            <w:rPr>
              <w:rFonts w:ascii="Arial" w:hAnsi="Arial" w:cs="Arial"/>
              <w:sz w:val="24"/>
              <w:szCs w:val="24"/>
            </w:rPr>
            <w:t>The financial ratio is one of the essential items to be able to respond effectively to short-term debts. It is the sum of available cash (money that can be used immediately), and realisable cash (i.e., those assets that can be quickly converted into cash). Current liabilities (expenses to be paid in a short period of time) must be subtracted from this.</w:t>
          </w:r>
        </w:p>
        <w:p w14:paraId="47C12A6E" w14:textId="06B86C77" w:rsidR="00906605" w:rsidRPr="00BA7A16" w:rsidRDefault="00906605" w:rsidP="00191E8F">
          <w:pPr>
            <w:pStyle w:val="ListParagraph"/>
            <w:numPr>
              <w:ilvl w:val="0"/>
              <w:numId w:val="1"/>
            </w:numPr>
            <w:spacing w:line="360" w:lineRule="auto"/>
            <w:jc w:val="both"/>
            <w:rPr>
              <w:rFonts w:ascii="Arial" w:hAnsi="Arial" w:cs="Arial"/>
              <w:b/>
              <w:bCs/>
              <w:sz w:val="24"/>
              <w:szCs w:val="24"/>
            </w:rPr>
          </w:pPr>
          <w:r w:rsidRPr="00906605">
            <w:rPr>
              <w:rFonts w:ascii="Arial" w:hAnsi="Arial" w:cs="Arial"/>
              <w:b/>
              <w:bCs/>
              <w:sz w:val="24"/>
              <w:szCs w:val="24"/>
            </w:rPr>
            <w:t>Liquidity Ratios</w:t>
          </w:r>
          <w:r>
            <w:rPr>
              <w:rFonts w:ascii="Arial" w:hAnsi="Arial" w:cs="Arial"/>
              <w:b/>
              <w:bCs/>
              <w:sz w:val="24"/>
              <w:szCs w:val="24"/>
            </w:rPr>
            <w:t xml:space="preserve">. </w:t>
          </w:r>
          <w:r w:rsidR="00BA7A16" w:rsidRPr="00BA7A16">
            <w:rPr>
              <w:rFonts w:ascii="Arial" w:hAnsi="Arial" w:cs="Arial"/>
              <w:sz w:val="24"/>
              <w:szCs w:val="24"/>
            </w:rPr>
            <w:t>The sum of cash on hand plus cash receivable from customers and inventories is the key formula. All of this must be balanced against the short- and long-term liabilities. Since the hospitality industry requires a large amount of cash flow and has many short-term financial obligations to meet, liquidity ratios are an important part of the company's evaluation.</w:t>
          </w:r>
        </w:p>
        <w:p w14:paraId="27D831D8" w14:textId="66F85765" w:rsidR="00BD355C" w:rsidRDefault="00A3284F" w:rsidP="00191E8F">
          <w:pPr>
            <w:pStyle w:val="ListParagraph"/>
            <w:numPr>
              <w:ilvl w:val="0"/>
              <w:numId w:val="1"/>
            </w:numPr>
            <w:spacing w:line="360" w:lineRule="auto"/>
            <w:jc w:val="both"/>
            <w:rPr>
              <w:rFonts w:ascii="Arial" w:hAnsi="Arial" w:cs="Arial"/>
              <w:sz w:val="24"/>
              <w:szCs w:val="24"/>
            </w:rPr>
          </w:pPr>
          <w:r w:rsidRPr="00A3284F">
            <w:rPr>
              <w:rFonts w:ascii="Arial" w:hAnsi="Arial" w:cs="Arial"/>
              <w:b/>
              <w:bCs/>
              <w:sz w:val="24"/>
              <w:szCs w:val="24"/>
            </w:rPr>
            <w:t>Profitability Ratios</w:t>
          </w:r>
          <w:r>
            <w:rPr>
              <w:rFonts w:ascii="Arial" w:hAnsi="Arial" w:cs="Arial"/>
              <w:b/>
              <w:bCs/>
              <w:sz w:val="24"/>
              <w:szCs w:val="24"/>
            </w:rPr>
            <w:t>.</w:t>
          </w:r>
          <w:r w:rsidR="004F7422" w:rsidRPr="004F7422">
            <w:t xml:space="preserve"> </w:t>
          </w:r>
          <w:r w:rsidR="004F7422" w:rsidRPr="004F7422">
            <w:rPr>
              <w:rFonts w:ascii="Arial" w:hAnsi="Arial" w:cs="Arial"/>
              <w:sz w:val="24"/>
              <w:szCs w:val="24"/>
            </w:rPr>
            <w:t>One of the most important financial ratios in business management is profitability, which is established by the relationship between the resources invested and the profits generated.</w:t>
          </w:r>
          <w:r w:rsidR="004F7422">
            <w:rPr>
              <w:rFonts w:ascii="Arial" w:hAnsi="Arial" w:cs="Arial"/>
              <w:sz w:val="24"/>
              <w:szCs w:val="24"/>
            </w:rPr>
            <w:t xml:space="preserve"> </w:t>
          </w:r>
          <w:r w:rsidR="004F7422" w:rsidRPr="004F7422">
            <w:rPr>
              <w:rFonts w:ascii="Arial" w:hAnsi="Arial" w:cs="Arial"/>
              <w:sz w:val="24"/>
              <w:szCs w:val="24"/>
            </w:rPr>
            <w:t>A company will be more profitable if it can generate more profit with the same or fewer resources. We have formulas that give us a global view of this important business data, which is very important for the analysis of good hotel management, to establish the profitability ratio.</w:t>
          </w:r>
        </w:p>
        <w:p w14:paraId="603DA6F7" w14:textId="77777777" w:rsidR="00CB19CB" w:rsidRDefault="00CB19CB" w:rsidP="00CB19CB">
          <w:pPr>
            <w:pStyle w:val="ListParagraph"/>
            <w:spacing w:line="360" w:lineRule="auto"/>
            <w:ind w:left="360"/>
            <w:jc w:val="both"/>
            <w:rPr>
              <w:rFonts w:ascii="Arial" w:hAnsi="Arial" w:cs="Arial"/>
              <w:sz w:val="24"/>
              <w:szCs w:val="24"/>
            </w:rPr>
          </w:pPr>
        </w:p>
        <w:p w14:paraId="493CA407" w14:textId="77777777" w:rsidR="00BD355C" w:rsidRPr="00BD355C" w:rsidRDefault="00BD355C" w:rsidP="00191E8F">
          <w:pPr>
            <w:pStyle w:val="ListParagraph"/>
            <w:spacing w:line="360" w:lineRule="auto"/>
            <w:ind w:left="360"/>
            <w:jc w:val="both"/>
            <w:rPr>
              <w:rFonts w:ascii="Arial" w:hAnsi="Arial" w:cs="Arial"/>
              <w:sz w:val="24"/>
              <w:szCs w:val="24"/>
            </w:rPr>
          </w:pPr>
        </w:p>
        <w:p w14:paraId="34BB229B" w14:textId="2903F3DE" w:rsidR="00AA2A91" w:rsidRPr="007215FC" w:rsidRDefault="00AA2A91" w:rsidP="00191E8F">
          <w:pPr>
            <w:pStyle w:val="Heading1"/>
            <w:spacing w:line="360" w:lineRule="auto"/>
            <w:jc w:val="both"/>
            <w:rPr>
              <w:rFonts w:ascii="Arial" w:hAnsi="Arial" w:cs="Arial"/>
              <w:sz w:val="24"/>
              <w:szCs w:val="24"/>
            </w:rPr>
          </w:pPr>
          <w:bookmarkStart w:id="9" w:name="_Toc121425728"/>
          <w:r w:rsidRPr="007215FC">
            <w:rPr>
              <w:rFonts w:ascii="Arial" w:hAnsi="Arial" w:cs="Arial"/>
              <w:sz w:val="24"/>
              <w:szCs w:val="24"/>
            </w:rPr>
            <w:lastRenderedPageBreak/>
            <w:t>Benefits and Limitations of Ratio Analysis</w:t>
          </w:r>
          <w:bookmarkEnd w:id="9"/>
        </w:p>
        <w:p w14:paraId="0A2B6C5A" w14:textId="329936A6" w:rsidR="00284F1F" w:rsidRDefault="00284F1F" w:rsidP="00191E8F">
          <w:pPr>
            <w:spacing w:line="360" w:lineRule="auto"/>
            <w:jc w:val="both"/>
            <w:rPr>
              <w:rFonts w:ascii="Arial" w:hAnsi="Arial" w:cs="Arial"/>
              <w:sz w:val="24"/>
              <w:szCs w:val="24"/>
            </w:rPr>
          </w:pPr>
        </w:p>
        <w:p w14:paraId="7AB990CA" w14:textId="51F4F9FE" w:rsidR="00F602BE" w:rsidRPr="00F602BE" w:rsidRDefault="00F602BE" w:rsidP="00191E8F">
          <w:pPr>
            <w:spacing w:line="360" w:lineRule="auto"/>
            <w:jc w:val="both"/>
            <w:rPr>
              <w:rFonts w:ascii="Arial" w:hAnsi="Arial" w:cs="Arial"/>
              <w:sz w:val="24"/>
              <w:szCs w:val="24"/>
            </w:rPr>
          </w:pPr>
          <w:r w:rsidRPr="00F602BE">
            <w:rPr>
              <w:rFonts w:ascii="Arial" w:hAnsi="Arial" w:cs="Arial"/>
              <w:sz w:val="24"/>
              <w:szCs w:val="24"/>
            </w:rPr>
            <w:t xml:space="preserve">The advantages of Ratio Analysis are numerous, the most important of which is the ability to calculate the return on investment and determine </w:t>
          </w:r>
          <w:r w:rsidR="00BF2EF6" w:rsidRPr="00F602BE">
            <w:rPr>
              <w:rFonts w:ascii="Arial" w:hAnsi="Arial" w:cs="Arial"/>
              <w:sz w:val="24"/>
              <w:szCs w:val="24"/>
            </w:rPr>
            <w:t>whether</w:t>
          </w:r>
          <w:r w:rsidRPr="00F602BE">
            <w:rPr>
              <w:rFonts w:ascii="Arial" w:hAnsi="Arial" w:cs="Arial"/>
              <w:sz w:val="24"/>
              <w:szCs w:val="24"/>
            </w:rPr>
            <w:t xml:space="preserve"> a business is viable.</w:t>
          </w:r>
        </w:p>
        <w:p w14:paraId="69E34AB0" w14:textId="3798BFE2" w:rsidR="00F602BE" w:rsidRPr="00F602BE" w:rsidRDefault="00F602BE" w:rsidP="00191E8F">
          <w:pPr>
            <w:spacing w:line="360" w:lineRule="auto"/>
            <w:jc w:val="both"/>
            <w:rPr>
              <w:rFonts w:ascii="Arial" w:hAnsi="Arial" w:cs="Arial"/>
              <w:sz w:val="24"/>
              <w:szCs w:val="24"/>
            </w:rPr>
          </w:pPr>
          <w:r w:rsidRPr="00F602BE">
            <w:rPr>
              <w:rFonts w:ascii="Arial" w:hAnsi="Arial" w:cs="Arial"/>
              <w:sz w:val="24"/>
              <w:szCs w:val="24"/>
            </w:rPr>
            <w:t>With all this information, reports can be created to compare different years or companies to determine how the company is developing and how it compares to its industry.</w:t>
          </w:r>
          <w:r>
            <w:rPr>
              <w:rFonts w:ascii="Arial" w:hAnsi="Arial" w:cs="Arial"/>
              <w:sz w:val="24"/>
              <w:szCs w:val="24"/>
            </w:rPr>
            <w:t xml:space="preserve"> </w:t>
          </w:r>
          <w:r w:rsidRPr="00F602BE">
            <w:rPr>
              <w:rFonts w:ascii="Arial" w:hAnsi="Arial" w:cs="Arial"/>
              <w:sz w:val="24"/>
              <w:szCs w:val="24"/>
            </w:rPr>
            <w:t>The primary purpose of these reports is to provide information to interested parties, such as those making business decisions or investing in the company.</w:t>
          </w:r>
        </w:p>
        <w:p w14:paraId="3EE87C95" w14:textId="7530B216" w:rsidR="004D519C" w:rsidRDefault="00F602BE" w:rsidP="00191E8F">
          <w:pPr>
            <w:spacing w:line="360" w:lineRule="auto"/>
            <w:jc w:val="both"/>
            <w:rPr>
              <w:rFonts w:ascii="Arial" w:hAnsi="Arial" w:cs="Arial"/>
              <w:sz w:val="24"/>
              <w:szCs w:val="24"/>
            </w:rPr>
          </w:pPr>
          <w:r w:rsidRPr="00F602BE">
            <w:rPr>
              <w:rFonts w:ascii="Arial" w:hAnsi="Arial" w:cs="Arial"/>
              <w:sz w:val="24"/>
              <w:szCs w:val="24"/>
            </w:rPr>
            <w:t xml:space="preserve">The following are the primary </w:t>
          </w:r>
          <w:r w:rsidR="00A56AF7">
            <w:rPr>
              <w:rFonts w:ascii="Arial" w:hAnsi="Arial" w:cs="Arial"/>
              <w:sz w:val="24"/>
              <w:szCs w:val="24"/>
            </w:rPr>
            <w:t xml:space="preserve">benefits </w:t>
          </w:r>
          <w:r w:rsidRPr="00F602BE">
            <w:rPr>
              <w:rFonts w:ascii="Arial" w:hAnsi="Arial" w:cs="Arial"/>
              <w:sz w:val="24"/>
              <w:szCs w:val="24"/>
            </w:rPr>
            <w:t>of financial analysis data:</w:t>
          </w:r>
        </w:p>
        <w:p w14:paraId="09B82434" w14:textId="286AE7C5" w:rsidR="00A56AF7" w:rsidRPr="00A56AF7" w:rsidRDefault="00A56AF7" w:rsidP="00191E8F">
          <w:pPr>
            <w:pStyle w:val="ListParagraph"/>
            <w:numPr>
              <w:ilvl w:val="0"/>
              <w:numId w:val="2"/>
            </w:numPr>
            <w:spacing w:line="360" w:lineRule="auto"/>
            <w:jc w:val="both"/>
            <w:rPr>
              <w:rFonts w:ascii="Arial" w:hAnsi="Arial" w:cs="Arial"/>
              <w:sz w:val="24"/>
              <w:szCs w:val="24"/>
            </w:rPr>
          </w:pPr>
          <w:r w:rsidRPr="00A56AF7">
            <w:rPr>
              <w:rFonts w:ascii="Arial" w:hAnsi="Arial" w:cs="Arial"/>
              <w:sz w:val="24"/>
              <w:szCs w:val="24"/>
            </w:rPr>
            <w:t>Your analysis will increase productivity, efficiency, profitability, and overall technical administrative management.</w:t>
          </w:r>
        </w:p>
        <w:p w14:paraId="6E855981" w14:textId="66883FCD" w:rsidR="00A56AF7" w:rsidRPr="00A56AF7" w:rsidRDefault="00A56AF7" w:rsidP="00191E8F">
          <w:pPr>
            <w:pStyle w:val="ListParagraph"/>
            <w:numPr>
              <w:ilvl w:val="0"/>
              <w:numId w:val="2"/>
            </w:numPr>
            <w:spacing w:line="360" w:lineRule="auto"/>
            <w:jc w:val="both"/>
            <w:rPr>
              <w:rFonts w:ascii="Arial" w:hAnsi="Arial" w:cs="Arial"/>
              <w:sz w:val="24"/>
              <w:szCs w:val="24"/>
            </w:rPr>
          </w:pPr>
          <w:r>
            <w:rPr>
              <w:rFonts w:ascii="Arial" w:hAnsi="Arial" w:cs="Arial"/>
              <w:sz w:val="24"/>
              <w:szCs w:val="24"/>
            </w:rPr>
            <w:t>To k</w:t>
          </w:r>
          <w:r w:rsidRPr="00A56AF7">
            <w:rPr>
              <w:rFonts w:ascii="Arial" w:hAnsi="Arial" w:cs="Arial"/>
              <w:sz w:val="24"/>
              <w:szCs w:val="24"/>
            </w:rPr>
            <w:t>now about the fulfilment of its long-term objectives and short-term goals.</w:t>
          </w:r>
        </w:p>
        <w:p w14:paraId="5798ACF2" w14:textId="77777777" w:rsidR="00A56AF7" w:rsidRDefault="00A56AF7" w:rsidP="00191E8F">
          <w:pPr>
            <w:pStyle w:val="ListParagraph"/>
            <w:numPr>
              <w:ilvl w:val="0"/>
              <w:numId w:val="2"/>
            </w:numPr>
            <w:spacing w:line="360" w:lineRule="auto"/>
            <w:jc w:val="both"/>
            <w:rPr>
              <w:rFonts w:ascii="Arial" w:hAnsi="Arial" w:cs="Arial"/>
              <w:sz w:val="24"/>
              <w:szCs w:val="24"/>
            </w:rPr>
          </w:pPr>
          <w:r w:rsidRPr="00A56AF7">
            <w:rPr>
              <w:rFonts w:ascii="Arial" w:hAnsi="Arial" w:cs="Arial"/>
              <w:sz w:val="24"/>
              <w:szCs w:val="24"/>
            </w:rPr>
            <w:t>Warns of dangerous situations; qualifies, positions and results and suggests the most convenient and opportune measures.</w:t>
          </w:r>
        </w:p>
        <w:p w14:paraId="2239AABD" w14:textId="64B03972" w:rsidR="00A56AF7" w:rsidRPr="00A56AF7" w:rsidRDefault="00A56AF7" w:rsidP="00191E8F">
          <w:pPr>
            <w:pStyle w:val="ListParagraph"/>
            <w:numPr>
              <w:ilvl w:val="0"/>
              <w:numId w:val="2"/>
            </w:numPr>
            <w:spacing w:line="360" w:lineRule="auto"/>
            <w:jc w:val="both"/>
            <w:rPr>
              <w:rFonts w:ascii="Arial" w:hAnsi="Arial" w:cs="Arial"/>
              <w:sz w:val="24"/>
              <w:szCs w:val="24"/>
            </w:rPr>
          </w:pPr>
          <w:r w:rsidRPr="00A56AF7">
            <w:rPr>
              <w:rFonts w:ascii="Arial" w:hAnsi="Arial" w:cs="Arial"/>
              <w:sz w:val="24"/>
              <w:szCs w:val="24"/>
            </w:rPr>
            <w:t>Improves decision-making strategies in business.</w:t>
          </w:r>
        </w:p>
        <w:p w14:paraId="58BC8BD7" w14:textId="57C51BAD" w:rsidR="00A56AF7" w:rsidRPr="00A56AF7" w:rsidRDefault="00A56AF7" w:rsidP="00191E8F">
          <w:pPr>
            <w:pStyle w:val="ListParagraph"/>
            <w:numPr>
              <w:ilvl w:val="0"/>
              <w:numId w:val="2"/>
            </w:numPr>
            <w:spacing w:line="360" w:lineRule="auto"/>
            <w:jc w:val="both"/>
            <w:rPr>
              <w:rFonts w:ascii="Arial" w:hAnsi="Arial" w:cs="Arial"/>
              <w:sz w:val="24"/>
              <w:szCs w:val="24"/>
            </w:rPr>
          </w:pPr>
          <w:r w:rsidRPr="00A56AF7">
            <w:rPr>
              <w:rFonts w:ascii="Arial" w:hAnsi="Arial" w:cs="Arial"/>
              <w:sz w:val="24"/>
              <w:szCs w:val="24"/>
            </w:rPr>
            <w:t>The Ratio Analysis gives a deeper insight into the financial status of the business and improves profitability, cash flow and business value.</w:t>
          </w:r>
        </w:p>
        <w:p w14:paraId="6304F30E" w14:textId="77777777" w:rsidR="00A56AF7" w:rsidRDefault="00A56AF7" w:rsidP="00191E8F">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w:t>
          </w:r>
          <w:r w:rsidRPr="00A56AF7">
            <w:rPr>
              <w:rFonts w:ascii="Arial" w:hAnsi="Arial" w:cs="Arial"/>
              <w:sz w:val="24"/>
              <w:szCs w:val="24"/>
            </w:rPr>
            <w:t>evaluation will help make smart decisions to increase business revenue and minimise waste.</w:t>
          </w:r>
        </w:p>
        <w:p w14:paraId="6C94738A" w14:textId="77777777" w:rsidR="00A56AF7" w:rsidRDefault="00A56AF7" w:rsidP="00191E8F">
          <w:pPr>
            <w:pStyle w:val="ListParagraph"/>
            <w:numPr>
              <w:ilvl w:val="0"/>
              <w:numId w:val="2"/>
            </w:numPr>
            <w:spacing w:line="360" w:lineRule="auto"/>
            <w:jc w:val="both"/>
            <w:rPr>
              <w:rFonts w:ascii="Arial" w:hAnsi="Arial" w:cs="Arial"/>
              <w:sz w:val="24"/>
              <w:szCs w:val="24"/>
            </w:rPr>
          </w:pPr>
          <w:r w:rsidRPr="00A56AF7">
            <w:rPr>
              <w:rFonts w:ascii="Arial" w:hAnsi="Arial" w:cs="Arial"/>
              <w:sz w:val="24"/>
              <w:szCs w:val="24"/>
            </w:rPr>
            <w:t>Provide investors and creditors with useful information to enable them to predict, compare and evaluate potential cash flows with respect to their investment.</w:t>
          </w:r>
        </w:p>
        <w:p w14:paraId="682CEED9" w14:textId="19D935DC" w:rsidR="00A56AF7" w:rsidRPr="00A56AF7" w:rsidRDefault="00A56AF7" w:rsidP="00191E8F">
          <w:pPr>
            <w:pStyle w:val="ListParagraph"/>
            <w:numPr>
              <w:ilvl w:val="0"/>
              <w:numId w:val="2"/>
            </w:numPr>
            <w:spacing w:line="360" w:lineRule="auto"/>
            <w:jc w:val="both"/>
            <w:rPr>
              <w:rFonts w:ascii="Arial" w:hAnsi="Arial" w:cs="Arial"/>
              <w:sz w:val="24"/>
              <w:szCs w:val="24"/>
            </w:rPr>
          </w:pPr>
          <w:r w:rsidRPr="00A56AF7">
            <w:rPr>
              <w:rFonts w:ascii="Arial" w:hAnsi="Arial" w:cs="Arial"/>
              <w:sz w:val="24"/>
              <w:szCs w:val="24"/>
            </w:rPr>
            <w:t>Deliver useful information to assess management's ability to effectively utilise the company's resources, thereby achieving the company's primary goal.</w:t>
          </w:r>
        </w:p>
        <w:p w14:paraId="78002955" w14:textId="74B46978" w:rsidR="00AA2A91" w:rsidRDefault="00191E8F" w:rsidP="00191E8F">
          <w:pPr>
            <w:spacing w:line="360" w:lineRule="auto"/>
            <w:jc w:val="both"/>
            <w:rPr>
              <w:rFonts w:ascii="Arial" w:hAnsi="Arial" w:cs="Arial"/>
              <w:sz w:val="24"/>
              <w:szCs w:val="24"/>
            </w:rPr>
          </w:pPr>
          <w:r>
            <w:rPr>
              <w:rFonts w:ascii="Arial" w:hAnsi="Arial" w:cs="Arial"/>
              <w:sz w:val="24"/>
              <w:szCs w:val="24"/>
            </w:rPr>
            <w:t>The Limitations of Financial Ratios:</w:t>
          </w:r>
        </w:p>
        <w:p w14:paraId="1B93F13E" w14:textId="77777777" w:rsidR="00191E8F" w:rsidRPr="00191E8F" w:rsidRDefault="00191E8F" w:rsidP="00191E8F">
          <w:pPr>
            <w:pStyle w:val="ListParagraph"/>
            <w:numPr>
              <w:ilvl w:val="0"/>
              <w:numId w:val="3"/>
            </w:numPr>
            <w:spacing w:line="360" w:lineRule="auto"/>
            <w:jc w:val="both"/>
            <w:rPr>
              <w:rFonts w:ascii="Arial" w:hAnsi="Arial" w:cs="Arial"/>
              <w:sz w:val="24"/>
              <w:szCs w:val="24"/>
            </w:rPr>
          </w:pPr>
          <w:r w:rsidRPr="00191E8F">
            <w:rPr>
              <w:rFonts w:ascii="Arial" w:hAnsi="Arial" w:cs="Arial"/>
              <w:sz w:val="24"/>
              <w:szCs w:val="24"/>
            </w:rPr>
            <w:t>External factors such as the economy, government action, and market sentiment will all have an impact on their stock price.</w:t>
          </w:r>
        </w:p>
        <w:p w14:paraId="159A9F28" w14:textId="77777777" w:rsidR="00191E8F" w:rsidRPr="00191E8F" w:rsidRDefault="00191E8F" w:rsidP="00191E8F">
          <w:pPr>
            <w:pStyle w:val="ListParagraph"/>
            <w:numPr>
              <w:ilvl w:val="0"/>
              <w:numId w:val="3"/>
            </w:numPr>
            <w:spacing w:line="360" w:lineRule="auto"/>
            <w:jc w:val="both"/>
            <w:rPr>
              <w:rFonts w:ascii="Arial" w:hAnsi="Arial" w:cs="Arial"/>
              <w:sz w:val="24"/>
              <w:szCs w:val="24"/>
            </w:rPr>
          </w:pPr>
          <w:r w:rsidRPr="00191E8F">
            <w:rPr>
              <w:rFonts w:ascii="Arial" w:hAnsi="Arial" w:cs="Arial"/>
              <w:sz w:val="24"/>
              <w:szCs w:val="24"/>
            </w:rPr>
            <w:t>Internal events such as a new product or a new CEO will also have an impact on the price of an equity.</w:t>
          </w:r>
        </w:p>
        <w:p w14:paraId="67D88DE2" w14:textId="77777777" w:rsidR="00191E8F" w:rsidRPr="00191E8F" w:rsidRDefault="00191E8F" w:rsidP="00191E8F">
          <w:pPr>
            <w:pStyle w:val="ListParagraph"/>
            <w:numPr>
              <w:ilvl w:val="0"/>
              <w:numId w:val="3"/>
            </w:numPr>
            <w:spacing w:line="360" w:lineRule="auto"/>
            <w:jc w:val="both"/>
            <w:rPr>
              <w:rFonts w:ascii="Arial" w:hAnsi="Arial" w:cs="Arial"/>
              <w:sz w:val="24"/>
              <w:szCs w:val="24"/>
            </w:rPr>
          </w:pPr>
          <w:r w:rsidRPr="00191E8F">
            <w:rPr>
              <w:rFonts w:ascii="Arial" w:hAnsi="Arial" w:cs="Arial"/>
              <w:sz w:val="24"/>
              <w:szCs w:val="24"/>
            </w:rPr>
            <w:lastRenderedPageBreak/>
            <w:t>Companies are all unique, and how you understand their ratios should represent the industry they operate in as well as their size.</w:t>
          </w:r>
        </w:p>
        <w:p w14:paraId="79C7F476" w14:textId="77777777" w:rsidR="00191E8F" w:rsidRPr="00191E8F" w:rsidRDefault="00191E8F" w:rsidP="00191E8F">
          <w:pPr>
            <w:pStyle w:val="ListParagraph"/>
            <w:numPr>
              <w:ilvl w:val="0"/>
              <w:numId w:val="3"/>
            </w:numPr>
            <w:spacing w:line="360" w:lineRule="auto"/>
            <w:jc w:val="both"/>
            <w:rPr>
              <w:rFonts w:ascii="Arial" w:hAnsi="Arial" w:cs="Arial"/>
              <w:sz w:val="24"/>
              <w:szCs w:val="24"/>
            </w:rPr>
          </w:pPr>
          <w:r w:rsidRPr="00191E8F">
            <w:rPr>
              <w:rFonts w:ascii="Arial" w:hAnsi="Arial" w:cs="Arial"/>
              <w:sz w:val="24"/>
              <w:szCs w:val="24"/>
            </w:rPr>
            <w:t>Companies can change overnight, for instance, with a new leader, rendering historical performance analysis obsolete.</w:t>
          </w:r>
        </w:p>
        <w:p w14:paraId="06FA3926" w14:textId="77777777" w:rsidR="00191E8F" w:rsidRPr="00191E8F" w:rsidRDefault="00191E8F" w:rsidP="00191E8F">
          <w:pPr>
            <w:pStyle w:val="ListParagraph"/>
            <w:numPr>
              <w:ilvl w:val="0"/>
              <w:numId w:val="3"/>
            </w:numPr>
            <w:spacing w:line="360" w:lineRule="auto"/>
            <w:jc w:val="both"/>
            <w:rPr>
              <w:rFonts w:ascii="Arial" w:hAnsi="Arial" w:cs="Arial"/>
              <w:sz w:val="24"/>
              <w:szCs w:val="24"/>
            </w:rPr>
          </w:pPr>
          <w:r w:rsidRPr="00191E8F">
            <w:rPr>
              <w:rFonts w:ascii="Arial" w:hAnsi="Arial" w:cs="Arial"/>
              <w:sz w:val="24"/>
              <w:szCs w:val="24"/>
            </w:rPr>
            <w:t>Regardless of a company's fundamental strength or weakness, market sentiment can impact its share price.</w:t>
          </w:r>
        </w:p>
        <w:p w14:paraId="483F1D59" w14:textId="486F1808" w:rsidR="00191E8F" w:rsidRPr="00191E8F" w:rsidRDefault="00191E8F" w:rsidP="00191E8F">
          <w:pPr>
            <w:pStyle w:val="ListParagraph"/>
            <w:numPr>
              <w:ilvl w:val="0"/>
              <w:numId w:val="3"/>
            </w:numPr>
            <w:spacing w:line="360" w:lineRule="auto"/>
            <w:jc w:val="both"/>
            <w:rPr>
              <w:rFonts w:ascii="Arial" w:hAnsi="Arial" w:cs="Arial"/>
              <w:sz w:val="24"/>
              <w:szCs w:val="24"/>
            </w:rPr>
          </w:pPr>
          <w:r w:rsidRPr="00191E8F">
            <w:rPr>
              <w:rFonts w:ascii="Arial" w:hAnsi="Arial" w:cs="Arial"/>
              <w:sz w:val="24"/>
              <w:szCs w:val="24"/>
            </w:rPr>
            <w:t>A shift in the business cycle, taxation, government legislation, or even the weather.</w:t>
          </w:r>
        </w:p>
        <w:p w14:paraId="1763236B" w14:textId="77777777" w:rsidR="00AA2A91" w:rsidRPr="007215FC" w:rsidRDefault="00AA2A91" w:rsidP="004D519C">
          <w:pPr>
            <w:rPr>
              <w:rFonts w:ascii="Arial" w:hAnsi="Arial" w:cs="Arial"/>
              <w:sz w:val="24"/>
              <w:szCs w:val="24"/>
            </w:rPr>
          </w:pPr>
        </w:p>
        <w:p w14:paraId="515275D2" w14:textId="77777777" w:rsidR="00AA2A91" w:rsidRPr="007215FC" w:rsidRDefault="00AA2A91" w:rsidP="004D519C">
          <w:pPr>
            <w:rPr>
              <w:rFonts w:ascii="Arial" w:hAnsi="Arial" w:cs="Arial"/>
              <w:sz w:val="24"/>
              <w:szCs w:val="24"/>
            </w:rPr>
          </w:pPr>
        </w:p>
        <w:p w14:paraId="0E399D02" w14:textId="5D2DE8D4" w:rsidR="00190863" w:rsidRDefault="00AA2A91" w:rsidP="00190863">
          <w:pPr>
            <w:pStyle w:val="Heading1"/>
            <w:rPr>
              <w:rFonts w:ascii="Arial" w:hAnsi="Arial" w:cs="Arial"/>
              <w:sz w:val="24"/>
              <w:szCs w:val="24"/>
            </w:rPr>
          </w:pPr>
          <w:bookmarkStart w:id="10" w:name="_Toc121425729"/>
          <w:r w:rsidRPr="007215FC">
            <w:rPr>
              <w:rFonts w:ascii="Arial" w:hAnsi="Arial" w:cs="Arial"/>
              <w:sz w:val="24"/>
              <w:szCs w:val="24"/>
            </w:rPr>
            <w:t>Conclusion</w:t>
          </w:r>
          <w:r w:rsidR="00D854A5" w:rsidRPr="007215FC">
            <w:rPr>
              <w:rFonts w:ascii="Arial" w:hAnsi="Arial" w:cs="Arial"/>
              <w:sz w:val="24"/>
              <w:szCs w:val="24"/>
            </w:rPr>
            <w:t xml:space="preserve"> </w:t>
          </w:r>
          <w:bookmarkEnd w:id="10"/>
        </w:p>
        <w:p w14:paraId="454A03DA" w14:textId="77777777" w:rsidR="00190863" w:rsidRPr="0048463F" w:rsidRDefault="00190863" w:rsidP="0048463F">
          <w:pPr>
            <w:spacing w:line="360" w:lineRule="auto"/>
            <w:jc w:val="both"/>
            <w:rPr>
              <w:sz w:val="24"/>
              <w:szCs w:val="24"/>
            </w:rPr>
          </w:pPr>
        </w:p>
        <w:p w14:paraId="4DC0FBF6" w14:textId="1732AB88" w:rsidR="00190863" w:rsidRPr="0048463F" w:rsidRDefault="00190863" w:rsidP="0048463F">
          <w:pPr>
            <w:spacing w:line="360" w:lineRule="auto"/>
            <w:jc w:val="both"/>
            <w:rPr>
              <w:rFonts w:ascii="Arial" w:hAnsi="Arial" w:cs="Arial"/>
              <w:sz w:val="24"/>
              <w:szCs w:val="24"/>
            </w:rPr>
          </w:pPr>
          <w:r w:rsidRPr="0048463F">
            <w:rPr>
              <w:rFonts w:ascii="Arial" w:hAnsi="Arial" w:cs="Arial"/>
              <w:sz w:val="24"/>
              <w:szCs w:val="24"/>
            </w:rPr>
            <w:t xml:space="preserve">The ratio analysis shows the progress and growth of Marriott International from 2020 to 2021, with the first year being a difficult one for the hospitality industry. </w:t>
          </w:r>
        </w:p>
        <w:p w14:paraId="0DEB4FFC" w14:textId="01A3335D" w:rsidR="00A44D31" w:rsidRDefault="00A44D31" w:rsidP="0048463F">
          <w:pPr>
            <w:spacing w:line="360" w:lineRule="auto"/>
            <w:jc w:val="both"/>
            <w:rPr>
              <w:rFonts w:ascii="Arial" w:hAnsi="Arial" w:cs="Arial"/>
              <w:sz w:val="24"/>
              <w:szCs w:val="24"/>
            </w:rPr>
          </w:pPr>
          <w:r w:rsidRPr="0048463F">
            <w:rPr>
              <w:rFonts w:ascii="Arial" w:hAnsi="Arial" w:cs="Arial"/>
              <w:sz w:val="24"/>
              <w:szCs w:val="24"/>
            </w:rPr>
            <w:t>The profitability ratio demonstrates the effectiveness of the pricing strategy and the proper management of the cost of sales. Similarly, the NPM demonstrated growth, yielding positive figures and a high profit margin in relation to the resources it uses to finance itself. On the other hand, the figures for 2020 show that bad investments were made or that money was mismanaged. It is necessary to emphasise that increasing Return on Investment is one of the company's objectives when undertaking any activity or making any investment to increase turnover</w:t>
          </w:r>
          <w:r w:rsidR="0048463F" w:rsidRPr="0048463F">
            <w:rPr>
              <w:rFonts w:ascii="Arial" w:hAnsi="Arial" w:cs="Arial"/>
              <w:sz w:val="24"/>
              <w:szCs w:val="24"/>
            </w:rPr>
            <w:t>, indicating that the company is generating more revenue for every dollar it invests in assets.</w:t>
          </w:r>
        </w:p>
        <w:p w14:paraId="11BCE0B0" w14:textId="28F084B9" w:rsidR="0048463F" w:rsidRPr="0048463F" w:rsidRDefault="003D2B83" w:rsidP="0048463F">
          <w:pPr>
            <w:spacing w:line="360" w:lineRule="auto"/>
            <w:jc w:val="both"/>
            <w:rPr>
              <w:rFonts w:ascii="Arial" w:hAnsi="Arial" w:cs="Arial"/>
              <w:sz w:val="24"/>
              <w:szCs w:val="24"/>
            </w:rPr>
          </w:pPr>
          <w:r>
            <w:rPr>
              <w:rFonts w:ascii="Arial" w:hAnsi="Arial" w:cs="Arial"/>
              <w:sz w:val="24"/>
              <w:szCs w:val="24"/>
            </w:rPr>
            <w:t>The fi</w:t>
          </w:r>
          <w:r w:rsidRPr="0081686D">
            <w:rPr>
              <w:rFonts w:ascii="Arial" w:hAnsi="Arial" w:cs="Arial"/>
              <w:sz w:val="24"/>
              <w:szCs w:val="24"/>
            </w:rPr>
            <w:t>nancial</w:t>
          </w:r>
          <w:r w:rsidR="00557AB3" w:rsidRPr="0081686D">
            <w:rPr>
              <w:rFonts w:ascii="Arial" w:hAnsi="Arial" w:cs="Arial"/>
              <w:sz w:val="24"/>
              <w:szCs w:val="24"/>
            </w:rPr>
            <w:t xml:space="preserve"> management </w:t>
          </w:r>
          <w:r>
            <w:rPr>
              <w:rFonts w:ascii="Arial" w:hAnsi="Arial" w:cs="Arial"/>
              <w:sz w:val="24"/>
              <w:szCs w:val="24"/>
            </w:rPr>
            <w:t xml:space="preserve">department of Marriot International </w:t>
          </w:r>
          <w:r w:rsidR="00557AB3" w:rsidRPr="0081686D">
            <w:rPr>
              <w:rFonts w:ascii="Arial" w:hAnsi="Arial" w:cs="Arial"/>
              <w:sz w:val="24"/>
              <w:szCs w:val="24"/>
            </w:rPr>
            <w:t>requires the incorporation of new</w:t>
          </w:r>
          <w:r w:rsidR="00557AB3">
            <w:rPr>
              <w:rFonts w:ascii="Arial" w:hAnsi="Arial" w:cs="Arial"/>
              <w:sz w:val="24"/>
              <w:szCs w:val="24"/>
            </w:rPr>
            <w:t xml:space="preserve"> </w:t>
          </w:r>
          <w:r w:rsidR="00557AB3" w:rsidRPr="0081686D">
            <w:rPr>
              <w:rFonts w:ascii="Arial" w:hAnsi="Arial" w:cs="Arial"/>
              <w:sz w:val="24"/>
              <w:szCs w:val="24"/>
            </w:rPr>
            <w:t>practices</w:t>
          </w:r>
          <w:r w:rsidR="00557AB3">
            <w:rPr>
              <w:rFonts w:ascii="Arial" w:hAnsi="Arial" w:cs="Arial"/>
              <w:sz w:val="24"/>
              <w:szCs w:val="24"/>
            </w:rPr>
            <w:t xml:space="preserve"> </w:t>
          </w:r>
          <w:r w:rsidR="00557AB3" w:rsidRPr="0081686D">
            <w:rPr>
              <w:rFonts w:ascii="Arial" w:hAnsi="Arial" w:cs="Arial"/>
              <w:sz w:val="24"/>
              <w:szCs w:val="24"/>
            </w:rPr>
            <w:t xml:space="preserve">to ensure that, through appropriate decisions, </w:t>
          </w:r>
          <w:r>
            <w:rPr>
              <w:rFonts w:ascii="Arial" w:hAnsi="Arial" w:cs="Arial"/>
              <w:sz w:val="24"/>
              <w:szCs w:val="24"/>
            </w:rPr>
            <w:t xml:space="preserve">the </w:t>
          </w:r>
          <w:r w:rsidR="00557AB3" w:rsidRPr="0081686D">
            <w:rPr>
              <w:rFonts w:ascii="Arial" w:hAnsi="Arial" w:cs="Arial"/>
              <w:sz w:val="24"/>
              <w:szCs w:val="24"/>
            </w:rPr>
            <w:t>compan</w:t>
          </w:r>
          <w:r>
            <w:rPr>
              <w:rFonts w:ascii="Arial" w:hAnsi="Arial" w:cs="Arial"/>
              <w:sz w:val="24"/>
              <w:szCs w:val="24"/>
            </w:rPr>
            <w:t>y</w:t>
          </w:r>
          <w:r w:rsidR="00557AB3" w:rsidRPr="0081686D">
            <w:rPr>
              <w:rFonts w:ascii="Arial" w:hAnsi="Arial" w:cs="Arial"/>
              <w:sz w:val="24"/>
              <w:szCs w:val="24"/>
            </w:rPr>
            <w:t xml:space="preserve"> achieve their objectives within the framework of innovative and effective strategies that </w:t>
          </w:r>
          <w:r w:rsidRPr="0081686D">
            <w:rPr>
              <w:rFonts w:ascii="Arial" w:hAnsi="Arial" w:cs="Arial"/>
              <w:sz w:val="24"/>
              <w:szCs w:val="24"/>
            </w:rPr>
            <w:t>guarantee</w:t>
          </w:r>
          <w:r w:rsidR="00557AB3" w:rsidRPr="0081686D">
            <w:rPr>
              <w:rFonts w:ascii="Arial" w:hAnsi="Arial" w:cs="Arial"/>
              <w:sz w:val="24"/>
              <w:szCs w:val="24"/>
            </w:rPr>
            <w:t xml:space="preserve"> the success of business projects.</w:t>
          </w:r>
          <w:r w:rsidR="001A3B91">
            <w:rPr>
              <w:rFonts w:ascii="Arial" w:hAnsi="Arial" w:cs="Arial"/>
              <w:sz w:val="24"/>
              <w:szCs w:val="24"/>
            </w:rPr>
            <w:t xml:space="preserve"> </w:t>
          </w:r>
          <w:r w:rsidRPr="003D2B83">
            <w:rPr>
              <w:rFonts w:ascii="Arial" w:hAnsi="Arial" w:cs="Arial"/>
              <w:sz w:val="24"/>
              <w:szCs w:val="24"/>
            </w:rPr>
            <w:t>Efficiency is one of the key factors of management control and a prerequisite for making improvements.</w:t>
          </w:r>
        </w:p>
        <w:p w14:paraId="2D9CF726" w14:textId="77777777" w:rsidR="00A44D31" w:rsidRPr="00190863" w:rsidRDefault="00A44D31" w:rsidP="00190863">
          <w:pPr>
            <w:spacing w:line="360" w:lineRule="auto"/>
            <w:jc w:val="both"/>
            <w:rPr>
              <w:rFonts w:ascii="Arial" w:hAnsi="Arial" w:cs="Arial"/>
            </w:rPr>
          </w:pPr>
        </w:p>
        <w:p w14:paraId="134E5C77" w14:textId="4DF0E80D" w:rsidR="00AA2A91" w:rsidRDefault="00AA2A91" w:rsidP="00AA2A91">
          <w:pPr>
            <w:rPr>
              <w:rFonts w:ascii="Arial" w:hAnsi="Arial" w:cs="Arial"/>
              <w:sz w:val="24"/>
              <w:szCs w:val="24"/>
            </w:rPr>
          </w:pPr>
        </w:p>
        <w:p w14:paraId="2E032BF1" w14:textId="77777777" w:rsidR="00EC6634" w:rsidRPr="007215FC" w:rsidRDefault="00EC6634" w:rsidP="00AA2A91">
          <w:pPr>
            <w:rPr>
              <w:rFonts w:ascii="Arial" w:hAnsi="Arial" w:cs="Arial"/>
              <w:sz w:val="24"/>
              <w:szCs w:val="24"/>
            </w:rPr>
          </w:pPr>
        </w:p>
        <w:p w14:paraId="403DF109" w14:textId="03D9A7CC" w:rsidR="00AA2A91" w:rsidRPr="007215FC" w:rsidRDefault="00AA2A91" w:rsidP="00AA2A91">
          <w:pPr>
            <w:pStyle w:val="Heading1"/>
            <w:rPr>
              <w:rFonts w:ascii="Arial" w:hAnsi="Arial" w:cs="Arial"/>
              <w:sz w:val="24"/>
              <w:szCs w:val="24"/>
            </w:rPr>
          </w:pPr>
          <w:bookmarkStart w:id="11" w:name="_Toc121425730"/>
          <w:r w:rsidRPr="007215FC">
            <w:rPr>
              <w:rFonts w:ascii="Arial" w:hAnsi="Arial" w:cs="Arial"/>
              <w:sz w:val="24"/>
              <w:szCs w:val="24"/>
            </w:rPr>
            <w:lastRenderedPageBreak/>
            <w:t>Bibliography</w:t>
          </w:r>
          <w:bookmarkEnd w:id="11"/>
        </w:p>
        <w:p w14:paraId="2354BBC4" w14:textId="178222C2" w:rsidR="004A11F6" w:rsidRDefault="004A11F6" w:rsidP="007D1947">
          <w:pPr>
            <w:rPr>
              <w:rFonts w:ascii="Arial" w:hAnsi="Arial" w:cs="Arial"/>
              <w:sz w:val="24"/>
              <w:szCs w:val="24"/>
            </w:rPr>
          </w:pPr>
        </w:p>
        <w:p w14:paraId="6F8B5726" w14:textId="1522745A" w:rsidR="00B35D4A" w:rsidRPr="00B35D4A" w:rsidRDefault="00B35D4A" w:rsidP="00B35D4A">
          <w:pPr>
            <w:rPr>
              <w:rFonts w:ascii="Arial" w:hAnsi="Arial" w:cs="Arial"/>
              <w:sz w:val="24"/>
              <w:szCs w:val="24"/>
            </w:rPr>
          </w:pPr>
          <w:r w:rsidRPr="00B35D4A">
            <w:rPr>
              <w:rFonts w:ascii="Arial" w:hAnsi="Arial" w:cs="Arial"/>
              <w:sz w:val="24"/>
              <w:szCs w:val="24"/>
            </w:rPr>
            <w:t xml:space="preserve">Chen, J. (2022) Theory of liquidity preference definition: History, example, and how it works, Investopedia. Investopedia. Available at: https://www.investopedia.com/terms/l/liquiditypreference.asp#:~:text=According%20to%20the%20theory%2C%20which,as%20the%20most%20liquid%20asset. (Accessed: December </w:t>
          </w:r>
          <w:r>
            <w:rPr>
              <w:rFonts w:ascii="Arial" w:hAnsi="Arial" w:cs="Arial"/>
              <w:sz w:val="24"/>
              <w:szCs w:val="24"/>
            </w:rPr>
            <w:t>5</w:t>
          </w:r>
          <w:r w:rsidRPr="00B35D4A">
            <w:rPr>
              <w:rFonts w:ascii="Arial" w:hAnsi="Arial" w:cs="Arial"/>
              <w:sz w:val="24"/>
              <w:szCs w:val="24"/>
            </w:rPr>
            <w:t xml:space="preserve">, 2022). </w:t>
          </w:r>
        </w:p>
        <w:p w14:paraId="4F9B2D76" w14:textId="0C257EC7" w:rsidR="00B35D4A" w:rsidRPr="00B35D4A" w:rsidRDefault="00B35D4A" w:rsidP="00B35D4A">
          <w:pPr>
            <w:rPr>
              <w:rFonts w:ascii="Arial" w:hAnsi="Arial" w:cs="Arial"/>
              <w:sz w:val="24"/>
              <w:szCs w:val="24"/>
            </w:rPr>
          </w:pPr>
          <w:r w:rsidRPr="00B35D4A">
            <w:rPr>
              <w:rFonts w:ascii="Arial" w:hAnsi="Arial" w:cs="Arial"/>
              <w:sz w:val="24"/>
              <w:szCs w:val="24"/>
            </w:rPr>
            <w:t xml:space="preserve">Hargrave, M. (2022) Operating cash flow (OCF): Definition, types, and formula, Investopedia. Investopedia. Available at: https://www.investopedia.com/terms/o/ocfratio.asp (Accessed: December </w:t>
          </w:r>
          <w:r>
            <w:rPr>
              <w:rFonts w:ascii="Arial" w:hAnsi="Arial" w:cs="Arial"/>
              <w:sz w:val="24"/>
              <w:szCs w:val="24"/>
            </w:rPr>
            <w:t>5</w:t>
          </w:r>
          <w:r w:rsidRPr="00B35D4A">
            <w:rPr>
              <w:rFonts w:ascii="Arial" w:hAnsi="Arial" w:cs="Arial"/>
              <w:sz w:val="24"/>
              <w:szCs w:val="24"/>
            </w:rPr>
            <w:t xml:space="preserve">, 2022). </w:t>
          </w:r>
        </w:p>
        <w:p w14:paraId="0F2BEDFF" w14:textId="736F151D" w:rsidR="00B35D4A" w:rsidRPr="00B35D4A" w:rsidRDefault="00B35D4A" w:rsidP="00B35D4A">
          <w:pPr>
            <w:rPr>
              <w:rFonts w:ascii="Arial" w:hAnsi="Arial" w:cs="Arial"/>
              <w:sz w:val="24"/>
              <w:szCs w:val="24"/>
            </w:rPr>
          </w:pPr>
          <w:r w:rsidRPr="00B35D4A">
            <w:rPr>
              <w:rFonts w:ascii="Arial" w:hAnsi="Arial" w:cs="Arial"/>
              <w:sz w:val="24"/>
              <w:szCs w:val="24"/>
            </w:rPr>
            <w:t xml:space="preserve">Hayes, A. (2022) Profitability ratios: What they are, common types, and how businesses use them, Investopedia. Investopedia. Available at: https://www.investopedia.com/terms/p/profitabilityratios.asp (Accessed: December </w:t>
          </w:r>
          <w:r>
            <w:rPr>
              <w:rFonts w:ascii="Arial" w:hAnsi="Arial" w:cs="Arial"/>
              <w:sz w:val="24"/>
              <w:szCs w:val="24"/>
            </w:rPr>
            <w:t>4</w:t>
          </w:r>
          <w:r w:rsidRPr="00B35D4A">
            <w:rPr>
              <w:rFonts w:ascii="Arial" w:hAnsi="Arial" w:cs="Arial"/>
              <w:sz w:val="24"/>
              <w:szCs w:val="24"/>
            </w:rPr>
            <w:t xml:space="preserve">, 2022). </w:t>
          </w:r>
        </w:p>
        <w:p w14:paraId="23561938" w14:textId="1FA04609" w:rsidR="00B35D4A" w:rsidRPr="00B35D4A" w:rsidRDefault="00B35D4A" w:rsidP="00B35D4A">
          <w:pPr>
            <w:rPr>
              <w:rFonts w:ascii="Arial" w:hAnsi="Arial" w:cs="Arial"/>
              <w:sz w:val="24"/>
              <w:szCs w:val="24"/>
            </w:rPr>
          </w:pPr>
          <w:r w:rsidRPr="00B35D4A">
            <w:rPr>
              <w:rFonts w:ascii="Arial" w:hAnsi="Arial" w:cs="Arial"/>
              <w:sz w:val="24"/>
              <w:szCs w:val="24"/>
            </w:rPr>
            <w:t xml:space="preserve">Hayes, A. (2022) Understanding liquidity ratios: Types and their importance, Investopedia. Investopedia. Available at: https://www.investopedia.com/terms/l/liquidityratios.asp (Accessed: December </w:t>
          </w:r>
          <w:r>
            <w:rPr>
              <w:rFonts w:ascii="Arial" w:hAnsi="Arial" w:cs="Arial"/>
              <w:sz w:val="24"/>
              <w:szCs w:val="24"/>
            </w:rPr>
            <w:t>4</w:t>
          </w:r>
          <w:r w:rsidRPr="00B35D4A">
            <w:rPr>
              <w:rFonts w:ascii="Arial" w:hAnsi="Arial" w:cs="Arial"/>
              <w:sz w:val="24"/>
              <w:szCs w:val="24"/>
            </w:rPr>
            <w:t xml:space="preserve">, 2022). </w:t>
          </w:r>
        </w:p>
        <w:p w14:paraId="39123B0E" w14:textId="02788295" w:rsidR="00B35D4A" w:rsidRPr="00B35D4A" w:rsidRDefault="00B35D4A" w:rsidP="00B35D4A">
          <w:pPr>
            <w:rPr>
              <w:rFonts w:ascii="Arial" w:hAnsi="Arial" w:cs="Arial"/>
              <w:sz w:val="24"/>
              <w:szCs w:val="24"/>
            </w:rPr>
          </w:pPr>
          <w:r w:rsidRPr="00B35D4A">
            <w:rPr>
              <w:rFonts w:ascii="Arial" w:hAnsi="Arial" w:cs="Arial"/>
              <w:sz w:val="24"/>
              <w:szCs w:val="24"/>
            </w:rPr>
            <w:t xml:space="preserve">Iyengar, A. (2008) Hotel finance. New </w:t>
          </w:r>
          <w:r w:rsidR="00FE196D" w:rsidRPr="00B35D4A">
            <w:rPr>
              <w:rFonts w:ascii="Arial" w:hAnsi="Arial" w:cs="Arial"/>
              <w:sz w:val="24"/>
              <w:szCs w:val="24"/>
            </w:rPr>
            <w:t>Delhi</w:t>
          </w:r>
          <w:r w:rsidRPr="00B35D4A">
            <w:rPr>
              <w:rFonts w:ascii="Arial" w:hAnsi="Arial" w:cs="Arial"/>
              <w:sz w:val="24"/>
              <w:szCs w:val="24"/>
            </w:rPr>
            <w:t xml:space="preserve">: Oxford University Press. </w:t>
          </w:r>
        </w:p>
        <w:p w14:paraId="0B706D64" w14:textId="7FDAA56B" w:rsidR="00B35D4A" w:rsidRPr="00B35D4A" w:rsidRDefault="00B35D4A" w:rsidP="00B35D4A">
          <w:pPr>
            <w:rPr>
              <w:rFonts w:ascii="Arial" w:hAnsi="Arial" w:cs="Arial"/>
              <w:sz w:val="24"/>
              <w:szCs w:val="24"/>
            </w:rPr>
          </w:pPr>
          <w:r w:rsidRPr="00B35D4A">
            <w:rPr>
              <w:rFonts w:ascii="Arial" w:hAnsi="Arial" w:cs="Arial"/>
              <w:sz w:val="24"/>
              <w:szCs w:val="24"/>
            </w:rPr>
            <w:t>Keynes, J.M. (</w:t>
          </w:r>
          <w:r w:rsidR="004835BB">
            <w:rPr>
              <w:rFonts w:ascii="Arial" w:hAnsi="Arial" w:cs="Arial"/>
              <w:sz w:val="24"/>
              <w:szCs w:val="24"/>
            </w:rPr>
            <w:t>1936</w:t>
          </w:r>
          <w:r w:rsidRPr="00B35D4A">
            <w:rPr>
              <w:rFonts w:ascii="Arial" w:hAnsi="Arial" w:cs="Arial"/>
              <w:sz w:val="24"/>
              <w:szCs w:val="24"/>
            </w:rPr>
            <w:t xml:space="preserve">) The general theory of employment, interest and money, The General Theory of Employment, Interest and Money by John Maynard Keynes. Available at: https://www.marxists.org/reference/subject/economics/keynes/general-theory/ (Accessed: December </w:t>
          </w:r>
          <w:r>
            <w:rPr>
              <w:rFonts w:ascii="Arial" w:hAnsi="Arial" w:cs="Arial"/>
              <w:sz w:val="24"/>
              <w:szCs w:val="24"/>
            </w:rPr>
            <w:t>5</w:t>
          </w:r>
          <w:r w:rsidRPr="00B35D4A">
            <w:rPr>
              <w:rFonts w:ascii="Arial" w:hAnsi="Arial" w:cs="Arial"/>
              <w:sz w:val="24"/>
              <w:szCs w:val="24"/>
            </w:rPr>
            <w:t xml:space="preserve">, 2022). </w:t>
          </w:r>
        </w:p>
        <w:p w14:paraId="73215EFB" w14:textId="4F10EB64" w:rsidR="00B35D4A" w:rsidRPr="00B35D4A" w:rsidRDefault="00B35D4A" w:rsidP="00B35D4A">
          <w:pPr>
            <w:rPr>
              <w:rFonts w:ascii="Arial" w:hAnsi="Arial" w:cs="Arial"/>
              <w:sz w:val="24"/>
              <w:szCs w:val="24"/>
            </w:rPr>
          </w:pPr>
          <w:r w:rsidRPr="00B35D4A">
            <w:rPr>
              <w:rFonts w:ascii="Arial" w:hAnsi="Arial" w:cs="Arial"/>
              <w:sz w:val="24"/>
              <w:szCs w:val="24"/>
            </w:rPr>
            <w:t>Marriott financial ratios for analysis 2009-2022: Mar (</w:t>
          </w:r>
          <w:r w:rsidR="00122C75">
            <w:rPr>
              <w:rFonts w:ascii="Arial" w:hAnsi="Arial" w:cs="Arial"/>
              <w:sz w:val="24"/>
              <w:szCs w:val="24"/>
            </w:rPr>
            <w:t>2022</w:t>
          </w:r>
          <w:r w:rsidRPr="00B35D4A">
            <w:rPr>
              <w:rFonts w:ascii="Arial" w:hAnsi="Arial" w:cs="Arial"/>
              <w:sz w:val="24"/>
              <w:szCs w:val="24"/>
            </w:rPr>
            <w:t xml:space="preserve">) Macrotrends. Available at: https://www.macrotrends.net/stocks/charts/MAR/marriott/financial-ratios (Accessed: December </w:t>
          </w:r>
          <w:r>
            <w:rPr>
              <w:rFonts w:ascii="Arial" w:hAnsi="Arial" w:cs="Arial"/>
              <w:sz w:val="24"/>
              <w:szCs w:val="24"/>
            </w:rPr>
            <w:t>2</w:t>
          </w:r>
          <w:r w:rsidRPr="00B35D4A">
            <w:rPr>
              <w:rFonts w:ascii="Arial" w:hAnsi="Arial" w:cs="Arial"/>
              <w:sz w:val="24"/>
              <w:szCs w:val="24"/>
            </w:rPr>
            <w:t xml:space="preserve">, 2022). </w:t>
          </w:r>
        </w:p>
        <w:p w14:paraId="6245B23A" w14:textId="5D841363" w:rsidR="00B35D4A" w:rsidRPr="00B35D4A" w:rsidRDefault="00B35D4A" w:rsidP="00B35D4A">
          <w:pPr>
            <w:rPr>
              <w:rFonts w:ascii="Arial" w:hAnsi="Arial" w:cs="Arial"/>
              <w:sz w:val="24"/>
              <w:szCs w:val="24"/>
            </w:rPr>
          </w:pPr>
          <w:r w:rsidRPr="00B35D4A">
            <w:rPr>
              <w:rFonts w:ascii="Arial" w:hAnsi="Arial" w:cs="Arial"/>
              <w:sz w:val="24"/>
              <w:szCs w:val="24"/>
            </w:rPr>
            <w:t xml:space="preserve">Published by                                    Statista Research Department and 22, A. (2022) Marriott revenue worldwide 2021, Statista. Available at: https://www.statista.com/statistics/266279/revenue-of-the-marriott-international-inc-hotel-chain/ (Accessed: December </w:t>
          </w:r>
          <w:r>
            <w:rPr>
              <w:rFonts w:ascii="Arial" w:hAnsi="Arial" w:cs="Arial"/>
              <w:sz w:val="24"/>
              <w:szCs w:val="24"/>
            </w:rPr>
            <w:t>2</w:t>
          </w:r>
          <w:r w:rsidRPr="00B35D4A">
            <w:rPr>
              <w:rFonts w:ascii="Arial" w:hAnsi="Arial" w:cs="Arial"/>
              <w:sz w:val="24"/>
              <w:szCs w:val="24"/>
            </w:rPr>
            <w:t xml:space="preserve">, 2022). </w:t>
          </w:r>
        </w:p>
        <w:p w14:paraId="26D33C67" w14:textId="74DE61D3" w:rsidR="00B35D4A" w:rsidRPr="00B35D4A" w:rsidRDefault="00B35D4A" w:rsidP="00B35D4A">
          <w:pPr>
            <w:rPr>
              <w:rFonts w:ascii="Arial" w:hAnsi="Arial" w:cs="Arial"/>
              <w:sz w:val="24"/>
              <w:szCs w:val="24"/>
            </w:rPr>
          </w:pPr>
          <w:r w:rsidRPr="00B35D4A">
            <w:rPr>
              <w:rFonts w:ascii="Arial" w:hAnsi="Arial" w:cs="Arial"/>
              <w:sz w:val="24"/>
              <w:szCs w:val="24"/>
            </w:rPr>
            <w:t xml:space="preserve">Tarver, E. (2021) Key financial ratios to </w:t>
          </w:r>
          <w:proofErr w:type="spellStart"/>
          <w:r w:rsidRPr="00B35D4A">
            <w:rPr>
              <w:rFonts w:ascii="Arial" w:hAnsi="Arial" w:cs="Arial"/>
              <w:sz w:val="24"/>
              <w:szCs w:val="24"/>
            </w:rPr>
            <w:t>analyze</w:t>
          </w:r>
          <w:proofErr w:type="spellEnd"/>
          <w:r w:rsidRPr="00B35D4A">
            <w:rPr>
              <w:rFonts w:ascii="Arial" w:hAnsi="Arial" w:cs="Arial"/>
              <w:sz w:val="24"/>
              <w:szCs w:val="24"/>
            </w:rPr>
            <w:t xml:space="preserve"> the hospitality industry, Investopedia. Investopedia. Available at: https://www.investopedia.com/articles/active-trading/082615/key-financial-ratios-analyze-hospitality-industry.asp (Accessed: December </w:t>
          </w:r>
          <w:r>
            <w:rPr>
              <w:rFonts w:ascii="Arial" w:hAnsi="Arial" w:cs="Arial"/>
              <w:sz w:val="24"/>
              <w:szCs w:val="24"/>
            </w:rPr>
            <w:t>4</w:t>
          </w:r>
          <w:r w:rsidRPr="00B35D4A">
            <w:rPr>
              <w:rFonts w:ascii="Arial" w:hAnsi="Arial" w:cs="Arial"/>
              <w:sz w:val="24"/>
              <w:szCs w:val="24"/>
            </w:rPr>
            <w:t xml:space="preserve">, 2022). </w:t>
          </w:r>
        </w:p>
        <w:p w14:paraId="767C1D67" w14:textId="10C11363" w:rsidR="00534A2F" w:rsidRPr="007215FC" w:rsidRDefault="00B35D4A" w:rsidP="00B35D4A">
          <w:pPr>
            <w:rPr>
              <w:rFonts w:ascii="Arial" w:hAnsi="Arial" w:cs="Arial"/>
              <w:sz w:val="24"/>
              <w:szCs w:val="24"/>
            </w:rPr>
          </w:pPr>
          <w:r w:rsidRPr="00B35D4A">
            <w:rPr>
              <w:rFonts w:ascii="Arial" w:hAnsi="Arial" w:cs="Arial"/>
              <w:sz w:val="24"/>
              <w:szCs w:val="24"/>
            </w:rPr>
            <w:t xml:space="preserve">Walsh, C. (1996) Key management ratios: How to </w:t>
          </w:r>
          <w:proofErr w:type="spellStart"/>
          <w:r w:rsidRPr="00B35D4A">
            <w:rPr>
              <w:rFonts w:ascii="Arial" w:hAnsi="Arial" w:cs="Arial"/>
              <w:sz w:val="24"/>
              <w:szCs w:val="24"/>
            </w:rPr>
            <w:t>analyze</w:t>
          </w:r>
          <w:proofErr w:type="spellEnd"/>
          <w:r w:rsidRPr="00B35D4A">
            <w:rPr>
              <w:rFonts w:ascii="Arial" w:hAnsi="Arial" w:cs="Arial"/>
              <w:sz w:val="24"/>
              <w:szCs w:val="24"/>
            </w:rPr>
            <w:t>, compare and control the figures that drive company value. London: Pitman.</w:t>
          </w:r>
        </w:p>
        <w:p w14:paraId="04B40B59" w14:textId="2B28AD0A" w:rsidR="00CA09F3" w:rsidRDefault="00000000"/>
      </w:sdtContent>
    </w:sdt>
    <w:sectPr w:rsidR="00CA09F3" w:rsidSect="007D19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2DF28" w14:textId="77777777" w:rsidR="00970101" w:rsidRDefault="00970101" w:rsidP="003B7D49">
      <w:pPr>
        <w:spacing w:after="0" w:line="240" w:lineRule="auto"/>
      </w:pPr>
      <w:r>
        <w:separator/>
      </w:r>
    </w:p>
  </w:endnote>
  <w:endnote w:type="continuationSeparator" w:id="0">
    <w:p w14:paraId="7B971C8D" w14:textId="77777777" w:rsidR="00970101" w:rsidRDefault="00970101" w:rsidP="003B7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149832"/>
      <w:docPartObj>
        <w:docPartGallery w:val="Page Numbers (Bottom of Page)"/>
        <w:docPartUnique/>
      </w:docPartObj>
    </w:sdtPr>
    <w:sdtContent>
      <w:p w14:paraId="16CF6235" w14:textId="30A3EBCC" w:rsidR="003B7D49" w:rsidRDefault="003B7D49">
        <w:pPr>
          <w:pStyle w:val="Footer"/>
        </w:pPr>
        <w:r>
          <w:rPr>
            <w:noProof/>
          </w:rPr>
          <w:pict w14:anchorId="545B4672">
            <v:group id="Group 33" o:spid="_x0000_s1025"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">
              <v:shapetype id="_x0000_t202" coordsize="21600,21600" o:spt="202" path="m,l,21600r21600,l21600,xe">
                <v:stroke joinstyle="miter"/>
                <v:path gradientshapeok="t" o:connecttype="rect"/>
              </v:shapetype>
              <v:shape id="Text Box 25" o:spid="_x0000_s1026" type="#_x0000_t202" style="position:absolute;left:10803;top:14982;width:659;height:2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I6XW8IA&#10;AADaAAAADwAAAGRycy9kb3ducmV2LnhtbESPQYvCMBSE78L+h/AW9qapHkS7RhFZQRAWaz14fNs8&#10;22Dz0m2i1n9vBMHjMDPfMLNFZ2txpdYbxwqGgwQEceG04VLBIV/3JyB8QNZYOyYFd/KwmH/0Zphq&#10;d+OMrvtQighhn6KCKoQmldIXFVn0A9cQR+/kWoshyraUusVbhNtajpJkLC0ajgsVNrSqqDjvL1bB&#10;8sjZj/n//dtlp8zk+TTh7fis1Ndnt/wGEagL7/CrvdEKRvC8Em+AnD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YjpdbwgAAANoAAAAPAAAAAAAAAAAAAAAAAJgCAABkcnMvZG93&#10;bnJldi54bWxQSwUGAAAAAAQABAD1AAAAhwMAAAAA&#10;" filled="f" stroked="f">
                <v:textbox inset="0,0,0,0">
                  <w:txbxContent>
                    <w:p w14:paraId="4CAA6109" w14:textId="77777777" w:rsidR="003B7D49" w:rsidRDefault="003B7D49">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7" style="position:absolute;top:14970;width:12255;height:230;flip:x" coordorigin="-8,14978" coordsize="12255,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mSkLMwwAAANoAAAAP&#10;AAAAAAAAAAAAAAAAAKoCAABkcnMvZG93bnJldi54bWxQSwUGAAAAAAQABAD6AAAAmgM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8" type="#_x0000_t34" style="position:absolute;left:-8;top:14978;width:1260;height:230;flip:y;visibility:visible;mso-wrap-style:squar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Js75cEAAADaAAAADwAAAGRycy9kb3ducmV2LnhtbESP0WrCQBRE3wv+w3KFvtWNUoJGVxFR&#10;LH0z+gGX7DUbkr0bsqtJ+vXdQsHHYWbOMJvdYBvxpM5XjhXMZwkI4sLpiksFt+vpYwnCB2SNjWNS&#10;MJKH3XbytsFMu54v9MxDKSKEfYYKTAhtJqUvDFn0M9cSR+/uOoshyq6UusM+wm0jF0mSSosVxwWD&#10;LR0MFXX+sAqO2i73xepc9+Pqe/R5lf7UJlXqfTrs1yACDeEV/m9/aQWf8Hcl3gC5/Q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QmzvlwQAAANoAAAAPAAAAAAAAAAAAAAAA&#10;AKECAABkcnMvZG93bnJldi54bWxQSwUGAAAAAAQABAD5AAAAjwMAAAAA&#10;" strokecolor="#a5a5a5"/>
                <v:shape id="AutoShape 28" o:spid="_x0000_s1029" type="#_x0000_t34" style="position:absolute;left:1252;top:14978;width:10995;height:230;rotation:180;visibility:visible;mso-wrap-style:squar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EcUXMQAAADaAAAADwAAAGRycy9kb3ducmV2LnhtbESPQWvCQBSE74X+h+UVvOnGQiVGVxHb&#10;lCL0YNIevL1mX7PB7NuQXTX+e7cg9DjMzDfMcj3YVpyp941jBdNJAoK4crrhWsFXmY9TED4ga2wd&#10;k4IreVivHh+WmGl34T2di1CLCGGfoQITQpdJ6StDFv3EdcTR+3W9xRBlX0vd4yXCbSufk2QmLTYc&#10;Fwx2tDVUHYuTVZD/lJ/b19yUafoeaPc9f3OH6qjU6GnYLEAEGsJ/+N7+0Ape4O9KvAFyd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MRxRcxAAAANoAAAAPAAAAAAAAAAAA&#10;AAAAAKECAABkcnMvZG93bnJldi54bWxQSwUGAAAAAAQABAD5AAAAkgMAAAAA&#10;" adj="20904" strokecolor="#a5a5a5"/>
              </v:group>
              <w10:wrap anchorx="page" anchory="margin"/>
            </v:group>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232B3" w14:textId="77777777" w:rsidR="00970101" w:rsidRDefault="00970101" w:rsidP="003B7D49">
      <w:pPr>
        <w:spacing w:after="0" w:line="240" w:lineRule="auto"/>
      </w:pPr>
      <w:r>
        <w:separator/>
      </w:r>
    </w:p>
  </w:footnote>
  <w:footnote w:type="continuationSeparator" w:id="0">
    <w:p w14:paraId="67F9264E" w14:textId="77777777" w:rsidR="00970101" w:rsidRDefault="00970101" w:rsidP="003B7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16B93"/>
    <w:multiLevelType w:val="hybridMultilevel"/>
    <w:tmpl w:val="53F657BC"/>
    <w:lvl w:ilvl="0" w:tplc="36E68E14">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1D722BE"/>
    <w:multiLevelType w:val="hybridMultilevel"/>
    <w:tmpl w:val="4678F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523A3B"/>
    <w:multiLevelType w:val="hybridMultilevel"/>
    <w:tmpl w:val="DA987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4159233">
    <w:abstractNumId w:val="0"/>
  </w:num>
  <w:num w:numId="2" w16cid:durableId="172450965">
    <w:abstractNumId w:val="1"/>
  </w:num>
  <w:num w:numId="3" w16cid:durableId="7460042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1"/>
    <o:shapelayout v:ext="edit">
      <o:idmap v:ext="edit" data="1"/>
      <o:rules v:ext="edit">
        <o:r id="V:Rule1" type="connector" idref="#AutoShape 27"/>
        <o:r id="V:Rule2" type="connector" idref="#AutoShape 28"/>
      </o:rules>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D1947"/>
    <w:rsid w:val="000317E2"/>
    <w:rsid w:val="00037C2E"/>
    <w:rsid w:val="000B76E5"/>
    <w:rsid w:val="000D6188"/>
    <w:rsid w:val="000F5B20"/>
    <w:rsid w:val="00115B96"/>
    <w:rsid w:val="00122C75"/>
    <w:rsid w:val="00162645"/>
    <w:rsid w:val="0017323D"/>
    <w:rsid w:val="00183A26"/>
    <w:rsid w:val="00190863"/>
    <w:rsid w:val="00191E8F"/>
    <w:rsid w:val="001A3B91"/>
    <w:rsid w:val="00223497"/>
    <w:rsid w:val="00226708"/>
    <w:rsid w:val="0025446A"/>
    <w:rsid w:val="00257CC9"/>
    <w:rsid w:val="00284F1F"/>
    <w:rsid w:val="002B68A7"/>
    <w:rsid w:val="003227FF"/>
    <w:rsid w:val="00324CCD"/>
    <w:rsid w:val="003572A2"/>
    <w:rsid w:val="003959F9"/>
    <w:rsid w:val="003B7D49"/>
    <w:rsid w:val="003C78B4"/>
    <w:rsid w:val="003D2B83"/>
    <w:rsid w:val="003D494F"/>
    <w:rsid w:val="003F5CE9"/>
    <w:rsid w:val="004756F0"/>
    <w:rsid w:val="004835BB"/>
    <w:rsid w:val="0048463F"/>
    <w:rsid w:val="00493195"/>
    <w:rsid w:val="004A11F6"/>
    <w:rsid w:val="004D519C"/>
    <w:rsid w:val="004F7422"/>
    <w:rsid w:val="00534A2F"/>
    <w:rsid w:val="00535838"/>
    <w:rsid w:val="005516C0"/>
    <w:rsid w:val="00557AB3"/>
    <w:rsid w:val="00572FD7"/>
    <w:rsid w:val="00577754"/>
    <w:rsid w:val="005A1C54"/>
    <w:rsid w:val="005A4509"/>
    <w:rsid w:val="005B6C12"/>
    <w:rsid w:val="0064064C"/>
    <w:rsid w:val="00666B35"/>
    <w:rsid w:val="006D130D"/>
    <w:rsid w:val="00703CD3"/>
    <w:rsid w:val="007215FC"/>
    <w:rsid w:val="00741B73"/>
    <w:rsid w:val="00780E5E"/>
    <w:rsid w:val="00795CCE"/>
    <w:rsid w:val="007A754D"/>
    <w:rsid w:val="007D1947"/>
    <w:rsid w:val="007F63D7"/>
    <w:rsid w:val="00811B5F"/>
    <w:rsid w:val="0081686D"/>
    <w:rsid w:val="008234CC"/>
    <w:rsid w:val="00854416"/>
    <w:rsid w:val="00880155"/>
    <w:rsid w:val="00880BA4"/>
    <w:rsid w:val="008C4CE0"/>
    <w:rsid w:val="008D3C29"/>
    <w:rsid w:val="008F6CCB"/>
    <w:rsid w:val="00906605"/>
    <w:rsid w:val="00970101"/>
    <w:rsid w:val="00A3284F"/>
    <w:rsid w:val="00A42705"/>
    <w:rsid w:val="00A44D31"/>
    <w:rsid w:val="00A56AF7"/>
    <w:rsid w:val="00A56B4D"/>
    <w:rsid w:val="00A80F4F"/>
    <w:rsid w:val="00A91230"/>
    <w:rsid w:val="00A948A7"/>
    <w:rsid w:val="00AA2A91"/>
    <w:rsid w:val="00AE233B"/>
    <w:rsid w:val="00B35D4A"/>
    <w:rsid w:val="00B517BB"/>
    <w:rsid w:val="00B666C1"/>
    <w:rsid w:val="00BA7A16"/>
    <w:rsid w:val="00BB5EA7"/>
    <w:rsid w:val="00BD355C"/>
    <w:rsid w:val="00BF2EF6"/>
    <w:rsid w:val="00C71FB5"/>
    <w:rsid w:val="00C815BF"/>
    <w:rsid w:val="00CA09F3"/>
    <w:rsid w:val="00CA4DA2"/>
    <w:rsid w:val="00CB19CB"/>
    <w:rsid w:val="00CD46C5"/>
    <w:rsid w:val="00D10EBE"/>
    <w:rsid w:val="00D53C60"/>
    <w:rsid w:val="00D60643"/>
    <w:rsid w:val="00D66A23"/>
    <w:rsid w:val="00D84541"/>
    <w:rsid w:val="00D854A5"/>
    <w:rsid w:val="00D947BE"/>
    <w:rsid w:val="00DB7CB6"/>
    <w:rsid w:val="00DC38D0"/>
    <w:rsid w:val="00DD47A2"/>
    <w:rsid w:val="00DF404A"/>
    <w:rsid w:val="00E475E5"/>
    <w:rsid w:val="00E616A4"/>
    <w:rsid w:val="00E97462"/>
    <w:rsid w:val="00EA48DE"/>
    <w:rsid w:val="00EB4F11"/>
    <w:rsid w:val="00EC6411"/>
    <w:rsid w:val="00EC6634"/>
    <w:rsid w:val="00EE62F0"/>
    <w:rsid w:val="00F050A5"/>
    <w:rsid w:val="00F131F9"/>
    <w:rsid w:val="00F602BE"/>
    <w:rsid w:val="00F62223"/>
    <w:rsid w:val="00F73E75"/>
    <w:rsid w:val="00FA4C18"/>
    <w:rsid w:val="00FB3980"/>
    <w:rsid w:val="00FC02B6"/>
    <w:rsid w:val="00FE1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DCA3F25"/>
  <w15:docId w15:val="{E547AA36-2514-4D72-8A7D-2696F51BB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PlainTable1">
    <w:name w:val="Plain Table 1"/>
    <w:basedOn w:val="TableNormal"/>
    <w:uiPriority w:val="41"/>
    <w:rsid w:val="000D618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3572A2"/>
    <w:pPr>
      <w:ind w:left="720"/>
      <w:contextualSpacing/>
    </w:pPr>
  </w:style>
  <w:style w:type="paragraph" w:styleId="Header">
    <w:name w:val="header"/>
    <w:basedOn w:val="Normal"/>
    <w:link w:val="HeaderChar"/>
    <w:uiPriority w:val="99"/>
    <w:unhideWhenUsed/>
    <w:rsid w:val="003B7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D49"/>
  </w:style>
  <w:style w:type="paragraph" w:styleId="Footer">
    <w:name w:val="footer"/>
    <w:basedOn w:val="Normal"/>
    <w:link w:val="FooterChar"/>
    <w:uiPriority w:val="99"/>
    <w:unhideWhenUsed/>
    <w:rsid w:val="003B7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D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15577">
      <w:bodyDiv w:val="1"/>
      <w:marLeft w:val="0"/>
      <w:marRight w:val="0"/>
      <w:marTop w:val="0"/>
      <w:marBottom w:val="0"/>
      <w:divBdr>
        <w:top w:val="none" w:sz="0" w:space="0" w:color="auto"/>
        <w:left w:val="none" w:sz="0" w:space="0" w:color="auto"/>
        <w:bottom w:val="none" w:sz="0" w:space="0" w:color="auto"/>
        <w:right w:val="none" w:sz="0" w:space="0" w:color="auto"/>
      </w:divBdr>
    </w:div>
    <w:div w:id="720254285">
      <w:bodyDiv w:val="1"/>
      <w:marLeft w:val="0"/>
      <w:marRight w:val="0"/>
      <w:marTop w:val="0"/>
      <w:marBottom w:val="0"/>
      <w:divBdr>
        <w:top w:val="none" w:sz="0" w:space="0" w:color="auto"/>
        <w:left w:val="none" w:sz="0" w:space="0" w:color="auto"/>
        <w:bottom w:val="none" w:sz="0" w:space="0" w:color="auto"/>
        <w:right w:val="none" w:sz="0" w:space="0" w:color="auto"/>
      </w:divBdr>
    </w:div>
    <w:div w:id="786242993">
      <w:bodyDiv w:val="1"/>
      <w:marLeft w:val="0"/>
      <w:marRight w:val="0"/>
      <w:marTop w:val="0"/>
      <w:marBottom w:val="0"/>
      <w:divBdr>
        <w:top w:val="none" w:sz="0" w:space="0" w:color="auto"/>
        <w:left w:val="none" w:sz="0" w:space="0" w:color="auto"/>
        <w:bottom w:val="none" w:sz="0" w:space="0" w:color="auto"/>
        <w:right w:val="none" w:sz="0" w:space="0" w:color="auto"/>
      </w:divBdr>
    </w:div>
    <w:div w:id="18150972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2 - Marriott</a:t>
            </a:r>
            <a:r>
              <a:rPr lang="en-GB" baseline="0"/>
              <a:t> Financial Analysis 2020-2021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2020</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Sheet1!$A$2:$A$21</c:f>
              <c:strCache>
                <c:ptCount val="20"/>
                <c:pt idx="0">
                  <c:v>Current Ratio</c:v>
                </c:pt>
                <c:pt idx="1">
                  <c:v>Long-term Debt / Capital </c:v>
                </c:pt>
                <c:pt idx="2">
                  <c:v>Debt / Equity Ratio</c:v>
                </c:pt>
                <c:pt idx="3">
                  <c:v>Gross Profit Margin</c:v>
                </c:pt>
                <c:pt idx="4">
                  <c:v>Operating Margin</c:v>
                </c:pt>
                <c:pt idx="5">
                  <c:v>EBIT Margin </c:v>
                </c:pt>
                <c:pt idx="6">
                  <c:v>EBITDA Margin</c:v>
                </c:pt>
                <c:pt idx="7">
                  <c:v>Pre-Tax Profit Margin</c:v>
                </c:pt>
                <c:pt idx="8">
                  <c:v>Net Profit Margin</c:v>
                </c:pt>
                <c:pt idx="9">
                  <c:v>Asset Turnover </c:v>
                </c:pt>
                <c:pt idx="10">
                  <c:v>Inventory Turnover Ratio</c:v>
                </c:pt>
                <c:pt idx="11">
                  <c:v>Receiveable Turnover </c:v>
                </c:pt>
                <c:pt idx="12">
                  <c:v>Days Sales In Receivables </c:v>
                </c:pt>
                <c:pt idx="13">
                  <c:v>ROE – Return On Equity</c:v>
                </c:pt>
                <c:pt idx="14">
                  <c:v>Return On Tangible Equity </c:v>
                </c:pt>
                <c:pt idx="15">
                  <c:v>ROA – Return On Assets</c:v>
                </c:pt>
                <c:pt idx="16">
                  <c:v>ROI – Return On Investment</c:v>
                </c:pt>
                <c:pt idx="17">
                  <c:v>Book Value Per Share </c:v>
                </c:pt>
                <c:pt idx="18">
                  <c:v>Operating Cash Flow Per Share </c:v>
                </c:pt>
                <c:pt idx="19">
                  <c:v>Free Cash Flow Per Share </c:v>
                </c:pt>
              </c:strCache>
            </c:strRef>
          </c:cat>
          <c:val>
            <c:numRef>
              <c:f>Sheet1!$B$2:$B$21</c:f>
              <c:numCache>
                <c:formatCode>General</c:formatCode>
                <c:ptCount val="20"/>
                <c:pt idx="0">
                  <c:v>0</c:v>
                </c:pt>
                <c:pt idx="1">
                  <c:v>0</c:v>
                </c:pt>
                <c:pt idx="2" formatCode="#,##0">
                  <c:v>241302</c:v>
                </c:pt>
                <c:pt idx="3" formatCode="#,##0">
                  <c:v>138019</c:v>
                </c:pt>
                <c:pt idx="4">
                  <c:v>0</c:v>
                </c:pt>
                <c:pt idx="5">
                  <c:v>0</c:v>
                </c:pt>
                <c:pt idx="6" formatCode="#,##0">
                  <c:v>53164</c:v>
                </c:pt>
                <c:pt idx="7" formatCode="#,##0">
                  <c:v>-44083</c:v>
                </c:pt>
                <c:pt idx="8" formatCode="#,##0">
                  <c:v>-25258</c:v>
                </c:pt>
                <c:pt idx="9">
                  <c:v>0</c:v>
                </c:pt>
                <c:pt idx="10">
                  <c:v>0</c:v>
                </c:pt>
                <c:pt idx="11" formatCode="#,##0">
                  <c:v>59791</c:v>
                </c:pt>
                <c:pt idx="12" formatCode="#,##0">
                  <c:v>610463</c:v>
                </c:pt>
                <c:pt idx="13" formatCode="#,##0">
                  <c:v>-62093</c:v>
                </c:pt>
                <c:pt idx="14" formatCode="#,##0">
                  <c:v>15056</c:v>
                </c:pt>
                <c:pt idx="15" formatCode="#,##0">
                  <c:v>-10809</c:v>
                </c:pt>
                <c:pt idx="16" formatCode="#,##0">
                  <c:v>-27717</c:v>
                </c:pt>
                <c:pt idx="17" formatCode="#,##0">
                  <c:v>13255</c:v>
                </c:pt>
                <c:pt idx="18">
                  <c:v>0</c:v>
                </c:pt>
                <c:pt idx="19" formatCode="#,##0">
                  <c:v>1161</c:v>
                </c:pt>
              </c:numCache>
            </c:numRef>
          </c:val>
          <c:smooth val="0"/>
          <c:extLst>
            <c:ext xmlns:c16="http://schemas.microsoft.com/office/drawing/2014/chart" uri="{C3380CC4-5D6E-409C-BE32-E72D297353CC}">
              <c16:uniqueId val="{00000000-2D73-445D-A685-FE8CFB8956E8}"/>
            </c:ext>
          </c:extLst>
        </c:ser>
        <c:ser>
          <c:idx val="1"/>
          <c:order val="1"/>
          <c:tx>
            <c:strRef>
              <c:f>Sheet1!$C$1</c:f>
              <c:strCache>
                <c:ptCount val="1"/>
                <c:pt idx="0">
                  <c:v>2021</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Sheet1!$A$2:$A$21</c:f>
              <c:strCache>
                <c:ptCount val="20"/>
                <c:pt idx="0">
                  <c:v>Current Ratio</c:v>
                </c:pt>
                <c:pt idx="1">
                  <c:v>Long-term Debt / Capital </c:v>
                </c:pt>
                <c:pt idx="2">
                  <c:v>Debt / Equity Ratio</c:v>
                </c:pt>
                <c:pt idx="3">
                  <c:v>Gross Profit Margin</c:v>
                </c:pt>
                <c:pt idx="4">
                  <c:v>Operating Margin</c:v>
                </c:pt>
                <c:pt idx="5">
                  <c:v>EBIT Margin </c:v>
                </c:pt>
                <c:pt idx="6">
                  <c:v>EBITDA Margin</c:v>
                </c:pt>
                <c:pt idx="7">
                  <c:v>Pre-Tax Profit Margin</c:v>
                </c:pt>
                <c:pt idx="8">
                  <c:v>Net Profit Margin</c:v>
                </c:pt>
                <c:pt idx="9">
                  <c:v>Asset Turnover </c:v>
                </c:pt>
                <c:pt idx="10">
                  <c:v>Inventory Turnover Ratio</c:v>
                </c:pt>
                <c:pt idx="11">
                  <c:v>Receiveable Turnover </c:v>
                </c:pt>
                <c:pt idx="12">
                  <c:v>Days Sales In Receivables </c:v>
                </c:pt>
                <c:pt idx="13">
                  <c:v>ROE – Return On Equity</c:v>
                </c:pt>
                <c:pt idx="14">
                  <c:v>Return On Tangible Equity </c:v>
                </c:pt>
                <c:pt idx="15">
                  <c:v>ROA – Return On Assets</c:v>
                </c:pt>
                <c:pt idx="16">
                  <c:v>ROI – Return On Investment</c:v>
                </c:pt>
                <c:pt idx="17">
                  <c:v>Book Value Per Share </c:v>
                </c:pt>
                <c:pt idx="18">
                  <c:v>Operating Cash Flow Per Share </c:v>
                </c:pt>
                <c:pt idx="19">
                  <c:v>Free Cash Flow Per Share </c:v>
                </c:pt>
              </c:strCache>
            </c:strRef>
          </c:cat>
          <c:val>
            <c:numRef>
              <c:f>Sheet1!$C$2:$C$21</c:f>
              <c:numCache>
                <c:formatCode>General</c:formatCode>
                <c:ptCount val="20"/>
                <c:pt idx="0">
                  <c:v>0</c:v>
                </c:pt>
                <c:pt idx="1">
                  <c:v>0</c:v>
                </c:pt>
                <c:pt idx="2" formatCode="#,##0">
                  <c:v>71697</c:v>
                </c:pt>
                <c:pt idx="3" formatCode="#,##0">
                  <c:v>202136</c:v>
                </c:pt>
                <c:pt idx="4" formatCode="#,##0">
                  <c:v>12629</c:v>
                </c:pt>
                <c:pt idx="5" formatCode="#,##0">
                  <c:v>12629</c:v>
                </c:pt>
                <c:pt idx="6" formatCode="#,##0">
                  <c:v>147579</c:v>
                </c:pt>
                <c:pt idx="7" formatCode="#,##0">
                  <c:v>85156</c:v>
                </c:pt>
                <c:pt idx="8" formatCode="#,##0">
                  <c:v>7931</c:v>
                </c:pt>
                <c:pt idx="9">
                  <c:v>0</c:v>
                </c:pt>
                <c:pt idx="10">
                  <c:v>0</c:v>
                </c:pt>
                <c:pt idx="11" formatCode="#,##0">
                  <c:v>69914</c:v>
                </c:pt>
                <c:pt idx="12" formatCode="#,##0">
                  <c:v>522068</c:v>
                </c:pt>
                <c:pt idx="13" formatCode="#,##0">
                  <c:v>777228</c:v>
                </c:pt>
                <c:pt idx="14" formatCode="#,##0">
                  <c:v>-66265</c:v>
                </c:pt>
                <c:pt idx="15" formatCode="#,##0">
                  <c:v>43009</c:v>
                </c:pt>
                <c:pt idx="16" formatCode="#,##0">
                  <c:v>102261</c:v>
                </c:pt>
                <c:pt idx="17" formatCode="#,##0">
                  <c:v>43334</c:v>
                </c:pt>
                <c:pt idx="18" formatCode="#,##0">
                  <c:v>-14565</c:v>
                </c:pt>
                <c:pt idx="19" formatCode="#,##0">
                  <c:v>-23594</c:v>
                </c:pt>
              </c:numCache>
            </c:numRef>
          </c:val>
          <c:smooth val="0"/>
          <c:extLst>
            <c:ext xmlns:c16="http://schemas.microsoft.com/office/drawing/2014/chart" uri="{C3380CC4-5D6E-409C-BE32-E72D297353CC}">
              <c16:uniqueId val="{00000001-2D73-445D-A685-FE8CFB8956E8}"/>
            </c:ext>
          </c:extLst>
        </c:ser>
        <c:dLbls>
          <c:showLegendKey val="0"/>
          <c:showVal val="0"/>
          <c:showCatName val="0"/>
          <c:showSerName val="0"/>
          <c:showPercent val="0"/>
          <c:showBubbleSize val="0"/>
        </c:dLbls>
        <c:marker val="1"/>
        <c:smooth val="0"/>
        <c:axId val="31150607"/>
        <c:axId val="189213199"/>
      </c:lineChart>
      <c:catAx>
        <c:axId val="311506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213199"/>
        <c:crosses val="autoZero"/>
        <c:auto val="1"/>
        <c:lblAlgn val="ctr"/>
        <c:lblOffset val="100"/>
        <c:noMultiLvlLbl val="0"/>
      </c:catAx>
      <c:valAx>
        <c:axId val="189213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506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3.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D2F4F2A-CF7C-401C-BB08-257D9F0C04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2569</Words>
  <Characters>14772</Characters>
  <Application>Microsoft Office Word</Application>
  <DocSecurity>0</DocSecurity>
  <Lines>399</Lines>
  <Paragraphs>170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Rocio</cp:lastModifiedBy>
  <cp:revision>3</cp:revision>
  <cp:lastPrinted>2022-12-16T17:23:00Z</cp:lastPrinted>
  <dcterms:created xsi:type="dcterms:W3CDTF">2022-12-16T17:25:00Z</dcterms:created>
  <dcterms:modified xsi:type="dcterms:W3CDTF">2022-12-16T17:38:00Z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