
<file path=[Content_Types].xml><?xml version="1.0" encoding="utf-8"?>
<Types xmlns="http://schemas.openxmlformats.org/package/2006/content-types">
  <Default Extension="rels" ContentType="application/vnd.openxmlformats-package.relationships+xml"/>
  <Default Extension="xml" ContentType="application/xml"/>
  <Override PartName="/customXml/itemProps1.xml" ContentType="application/vnd.openxmlformats-officedocument.customXmlProperties+xml"/>
  <Override PartName="/docMetadata/LabelInfo.xml" ContentType="application/vnd.ms-office.classificationlabel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Override PartName="/word/webextensions/taskpanes.xml" ContentType="application/vnd.ms-office.webextensiontaskpanes+xml"/>
  <Override PartName="/word/webextensions/webextension1.xml" ContentType="application/vnd.ms-office.webextension+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pPr>
        <w:keepNext w:val="0"/>
        <w:widowControl/>
        <w:spacing w:line="360" w:lineRule="auto" w:before="1760" w:after="440"/>
        <w:jc w:val="left"/>
      </w:pPr>
      <w:r>
        <w:rPr>
          <w:rFonts w:ascii="Arial" w:hAnsi="Arial"/>
          <w:b w:val="0"/>
          <w:i w:val="0"/>
          <w:sz w:val="36"/>
          <w:u w:val="none"/>
        </w:rPr>
        <w:t>Module Title: Problem Solving and Decision Making</w:t>
      </w:r>
    </w:p>
    <w:p>
      <w:pPr>
        <w:keepNext w:val="0"/>
        <w:widowControl/>
        <w:spacing w:line="360" w:lineRule="auto" w:before="0" w:after="440"/>
        <w:jc w:val="left"/>
      </w:pPr>
      <w:r>
        <w:rPr>
          <w:rFonts w:ascii="Arial" w:hAnsi="Arial"/>
          <w:b w:val="0"/>
          <w:i w:val="0"/>
          <w:sz w:val="36"/>
          <w:u w:val="none"/>
        </w:rPr>
        <w:t>Module Code: LCLM4004</w:t>
      </w:r>
    </w:p>
    <w:p>
      <w:pPr>
        <w:keepNext w:val="0"/>
        <w:widowControl/>
        <w:spacing w:line="360" w:lineRule="auto" w:before="0" w:after="440"/>
        <w:jc w:val="left"/>
      </w:pPr>
      <w:r>
        <w:rPr>
          <w:rFonts w:ascii="Arial" w:hAnsi="Arial"/>
          <w:b w:val="0"/>
          <w:i w:val="0"/>
          <w:sz w:val="36"/>
          <w:u w:val="none"/>
        </w:rPr>
        <w:t>Assessment: Component 2 Report - Basil's Bakery</w:t>
      </w:r>
    </w:p>
    <w:p>
      <w:pPr>
        <w:keepNext w:val="0"/>
        <w:widowControl/>
        <w:spacing w:line="360" w:lineRule="auto" w:before="0" w:after="440"/>
        <w:jc w:val="left"/>
      </w:pPr>
      <w:r>
        <w:rPr>
          <w:rFonts w:ascii="Arial" w:hAnsi="Arial"/>
          <w:b w:val="0"/>
          <w:i w:val="0"/>
          <w:sz w:val="36"/>
          <w:u w:val="none"/>
        </w:rPr>
        <w:t>Student Name: Robertas Valaitis</w:t>
      </w:r>
    </w:p>
    <w:p>
      <w:pPr>
        <w:keepNext w:val="0"/>
        <w:widowControl/>
        <w:spacing w:line="360" w:lineRule="auto" w:before="0" w:after="440"/>
        <w:jc w:val="left"/>
      </w:pPr>
      <w:r>
        <w:rPr>
          <w:rFonts w:ascii="Arial" w:hAnsi="Arial"/>
          <w:b w:val="0"/>
          <w:i w:val="0"/>
          <w:sz w:val="36"/>
          <w:u w:val="none"/>
        </w:rPr>
        <w:t>Student Number: 2532688</w:t>
      </w:r>
    </w:p>
    <w:p>
      <w:pPr>
        <w:keepNext w:val="0"/>
        <w:widowControl/>
        <w:spacing w:line="360" w:lineRule="auto" w:before="0" w:after="440"/>
        <w:jc w:val="left"/>
      </w:pPr>
      <w:r>
        <w:rPr>
          <w:rFonts w:ascii="Arial" w:hAnsi="Arial"/>
          <w:b w:val="0"/>
          <w:i w:val="0"/>
          <w:sz w:val="36"/>
          <w:u w:val="none"/>
        </w:rPr>
        <w:t>Lecturer's Name: Charles Obinwa</w:t>
      </w:r>
    </w:p>
    <w:p>
      <w:pPr>
        <w:keepNext w:val="0"/>
        <w:widowControl/>
        <w:spacing w:line="360" w:lineRule="auto" w:before="320" w:after="0"/>
        <w:jc w:val="left"/>
      </w:pPr>
      <w:r>
        <w:rPr>
          <w:rFonts w:ascii="Arial" w:hAnsi="Arial"/>
          <w:b w:val="0"/>
          <w:i w:val="0"/>
          <w:sz w:val="24"/>
          <w:u w:val="none"/>
        </w:rPr>
        <w:t>Word Count: 1637 words (report content and appendices)</w:t>
      </w:r>
    </w:p>
    <w:p>
      <w:pPr>
        <w:spacing w:after="0"/>
      </w:pPr>
      <w:r>
        <w:br w:type="page"/>
      </w:r>
    </w:p>
    <w:p>
      <w:pPr>
        <w:keepNext w:val="0"/>
        <w:widowControl/>
        <w:spacing w:line="360" w:lineRule="auto" w:before="0" w:after="200"/>
        <w:jc w:val="center"/>
      </w:pPr>
      <w:r>
        <w:rPr>
          <w:rFonts w:ascii="Arial" w:hAnsi="Arial"/>
          <w:b/>
          <w:i w:val="0"/>
          <w:sz w:val="36"/>
          <w:u w:val="single"/>
        </w:rPr>
        <w:t>Table of Contents</w:t>
      </w:r>
    </w:p>
    <w:tbl>
      <w:tblPr>
        <w:tblW w:type="dxa" w:w="8906"/>
        <w:jc w:val="left"/>
        <w:tblLayout w:type="fixed"/>
        <w:tblLook w:firstColumn="1" w:firstRow="1" w:lastColumn="0" w:lastRow="0" w:noHBand="0" w:noVBand="1" w:val="04A0"/>
        <w:tblInd w:type="dxa" w:w="120"/>
        <w:tblBorders>
          <w:top w:val="nil"/>
          <w:left w:val="nil"/>
          <w:bottom w:val="nil"/>
          <w:right w:val="nil"/>
          <w:insideH w:val="nil"/>
          <w:insideV w:val="nil"/>
        </w:tblBorders>
      </w:tblPr>
      <w:tblGrid>
        <w:gridCol w:w="7719"/>
        <w:gridCol w:w="1187"/>
      </w:tblGrid>
      <w:tr>
        <w:trPr>
          <w:tblHeader w:val="true"/>
        </w:trPr>
        <w:tc>
          <w:tcPr>
            <w:tcW w:type="dxa" w:w="7719"/>
            <w:vAlign w:val="center"/>
            <w:tcMar>
              <w:top w:w="80" w:type="dxa"/>
              <w:bottom w:w="80" w:type="dxa"/>
              <w:start w:w="120" w:type="dxa"/>
              <w:end w:w="120" w:type="dxa"/>
            </w:tcMar>
          </w:tcPr>
          <w:p>
            <w:pPr>
              <w:keepNext w:val="0"/>
              <w:widowControl/>
              <w:spacing w:line="360" w:lineRule="auto" w:before="0" w:after="0"/>
              <w:jc w:val="left"/>
            </w:pPr>
            <w:r>
              <w:rPr>
                <w:rFonts w:ascii="Arial" w:hAnsi="Arial"/>
                <w:sz w:val="24"/>
              </w:rPr>
            </w:r>
            <w:r>
              <w:rPr>
                <w:rFonts w:ascii="Arial" w:hAnsi="Arial"/>
                <w:b/>
                <w:sz w:val="24"/>
              </w:rPr>
              <w:t>Contents</w:t>
            </w:r>
          </w:p>
        </w:tc>
        <w:tc>
          <w:tcPr>
            <w:tcW w:type="dxa" w:w="1187"/>
            <w:vAlign w:val="center"/>
            <w:tcMar>
              <w:top w:w="80" w:type="dxa"/>
              <w:bottom w:w="80" w:type="dxa"/>
              <w:start w:w="120" w:type="dxa"/>
              <w:end w:w="120" w:type="dxa"/>
            </w:tcMar>
          </w:tcPr>
          <w:p>
            <w:pPr>
              <w:keepNext w:val="0"/>
              <w:widowControl/>
              <w:spacing w:line="360" w:lineRule="auto" w:before="0" w:after="0"/>
              <w:jc w:val="right"/>
            </w:pPr>
            <w:r>
              <w:rPr>
                <w:rFonts w:ascii="Arial" w:hAnsi="Arial"/>
                <w:sz w:val="24"/>
              </w:rPr>
            </w:r>
            <w:r>
              <w:rPr>
                <w:rFonts w:ascii="Arial" w:hAnsi="Arial"/>
                <w:b/>
                <w:sz w:val="24"/>
              </w:rPr>
              <w:t>Page</w:t>
            </w:r>
          </w:p>
        </w:tc>
      </w:tr>
      <w:tr>
        <w:trPr/>
        <w:tc>
          <w:tcPr>
            <w:tcW w:type="dxa" w:w="7719"/>
            <w:vAlign w:val="center"/>
            <w:tcMar>
              <w:top w:w="80" w:type="dxa"/>
              <w:bottom w:w="80" w:type="dxa"/>
              <w:start w:w="120" w:type="dxa"/>
              <w:end w:w="120" w:type="dxa"/>
            </w:tcMar>
          </w:tcPr>
          <w:p>
            <w:pPr>
              <w:keepNext w:val="0"/>
              <w:widowControl/>
              <w:spacing w:line="360" w:lineRule="auto" w:before="0" w:after="0"/>
              <w:jc w:val="left"/>
            </w:pPr>
            <w:r>
              <w:rPr>
                <w:rFonts w:ascii="Arial" w:hAnsi="Arial"/>
                <w:sz w:val="24"/>
              </w:rPr>
            </w:r>
            <w:r>
              <w:rPr>
                <w:rFonts w:ascii="Arial" w:hAnsi="Arial"/>
                <w:b w:val="0"/>
                <w:sz w:val="24"/>
              </w:rPr>
              <w:t>Task 1: Overview of Case Study</w:t>
            </w:r>
          </w:p>
        </w:tc>
        <w:tc>
          <w:tcPr>
            <w:tcW w:type="dxa" w:w="1187"/>
            <w:vAlign w:val="center"/>
            <w:tcMar>
              <w:top w:w="80" w:type="dxa"/>
              <w:bottom w:w="80" w:type="dxa"/>
              <w:start w:w="120" w:type="dxa"/>
              <w:end w:w="120" w:type="dxa"/>
            </w:tcMar>
          </w:tcPr>
          <w:p>
            <w:pPr>
              <w:keepNext w:val="0"/>
              <w:widowControl/>
              <w:spacing w:line="360" w:lineRule="auto" w:before="0" w:after="0"/>
              <w:jc w:val="right"/>
            </w:pPr>
            <w:r>
              <w:rPr>
                <w:rFonts w:ascii="Arial" w:hAnsi="Arial"/>
                <w:sz w:val="24"/>
              </w:rPr>
            </w:r>
            <w:r>
              <w:rPr>
                <w:rFonts w:ascii="Arial" w:hAnsi="Arial"/>
                <w:b w:val="0"/>
                <w:sz w:val="24"/>
              </w:rPr>
              <w:t>3</w:t>
            </w:r>
          </w:p>
        </w:tc>
      </w:tr>
      <w:tr>
        <w:trPr/>
        <w:tc>
          <w:tcPr>
            <w:tcW w:type="dxa" w:w="7719"/>
            <w:vAlign w:val="center"/>
            <w:tcMar>
              <w:top w:w="80" w:type="dxa"/>
              <w:bottom w:w="80" w:type="dxa"/>
              <w:start w:w="120" w:type="dxa"/>
              <w:end w:w="120" w:type="dxa"/>
            </w:tcMar>
          </w:tcPr>
          <w:p>
            <w:pPr>
              <w:keepNext w:val="0"/>
              <w:widowControl/>
              <w:spacing w:line="360" w:lineRule="auto" w:before="0" w:after="0"/>
              <w:jc w:val="left"/>
            </w:pPr>
            <w:r>
              <w:rPr>
                <w:rFonts w:ascii="Arial" w:hAnsi="Arial"/>
                <w:sz w:val="24"/>
              </w:rPr>
            </w:r>
            <w:r>
              <w:rPr>
                <w:rFonts w:ascii="Arial" w:hAnsi="Arial"/>
                <w:b w:val="0"/>
                <w:sz w:val="24"/>
              </w:rPr>
              <w:t>Task 2: Two Proposed Solutions</w:t>
            </w:r>
          </w:p>
        </w:tc>
        <w:tc>
          <w:tcPr>
            <w:tcW w:type="dxa" w:w="1187"/>
            <w:vAlign w:val="center"/>
            <w:tcMar>
              <w:top w:w="80" w:type="dxa"/>
              <w:bottom w:w="80" w:type="dxa"/>
              <w:start w:w="120" w:type="dxa"/>
              <w:end w:w="120" w:type="dxa"/>
            </w:tcMar>
          </w:tcPr>
          <w:p>
            <w:pPr>
              <w:keepNext w:val="0"/>
              <w:widowControl/>
              <w:spacing w:line="360" w:lineRule="auto" w:before="0" w:after="0"/>
              <w:jc w:val="right"/>
            </w:pPr>
            <w:r>
              <w:rPr>
                <w:rFonts w:ascii="Arial" w:hAnsi="Arial"/>
                <w:sz w:val="24"/>
              </w:rPr>
            </w:r>
            <w:r>
              <w:rPr>
                <w:rFonts w:ascii="Arial" w:hAnsi="Arial"/>
                <w:b w:val="0"/>
                <w:sz w:val="24"/>
              </w:rPr>
              <w:t>3</w:t>
            </w:r>
          </w:p>
        </w:tc>
      </w:tr>
      <w:tr>
        <w:trPr/>
        <w:tc>
          <w:tcPr>
            <w:tcW w:type="dxa" w:w="7719"/>
            <w:vAlign w:val="center"/>
            <w:tcMar>
              <w:top w:w="80" w:type="dxa"/>
              <w:bottom w:w="80" w:type="dxa"/>
              <w:start w:w="120" w:type="dxa"/>
              <w:end w:w="120" w:type="dxa"/>
            </w:tcMar>
          </w:tcPr>
          <w:p>
            <w:pPr>
              <w:keepNext w:val="0"/>
              <w:widowControl/>
              <w:spacing w:line="360" w:lineRule="auto" w:before="0" w:after="0"/>
              <w:jc w:val="left"/>
            </w:pPr>
            <w:r>
              <w:rPr>
                <w:rFonts w:ascii="Arial" w:hAnsi="Arial"/>
                <w:sz w:val="24"/>
              </w:rPr>
            </w:r>
            <w:r>
              <w:rPr>
                <w:rFonts w:ascii="Arial" w:hAnsi="Arial"/>
                <w:b w:val="0"/>
                <w:sz w:val="24"/>
              </w:rPr>
              <w:t>Task 3b: Evaluation Results and Justifications</w:t>
            </w:r>
          </w:p>
        </w:tc>
        <w:tc>
          <w:tcPr>
            <w:tcW w:type="dxa" w:w="1187"/>
            <w:vAlign w:val="center"/>
            <w:tcMar>
              <w:top w:w="80" w:type="dxa"/>
              <w:bottom w:w="80" w:type="dxa"/>
              <w:start w:w="120" w:type="dxa"/>
              <w:end w:w="120" w:type="dxa"/>
            </w:tcMar>
          </w:tcPr>
          <w:p>
            <w:pPr>
              <w:keepNext w:val="0"/>
              <w:widowControl/>
              <w:spacing w:line="360" w:lineRule="auto" w:before="0" w:after="0"/>
              <w:jc w:val="right"/>
            </w:pPr>
            <w:r>
              <w:rPr>
                <w:rFonts w:ascii="Arial" w:hAnsi="Arial"/>
                <w:sz w:val="24"/>
              </w:rPr>
            </w:r>
            <w:r>
              <w:rPr>
                <w:rFonts w:ascii="Arial" w:hAnsi="Arial"/>
                <w:b w:val="0"/>
                <w:sz w:val="24"/>
              </w:rPr>
              <w:t>4</w:t>
            </w:r>
          </w:p>
        </w:tc>
      </w:tr>
      <w:tr>
        <w:trPr/>
        <w:tc>
          <w:tcPr>
            <w:tcW w:type="dxa" w:w="7719"/>
            <w:vAlign w:val="center"/>
            <w:tcMar>
              <w:top w:w="80" w:type="dxa"/>
              <w:bottom w:w="80" w:type="dxa"/>
              <w:start w:w="120" w:type="dxa"/>
              <w:end w:w="120" w:type="dxa"/>
            </w:tcMar>
          </w:tcPr>
          <w:p>
            <w:pPr>
              <w:keepNext w:val="0"/>
              <w:widowControl/>
              <w:spacing w:line="360" w:lineRule="auto" w:before="0" w:after="0"/>
              <w:jc w:val="left"/>
            </w:pPr>
            <w:r>
              <w:rPr>
                <w:rFonts w:ascii="Arial" w:hAnsi="Arial"/>
                <w:sz w:val="24"/>
              </w:rPr>
            </w:r>
            <w:r>
              <w:rPr>
                <w:rFonts w:ascii="Arial" w:hAnsi="Arial"/>
                <w:b w:val="0"/>
                <w:sz w:val="24"/>
              </w:rPr>
              <w:t>Task 4b: Justification of the Implementation Plan</w:t>
            </w:r>
          </w:p>
        </w:tc>
        <w:tc>
          <w:tcPr>
            <w:tcW w:type="dxa" w:w="1187"/>
            <w:vAlign w:val="center"/>
            <w:tcMar>
              <w:top w:w="80" w:type="dxa"/>
              <w:bottom w:w="80" w:type="dxa"/>
              <w:start w:w="120" w:type="dxa"/>
              <w:end w:w="120" w:type="dxa"/>
            </w:tcMar>
          </w:tcPr>
          <w:p>
            <w:pPr>
              <w:keepNext w:val="0"/>
              <w:widowControl/>
              <w:spacing w:line="360" w:lineRule="auto" w:before="0" w:after="0"/>
              <w:jc w:val="right"/>
            </w:pPr>
            <w:r>
              <w:rPr>
                <w:rFonts w:ascii="Arial" w:hAnsi="Arial"/>
                <w:sz w:val="24"/>
              </w:rPr>
            </w:r>
            <w:r>
              <w:rPr>
                <w:rFonts w:ascii="Arial" w:hAnsi="Arial"/>
                <w:b w:val="0"/>
                <w:sz w:val="24"/>
              </w:rPr>
              <w:t>5</w:t>
            </w:r>
          </w:p>
        </w:tc>
      </w:tr>
      <w:tr>
        <w:trPr/>
        <w:tc>
          <w:tcPr>
            <w:tcW w:type="dxa" w:w="7719"/>
            <w:vAlign w:val="center"/>
            <w:tcMar>
              <w:top w:w="80" w:type="dxa"/>
              <w:bottom w:w="80" w:type="dxa"/>
              <w:start w:w="120" w:type="dxa"/>
              <w:end w:w="120" w:type="dxa"/>
            </w:tcMar>
          </w:tcPr>
          <w:p>
            <w:pPr>
              <w:keepNext w:val="0"/>
              <w:widowControl/>
              <w:spacing w:line="360" w:lineRule="auto" w:before="0" w:after="0"/>
              <w:jc w:val="left"/>
            </w:pPr>
            <w:r>
              <w:rPr>
                <w:rFonts w:ascii="Arial" w:hAnsi="Arial"/>
                <w:sz w:val="24"/>
              </w:rPr>
            </w:r>
            <w:r>
              <w:rPr>
                <w:rFonts w:ascii="Arial" w:hAnsi="Arial"/>
                <w:b w:val="0"/>
                <w:sz w:val="24"/>
              </w:rPr>
              <w:t>Task 5b: Justification of the KPI and SMART Objectives</w:t>
            </w:r>
          </w:p>
        </w:tc>
        <w:tc>
          <w:tcPr>
            <w:tcW w:type="dxa" w:w="1187"/>
            <w:vAlign w:val="center"/>
            <w:tcMar>
              <w:top w:w="80" w:type="dxa"/>
              <w:bottom w:w="80" w:type="dxa"/>
              <w:start w:w="120" w:type="dxa"/>
              <w:end w:w="120" w:type="dxa"/>
            </w:tcMar>
          </w:tcPr>
          <w:p>
            <w:pPr>
              <w:keepNext w:val="0"/>
              <w:widowControl/>
              <w:spacing w:line="360" w:lineRule="auto" w:before="0" w:after="0"/>
              <w:jc w:val="right"/>
            </w:pPr>
            <w:r>
              <w:rPr>
                <w:rFonts w:ascii="Arial" w:hAnsi="Arial"/>
                <w:sz w:val="24"/>
              </w:rPr>
            </w:r>
            <w:r>
              <w:rPr>
                <w:rFonts w:ascii="Arial" w:hAnsi="Arial"/>
                <w:b w:val="0"/>
                <w:sz w:val="24"/>
              </w:rPr>
              <w:t>5</w:t>
            </w:r>
          </w:p>
        </w:tc>
      </w:tr>
      <w:tr>
        <w:trPr/>
        <w:tc>
          <w:tcPr>
            <w:tcW w:type="dxa" w:w="7719"/>
            <w:vAlign w:val="center"/>
            <w:tcMar>
              <w:top w:w="80" w:type="dxa"/>
              <w:bottom w:w="80" w:type="dxa"/>
              <w:start w:w="120" w:type="dxa"/>
              <w:end w:w="120" w:type="dxa"/>
            </w:tcMar>
          </w:tcPr>
          <w:p>
            <w:pPr>
              <w:keepNext w:val="0"/>
              <w:widowControl/>
              <w:spacing w:line="360" w:lineRule="auto" w:before="0" w:after="0"/>
              <w:jc w:val="left"/>
            </w:pPr>
            <w:r>
              <w:rPr>
                <w:rFonts w:ascii="Arial" w:hAnsi="Arial"/>
                <w:sz w:val="24"/>
              </w:rPr>
            </w:r>
            <w:r>
              <w:rPr>
                <w:rFonts w:ascii="Arial" w:hAnsi="Arial"/>
                <w:b w:val="0"/>
                <w:sz w:val="24"/>
              </w:rPr>
              <w:t>Task 6: Key Findings</w:t>
            </w:r>
          </w:p>
        </w:tc>
        <w:tc>
          <w:tcPr>
            <w:tcW w:type="dxa" w:w="1187"/>
            <w:vAlign w:val="center"/>
            <w:tcMar>
              <w:top w:w="80" w:type="dxa"/>
              <w:bottom w:w="80" w:type="dxa"/>
              <w:start w:w="120" w:type="dxa"/>
              <w:end w:w="120" w:type="dxa"/>
            </w:tcMar>
          </w:tcPr>
          <w:p>
            <w:pPr>
              <w:keepNext w:val="0"/>
              <w:widowControl/>
              <w:spacing w:line="360" w:lineRule="auto" w:before="0" w:after="0"/>
              <w:jc w:val="right"/>
            </w:pPr>
            <w:r>
              <w:rPr>
                <w:rFonts w:ascii="Arial" w:hAnsi="Arial"/>
                <w:sz w:val="24"/>
              </w:rPr>
            </w:r>
            <w:r>
              <w:rPr>
                <w:rFonts w:ascii="Arial" w:hAnsi="Arial"/>
                <w:b w:val="0"/>
                <w:sz w:val="24"/>
              </w:rPr>
              <w:t>6</w:t>
            </w:r>
          </w:p>
        </w:tc>
      </w:tr>
      <w:tr>
        <w:trPr/>
        <w:tc>
          <w:tcPr>
            <w:tcW w:type="dxa" w:w="7719"/>
            <w:vAlign w:val="center"/>
            <w:tcMar>
              <w:top w:w="80" w:type="dxa"/>
              <w:bottom w:w="80" w:type="dxa"/>
              <w:start w:w="120" w:type="dxa"/>
              <w:end w:w="120" w:type="dxa"/>
            </w:tcMar>
          </w:tcPr>
          <w:p>
            <w:pPr>
              <w:keepNext w:val="0"/>
              <w:widowControl/>
              <w:spacing w:line="360" w:lineRule="auto" w:before="0" w:after="0"/>
              <w:jc w:val="left"/>
            </w:pPr>
            <w:r>
              <w:rPr>
                <w:rFonts w:ascii="Arial" w:hAnsi="Arial"/>
                <w:sz w:val="24"/>
              </w:rPr>
            </w:r>
            <w:r>
              <w:rPr>
                <w:rFonts w:ascii="Arial" w:hAnsi="Arial"/>
                <w:b w:val="0"/>
                <w:sz w:val="24"/>
              </w:rPr>
              <w:t>Reference List</w:t>
            </w:r>
          </w:p>
        </w:tc>
        <w:tc>
          <w:tcPr>
            <w:tcW w:type="dxa" w:w="1187"/>
            <w:vAlign w:val="center"/>
            <w:tcMar>
              <w:top w:w="80" w:type="dxa"/>
              <w:bottom w:w="80" w:type="dxa"/>
              <w:start w:w="120" w:type="dxa"/>
              <w:end w:w="120" w:type="dxa"/>
            </w:tcMar>
          </w:tcPr>
          <w:p>
            <w:pPr>
              <w:keepNext w:val="0"/>
              <w:widowControl/>
              <w:spacing w:line="360" w:lineRule="auto" w:before="0" w:after="0"/>
              <w:jc w:val="right"/>
            </w:pPr>
            <w:r>
              <w:rPr>
                <w:rFonts w:ascii="Arial" w:hAnsi="Arial"/>
                <w:sz w:val="24"/>
              </w:rPr>
            </w:r>
            <w:r>
              <w:rPr>
                <w:rFonts w:ascii="Arial" w:hAnsi="Arial"/>
                <w:b w:val="0"/>
                <w:sz w:val="24"/>
              </w:rPr>
              <w:t>7</w:t>
            </w:r>
          </w:p>
        </w:tc>
      </w:tr>
      <w:tr>
        <w:trPr/>
        <w:tc>
          <w:tcPr>
            <w:tcW w:type="dxa" w:w="7719"/>
            <w:vAlign w:val="center"/>
            <w:tcMar>
              <w:top w:w="80" w:type="dxa"/>
              <w:bottom w:w="80" w:type="dxa"/>
              <w:start w:w="120" w:type="dxa"/>
              <w:end w:w="120" w:type="dxa"/>
            </w:tcMar>
          </w:tcPr>
          <w:p>
            <w:pPr>
              <w:keepNext w:val="0"/>
              <w:widowControl/>
              <w:spacing w:line="360" w:lineRule="auto" w:before="0" w:after="0"/>
              <w:jc w:val="left"/>
            </w:pPr>
            <w:r>
              <w:rPr>
                <w:rFonts w:ascii="Arial" w:hAnsi="Arial"/>
                <w:sz w:val="24"/>
              </w:rPr>
            </w:r>
            <w:r>
              <w:rPr>
                <w:rFonts w:ascii="Arial" w:hAnsi="Arial"/>
                <w:b w:val="0"/>
                <w:sz w:val="24"/>
              </w:rPr>
              <w:t>Appendices</w:t>
            </w:r>
          </w:p>
        </w:tc>
        <w:tc>
          <w:tcPr>
            <w:tcW w:type="dxa" w:w="1187"/>
            <w:vAlign w:val="center"/>
            <w:tcMar>
              <w:top w:w="80" w:type="dxa"/>
              <w:bottom w:w="80" w:type="dxa"/>
              <w:start w:w="120" w:type="dxa"/>
              <w:end w:w="120" w:type="dxa"/>
            </w:tcMar>
          </w:tcPr>
          <w:p>
            <w:pPr>
              <w:keepNext w:val="0"/>
              <w:widowControl/>
              <w:spacing w:line="360" w:lineRule="auto" w:before="0" w:after="0"/>
              <w:jc w:val="right"/>
            </w:pPr>
            <w:r>
              <w:rPr>
                <w:rFonts w:ascii="Arial" w:hAnsi="Arial"/>
                <w:sz w:val="24"/>
              </w:rPr>
            </w:r>
            <w:r>
              <w:rPr>
                <w:rFonts w:ascii="Arial" w:hAnsi="Arial"/>
                <w:b w:val="0"/>
                <w:sz w:val="24"/>
              </w:rPr>
              <w:t>8</w:t>
            </w:r>
          </w:p>
        </w:tc>
      </w:tr>
      <w:tr>
        <w:trPr/>
        <w:tc>
          <w:tcPr>
            <w:tcW w:type="dxa" w:w="7719"/>
            <w:vAlign w:val="center"/>
            <w:tcMar>
              <w:top w:w="80" w:type="dxa"/>
              <w:bottom w:w="80" w:type="dxa"/>
              <w:start w:w="120" w:type="dxa"/>
              <w:end w:w="120" w:type="dxa"/>
            </w:tcMar>
          </w:tcPr>
          <w:p>
            <w:pPr>
              <w:keepNext w:val="0"/>
              <w:widowControl/>
              <w:spacing w:line="360" w:lineRule="auto" w:before="0" w:after="0"/>
              <w:jc w:val="left"/>
            </w:pPr>
            <w:r>
              <w:rPr>
                <w:rFonts w:ascii="Arial" w:hAnsi="Arial"/>
                <w:sz w:val="24"/>
              </w:rPr>
            </w:r>
            <w:r>
              <w:rPr>
                <w:rFonts w:ascii="Arial" w:hAnsi="Arial"/>
                <w:b w:val="0"/>
                <w:sz w:val="24"/>
              </w:rPr>
              <w:t>Appendix 1: Task 3a - PMI Evaluation</w:t>
            </w:r>
          </w:p>
        </w:tc>
        <w:tc>
          <w:tcPr>
            <w:tcW w:type="dxa" w:w="1187"/>
            <w:vAlign w:val="center"/>
            <w:tcMar>
              <w:top w:w="80" w:type="dxa"/>
              <w:bottom w:w="80" w:type="dxa"/>
              <w:start w:w="120" w:type="dxa"/>
              <w:end w:w="120" w:type="dxa"/>
            </w:tcMar>
          </w:tcPr>
          <w:p>
            <w:pPr>
              <w:keepNext w:val="0"/>
              <w:widowControl/>
              <w:spacing w:line="360" w:lineRule="auto" w:before="0" w:after="0"/>
              <w:jc w:val="right"/>
            </w:pPr>
            <w:r>
              <w:rPr>
                <w:rFonts w:ascii="Arial" w:hAnsi="Arial"/>
                <w:sz w:val="24"/>
              </w:rPr>
            </w:r>
            <w:r>
              <w:rPr>
                <w:rFonts w:ascii="Arial" w:hAnsi="Arial"/>
                <w:b w:val="0"/>
                <w:sz w:val="24"/>
              </w:rPr>
              <w:t>9-10</w:t>
            </w:r>
          </w:p>
        </w:tc>
      </w:tr>
      <w:tr>
        <w:trPr/>
        <w:tc>
          <w:tcPr>
            <w:tcW w:type="dxa" w:w="7719"/>
            <w:vAlign w:val="center"/>
            <w:tcMar>
              <w:top w:w="80" w:type="dxa"/>
              <w:bottom w:w="80" w:type="dxa"/>
              <w:start w:w="120" w:type="dxa"/>
              <w:end w:w="120" w:type="dxa"/>
            </w:tcMar>
          </w:tcPr>
          <w:p>
            <w:pPr>
              <w:keepNext w:val="0"/>
              <w:widowControl/>
              <w:spacing w:line="360" w:lineRule="auto" w:before="0" w:after="0"/>
              <w:jc w:val="left"/>
            </w:pPr>
            <w:r>
              <w:rPr>
                <w:rFonts w:ascii="Arial" w:hAnsi="Arial"/>
                <w:sz w:val="24"/>
              </w:rPr>
            </w:r>
            <w:r>
              <w:rPr>
                <w:rFonts w:ascii="Arial" w:hAnsi="Arial"/>
                <w:b w:val="0"/>
                <w:sz w:val="24"/>
              </w:rPr>
              <w:t>Appendix 2: Task 4a - Implementation Plan</w:t>
            </w:r>
          </w:p>
        </w:tc>
        <w:tc>
          <w:tcPr>
            <w:tcW w:type="dxa" w:w="1187"/>
            <w:vAlign w:val="center"/>
            <w:tcMar>
              <w:top w:w="80" w:type="dxa"/>
              <w:bottom w:w="80" w:type="dxa"/>
              <w:start w:w="120" w:type="dxa"/>
              <w:end w:w="120" w:type="dxa"/>
            </w:tcMar>
          </w:tcPr>
          <w:p>
            <w:pPr>
              <w:keepNext w:val="0"/>
              <w:widowControl/>
              <w:spacing w:line="360" w:lineRule="auto" w:before="0" w:after="0"/>
              <w:jc w:val="right"/>
            </w:pPr>
            <w:r>
              <w:rPr>
                <w:rFonts w:ascii="Arial" w:hAnsi="Arial"/>
                <w:sz w:val="24"/>
              </w:rPr>
            </w:r>
            <w:r>
              <w:rPr>
                <w:rFonts w:ascii="Arial" w:hAnsi="Arial"/>
                <w:b w:val="0"/>
                <w:sz w:val="24"/>
              </w:rPr>
              <w:t>11-12</w:t>
            </w:r>
          </w:p>
        </w:tc>
      </w:tr>
      <w:tr>
        <w:trPr/>
        <w:tc>
          <w:tcPr>
            <w:tcW w:type="dxa" w:w="7719"/>
            <w:vAlign w:val="center"/>
            <w:tcMar>
              <w:top w:w="80" w:type="dxa"/>
              <w:bottom w:w="80" w:type="dxa"/>
              <w:start w:w="120" w:type="dxa"/>
              <w:end w:w="120" w:type="dxa"/>
            </w:tcMar>
          </w:tcPr>
          <w:p>
            <w:pPr>
              <w:keepNext w:val="0"/>
              <w:widowControl/>
              <w:spacing w:line="360" w:lineRule="auto" w:before="0" w:after="0"/>
              <w:jc w:val="left"/>
            </w:pPr>
            <w:r>
              <w:rPr>
                <w:rFonts w:ascii="Arial" w:hAnsi="Arial"/>
                <w:sz w:val="24"/>
              </w:rPr>
            </w:r>
            <w:r>
              <w:rPr>
                <w:rFonts w:ascii="Arial" w:hAnsi="Arial"/>
                <w:b w:val="0"/>
                <w:sz w:val="24"/>
              </w:rPr>
              <w:t>Appendix 3: Task 5a - KPI and SMART Table</w:t>
            </w:r>
          </w:p>
        </w:tc>
        <w:tc>
          <w:tcPr>
            <w:tcW w:type="dxa" w:w="1187"/>
            <w:vAlign w:val="center"/>
            <w:tcMar>
              <w:top w:w="80" w:type="dxa"/>
              <w:bottom w:w="80" w:type="dxa"/>
              <w:start w:w="120" w:type="dxa"/>
              <w:end w:w="120" w:type="dxa"/>
            </w:tcMar>
          </w:tcPr>
          <w:p>
            <w:pPr>
              <w:keepNext w:val="0"/>
              <w:widowControl/>
              <w:spacing w:line="360" w:lineRule="auto" w:before="0" w:after="0"/>
              <w:jc w:val="right"/>
            </w:pPr>
            <w:r>
              <w:rPr>
                <w:rFonts w:ascii="Arial" w:hAnsi="Arial"/>
                <w:sz w:val="24"/>
              </w:rPr>
            </w:r>
            <w:r>
              <w:rPr>
                <w:rFonts w:ascii="Arial" w:hAnsi="Arial"/>
                <w:b w:val="0"/>
                <w:sz w:val="24"/>
              </w:rPr>
              <w:t>13</w:t>
            </w:r>
          </w:p>
        </w:tc>
      </w:tr>
    </w:tbl>
    <w:p>
      <w:pPr>
        <w:spacing w:after="0"/>
      </w:pPr>
      <w:r>
        <w:br w:type="page"/>
      </w:r>
    </w:p>
    <w:p>
      <w:pPr>
        <w:keepNext/>
        <w:widowControl/>
        <w:spacing w:line="360" w:lineRule="auto" w:before="0" w:after="20"/>
        <w:jc w:val="left"/>
      </w:pPr>
      <w:r>
        <w:rPr>
          <w:rFonts w:ascii="Arial" w:hAnsi="Arial"/>
          <w:b/>
          <w:i w:val="0"/>
          <w:sz w:val="24"/>
          <w:u w:val="single"/>
        </w:rPr>
        <w:t>Task 1: Overview of Case Study</w:t>
      </w:r>
    </w:p>
    <w:p>
      <w:pPr>
        <w:keepNext w:val="0"/>
        <w:widowControl/>
        <w:spacing w:line="360" w:lineRule="auto" w:before="0" w:after="0"/>
        <w:jc w:val="both"/>
      </w:pPr>
      <w:r>
        <w:rPr>
          <w:rFonts w:ascii="Arial" w:hAnsi="Arial"/>
          <w:b w:val="0"/>
          <w:i w:val="0"/>
          <w:sz w:val="24"/>
          <w:u w:val="none"/>
        </w:rPr>
        <w:t>Basil's Bakery has traded from a Coventry retail park since 2015. Although sales improved after 2020, they averaged 25% below the 2019 level between 2023 and 2025. The main problem is not product quality, but the bakery's dependence on walk-in trade as the local customer base changes. Shops have closed, retail workers have been made redundant and office staff travel in less often. Between January and March 2025, 28% of working adults in Great Britain worked on a hybrid basis (Office for National Statistics, 2025). Higher rent, utilities and unpredictable organic-input prices add pressure, but cutting costs alone would not restore lost demand (Proctor, 2019).</w:t>
      </w:r>
    </w:p>
    <w:p>
      <w:pPr>
        <w:keepNext/>
        <w:widowControl/>
        <w:spacing w:line="360" w:lineRule="auto" w:before="100" w:after="20"/>
        <w:jc w:val="left"/>
      </w:pPr>
      <w:r>
        <w:rPr>
          <w:rFonts w:ascii="Arial" w:hAnsi="Arial"/>
          <w:b/>
          <w:i w:val="0"/>
          <w:sz w:val="24"/>
          <w:u w:val="single"/>
        </w:rPr>
        <w:t>Task 2: Two Proposed Solutions</w:t>
      </w:r>
    </w:p>
    <w:p>
      <w:pPr>
        <w:keepNext/>
        <w:widowControl/>
        <w:spacing w:line="360" w:lineRule="auto" w:before="20" w:after="0"/>
        <w:jc w:val="left"/>
      </w:pPr>
      <w:r>
        <w:rPr>
          <w:rFonts w:ascii="Arial" w:hAnsi="Arial"/>
          <w:b/>
          <w:i w:val="0"/>
          <w:sz w:val="24"/>
          <w:u w:val="none"/>
        </w:rPr>
        <w:t>Solution A Proposal: Order Ahead</w:t>
      </w:r>
    </w:p>
    <w:p>
      <w:pPr>
        <w:keepNext w:val="0"/>
        <w:widowControl/>
        <w:spacing w:line="360" w:lineRule="auto" w:before="0" w:after="0"/>
        <w:jc w:val="both"/>
      </w:pPr>
      <w:r>
        <w:rPr>
          <w:rFonts w:ascii="Arial" w:hAnsi="Arial"/>
          <w:b w:val="0"/>
          <w:i w:val="0"/>
          <w:sz w:val="24"/>
          <w:u w:val="none"/>
        </w:rPr>
        <w:t>Solution A - Order Ahead: Basil could introduce online ordering and payment, timed click-and-collect and a small local delivery round. Customers would place orders before a clear cut-off time. A part-time assistant would deal with confirmations and customer queries, while a driver would handle delivery, allowing Basil to remain on site and concentrate on baking. This responds to requests customers have already made and gives people who now work from home a practical way to keep buying from the bakery. Confirmed orders should also shorten queues and reduce unsold stock. In effect, the bakery would widen its distribution without taking on the cost and disruption of moving premises (Kotler, Keller and Chernev, 2022).</w:t>
      </w:r>
    </w:p>
    <w:p>
      <w:pPr>
        <w:keepNext/>
        <w:widowControl/>
        <w:spacing w:line="360" w:lineRule="auto" w:before="60" w:after="0"/>
        <w:jc w:val="left"/>
      </w:pPr>
      <w:r>
        <w:rPr>
          <w:rFonts w:ascii="Arial" w:hAnsi="Arial"/>
          <w:b/>
          <w:i w:val="0"/>
          <w:sz w:val="24"/>
          <w:u w:val="none"/>
        </w:rPr>
        <w:t>Solution B Proposal: Bakery to Business</w:t>
      </w:r>
    </w:p>
    <w:p>
      <w:pPr>
        <w:keepNext w:val="0"/>
        <w:widowControl/>
        <w:spacing w:line="360" w:lineRule="auto" w:before="0" w:after="0"/>
        <w:jc w:val="both"/>
      </w:pPr>
      <w:r>
        <w:rPr>
          <w:rFonts w:ascii="Arial" w:hAnsi="Arial"/>
          <w:b w:val="0"/>
          <w:i w:val="0"/>
          <w:sz w:val="24"/>
          <w:u w:val="none"/>
        </w:rPr>
        <w:t>Solution B - Bakery to Business: A second option is to supply breads, pastries and cake platters to nearby offices, warehouse canteens, independent cafes and caterers on weekly orders. This would reduce reliance on retail-park visitors and make production and purchasing easier to plan. Larger, standardised batches might also reduce waste and unit cost. However, business customers are likely to expect wholesale prices, so higher volume would be needed to replace the margin from retail sales. Contracts could take time to secure, and early deliveries or larger orders may require more staff, equipment or oven capacity. The idea is workable, but less suited to Basil's present one-person production model (Proctor, 2019).</w:t>
      </w:r>
    </w:p>
    <w:p>
      <w:pPr>
        <w:spacing w:after="0"/>
      </w:pPr>
      <w:r>
        <w:br w:type="page"/>
      </w:r>
    </w:p>
    <w:p>
      <w:pPr>
        <w:keepNext/>
        <w:widowControl/>
        <w:spacing w:line="360" w:lineRule="auto" w:before="100" w:after="20"/>
        <w:jc w:val="left"/>
      </w:pPr>
      <w:r>
        <w:rPr>
          <w:rFonts w:ascii="Arial" w:hAnsi="Arial"/>
          <w:b/>
          <w:i w:val="0"/>
          <w:sz w:val="24"/>
          <w:u w:val="single"/>
        </w:rPr>
        <w:t>Task 3b: Evaluation Results and Justifications</w:t>
      </w:r>
    </w:p>
    <w:p>
      <w:pPr>
        <w:keepNext w:val="0"/>
        <w:widowControl/>
        <w:spacing w:line="360" w:lineRule="auto" w:before="0" w:after="0"/>
        <w:jc w:val="both"/>
      </w:pPr>
      <w:r>
        <w:rPr>
          <w:rFonts w:ascii="Arial" w:hAnsi="Arial"/>
          <w:b w:val="0"/>
          <w:i w:val="0"/>
          <w:sz w:val="24"/>
          <w:u w:val="none"/>
        </w:rPr>
        <w:t>Appendix 1 gives Order Ahead a score of +8, compared with +1 for Bakery to Business. PMI was useful here because it forced both benefits and drawbacks to be considered before a choice was made (de Bono, 2006). Four issues mattered most: reducing dependence on footfall, protecting margin, fitting the work around Basil's baking role and producing results quickly. The scores show the importance and likely effect of each point rather than acting as fixed weights repeated mechanically. For example, Order Ahead receives +5 for reaching displaced customers because it answers requests already made, whereas business demand receives +3 because contracts are less certain. Order Ahead can start on a small scale, keeps retail prices and does not require major production expansion. Bakery to Business offers steadier volumes, but the lower margin, longer sales process and capacity demands make it less suitable at present. As PMI still involves judgement, the recommendation should be tested through a controlled pilot (Chartered Management Institute, 2015).</w:t>
      </w:r>
    </w:p>
    <w:p>
      <w:pPr>
        <w:spacing w:after="0"/>
      </w:pPr>
      <w:r>
        <w:br w:type="page"/>
      </w:r>
    </w:p>
    <w:p>
      <w:pPr>
        <w:keepNext/>
        <w:widowControl/>
        <w:spacing w:line="360" w:lineRule="auto" w:before="0" w:after="20"/>
        <w:jc w:val="left"/>
      </w:pPr>
      <w:r>
        <w:rPr>
          <w:rFonts w:ascii="Arial" w:hAnsi="Arial"/>
          <w:b/>
          <w:i w:val="0"/>
          <w:sz w:val="24"/>
          <w:u w:val="single"/>
        </w:rPr>
        <w:t>Task 4b: Justification of the Implementation Plan</w:t>
      </w:r>
    </w:p>
    <w:p>
      <w:pPr>
        <w:keepNext w:val="0"/>
        <w:widowControl/>
        <w:spacing w:line="360" w:lineRule="auto" w:before="0" w:after="0"/>
        <w:jc w:val="both"/>
      </w:pPr>
      <w:r>
        <w:rPr>
          <w:rFonts w:ascii="Arial" w:hAnsi="Arial"/>
          <w:b w:val="0"/>
          <w:i w:val="0"/>
          <w:sz w:val="24"/>
          <w:u w:val="none"/>
        </w:rPr>
        <w:t>The plan in Appendix 2 is divided into four practical stages, with each stage providing information needed for the next one (Kerzner, 2022). From 24 August to 6 September 2026, Basil checks demand, prices, the product range and a realistic delivery area before committing money. Ordering, payment and packaging are set up from 7 to 20 September 2026, when the assistant and driver are also recruited. The four-week pilot runs from 21 September to 18 October 2026, with delivery on two fixed days each week. This provides enough time to observe order levels, waste, punctuality and complaints without launching a full service immediately. Results are reviewed and the offer is adjusted from 19 October to 15 November 2026. Basil remains responsible for prices, products and production; the assistant manages orders and customer contact; and the driver manages delivery. The scale decision is made on 15 November 2026, followed by monthly reviews from 30 November 2026.</w:t>
      </w:r>
    </w:p>
    <w:p>
      <w:pPr>
        <w:keepNext/>
        <w:widowControl/>
        <w:spacing w:line="360" w:lineRule="auto" w:before="100" w:after="20"/>
        <w:jc w:val="left"/>
      </w:pPr>
      <w:r>
        <w:rPr>
          <w:rFonts w:ascii="Arial" w:hAnsi="Arial"/>
          <w:b/>
          <w:i w:val="0"/>
          <w:sz w:val="24"/>
          <w:u w:val="single"/>
        </w:rPr>
        <w:t>Task 5b: Justification of the KPI and SMART Objectives</w:t>
      </w:r>
    </w:p>
    <w:p>
      <w:pPr>
        <w:keepNext w:val="0"/>
        <w:widowControl/>
        <w:spacing w:line="360" w:lineRule="auto" w:before="0" w:after="0"/>
        <w:jc w:val="both"/>
      </w:pPr>
      <w:r>
        <w:rPr>
          <w:rFonts w:ascii="Arial" w:hAnsi="Arial"/>
          <w:b w:val="0"/>
          <w:i w:val="0"/>
          <w:sz w:val="24"/>
          <w:u w:val="none"/>
        </w:rPr>
        <w:t>The proposed KPI is the share of weekly revenue earned through pre-orders, click-and-collect and delivery. It is more useful than a general sales figure because it shows whether the bakery is genuinely becoming less dependent on passing trade. The information can be taken from the ordering platform and till each week, so Basil can respond while the pilot is still running. This follows Parmenter's (2010) view that a useful indicator should focus attention on performance that managers can influence. Before launch, Basil should record the current baseline. The 20% target is provisional and should be reviewed against that baseline and the early pilot results. The SMART framework then makes the proposal more specific and accountable (Doran, 1981). It defines the service, area and staff roles; gives a clear calculation; and sets deadlines for launch, review and the six-month target. A four-week pilot with delivery on two fixed days per week keeps the initial commitment manageable. Results should be reviewed weekly, with order value, punctuality, complaints and waste checked monthly. If delivery is not covering its contribution cost, Basil can keep collection while reducing or stopping the delivery element.</w:t>
      </w:r>
    </w:p>
    <w:p>
      <w:pPr>
        <w:spacing w:after="0"/>
      </w:pPr>
      <w:r>
        <w:br w:type="page"/>
      </w:r>
    </w:p>
    <w:p>
      <w:pPr>
        <w:keepNext/>
        <w:widowControl/>
        <w:spacing w:line="360" w:lineRule="auto" w:before="100" w:after="20"/>
        <w:jc w:val="left"/>
      </w:pPr>
      <w:r>
        <w:rPr>
          <w:rFonts w:ascii="Arial" w:hAnsi="Arial"/>
          <w:b/>
          <w:i w:val="0"/>
          <w:sz w:val="24"/>
          <w:u w:val="single"/>
        </w:rPr>
        <w:t>Task 6: Key Findings</w:t>
      </w:r>
    </w:p>
    <w:p>
      <w:pPr>
        <w:pStyle w:val="ListParagraph"/>
        <w:keepNext w:val="0"/>
        <w:widowControl/>
        <w:spacing w:line="360" w:lineRule="auto" w:before="0" w:after="0"/>
        <w:jc w:val="left"/>
        <w:numPr>
          <w:ilvl w:val="0"/>
          <w:numId w:val="3"/>
        </w:numPr>
      </w:pPr>
      <w:r>
        <w:rPr>
          <w:rFonts w:ascii="Arial" w:hAnsi="Arial"/>
          <w:b w:val="0"/>
          <w:i w:val="0"/>
          <w:sz w:val="24"/>
          <w:u w:val="none"/>
        </w:rPr>
        <w:t>The main problem is reliance on declining retail-park footfall, not product quality; sales remained 25% below 2019 levels between 2023 and 2025.</w:t>
      </w:r>
    </w:p>
    <w:p>
      <w:pPr>
        <w:pStyle w:val="ListParagraph"/>
        <w:keepNext w:val="0"/>
        <w:widowControl/>
        <w:spacing w:line="360" w:lineRule="auto" w:before="0" w:after="0"/>
        <w:jc w:val="left"/>
        <w:numPr>
          <w:ilvl w:val="0"/>
          <w:numId w:val="3"/>
        </w:numPr>
      </w:pPr>
      <w:r>
        <w:rPr>
          <w:rFonts w:ascii="Arial" w:hAnsi="Arial"/>
          <w:b w:val="0"/>
          <w:i w:val="0"/>
          <w:sz w:val="24"/>
          <w:u w:val="none"/>
        </w:rPr>
        <w:t>Shop closures, redundancies and hybrid working mean Basil needs another way to reach customers.</w:t>
      </w:r>
    </w:p>
    <w:p>
      <w:pPr>
        <w:pStyle w:val="ListParagraph"/>
        <w:keepNext w:val="0"/>
        <w:widowControl/>
        <w:spacing w:line="360" w:lineRule="auto" w:before="0" w:after="0"/>
        <w:jc w:val="left"/>
        <w:numPr>
          <w:ilvl w:val="0"/>
          <w:numId w:val="3"/>
        </w:numPr>
      </w:pPr>
      <w:r>
        <w:rPr>
          <w:rFonts w:ascii="Arial" w:hAnsi="Arial"/>
          <w:b w:val="0"/>
          <w:i w:val="0"/>
          <w:sz w:val="24"/>
          <w:u w:val="none"/>
        </w:rPr>
        <w:t>PMI favours Order Ahead (+8) over Bakery to Business (+1) because it can start sooner, retains retail prices and fits around Basil's baking work.</w:t>
      </w:r>
    </w:p>
    <w:p>
      <w:pPr>
        <w:pStyle w:val="ListParagraph"/>
        <w:keepNext w:val="0"/>
        <w:widowControl/>
        <w:spacing w:line="360" w:lineRule="auto" w:before="0" w:after="0"/>
        <w:jc w:val="left"/>
        <w:numPr>
          <w:ilvl w:val="0"/>
          <w:numId w:val="3"/>
        </w:numPr>
      </w:pPr>
      <w:r>
        <w:rPr>
          <w:rFonts w:ascii="Arial" w:hAnsi="Arial"/>
          <w:b w:val="0"/>
          <w:i w:val="0"/>
          <w:sz w:val="24"/>
          <w:u w:val="none"/>
        </w:rPr>
        <w:t>A four-week pilot, with orders and delivery delegated, tests the service without creating high fixed costs.</w:t>
      </w:r>
    </w:p>
    <w:p>
      <w:pPr>
        <w:pStyle w:val="ListParagraph"/>
        <w:keepNext w:val="0"/>
        <w:widowControl/>
        <w:spacing w:line="360" w:lineRule="auto" w:before="0" w:after="0"/>
        <w:jc w:val="left"/>
        <w:numPr>
          <w:ilvl w:val="0"/>
          <w:numId w:val="3"/>
        </w:numPr>
      </w:pPr>
      <w:r>
        <w:rPr>
          <w:rFonts w:ascii="Arial" w:hAnsi="Arial"/>
          <w:b w:val="0"/>
          <w:i w:val="0"/>
          <w:sz w:val="24"/>
          <w:u w:val="none"/>
        </w:rPr>
        <w:t>Progress should be measured through non-footfall sales share, using a provisional target of 20% within six months alongside punctuality, complaints and waste.</w:t>
      </w:r>
    </w:p>
    <w:p>
      <w:pPr>
        <w:spacing w:after="0"/>
      </w:pPr>
      <w:r>
        <w:br w:type="page"/>
      </w:r>
    </w:p>
    <w:p>
      <w:pPr>
        <w:keepNext/>
        <w:widowControl/>
        <w:spacing w:line="360" w:lineRule="auto" w:before="0" w:after="100"/>
        <w:jc w:val="left"/>
      </w:pPr>
      <w:r>
        <w:rPr>
          <w:rFonts w:ascii="Arial" w:hAnsi="Arial"/>
          <w:b/>
          <w:i w:val="0"/>
          <w:sz w:val="28"/>
          <w:u w:val="single"/>
        </w:rPr>
        <w:t>Reference List</w:t>
      </w:r>
    </w:p>
    <w:p>
      <w:pPr>
        <w:keepNext w:val="0"/>
        <w:widowControl/>
        <w:spacing w:line="360" w:lineRule="auto" w:before="0" w:after="40"/>
        <w:ind w:hanging="360" w:left="360"/>
        <w:jc w:val="left"/>
      </w:pPr>
      <w:r>
        <w:rPr>
          <w:rFonts w:ascii="Arial" w:hAnsi="Arial"/>
          <w:i w:val="0"/>
          <w:sz w:val="24"/>
        </w:rPr>
        <w:t xml:space="preserve">Chartered Management Institute (2015) </w:t>
      </w:r>
      <w:r>
        <w:rPr>
          <w:rFonts w:ascii="Arial" w:hAnsi="Arial"/>
          <w:i/>
          <w:sz w:val="24"/>
        </w:rPr>
        <w:t>Developing decision making skills</w:t>
      </w:r>
      <w:r>
        <w:rPr>
          <w:rFonts w:ascii="Arial" w:hAnsi="Arial"/>
          <w:i w:val="0"/>
          <w:sz w:val="24"/>
        </w:rPr>
        <w:t>. Checklist 277. Corby: Chartered Management Institute.</w:t>
      </w:r>
    </w:p>
    <w:p>
      <w:pPr>
        <w:keepNext w:val="0"/>
        <w:widowControl/>
        <w:spacing w:line="360" w:lineRule="auto" w:before="0" w:after="40"/>
        <w:ind w:hanging="360" w:left="360"/>
        <w:jc w:val="left"/>
      </w:pPr>
      <w:r>
        <w:rPr>
          <w:rFonts w:ascii="Arial" w:hAnsi="Arial"/>
          <w:i w:val="0"/>
          <w:sz w:val="24"/>
        </w:rPr>
        <w:t xml:space="preserve">de Bono, E. (2006) </w:t>
      </w:r>
      <w:r>
        <w:rPr>
          <w:rFonts w:ascii="Arial" w:hAnsi="Arial"/>
          <w:i/>
          <w:sz w:val="24"/>
        </w:rPr>
        <w:t>de Bono's thinking course</w:t>
      </w:r>
      <w:r>
        <w:rPr>
          <w:rFonts w:ascii="Arial" w:hAnsi="Arial"/>
          <w:i w:val="0"/>
          <w:sz w:val="24"/>
        </w:rPr>
        <w:t>. New edn. Harlow: BBC Active.</w:t>
      </w:r>
    </w:p>
    <w:p>
      <w:pPr>
        <w:keepNext w:val="0"/>
        <w:widowControl/>
        <w:spacing w:line="360" w:lineRule="auto" w:before="0" w:after="40"/>
        <w:ind w:hanging="360" w:left="360"/>
        <w:jc w:val="left"/>
      </w:pPr>
      <w:r>
        <w:rPr>
          <w:rFonts w:ascii="Arial" w:hAnsi="Arial"/>
          <w:i w:val="0"/>
          <w:sz w:val="24"/>
        </w:rPr>
        <w:t xml:space="preserve">Doran, G.T. (1981) 'There's a S.M.A.R.T. way to write management's goals and objectives', </w:t>
      </w:r>
      <w:r>
        <w:rPr>
          <w:rFonts w:ascii="Arial" w:hAnsi="Arial"/>
          <w:i/>
          <w:sz w:val="24"/>
        </w:rPr>
        <w:t>Management Review</w:t>
      </w:r>
      <w:r>
        <w:rPr>
          <w:rFonts w:ascii="Arial" w:hAnsi="Arial"/>
          <w:i w:val="0"/>
          <w:sz w:val="24"/>
        </w:rPr>
        <w:t>, 70(11), pp. 35–36.</w:t>
      </w:r>
    </w:p>
    <w:p>
      <w:pPr>
        <w:keepNext w:val="0"/>
        <w:widowControl/>
        <w:spacing w:line="360" w:lineRule="auto" w:before="0" w:after="40"/>
        <w:ind w:hanging="360" w:left="360"/>
        <w:jc w:val="left"/>
      </w:pPr>
      <w:r>
        <w:rPr>
          <w:rFonts w:ascii="Arial" w:hAnsi="Arial"/>
          <w:i w:val="0"/>
          <w:sz w:val="24"/>
        </w:rPr>
        <w:t xml:space="preserve">Kerzner, H. (2022) </w:t>
      </w:r>
      <w:r>
        <w:rPr>
          <w:rFonts w:ascii="Arial" w:hAnsi="Arial"/>
          <w:i/>
          <w:sz w:val="24"/>
        </w:rPr>
        <w:t>Project management: A systems approach to planning, scheduling, and controlling</w:t>
      </w:r>
      <w:r>
        <w:rPr>
          <w:rFonts w:ascii="Arial" w:hAnsi="Arial"/>
          <w:i w:val="0"/>
          <w:sz w:val="24"/>
        </w:rPr>
        <w:t>. 13th edn. Hoboken, NJ: Wiley.</w:t>
      </w:r>
    </w:p>
    <w:p>
      <w:pPr>
        <w:keepNext w:val="0"/>
        <w:widowControl/>
        <w:spacing w:line="360" w:lineRule="auto" w:before="0" w:after="40"/>
        <w:ind w:hanging="360" w:left="360"/>
        <w:jc w:val="left"/>
      </w:pPr>
      <w:r>
        <w:rPr>
          <w:rFonts w:ascii="Arial" w:hAnsi="Arial"/>
          <w:i w:val="0"/>
          <w:sz w:val="24"/>
        </w:rPr>
        <w:t xml:space="preserve">Kotler, P., Keller, K.L. and Chernev, A. (2022) </w:t>
      </w:r>
      <w:r>
        <w:rPr>
          <w:rFonts w:ascii="Arial" w:hAnsi="Arial"/>
          <w:i/>
          <w:sz w:val="24"/>
        </w:rPr>
        <w:t>Marketing management</w:t>
      </w:r>
      <w:r>
        <w:rPr>
          <w:rFonts w:ascii="Arial" w:hAnsi="Arial"/>
          <w:i w:val="0"/>
          <w:sz w:val="24"/>
        </w:rPr>
        <w:t>. 16th edn. Harlow: Pearson.</w:t>
      </w:r>
    </w:p>
    <w:p>
      <w:pPr>
        <w:keepNext w:val="0"/>
        <w:widowControl/>
        <w:spacing w:line="360" w:lineRule="auto" w:before="0" w:after="40"/>
        <w:ind w:hanging="360" w:left="360"/>
        <w:jc w:val="left"/>
      </w:pPr>
      <w:r>
        <w:rPr>
          <w:rFonts w:ascii="Arial" w:hAnsi="Arial"/>
          <w:i w:val="0"/>
          <w:sz w:val="24"/>
        </w:rPr>
        <w:t xml:space="preserve">Office for National Statistics (2025) </w:t>
      </w:r>
      <w:r>
        <w:rPr>
          <w:rFonts w:ascii="Arial" w:hAnsi="Arial"/>
          <w:i/>
          <w:sz w:val="24"/>
        </w:rPr>
        <w:t>Who has access to hybrid work in Great Britain?</w:t>
      </w:r>
      <w:r>
        <w:rPr>
          <w:rFonts w:ascii="Arial" w:hAnsi="Arial"/>
          <w:i w:val="0"/>
          <w:sz w:val="24"/>
        </w:rPr>
        <w:t xml:space="preserve"> Available at: https://www.ons.gov.uk/employmentandlabourmarket/peopleinwork/employmentandemployeetypes/articles/whohasaccesstohybridworkingreatbritain/2025-06-11 (Accessed: 8 August 2026).</w:t>
      </w:r>
    </w:p>
    <w:p>
      <w:pPr>
        <w:keepNext w:val="0"/>
        <w:widowControl/>
        <w:spacing w:line="360" w:lineRule="auto" w:before="0" w:after="40"/>
        <w:ind w:hanging="360" w:left="360"/>
        <w:jc w:val="left"/>
      </w:pPr>
      <w:r>
        <w:rPr>
          <w:rFonts w:ascii="Arial" w:hAnsi="Arial"/>
          <w:i w:val="0"/>
          <w:sz w:val="24"/>
        </w:rPr>
        <w:t xml:space="preserve">Parmenter, D. (2010) </w:t>
      </w:r>
      <w:r>
        <w:rPr>
          <w:rFonts w:ascii="Arial" w:hAnsi="Arial"/>
          <w:i/>
          <w:sz w:val="24"/>
        </w:rPr>
        <w:t>Key performance indicators: Developing, implementing, and using winning KPIs</w:t>
      </w:r>
      <w:r>
        <w:rPr>
          <w:rFonts w:ascii="Arial" w:hAnsi="Arial"/>
          <w:i w:val="0"/>
          <w:sz w:val="24"/>
        </w:rPr>
        <w:t>. 2nd edn. Hoboken, NJ: Wiley.</w:t>
      </w:r>
    </w:p>
    <w:p>
      <w:pPr>
        <w:keepNext w:val="0"/>
        <w:widowControl/>
        <w:spacing w:line="360" w:lineRule="auto" w:before="0" w:after="40"/>
        <w:ind w:hanging="360" w:left="360"/>
        <w:jc w:val="left"/>
      </w:pPr>
      <w:r>
        <w:rPr>
          <w:rFonts w:ascii="Arial" w:hAnsi="Arial"/>
          <w:i w:val="0"/>
          <w:sz w:val="24"/>
        </w:rPr>
        <w:t xml:space="preserve">Proctor, T. (2019) </w:t>
      </w:r>
      <w:r>
        <w:rPr>
          <w:rFonts w:ascii="Arial" w:hAnsi="Arial"/>
          <w:i/>
          <w:sz w:val="24"/>
        </w:rPr>
        <w:t>Creative problem solving for managers: Developing skills for decision making and innovation</w:t>
      </w:r>
      <w:r>
        <w:rPr>
          <w:rFonts w:ascii="Arial" w:hAnsi="Arial"/>
          <w:i w:val="0"/>
          <w:sz w:val="24"/>
        </w:rPr>
        <w:t>. 5th edn. Abingdon: Routledge.</w:t>
      </w:r>
    </w:p>
    <w:p>
      <w:pPr>
        <w:spacing w:after="0"/>
      </w:pPr>
      <w:r>
        <w:br w:type="page"/>
      </w:r>
    </w:p>
    <w:p>
      <w:pPr>
        <w:keepNext w:val="0"/>
        <w:widowControl/>
        <w:spacing w:line="360" w:lineRule="auto" w:before="4400" w:after="0"/>
        <w:jc w:val="center"/>
      </w:pPr>
      <w:r>
        <w:rPr>
          <w:rFonts w:ascii="Arial" w:hAnsi="Arial"/>
          <w:b w:val="0"/>
          <w:i w:val="0"/>
          <w:sz w:val="84"/>
          <w:u w:val="none"/>
        </w:rPr>
        <w:t>Appendices</w:t>
      </w:r>
    </w:p>
    <w:p>
      <w:pPr>
        <w:spacing w:after="0"/>
      </w:pPr>
      <w:r>
        <w:br w:type="page"/>
      </w:r>
    </w:p>
    <w:p>
      <w:pPr>
        <w:keepNext/>
        <w:widowControl/>
        <w:spacing w:line="360" w:lineRule="auto" w:before="0" w:after="40"/>
        <w:jc w:val="center"/>
      </w:pPr>
      <w:r>
        <w:rPr>
          <w:rFonts w:ascii="Arial" w:hAnsi="Arial"/>
          <w:b/>
          <w:i w:val="0"/>
          <w:sz w:val="28"/>
          <w:u w:val="single"/>
        </w:rPr>
        <w:t>Appendix 1 - Task 3a</w:t>
      </w:r>
    </w:p>
    <w:p>
      <w:pPr>
        <w:keepNext/>
        <w:widowControl/>
        <w:spacing w:line="360" w:lineRule="auto" w:before="40" w:after="80"/>
        <w:jc w:val="center"/>
      </w:pPr>
      <w:r>
        <w:rPr>
          <w:rFonts w:ascii="Arial" w:hAnsi="Arial"/>
          <w:b/>
          <w:i w:val="0"/>
          <w:sz w:val="26"/>
          <w:u w:val="single"/>
        </w:rPr>
        <w:t>PMI Evaluation: Order Ahead</w:t>
      </w:r>
    </w:p>
    <w:tbl>
      <w:tblPr>
        <w:tblW w:type="dxa" w:w="8906"/>
        <w:jc w:val="left"/>
        <w:tblLayout w:type="fixed"/>
        <w:tblLook w:firstColumn="1" w:firstRow="1" w:lastColumn="0" w:lastRow="0" w:noHBand="0" w:noVBand="1" w:val="04A0"/>
        <w:tblInd w:type="dxa" w:w="100"/>
      </w:tblPr>
      <w:tblGrid>
        <w:gridCol w:w="2969"/>
        <w:gridCol w:w="2969"/>
        <w:gridCol w:w="2968"/>
      </w:tblGrid>
      <w:tr>
        <w:trPr>
          <w:tblHeader w:val="true"/>
        </w:trPr>
        <w:tc>
          <w:tcPr>
            <w:tcW w:type="dxa" w:w="2969"/>
            <w:vAlign w:val="center"/>
            <w:shd w:fill="E7E6E6"/>
            <w:tcMar>
              <w:top w:w="90" w:type="dxa"/>
              <w:bottom w:w="90" w:type="dxa"/>
              <w:start w:w="100" w:type="dxa"/>
              <w:end w:w="100" w:type="dxa"/>
            </w:tcMar>
          </w:tcPr>
          <w:p>
            <w:pPr>
              <w:keepNext w:val="0"/>
              <w:widowControl/>
              <w:spacing w:line="360" w:lineRule="auto" w:before="0" w:after="0"/>
              <w:jc w:val="center"/>
            </w:pPr>
            <w:r>
              <w:rPr>
                <w:rFonts w:ascii="Arial" w:hAnsi="Arial"/>
                <w:sz w:val="24"/>
              </w:rPr>
            </w:r>
            <w:r>
              <w:rPr>
                <w:rFonts w:ascii="Arial" w:hAnsi="Arial"/>
                <w:b/>
                <w:sz w:val="24"/>
              </w:rPr>
              <w:t>Plus</w:t>
            </w:r>
          </w:p>
        </w:tc>
        <w:tc>
          <w:tcPr>
            <w:tcW w:type="dxa" w:w="2969"/>
            <w:vAlign w:val="center"/>
            <w:shd w:fill="E7E6E6"/>
            <w:tcMar>
              <w:top w:w="90" w:type="dxa"/>
              <w:bottom w:w="90" w:type="dxa"/>
              <w:start w:w="100" w:type="dxa"/>
              <w:end w:w="100" w:type="dxa"/>
            </w:tcMar>
          </w:tcPr>
          <w:p>
            <w:pPr>
              <w:keepNext w:val="0"/>
              <w:widowControl/>
              <w:spacing w:line="360" w:lineRule="auto" w:before="0" w:after="0"/>
              <w:jc w:val="center"/>
            </w:pPr>
            <w:r>
              <w:rPr>
                <w:rFonts w:ascii="Arial" w:hAnsi="Arial"/>
                <w:sz w:val="24"/>
              </w:rPr>
            </w:r>
            <w:r>
              <w:rPr>
                <w:rFonts w:ascii="Arial" w:hAnsi="Arial"/>
                <w:b/>
                <w:sz w:val="24"/>
              </w:rPr>
              <w:t>Minus</w:t>
            </w:r>
          </w:p>
        </w:tc>
        <w:tc>
          <w:tcPr>
            <w:tcW w:type="dxa" w:w="2968"/>
            <w:vAlign w:val="center"/>
            <w:shd w:fill="E7E6E6"/>
            <w:tcMar>
              <w:top w:w="90" w:type="dxa"/>
              <w:bottom w:w="90" w:type="dxa"/>
              <w:start w:w="100" w:type="dxa"/>
              <w:end w:w="100" w:type="dxa"/>
            </w:tcMar>
          </w:tcPr>
          <w:p>
            <w:pPr>
              <w:keepNext w:val="0"/>
              <w:widowControl/>
              <w:spacing w:line="360" w:lineRule="auto" w:before="0" w:after="0"/>
              <w:jc w:val="center"/>
            </w:pPr>
            <w:r>
              <w:rPr>
                <w:rFonts w:ascii="Arial" w:hAnsi="Arial"/>
                <w:sz w:val="24"/>
              </w:rPr>
            </w:r>
            <w:r>
              <w:rPr>
                <w:rFonts w:ascii="Arial" w:hAnsi="Arial"/>
                <w:b/>
                <w:sz w:val="24"/>
              </w:rPr>
              <w:t>Interesting / Implications</w:t>
            </w:r>
          </w:p>
        </w:tc>
      </w:tr>
      <w:tr>
        <w:trPr/>
        <w:tc>
          <w:tcPr>
            <w:tcW w:type="dxa" w:w="2969"/>
            <w:vAlign w:val="center"/>
            <w:tcMar>
              <w:top w:w="90" w:type="dxa"/>
              <w:bottom w:w="90" w:type="dxa"/>
              <w:start w:w="100" w:type="dxa"/>
              <w:end w:w="100" w:type="dxa"/>
            </w:tcMar>
          </w:tcPr>
          <w:p>
            <w:pPr>
              <w:keepNext w:val="0"/>
              <w:widowControl/>
              <w:spacing w:line="360" w:lineRule="auto" w:before="0" w:after="0"/>
              <w:jc w:val="left"/>
            </w:pPr>
            <w:r>
              <w:rPr>
                <w:rFonts w:ascii="Arial" w:hAnsi="Arial"/>
                <w:sz w:val="24"/>
              </w:rPr>
            </w:r>
            <w:r>
              <w:rPr>
                <w:rFonts w:ascii="Arial" w:hAnsi="Arial"/>
                <w:b w:val="0"/>
                <w:sz w:val="24"/>
              </w:rPr>
              <w:t>Reaches lapsed and hybrid-working customers, reducing footfall dependency (+5)</w:t>
            </w:r>
          </w:p>
        </w:tc>
        <w:tc>
          <w:tcPr>
            <w:tcW w:type="dxa" w:w="2969"/>
            <w:vAlign w:val="center"/>
            <w:tcMar>
              <w:top w:w="90" w:type="dxa"/>
              <w:bottom w:w="90" w:type="dxa"/>
              <w:start w:w="100" w:type="dxa"/>
              <w:end w:w="100" w:type="dxa"/>
            </w:tcMar>
          </w:tcPr>
          <w:p>
            <w:pPr>
              <w:keepNext w:val="0"/>
              <w:widowControl/>
              <w:spacing w:line="360" w:lineRule="auto" w:before="0" w:after="0"/>
              <w:jc w:val="left"/>
            </w:pPr>
            <w:r>
              <w:rPr>
                <w:rFonts w:ascii="Arial" w:hAnsi="Arial"/>
                <w:sz w:val="24"/>
              </w:rPr>
            </w:r>
            <w:r>
              <w:rPr>
                <w:rFonts w:ascii="Arial" w:hAnsi="Arial"/>
                <w:b w:val="0"/>
                <w:sz w:val="24"/>
              </w:rPr>
              <w:t>Assistant, driver and platform create recurring costs (-3)</w:t>
            </w:r>
          </w:p>
        </w:tc>
        <w:tc>
          <w:tcPr>
            <w:tcW w:type="dxa" w:w="2968"/>
            <w:vAlign w:val="center"/>
            <w:tcMar>
              <w:top w:w="90" w:type="dxa"/>
              <w:bottom w:w="90" w:type="dxa"/>
              <w:start w:w="100" w:type="dxa"/>
              <w:end w:w="100" w:type="dxa"/>
            </w:tcMar>
          </w:tcPr>
          <w:p>
            <w:pPr>
              <w:keepNext w:val="0"/>
              <w:widowControl/>
              <w:spacing w:line="360" w:lineRule="auto" w:before="0" w:after="0"/>
              <w:jc w:val="left"/>
            </w:pPr>
            <w:r>
              <w:rPr>
                <w:rFonts w:ascii="Arial" w:hAnsi="Arial"/>
                <w:sz w:val="24"/>
              </w:rPr>
            </w:r>
            <w:r>
              <w:rPr>
                <w:rFonts w:ascii="Arial" w:hAnsi="Arial"/>
                <w:b w:val="0"/>
                <w:sz w:val="24"/>
              </w:rPr>
              <w:t>Order data improves product and production planning (+2)</w:t>
            </w:r>
          </w:p>
        </w:tc>
      </w:tr>
      <w:tr>
        <w:trPr/>
        <w:tc>
          <w:tcPr>
            <w:tcW w:type="dxa" w:w="2969"/>
            <w:vAlign w:val="center"/>
            <w:tcMar>
              <w:top w:w="90" w:type="dxa"/>
              <w:bottom w:w="90" w:type="dxa"/>
              <w:start w:w="100" w:type="dxa"/>
              <w:end w:w="100" w:type="dxa"/>
            </w:tcMar>
          </w:tcPr>
          <w:p>
            <w:pPr>
              <w:keepNext w:val="0"/>
              <w:widowControl/>
              <w:spacing w:line="360" w:lineRule="auto" w:before="0" w:after="0"/>
              <w:jc w:val="left"/>
            </w:pPr>
            <w:r>
              <w:rPr>
                <w:rFonts w:ascii="Arial" w:hAnsi="Arial"/>
                <w:sz w:val="24"/>
              </w:rPr>
            </w:r>
            <w:r>
              <w:rPr>
                <w:rFonts w:ascii="Arial" w:hAnsi="Arial"/>
                <w:b w:val="0"/>
                <w:sz w:val="24"/>
              </w:rPr>
              <w:t>Uses a low-cost existing platform and preserves retail prices (+4)</w:t>
            </w:r>
          </w:p>
        </w:tc>
        <w:tc>
          <w:tcPr>
            <w:tcW w:type="dxa" w:w="2969"/>
            <w:vAlign w:val="center"/>
            <w:tcMar>
              <w:top w:w="90" w:type="dxa"/>
              <w:bottom w:w="90" w:type="dxa"/>
              <w:start w:w="100" w:type="dxa"/>
              <w:end w:w="100" w:type="dxa"/>
            </w:tcMar>
          </w:tcPr>
          <w:p>
            <w:pPr>
              <w:keepNext w:val="0"/>
              <w:widowControl/>
              <w:spacing w:line="360" w:lineRule="auto" w:before="0" w:after="0"/>
              <w:jc w:val="left"/>
            </w:pPr>
            <w:r>
              <w:rPr>
                <w:rFonts w:ascii="Arial" w:hAnsi="Arial"/>
                <w:sz w:val="24"/>
              </w:rPr>
            </w:r>
            <w:r>
              <w:rPr>
                <w:rFonts w:ascii="Arial" w:hAnsi="Arial"/>
                <w:b w:val="0"/>
                <w:sz w:val="24"/>
              </w:rPr>
              <w:t>Orders still need to be matched with daily production (-3)</w:t>
            </w:r>
          </w:p>
        </w:tc>
        <w:tc>
          <w:tcPr>
            <w:tcW w:type="dxa" w:w="2968"/>
            <w:vAlign w:val="center"/>
            <w:tcMar>
              <w:top w:w="90" w:type="dxa"/>
              <w:bottom w:w="90" w:type="dxa"/>
              <w:start w:w="100" w:type="dxa"/>
              <w:end w:w="100" w:type="dxa"/>
            </w:tcMar>
          </w:tcPr>
          <w:p>
            <w:pPr>
              <w:keepNext w:val="0"/>
              <w:widowControl/>
              <w:spacing w:line="360" w:lineRule="auto" w:before="0" w:after="0"/>
              <w:jc w:val="left"/>
            </w:pPr>
            <w:r>
              <w:rPr>
                <w:rFonts w:ascii="Arial" w:hAnsi="Arial"/>
                <w:sz w:val="24"/>
              </w:rPr>
            </w:r>
            <w:r>
              <w:rPr>
                <w:rFonts w:ascii="Arial" w:hAnsi="Arial"/>
                <w:b w:val="0"/>
                <w:sz w:val="24"/>
              </w:rPr>
              <w:t>Subscriptions and celebration-cake pre-orders could follow (+2)</w:t>
            </w:r>
          </w:p>
        </w:tc>
      </w:tr>
      <w:tr>
        <w:trPr/>
        <w:tc>
          <w:tcPr>
            <w:tcW w:type="dxa" w:w="2969"/>
            <w:vAlign w:val="center"/>
            <w:tcMar>
              <w:top w:w="90" w:type="dxa"/>
              <w:bottom w:w="90" w:type="dxa"/>
              <w:start w:w="100" w:type="dxa"/>
              <w:end w:w="100" w:type="dxa"/>
            </w:tcMar>
          </w:tcPr>
          <w:p>
            <w:pPr>
              <w:keepNext w:val="0"/>
              <w:widowControl/>
              <w:spacing w:line="360" w:lineRule="auto" w:before="0" w:after="0"/>
              <w:jc w:val="left"/>
            </w:pPr>
            <w:r>
              <w:rPr>
                <w:rFonts w:ascii="Arial" w:hAnsi="Arial"/>
                <w:sz w:val="24"/>
              </w:rPr>
            </w:r>
            <w:r>
              <w:rPr>
                <w:rFonts w:ascii="Arial" w:hAnsi="Arial"/>
                <w:b w:val="0"/>
                <w:sz w:val="24"/>
              </w:rPr>
              <w:t>Confirmed orders reduce queues, overproduction and waste (+3)</w:t>
            </w:r>
          </w:p>
        </w:tc>
        <w:tc>
          <w:tcPr>
            <w:tcW w:type="dxa" w:w="2969"/>
            <w:vAlign w:val="center"/>
            <w:tcMar>
              <w:top w:w="90" w:type="dxa"/>
              <w:bottom w:w="90" w:type="dxa"/>
              <w:start w:w="100" w:type="dxa"/>
              <w:end w:w="100" w:type="dxa"/>
            </w:tcMar>
          </w:tcPr>
          <w:p>
            <w:pPr>
              <w:keepNext w:val="0"/>
              <w:widowControl/>
              <w:spacing w:line="360" w:lineRule="auto" w:before="0" w:after="0"/>
              <w:jc w:val="left"/>
            </w:pPr>
            <w:r>
              <w:rPr>
                <w:rFonts w:ascii="Arial" w:hAnsi="Arial"/>
                <w:sz w:val="24"/>
              </w:rPr>
            </w:r>
            <w:r>
              <w:rPr>
                <w:rFonts w:ascii="Arial" w:hAnsi="Arial"/>
                <w:b w:val="0"/>
                <w:sz w:val="24"/>
              </w:rPr>
              <w:t>Traffic and a limited radius restrict delivery capacity (-2)</w:t>
            </w:r>
          </w:p>
        </w:tc>
        <w:tc>
          <w:tcPr>
            <w:tcW w:type="dxa" w:w="2968"/>
            <w:vAlign w:val="center"/>
            <w:tcMar>
              <w:top w:w="90" w:type="dxa"/>
              <w:bottom w:w="90" w:type="dxa"/>
              <w:start w:w="100" w:type="dxa"/>
              <w:end w:w="100" w:type="dxa"/>
            </w:tcMar>
          </w:tcPr>
          <w:p>
            <w:pPr>
              <w:keepNext w:val="0"/>
              <w:widowControl/>
              <w:spacing w:line="360" w:lineRule="auto" w:before="0" w:after="0"/>
              <w:jc w:val="left"/>
            </w:pPr>
            <w:r>
              <w:rPr>
                <w:rFonts w:ascii="Arial" w:hAnsi="Arial"/>
                <w:sz w:val="24"/>
              </w:rPr>
            </w:r>
            <w:r>
              <w:rPr>
                <w:rFonts w:ascii="Arial" w:hAnsi="Arial"/>
                <w:b w:val="0"/>
                <w:sz w:val="24"/>
              </w:rPr>
              <w:t>A third-party platform reduces control of customer data (-2)</w:t>
            </w:r>
          </w:p>
        </w:tc>
      </w:tr>
      <w:tr>
        <w:trPr/>
        <w:tc>
          <w:tcPr>
            <w:tcW w:type="dxa" w:w="2969"/>
            <w:vAlign w:val="center"/>
            <w:tcMar>
              <w:top w:w="90" w:type="dxa"/>
              <w:bottom w:w="90" w:type="dxa"/>
              <w:start w:w="100" w:type="dxa"/>
              <w:end w:w="100" w:type="dxa"/>
            </w:tcMar>
          </w:tcPr>
          <w:p>
            <w:pPr>
              <w:keepNext w:val="0"/>
              <w:widowControl/>
              <w:spacing w:line="360" w:lineRule="auto" w:before="0" w:after="0"/>
              <w:jc w:val="left"/>
            </w:pPr>
            <w:r>
              <w:rPr>
                <w:rFonts w:ascii="Arial" w:hAnsi="Arial"/>
                <w:sz w:val="24"/>
              </w:rPr>
            </w:r>
            <w:r>
              <w:rPr>
                <w:rFonts w:ascii="Arial" w:hAnsi="Arial"/>
                <w:b w:val="0"/>
                <w:sz w:val="24"/>
              </w:rPr>
              <w:t>A small pilot can start within weeks and scale gradually (+2)</w:t>
            </w:r>
          </w:p>
        </w:tc>
        <w:tc>
          <w:tcPr>
            <w:tcW w:type="dxa" w:w="2969"/>
            <w:vAlign w:val="center"/>
            <w:tcMar>
              <w:top w:w="90" w:type="dxa"/>
              <w:bottom w:w="90" w:type="dxa"/>
              <w:start w:w="100" w:type="dxa"/>
              <w:end w:w="100" w:type="dxa"/>
            </w:tcMar>
          </w:tcPr>
          <w:p>
            <w:pPr>
              <w:keepNext w:val="0"/>
              <w:widowControl/>
              <w:spacing w:line="360" w:lineRule="auto" w:before="0" w:after="0"/>
              <w:jc w:val="left"/>
            </w:pPr>
            <w:r>
              <w:rPr>
                <w:rFonts w:ascii="Arial" w:hAnsi="Arial"/>
                <w:sz w:val="24"/>
              </w:rPr>
            </w:r>
            <w:r>
              <w:rPr>
                <w:rFonts w:ascii="Arial" w:hAnsi="Arial"/>
                <w:b w:val="0"/>
                <w:sz w:val="24"/>
              </w:rPr>
              <w:t>Late or damaged deliveries could harm reputation (-1)</w:t>
            </w:r>
          </w:p>
        </w:tc>
        <w:tc>
          <w:tcPr>
            <w:tcW w:type="dxa" w:w="2968"/>
            <w:vAlign w:val="center"/>
            <w:tcMar>
              <w:top w:w="90" w:type="dxa"/>
              <w:bottom w:w="90" w:type="dxa"/>
              <w:start w:w="100" w:type="dxa"/>
              <w:end w:w="100" w:type="dxa"/>
            </w:tcMar>
          </w:tcPr>
          <w:p>
            <w:pPr>
              <w:keepNext w:val="0"/>
              <w:widowControl/>
              <w:spacing w:line="360" w:lineRule="auto" w:before="0" w:after="0"/>
              <w:jc w:val="left"/>
            </w:pPr>
            <w:r>
              <w:rPr>
                <w:rFonts w:ascii="Arial" w:hAnsi="Arial"/>
                <w:sz w:val="24"/>
              </w:rPr>
            </w:r>
            <w:r>
              <w:rPr>
                <w:rFonts w:ascii="Arial" w:hAnsi="Arial"/>
                <w:b w:val="0"/>
                <w:sz w:val="24"/>
              </w:rPr>
              <w:t>Fixed collection and delivery slots may smooth peak demand (+1)</w:t>
            </w:r>
          </w:p>
        </w:tc>
      </w:tr>
      <w:tr>
        <w:trPr/>
        <w:tc>
          <w:tcPr>
            <w:tcW w:type="dxa" w:w="2969"/>
            <w:vAlign w:val="center"/>
            <w:shd w:fill="F2F2F2"/>
            <w:tcMar>
              <w:top w:w="90" w:type="dxa"/>
              <w:bottom w:w="90" w:type="dxa"/>
              <w:start w:w="100" w:type="dxa"/>
              <w:end w:w="100" w:type="dxa"/>
            </w:tcMar>
          </w:tcPr>
          <w:p>
            <w:pPr>
              <w:keepNext w:val="0"/>
              <w:widowControl/>
              <w:spacing w:line="360" w:lineRule="auto" w:before="0" w:after="0"/>
              <w:jc w:val="center"/>
            </w:pPr>
            <w:r>
              <w:rPr>
                <w:rFonts w:ascii="Arial" w:hAnsi="Arial"/>
                <w:sz w:val="24"/>
              </w:rPr>
            </w:r>
            <w:r>
              <w:rPr>
                <w:rFonts w:ascii="Arial" w:hAnsi="Arial"/>
                <w:b/>
                <w:sz w:val="24"/>
              </w:rPr>
              <w:t>Total = +14</w:t>
            </w:r>
          </w:p>
        </w:tc>
        <w:tc>
          <w:tcPr>
            <w:tcW w:type="dxa" w:w="2969"/>
            <w:vAlign w:val="center"/>
            <w:shd w:fill="F2F2F2"/>
            <w:tcMar>
              <w:top w:w="90" w:type="dxa"/>
              <w:bottom w:w="90" w:type="dxa"/>
              <w:start w:w="100" w:type="dxa"/>
              <w:end w:w="100" w:type="dxa"/>
            </w:tcMar>
          </w:tcPr>
          <w:p>
            <w:pPr>
              <w:keepNext w:val="0"/>
              <w:widowControl/>
              <w:spacing w:line="360" w:lineRule="auto" w:before="0" w:after="0"/>
              <w:jc w:val="center"/>
            </w:pPr>
            <w:r>
              <w:rPr>
                <w:rFonts w:ascii="Arial" w:hAnsi="Arial"/>
                <w:sz w:val="24"/>
              </w:rPr>
            </w:r>
            <w:r>
              <w:rPr>
                <w:rFonts w:ascii="Arial" w:hAnsi="Arial"/>
                <w:b/>
                <w:sz w:val="24"/>
              </w:rPr>
              <w:t>Total = -9</w:t>
            </w:r>
          </w:p>
        </w:tc>
        <w:tc>
          <w:tcPr>
            <w:tcW w:type="dxa" w:w="2968"/>
            <w:vAlign w:val="center"/>
            <w:shd w:fill="F2F2F2"/>
            <w:tcMar>
              <w:top w:w="90" w:type="dxa"/>
              <w:bottom w:w="90" w:type="dxa"/>
              <w:start w:w="100" w:type="dxa"/>
              <w:end w:w="100" w:type="dxa"/>
            </w:tcMar>
          </w:tcPr>
          <w:p>
            <w:pPr>
              <w:keepNext w:val="0"/>
              <w:widowControl/>
              <w:spacing w:line="360" w:lineRule="auto" w:before="0" w:after="0"/>
              <w:jc w:val="center"/>
            </w:pPr>
            <w:r>
              <w:rPr>
                <w:rFonts w:ascii="Arial" w:hAnsi="Arial"/>
                <w:sz w:val="24"/>
              </w:rPr>
            </w:r>
            <w:r>
              <w:rPr>
                <w:rFonts w:ascii="Arial" w:hAnsi="Arial"/>
                <w:b/>
                <w:sz w:val="24"/>
              </w:rPr>
              <w:t>Total = +3</w:t>
            </w:r>
          </w:p>
        </w:tc>
      </w:tr>
    </w:tbl>
    <w:p>
      <w:pPr>
        <w:keepNext w:val="0"/>
        <w:widowControl/>
        <w:spacing w:line="360" w:lineRule="auto" w:before="100" w:after="0"/>
        <w:jc w:val="left"/>
      </w:pPr>
      <w:r>
        <w:rPr>
          <w:rFonts w:ascii="Arial" w:hAnsi="Arial"/>
          <w:b/>
          <w:i w:val="0"/>
          <w:sz w:val="24"/>
          <w:u w:val="none"/>
        </w:rPr>
        <w:t>Overall total for Order Ahead = +14 -9 +3 = +8</w:t>
      </w:r>
    </w:p>
    <w:p>
      <w:pPr>
        <w:keepNext w:val="0"/>
        <w:widowControl/>
        <w:spacing w:line="360" w:lineRule="auto" w:before="60" w:after="0"/>
        <w:jc w:val="left"/>
      </w:pPr>
      <w:r>
        <w:rPr>
          <w:rFonts w:ascii="Arial" w:hAnsi="Arial"/>
          <w:b w:val="0"/>
          <w:i w:val="0"/>
          <w:sz w:val="24"/>
          <w:u w:val="none"/>
        </w:rPr>
        <w:t>Scoring method: each point is scored 1-5 according to its importance and likely effect; minus values are negative and interesting implications may be positive or negative. Technique adapted from de Bono (2006).</w:t>
      </w:r>
    </w:p>
    <w:p>
      <w:pPr>
        <w:spacing w:after="0"/>
      </w:pPr>
      <w:r>
        <w:br w:type="page"/>
      </w:r>
    </w:p>
    <w:p>
      <w:pPr>
        <w:keepNext/>
        <w:widowControl/>
        <w:spacing w:line="360" w:lineRule="auto" w:before="0" w:after="40"/>
        <w:jc w:val="center"/>
      </w:pPr>
      <w:r>
        <w:rPr>
          <w:rFonts w:ascii="Arial" w:hAnsi="Arial"/>
          <w:b/>
          <w:i w:val="0"/>
          <w:sz w:val="28"/>
          <w:u w:val="single"/>
        </w:rPr>
        <w:t>Appendix 1 - Task 3a (continued)</w:t>
      </w:r>
    </w:p>
    <w:p>
      <w:pPr>
        <w:keepNext/>
        <w:widowControl/>
        <w:spacing w:line="360" w:lineRule="auto" w:before="40" w:after="80"/>
        <w:jc w:val="center"/>
      </w:pPr>
      <w:r>
        <w:rPr>
          <w:rFonts w:ascii="Arial" w:hAnsi="Arial"/>
          <w:b/>
          <w:i w:val="0"/>
          <w:sz w:val="26"/>
          <w:u w:val="single"/>
        </w:rPr>
        <w:t>PMI Evaluation: Bakery to Business</w:t>
      </w:r>
    </w:p>
    <w:tbl>
      <w:tblPr>
        <w:tblW w:type="dxa" w:w="8906"/>
        <w:jc w:val="left"/>
        <w:tblLayout w:type="fixed"/>
        <w:tblLook w:firstColumn="1" w:firstRow="1" w:lastColumn="0" w:lastRow="0" w:noHBand="0" w:noVBand="1" w:val="04A0"/>
        <w:tblInd w:type="dxa" w:w="100"/>
      </w:tblPr>
      <w:tblGrid>
        <w:gridCol w:w="2969"/>
        <w:gridCol w:w="2969"/>
        <w:gridCol w:w="2968"/>
      </w:tblGrid>
      <w:tr>
        <w:trPr>
          <w:tblHeader w:val="true"/>
        </w:trPr>
        <w:tc>
          <w:tcPr>
            <w:tcW w:type="dxa" w:w="2969"/>
            <w:vAlign w:val="center"/>
            <w:shd w:fill="E7E6E6"/>
            <w:tcMar>
              <w:top w:w="90" w:type="dxa"/>
              <w:bottom w:w="90" w:type="dxa"/>
              <w:start w:w="100" w:type="dxa"/>
              <w:end w:w="100" w:type="dxa"/>
            </w:tcMar>
          </w:tcPr>
          <w:p>
            <w:pPr>
              <w:keepNext w:val="0"/>
              <w:widowControl/>
              <w:spacing w:line="360" w:lineRule="auto" w:before="0" w:after="0"/>
              <w:jc w:val="center"/>
            </w:pPr>
            <w:r>
              <w:rPr>
                <w:rFonts w:ascii="Arial" w:hAnsi="Arial"/>
                <w:sz w:val="24"/>
              </w:rPr>
            </w:r>
            <w:r>
              <w:rPr>
                <w:rFonts w:ascii="Arial" w:hAnsi="Arial"/>
                <w:b/>
                <w:sz w:val="24"/>
              </w:rPr>
              <w:t>Plus</w:t>
            </w:r>
          </w:p>
        </w:tc>
        <w:tc>
          <w:tcPr>
            <w:tcW w:type="dxa" w:w="2969"/>
            <w:vAlign w:val="center"/>
            <w:shd w:fill="E7E6E6"/>
            <w:tcMar>
              <w:top w:w="90" w:type="dxa"/>
              <w:bottom w:w="90" w:type="dxa"/>
              <w:start w:w="100" w:type="dxa"/>
              <w:end w:w="100" w:type="dxa"/>
            </w:tcMar>
          </w:tcPr>
          <w:p>
            <w:pPr>
              <w:keepNext w:val="0"/>
              <w:widowControl/>
              <w:spacing w:line="360" w:lineRule="auto" w:before="0" w:after="0"/>
              <w:jc w:val="center"/>
            </w:pPr>
            <w:r>
              <w:rPr>
                <w:rFonts w:ascii="Arial" w:hAnsi="Arial"/>
                <w:sz w:val="24"/>
              </w:rPr>
            </w:r>
            <w:r>
              <w:rPr>
                <w:rFonts w:ascii="Arial" w:hAnsi="Arial"/>
                <w:b/>
                <w:sz w:val="24"/>
              </w:rPr>
              <w:t>Minus</w:t>
            </w:r>
          </w:p>
        </w:tc>
        <w:tc>
          <w:tcPr>
            <w:tcW w:type="dxa" w:w="2968"/>
            <w:vAlign w:val="center"/>
            <w:shd w:fill="E7E6E6"/>
            <w:tcMar>
              <w:top w:w="90" w:type="dxa"/>
              <w:bottom w:w="90" w:type="dxa"/>
              <w:start w:w="100" w:type="dxa"/>
              <w:end w:w="100" w:type="dxa"/>
            </w:tcMar>
          </w:tcPr>
          <w:p>
            <w:pPr>
              <w:keepNext w:val="0"/>
              <w:widowControl/>
              <w:spacing w:line="360" w:lineRule="auto" w:before="0" w:after="0"/>
              <w:jc w:val="center"/>
            </w:pPr>
            <w:r>
              <w:rPr>
                <w:rFonts w:ascii="Arial" w:hAnsi="Arial"/>
                <w:sz w:val="24"/>
              </w:rPr>
            </w:r>
            <w:r>
              <w:rPr>
                <w:rFonts w:ascii="Arial" w:hAnsi="Arial"/>
                <w:b/>
                <w:sz w:val="24"/>
              </w:rPr>
              <w:t>Interesting / Implications</w:t>
            </w:r>
          </w:p>
        </w:tc>
      </w:tr>
      <w:tr>
        <w:trPr/>
        <w:tc>
          <w:tcPr>
            <w:tcW w:type="dxa" w:w="2969"/>
            <w:vAlign w:val="center"/>
            <w:tcMar>
              <w:top w:w="90" w:type="dxa"/>
              <w:bottom w:w="90" w:type="dxa"/>
              <w:start w:w="100" w:type="dxa"/>
              <w:end w:w="100" w:type="dxa"/>
            </w:tcMar>
          </w:tcPr>
          <w:p>
            <w:pPr>
              <w:keepNext w:val="0"/>
              <w:widowControl/>
              <w:spacing w:line="360" w:lineRule="auto" w:before="0" w:after="0"/>
              <w:jc w:val="left"/>
            </w:pPr>
            <w:r>
              <w:rPr>
                <w:rFonts w:ascii="Arial" w:hAnsi="Arial"/>
                <w:sz w:val="24"/>
              </w:rPr>
            </w:r>
            <w:r>
              <w:rPr>
                <w:rFonts w:ascii="Arial" w:hAnsi="Arial"/>
                <w:b w:val="0"/>
                <w:sz w:val="24"/>
              </w:rPr>
              <w:t>Standing contracts create predictable demand and cash flow (+4)</w:t>
            </w:r>
          </w:p>
        </w:tc>
        <w:tc>
          <w:tcPr>
            <w:tcW w:type="dxa" w:w="2969"/>
            <w:vAlign w:val="center"/>
            <w:tcMar>
              <w:top w:w="90" w:type="dxa"/>
              <w:bottom w:w="90" w:type="dxa"/>
              <w:start w:w="100" w:type="dxa"/>
              <w:end w:w="100" w:type="dxa"/>
            </w:tcMar>
          </w:tcPr>
          <w:p>
            <w:pPr>
              <w:keepNext w:val="0"/>
              <w:widowControl/>
              <w:spacing w:line="360" w:lineRule="auto" w:before="0" w:after="0"/>
              <w:jc w:val="left"/>
            </w:pPr>
            <w:r>
              <w:rPr>
                <w:rFonts w:ascii="Arial" w:hAnsi="Arial"/>
                <w:sz w:val="24"/>
              </w:rPr>
            </w:r>
            <w:r>
              <w:rPr>
                <w:rFonts w:ascii="Arial" w:hAnsi="Arial"/>
                <w:b w:val="0"/>
                <w:sz w:val="24"/>
              </w:rPr>
              <w:t>Wholesale discounts reduce margin per item (-4)</w:t>
            </w:r>
          </w:p>
        </w:tc>
        <w:tc>
          <w:tcPr>
            <w:tcW w:type="dxa" w:w="2968"/>
            <w:vAlign w:val="center"/>
            <w:tcMar>
              <w:top w:w="90" w:type="dxa"/>
              <w:bottom w:w="90" w:type="dxa"/>
              <w:start w:w="100" w:type="dxa"/>
              <w:end w:w="100" w:type="dxa"/>
            </w:tcMar>
          </w:tcPr>
          <w:p>
            <w:pPr>
              <w:keepNext w:val="0"/>
              <w:widowControl/>
              <w:spacing w:line="360" w:lineRule="auto" w:before="0" w:after="0"/>
              <w:jc w:val="left"/>
            </w:pPr>
            <w:r>
              <w:rPr>
                <w:rFonts w:ascii="Arial" w:hAnsi="Arial"/>
                <w:sz w:val="24"/>
              </w:rPr>
            </w:r>
            <w:r>
              <w:rPr>
                <w:rFonts w:ascii="Arial" w:hAnsi="Arial"/>
                <w:b w:val="0"/>
                <w:sz w:val="24"/>
              </w:rPr>
              <w:t>Standardised batches could reduce unit production cost (+2)</w:t>
            </w:r>
          </w:p>
        </w:tc>
      </w:tr>
      <w:tr>
        <w:trPr/>
        <w:tc>
          <w:tcPr>
            <w:tcW w:type="dxa" w:w="2969"/>
            <w:vAlign w:val="center"/>
            <w:tcMar>
              <w:top w:w="90" w:type="dxa"/>
              <w:bottom w:w="90" w:type="dxa"/>
              <w:start w:w="100" w:type="dxa"/>
              <w:end w:w="100" w:type="dxa"/>
            </w:tcMar>
          </w:tcPr>
          <w:p>
            <w:pPr>
              <w:keepNext w:val="0"/>
              <w:widowControl/>
              <w:spacing w:line="360" w:lineRule="auto" w:before="0" w:after="0"/>
              <w:jc w:val="left"/>
            </w:pPr>
            <w:r>
              <w:rPr>
                <w:rFonts w:ascii="Arial" w:hAnsi="Arial"/>
                <w:sz w:val="24"/>
              </w:rPr>
            </w:r>
            <w:r>
              <w:rPr>
                <w:rFonts w:ascii="Arial" w:hAnsi="Arial"/>
                <w:b w:val="0"/>
                <w:sz w:val="24"/>
              </w:rPr>
              <w:t>Business demand reduces reliance on retail-park shoppers (+3)</w:t>
            </w:r>
          </w:p>
        </w:tc>
        <w:tc>
          <w:tcPr>
            <w:tcW w:type="dxa" w:w="2969"/>
            <w:vAlign w:val="center"/>
            <w:tcMar>
              <w:top w:w="90" w:type="dxa"/>
              <w:bottom w:w="90" w:type="dxa"/>
              <w:start w:w="100" w:type="dxa"/>
              <w:end w:w="100" w:type="dxa"/>
            </w:tcMar>
          </w:tcPr>
          <w:p>
            <w:pPr>
              <w:keepNext w:val="0"/>
              <w:widowControl/>
              <w:spacing w:line="360" w:lineRule="auto" w:before="0" w:after="0"/>
              <w:jc w:val="left"/>
            </w:pPr>
            <w:r>
              <w:rPr>
                <w:rFonts w:ascii="Arial" w:hAnsi="Arial"/>
                <w:sz w:val="24"/>
              </w:rPr>
            </w:r>
            <w:r>
              <w:rPr>
                <w:rFonts w:ascii="Arial" w:hAnsi="Arial"/>
                <w:b w:val="0"/>
                <w:sz w:val="24"/>
              </w:rPr>
              <w:t>Contracts may take months to win (-3)</w:t>
            </w:r>
          </w:p>
        </w:tc>
        <w:tc>
          <w:tcPr>
            <w:tcW w:type="dxa" w:w="2968"/>
            <w:vAlign w:val="center"/>
            <w:tcMar>
              <w:top w:w="90" w:type="dxa"/>
              <w:bottom w:w="90" w:type="dxa"/>
              <w:start w:w="100" w:type="dxa"/>
              <w:end w:w="100" w:type="dxa"/>
            </w:tcMar>
          </w:tcPr>
          <w:p>
            <w:pPr>
              <w:keepNext w:val="0"/>
              <w:widowControl/>
              <w:spacing w:line="360" w:lineRule="auto" w:before="0" w:after="0"/>
              <w:jc w:val="left"/>
            </w:pPr>
            <w:r>
              <w:rPr>
                <w:rFonts w:ascii="Arial" w:hAnsi="Arial"/>
                <w:sz w:val="24"/>
              </w:rPr>
            </w:r>
            <w:r>
              <w:rPr>
                <w:rFonts w:ascii="Arial" w:hAnsi="Arial"/>
                <w:b w:val="0"/>
                <w:sz w:val="24"/>
              </w:rPr>
              <w:t>Business clients may also refer retail customers (+1)</w:t>
            </w:r>
          </w:p>
        </w:tc>
      </w:tr>
      <w:tr>
        <w:trPr/>
        <w:tc>
          <w:tcPr>
            <w:tcW w:type="dxa" w:w="2969"/>
            <w:vAlign w:val="center"/>
            <w:tcMar>
              <w:top w:w="90" w:type="dxa"/>
              <w:bottom w:w="90" w:type="dxa"/>
              <w:start w:w="100" w:type="dxa"/>
              <w:end w:w="100" w:type="dxa"/>
            </w:tcMar>
          </w:tcPr>
          <w:p>
            <w:pPr>
              <w:keepNext w:val="0"/>
              <w:widowControl/>
              <w:spacing w:line="360" w:lineRule="auto" w:before="0" w:after="0"/>
              <w:jc w:val="left"/>
            </w:pPr>
            <w:r>
              <w:rPr>
                <w:rFonts w:ascii="Arial" w:hAnsi="Arial"/>
                <w:sz w:val="24"/>
              </w:rPr>
            </w:r>
            <w:r>
              <w:rPr>
                <w:rFonts w:ascii="Arial" w:hAnsi="Arial"/>
                <w:b w:val="0"/>
                <w:sz w:val="24"/>
              </w:rPr>
              <w:t>Bulk purchasing makes organic-input planning easier (+2)</w:t>
            </w:r>
          </w:p>
        </w:tc>
        <w:tc>
          <w:tcPr>
            <w:tcW w:type="dxa" w:w="2969"/>
            <w:vAlign w:val="center"/>
            <w:tcMar>
              <w:top w:w="90" w:type="dxa"/>
              <w:bottom w:w="90" w:type="dxa"/>
              <w:start w:w="100" w:type="dxa"/>
              <w:end w:w="100" w:type="dxa"/>
            </w:tcMar>
          </w:tcPr>
          <w:p>
            <w:pPr>
              <w:keepNext w:val="0"/>
              <w:widowControl/>
              <w:spacing w:line="360" w:lineRule="auto" w:before="0" w:after="0"/>
              <w:jc w:val="left"/>
            </w:pPr>
            <w:r>
              <w:rPr>
                <w:rFonts w:ascii="Arial" w:hAnsi="Arial"/>
                <w:sz w:val="24"/>
              </w:rPr>
            </w:r>
            <w:r>
              <w:rPr>
                <w:rFonts w:ascii="Arial" w:hAnsi="Arial"/>
                <w:b w:val="0"/>
                <w:sz w:val="24"/>
              </w:rPr>
              <w:t>More capacity, staff or equipment may be needed (-3)</w:t>
            </w:r>
          </w:p>
        </w:tc>
        <w:tc>
          <w:tcPr>
            <w:tcW w:type="dxa" w:w="2968"/>
            <w:vAlign w:val="center"/>
            <w:tcMar>
              <w:top w:w="90" w:type="dxa"/>
              <w:bottom w:w="90" w:type="dxa"/>
              <w:start w:w="100" w:type="dxa"/>
              <w:end w:w="100" w:type="dxa"/>
            </w:tcMar>
          </w:tcPr>
          <w:p>
            <w:pPr>
              <w:keepNext w:val="0"/>
              <w:widowControl/>
              <w:spacing w:line="360" w:lineRule="auto" w:before="0" w:after="0"/>
              <w:jc w:val="left"/>
            </w:pPr>
            <w:r>
              <w:rPr>
                <w:rFonts w:ascii="Arial" w:hAnsi="Arial"/>
                <w:sz w:val="24"/>
              </w:rPr>
            </w:r>
            <w:r>
              <w:rPr>
                <w:rFonts w:ascii="Arial" w:hAnsi="Arial"/>
                <w:b w:val="0"/>
                <w:sz w:val="24"/>
              </w:rPr>
              <w:t>Dependence on a few clients creates concentration risk (-2)</w:t>
            </w:r>
          </w:p>
        </w:tc>
      </w:tr>
      <w:tr>
        <w:trPr/>
        <w:tc>
          <w:tcPr>
            <w:tcW w:type="dxa" w:w="2969"/>
            <w:vAlign w:val="center"/>
            <w:tcMar>
              <w:top w:w="90" w:type="dxa"/>
              <w:bottom w:w="90" w:type="dxa"/>
              <w:start w:w="100" w:type="dxa"/>
              <w:end w:w="100" w:type="dxa"/>
            </w:tcMar>
          </w:tcPr>
          <w:p>
            <w:pPr>
              <w:keepNext w:val="0"/>
              <w:widowControl/>
              <w:spacing w:line="360" w:lineRule="auto" w:before="0" w:after="0"/>
              <w:jc w:val="left"/>
            </w:pPr>
            <w:r>
              <w:rPr>
                <w:rFonts w:ascii="Arial" w:hAnsi="Arial"/>
                <w:sz w:val="24"/>
              </w:rPr>
            </w:r>
            <w:r>
              <w:rPr>
                <w:rFonts w:ascii="Arial" w:hAnsi="Arial"/>
                <w:b w:val="0"/>
                <w:sz w:val="24"/>
              </w:rPr>
              <w:t>Repeat production can reduce daily waste (+1)</w:t>
            </w:r>
          </w:p>
        </w:tc>
        <w:tc>
          <w:tcPr>
            <w:tcW w:type="dxa" w:w="2969"/>
            <w:vAlign w:val="center"/>
            <w:tcMar>
              <w:top w:w="90" w:type="dxa"/>
              <w:bottom w:w="90" w:type="dxa"/>
              <w:start w:w="100" w:type="dxa"/>
              <w:end w:w="100" w:type="dxa"/>
            </w:tcMar>
          </w:tcPr>
          <w:p>
            <w:pPr>
              <w:keepNext w:val="0"/>
              <w:widowControl/>
              <w:spacing w:line="360" w:lineRule="auto" w:before="0" w:after="0"/>
              <w:jc w:val="left"/>
            </w:pPr>
            <w:r>
              <w:rPr>
                <w:rFonts w:ascii="Arial" w:hAnsi="Arial"/>
                <w:sz w:val="24"/>
              </w:rPr>
            </w:r>
            <w:r>
              <w:rPr>
                <w:rFonts w:ascii="Arial" w:hAnsi="Arial"/>
                <w:b w:val="0"/>
                <w:sz w:val="24"/>
              </w:rPr>
              <w:t>Early deliveries conflict with Basil's baking hours (-1)</w:t>
            </w:r>
          </w:p>
        </w:tc>
        <w:tc>
          <w:tcPr>
            <w:tcW w:type="dxa" w:w="2968"/>
            <w:vAlign w:val="center"/>
            <w:tcMar>
              <w:top w:w="90" w:type="dxa"/>
              <w:bottom w:w="90" w:type="dxa"/>
              <w:start w:w="100" w:type="dxa"/>
              <w:end w:w="100" w:type="dxa"/>
            </w:tcMar>
          </w:tcPr>
          <w:p>
            <w:pPr>
              <w:keepNext w:val="0"/>
              <w:widowControl/>
              <w:spacing w:line="360" w:lineRule="auto" w:before="0" w:after="0"/>
              <w:jc w:val="left"/>
            </w:pPr>
            <w:r>
              <w:rPr>
                <w:rFonts w:ascii="Arial" w:hAnsi="Arial"/>
                <w:sz w:val="24"/>
              </w:rPr>
            </w:r>
            <w:r>
              <w:rPr>
                <w:rFonts w:ascii="Arial" w:hAnsi="Arial"/>
                <w:b w:val="0"/>
                <w:sz w:val="24"/>
              </w:rPr>
              <w:t>Price-review clauses could partly hedge ingredient inflation (+1)</w:t>
            </w:r>
          </w:p>
        </w:tc>
      </w:tr>
      <w:tr>
        <w:trPr/>
        <w:tc>
          <w:tcPr>
            <w:tcW w:type="dxa" w:w="2969"/>
            <w:vAlign w:val="center"/>
            <w:shd w:fill="F2F2F2"/>
            <w:tcMar>
              <w:top w:w="90" w:type="dxa"/>
              <w:bottom w:w="90" w:type="dxa"/>
              <w:start w:w="100" w:type="dxa"/>
              <w:end w:w="100" w:type="dxa"/>
            </w:tcMar>
          </w:tcPr>
          <w:p>
            <w:pPr>
              <w:keepNext w:val="0"/>
              <w:widowControl/>
              <w:spacing w:line="360" w:lineRule="auto" w:before="0" w:after="0"/>
              <w:jc w:val="center"/>
            </w:pPr>
            <w:r>
              <w:rPr>
                <w:rFonts w:ascii="Arial" w:hAnsi="Arial"/>
                <w:sz w:val="24"/>
              </w:rPr>
            </w:r>
            <w:r>
              <w:rPr>
                <w:rFonts w:ascii="Arial" w:hAnsi="Arial"/>
                <w:b/>
                <w:sz w:val="24"/>
              </w:rPr>
              <w:t>Total = +10</w:t>
            </w:r>
          </w:p>
        </w:tc>
        <w:tc>
          <w:tcPr>
            <w:tcW w:type="dxa" w:w="2969"/>
            <w:vAlign w:val="center"/>
            <w:shd w:fill="F2F2F2"/>
            <w:tcMar>
              <w:top w:w="90" w:type="dxa"/>
              <w:bottom w:w="90" w:type="dxa"/>
              <w:start w:w="100" w:type="dxa"/>
              <w:end w:w="100" w:type="dxa"/>
            </w:tcMar>
          </w:tcPr>
          <w:p>
            <w:pPr>
              <w:keepNext w:val="0"/>
              <w:widowControl/>
              <w:spacing w:line="360" w:lineRule="auto" w:before="0" w:after="0"/>
              <w:jc w:val="center"/>
            </w:pPr>
            <w:r>
              <w:rPr>
                <w:rFonts w:ascii="Arial" w:hAnsi="Arial"/>
                <w:sz w:val="24"/>
              </w:rPr>
            </w:r>
            <w:r>
              <w:rPr>
                <w:rFonts w:ascii="Arial" w:hAnsi="Arial"/>
                <w:b/>
                <w:sz w:val="24"/>
              </w:rPr>
              <w:t>Total = -11</w:t>
            </w:r>
          </w:p>
        </w:tc>
        <w:tc>
          <w:tcPr>
            <w:tcW w:type="dxa" w:w="2968"/>
            <w:vAlign w:val="center"/>
            <w:shd w:fill="F2F2F2"/>
            <w:tcMar>
              <w:top w:w="90" w:type="dxa"/>
              <w:bottom w:w="90" w:type="dxa"/>
              <w:start w:w="100" w:type="dxa"/>
              <w:end w:w="100" w:type="dxa"/>
            </w:tcMar>
          </w:tcPr>
          <w:p>
            <w:pPr>
              <w:keepNext w:val="0"/>
              <w:widowControl/>
              <w:spacing w:line="360" w:lineRule="auto" w:before="0" w:after="0"/>
              <w:jc w:val="center"/>
            </w:pPr>
            <w:r>
              <w:rPr>
                <w:rFonts w:ascii="Arial" w:hAnsi="Arial"/>
                <w:sz w:val="24"/>
              </w:rPr>
            </w:r>
            <w:r>
              <w:rPr>
                <w:rFonts w:ascii="Arial" w:hAnsi="Arial"/>
                <w:b/>
                <w:sz w:val="24"/>
              </w:rPr>
              <w:t>Total = +2</w:t>
            </w:r>
          </w:p>
        </w:tc>
      </w:tr>
    </w:tbl>
    <w:p>
      <w:pPr>
        <w:keepNext w:val="0"/>
        <w:widowControl/>
        <w:spacing w:line="360" w:lineRule="auto" w:before="100" w:after="0"/>
        <w:jc w:val="left"/>
      </w:pPr>
      <w:r>
        <w:rPr>
          <w:rFonts w:ascii="Arial" w:hAnsi="Arial"/>
          <w:b/>
          <w:i w:val="0"/>
          <w:sz w:val="24"/>
          <w:u w:val="none"/>
        </w:rPr>
        <w:t>Overall total for Bakery to Business = +10 -11 +2 = +1</w:t>
      </w:r>
    </w:p>
    <w:p>
      <w:pPr>
        <w:keepNext w:val="0"/>
        <w:widowControl/>
        <w:spacing w:line="360" w:lineRule="auto" w:before="60" w:after="0"/>
        <w:jc w:val="left"/>
      </w:pPr>
      <w:r>
        <w:rPr>
          <w:rFonts w:ascii="Arial" w:hAnsi="Arial"/>
          <w:b/>
          <w:i w:val="0"/>
          <w:sz w:val="24"/>
          <w:u w:val="none"/>
        </w:rPr>
        <w:t>Conclusion: Order Ahead is preferred because its overall score (+8) is materially higher than Bakery to Business (+1).</w:t>
      </w:r>
    </w:p>
    <w:p>
      <w:pPr>
        <w:spacing w:after="0"/>
      </w:pPr>
      <w:r>
        <w:br w:type="page"/>
      </w:r>
    </w:p>
    <w:p>
      <w:pPr>
        <w:keepNext/>
        <w:widowControl/>
        <w:spacing w:line="360" w:lineRule="auto" w:before="0" w:after="40"/>
        <w:jc w:val="center"/>
      </w:pPr>
      <w:r>
        <w:rPr>
          <w:rFonts w:ascii="Arial" w:hAnsi="Arial"/>
          <w:b/>
          <w:i w:val="0"/>
          <w:sz w:val="28"/>
          <w:u w:val="single"/>
        </w:rPr>
        <w:t>Appendix 2 - Task 4a</w:t>
      </w:r>
    </w:p>
    <w:p>
      <w:pPr>
        <w:keepNext/>
        <w:widowControl/>
        <w:spacing w:line="360" w:lineRule="auto" w:before="40" w:after="80"/>
        <w:jc w:val="center"/>
      </w:pPr>
      <w:r>
        <w:rPr>
          <w:rFonts w:ascii="Arial" w:hAnsi="Arial"/>
          <w:b/>
          <w:i w:val="0"/>
          <w:sz w:val="26"/>
          <w:u w:val="single"/>
        </w:rPr>
        <w:t>Implementation Plan</w:t>
      </w:r>
    </w:p>
    <w:p>
      <w:pPr>
        <w:keepNext w:val="0"/>
        <w:widowControl/>
        <w:spacing w:line="360" w:lineRule="auto" w:before="0" w:after="0"/>
        <w:jc w:val="left"/>
      </w:pPr>
      <w:r>
        <w:rPr>
          <w:rFonts w:ascii="Arial" w:hAnsi="Arial"/>
          <w:b/>
          <w:i w:val="0"/>
          <w:sz w:val="24"/>
          <w:u w:val="none"/>
        </w:rPr>
        <w:t>Problem: Sales averaged 25% below 2019 during 2023-2025 because the bakery depends on declining walk-in footfall.</w:t>
      </w:r>
    </w:p>
    <w:p>
      <w:pPr>
        <w:keepNext w:val="0"/>
        <w:widowControl/>
        <w:spacing w:line="360" w:lineRule="auto" w:before="0" w:after="60"/>
        <w:jc w:val="left"/>
      </w:pPr>
      <w:r>
        <w:rPr>
          <w:rFonts w:ascii="Arial" w:hAnsi="Arial"/>
          <w:b/>
          <w:i w:val="0"/>
          <w:sz w:val="24"/>
          <w:u w:val="none"/>
        </w:rPr>
        <w:t>Solution: Order Ahead - online pre-order and payment, timed click-and-collect and limited local delivery.</w:t>
      </w:r>
    </w:p>
    <w:tbl>
      <w:tblPr>
        <w:tblW w:type="dxa" w:w="8906"/>
        <w:jc w:val="left"/>
        <w:tblLayout w:type="fixed"/>
        <w:tblLook w:firstColumn="1" w:firstRow="1" w:lastColumn="0" w:lastRow="0" w:noHBand="0" w:noVBand="1" w:val="04A0"/>
        <w:tblInd w:type="dxa" w:w="80"/>
      </w:tblPr>
      <w:tblGrid>
        <w:gridCol w:w="503"/>
        <w:gridCol w:w="1939"/>
        <w:gridCol w:w="3088"/>
        <w:gridCol w:w="1293"/>
        <w:gridCol w:w="2083"/>
      </w:tblGrid>
      <w:tr>
        <w:trPr>
          <w:tblHeader w:val="true"/>
          <w:cantSplit w:val="true"/>
        </w:trPr>
        <w:tc>
          <w:tcPr>
            <w:tcW w:type="dxa" w:w="503"/>
            <w:vAlign w:val="center"/>
            <w:shd w:fill="E7E6E6"/>
            <w:tcMar>
              <w:top w:w="70" w:type="dxa"/>
              <w:bottom w:w="70" w:type="dxa"/>
              <w:start w:w="80" w:type="dxa"/>
              <w:end w:w="80" w:type="dxa"/>
            </w:tcMar>
          </w:tcPr>
          <w:p>
            <w:pPr>
              <w:keepNext w:val="0"/>
              <w:widowControl/>
              <w:spacing w:line="360" w:lineRule="auto" w:before="0" w:after="0"/>
              <w:jc w:val="center"/>
            </w:pPr>
            <w:r>
              <w:rPr>
                <w:rFonts w:ascii="Arial" w:hAnsi="Arial"/>
                <w:sz w:val="24"/>
              </w:rPr>
            </w:r>
            <w:r>
              <w:rPr>
                <w:rFonts w:ascii="Arial" w:hAnsi="Arial"/>
                <w:b/>
                <w:sz w:val="24"/>
              </w:rPr>
              <w:t>#</w:t>
            </w:r>
          </w:p>
        </w:tc>
        <w:tc>
          <w:tcPr>
            <w:tcW w:type="dxa" w:w="1939"/>
            <w:vAlign w:val="center"/>
            <w:shd w:fill="E7E6E6"/>
            <w:tcMar>
              <w:top w:w="70" w:type="dxa"/>
              <w:bottom w:w="70" w:type="dxa"/>
              <w:start w:w="80" w:type="dxa"/>
              <w:end w:w="80" w:type="dxa"/>
            </w:tcMar>
          </w:tcPr>
          <w:p>
            <w:pPr>
              <w:keepNext w:val="0"/>
              <w:widowControl/>
              <w:spacing w:line="360" w:lineRule="auto" w:before="0" w:after="0"/>
              <w:jc w:val="center"/>
            </w:pPr>
            <w:r>
              <w:rPr>
                <w:rFonts w:ascii="Arial" w:hAnsi="Arial"/>
                <w:sz w:val="24"/>
              </w:rPr>
            </w:r>
            <w:r>
              <w:rPr>
                <w:rFonts w:ascii="Arial" w:hAnsi="Arial"/>
                <w:b/>
                <w:sz w:val="24"/>
              </w:rPr>
              <w:t>WHAT</w:t>
            </w:r>
          </w:p>
        </w:tc>
        <w:tc>
          <w:tcPr>
            <w:tcW w:type="dxa" w:w="3088"/>
            <w:vAlign w:val="center"/>
            <w:shd w:fill="E7E6E6"/>
            <w:tcMar>
              <w:top w:w="70" w:type="dxa"/>
              <w:bottom w:w="70" w:type="dxa"/>
              <w:start w:w="80" w:type="dxa"/>
              <w:end w:w="80" w:type="dxa"/>
            </w:tcMar>
          </w:tcPr>
          <w:p>
            <w:pPr>
              <w:keepNext w:val="0"/>
              <w:widowControl/>
              <w:spacing w:line="360" w:lineRule="auto" w:before="0" w:after="0"/>
              <w:jc w:val="center"/>
            </w:pPr>
            <w:r>
              <w:rPr>
                <w:rFonts w:ascii="Arial" w:hAnsi="Arial"/>
                <w:sz w:val="24"/>
              </w:rPr>
            </w:r>
            <w:r>
              <w:rPr>
                <w:rFonts w:ascii="Arial" w:hAnsi="Arial"/>
                <w:b/>
                <w:sz w:val="24"/>
              </w:rPr>
              <w:t>HOW</w:t>
            </w:r>
          </w:p>
        </w:tc>
        <w:tc>
          <w:tcPr>
            <w:tcW w:type="dxa" w:w="1293"/>
            <w:vAlign w:val="center"/>
            <w:shd w:fill="E7E6E6"/>
            <w:tcMar>
              <w:top w:w="70" w:type="dxa"/>
              <w:bottom w:w="70" w:type="dxa"/>
              <w:start w:w="80" w:type="dxa"/>
              <w:end w:w="80" w:type="dxa"/>
            </w:tcMar>
          </w:tcPr>
          <w:p>
            <w:pPr>
              <w:keepNext w:val="0"/>
              <w:widowControl/>
              <w:spacing w:line="360" w:lineRule="auto" w:before="0" w:after="0"/>
              <w:jc w:val="center"/>
            </w:pPr>
            <w:r>
              <w:rPr>
                <w:rFonts w:ascii="Arial" w:hAnsi="Arial"/>
                <w:sz w:val="24"/>
              </w:rPr>
            </w:r>
            <w:r>
              <w:rPr>
                <w:rFonts w:ascii="Arial" w:hAnsi="Arial"/>
                <w:b/>
                <w:sz w:val="24"/>
              </w:rPr>
              <w:t>WHEN</w:t>
            </w:r>
          </w:p>
        </w:tc>
        <w:tc>
          <w:tcPr>
            <w:tcW w:type="dxa" w:w="2083"/>
            <w:vAlign w:val="center"/>
            <w:shd w:fill="E7E6E6"/>
            <w:tcMar>
              <w:top w:w="70" w:type="dxa"/>
              <w:bottom w:w="70" w:type="dxa"/>
              <w:start w:w="80" w:type="dxa"/>
              <w:end w:w="80" w:type="dxa"/>
            </w:tcMar>
          </w:tcPr>
          <w:p>
            <w:pPr>
              <w:keepNext w:val="0"/>
              <w:widowControl/>
              <w:spacing w:line="360" w:lineRule="auto" w:before="0" w:after="0"/>
              <w:jc w:val="center"/>
            </w:pPr>
            <w:r>
              <w:rPr>
                <w:rFonts w:ascii="Arial" w:hAnsi="Arial"/>
                <w:sz w:val="24"/>
              </w:rPr>
            </w:r>
            <w:r>
              <w:rPr>
                <w:rFonts w:ascii="Arial" w:hAnsi="Arial"/>
                <w:b/>
                <w:sz w:val="24"/>
              </w:rPr>
              <w:t>WHO</w:t>
            </w:r>
          </w:p>
        </w:tc>
      </w:tr>
      <w:tr>
        <w:trPr>
          <w:cantSplit w:val="true"/>
        </w:trPr>
        <w:tc>
          <w:tcPr>
            <w:tcW w:type="dxa" w:w="503"/>
            <w:vAlign w:val="center"/>
            <w:tcMar>
              <w:top w:w="70" w:type="dxa"/>
              <w:bottom w:w="70" w:type="dxa"/>
              <w:start w:w="80" w:type="dxa"/>
              <w:end w:w="80" w:type="dxa"/>
            </w:tcMar>
          </w:tcPr>
          <w:p>
            <w:pPr>
              <w:keepNext w:val="0"/>
              <w:widowControl/>
              <w:spacing w:line="360" w:lineRule="auto" w:before="0" w:after="0"/>
              <w:jc w:val="center"/>
            </w:pPr>
            <w:r>
              <w:rPr>
                <w:rFonts w:ascii="Arial" w:hAnsi="Arial"/>
                <w:sz w:val="24"/>
              </w:rPr>
            </w:r>
            <w:r>
              <w:rPr>
                <w:rFonts w:ascii="Arial" w:hAnsi="Arial"/>
                <w:b/>
                <w:sz w:val="24"/>
              </w:rPr>
              <w:t>1</w:t>
            </w:r>
          </w:p>
        </w:tc>
        <w:tc>
          <w:tcPr>
            <w:tcW w:type="dxa" w:w="1939"/>
            <w:vAlign w:val="center"/>
            <w:tcMar>
              <w:top w:w="70" w:type="dxa"/>
              <w:bottom w:w="70" w:type="dxa"/>
              <w:start w:w="80" w:type="dxa"/>
              <w:end w:w="80" w:type="dxa"/>
            </w:tcMar>
          </w:tcPr>
          <w:p>
            <w:pPr>
              <w:keepNext w:val="0"/>
              <w:widowControl/>
              <w:spacing w:line="360" w:lineRule="auto" w:before="0" w:after="0"/>
              <w:jc w:val="left"/>
            </w:pPr>
            <w:r>
              <w:rPr>
                <w:rFonts w:ascii="Arial" w:hAnsi="Arial"/>
                <w:sz w:val="24"/>
              </w:rPr>
            </w:r>
            <w:r>
              <w:rPr>
                <w:rFonts w:ascii="Arial" w:hAnsi="Arial"/>
                <w:b w:val="0"/>
                <w:sz w:val="24"/>
              </w:rPr>
              <w:t>Validate demand and service design</w:t>
            </w:r>
          </w:p>
        </w:tc>
        <w:tc>
          <w:tcPr>
            <w:tcW w:type="dxa" w:w="3088"/>
            <w:vAlign w:val="center"/>
            <w:tcMar>
              <w:top w:w="70" w:type="dxa"/>
              <w:bottom w:w="70" w:type="dxa"/>
              <w:start w:w="80" w:type="dxa"/>
              <w:end w:w="80" w:type="dxa"/>
            </w:tcMar>
          </w:tcPr>
          <w:p>
            <w:pPr>
              <w:keepNext w:val="0"/>
              <w:widowControl/>
              <w:spacing w:line="360" w:lineRule="auto" w:before="0" w:after="0"/>
              <w:jc w:val="left"/>
            </w:pPr>
            <w:r>
              <w:rPr>
                <w:rFonts w:ascii="Arial" w:hAnsi="Arial"/>
                <w:sz w:val="24"/>
              </w:rPr>
            </w:r>
            <w:r>
              <w:rPr>
                <w:rFonts w:ascii="Arial" w:hAnsi="Arial"/>
                <w:b w:val="0"/>
                <w:sz w:val="24"/>
              </w:rPr>
              <w:t>Survey existing and lapsed customers and nearby employers; map the delivery radius; test the product range, cut-off time, minimum order and delivery fee against contribution margin.</w:t>
            </w:r>
          </w:p>
        </w:tc>
        <w:tc>
          <w:tcPr>
            <w:tcW w:type="dxa" w:w="1293"/>
            <w:vAlign w:val="center"/>
            <w:tcMar>
              <w:top w:w="70" w:type="dxa"/>
              <w:bottom w:w="70" w:type="dxa"/>
              <w:start w:w="80" w:type="dxa"/>
              <w:end w:w="80" w:type="dxa"/>
            </w:tcMar>
          </w:tcPr>
          <w:p>
            <w:pPr>
              <w:keepNext w:val="0"/>
              <w:widowControl/>
              <w:spacing w:line="360" w:lineRule="auto" w:before="0" w:after="0"/>
              <w:jc w:val="left"/>
            </w:pPr>
            <w:r>
              <w:rPr>
                <w:rFonts w:ascii="Arial" w:hAnsi="Arial"/>
                <w:sz w:val="24"/>
              </w:rPr>
            </w:r>
            <w:r>
              <w:rPr>
                <w:rFonts w:ascii="Arial" w:hAnsi="Arial"/>
                <w:b w:val="0"/>
                <w:sz w:val="24"/>
              </w:rPr>
              <w:t>24 Aug–6 Sept 2026</w:t>
            </w:r>
          </w:p>
        </w:tc>
        <w:tc>
          <w:tcPr>
            <w:tcW w:type="dxa" w:w="2083"/>
            <w:vAlign w:val="center"/>
            <w:tcMar>
              <w:top w:w="70" w:type="dxa"/>
              <w:bottom w:w="70" w:type="dxa"/>
              <w:start w:w="80" w:type="dxa"/>
              <w:end w:w="80" w:type="dxa"/>
            </w:tcMar>
          </w:tcPr>
          <w:p>
            <w:pPr>
              <w:keepNext w:val="0"/>
              <w:widowControl/>
              <w:spacing w:line="360" w:lineRule="auto" w:before="0" w:after="0"/>
              <w:jc w:val="left"/>
            </w:pPr>
            <w:r>
              <w:rPr>
                <w:rFonts w:ascii="Arial" w:hAnsi="Arial"/>
                <w:sz w:val="24"/>
              </w:rPr>
            </w:r>
            <w:r>
              <w:rPr>
                <w:rFonts w:ascii="Arial" w:hAnsi="Arial"/>
                <w:b w:val="0"/>
                <w:sz w:val="24"/>
              </w:rPr>
              <w:t>Basil</w:t>
            </w:r>
          </w:p>
        </w:tc>
      </w:tr>
      <w:tr>
        <w:trPr>
          <w:cantSplit w:val="true"/>
        </w:trPr>
        <w:tc>
          <w:tcPr>
            <w:tcW w:type="dxa" w:w="503"/>
            <w:vAlign w:val="center"/>
            <w:tcMar>
              <w:top w:w="70" w:type="dxa"/>
              <w:bottom w:w="70" w:type="dxa"/>
              <w:start w:w="80" w:type="dxa"/>
              <w:end w:w="80" w:type="dxa"/>
            </w:tcMar>
          </w:tcPr>
          <w:p>
            <w:pPr>
              <w:keepNext w:val="0"/>
              <w:widowControl/>
              <w:spacing w:line="360" w:lineRule="auto" w:before="0" w:after="0"/>
              <w:jc w:val="center"/>
            </w:pPr>
            <w:r>
              <w:rPr>
                <w:rFonts w:ascii="Arial" w:hAnsi="Arial"/>
                <w:sz w:val="24"/>
              </w:rPr>
            </w:r>
            <w:r>
              <w:rPr>
                <w:rFonts w:ascii="Arial" w:hAnsi="Arial"/>
                <w:b/>
                <w:sz w:val="24"/>
              </w:rPr>
              <w:t>2</w:t>
            </w:r>
          </w:p>
        </w:tc>
        <w:tc>
          <w:tcPr>
            <w:tcW w:type="dxa" w:w="1939"/>
            <w:vAlign w:val="center"/>
            <w:tcMar>
              <w:top w:w="70" w:type="dxa"/>
              <w:bottom w:w="70" w:type="dxa"/>
              <w:start w:w="80" w:type="dxa"/>
              <w:end w:w="80" w:type="dxa"/>
            </w:tcMar>
          </w:tcPr>
          <w:p>
            <w:pPr>
              <w:keepNext w:val="0"/>
              <w:widowControl/>
              <w:spacing w:line="360" w:lineRule="auto" w:before="0" w:after="0"/>
              <w:jc w:val="left"/>
            </w:pPr>
            <w:r>
              <w:rPr>
                <w:rFonts w:ascii="Arial" w:hAnsi="Arial"/>
                <w:sz w:val="24"/>
              </w:rPr>
            </w:r>
            <w:r>
              <w:rPr>
                <w:rFonts w:ascii="Arial" w:hAnsi="Arial"/>
                <w:b w:val="0"/>
                <w:sz w:val="24"/>
              </w:rPr>
              <w:t>Build the ordering and fulfilment capability</w:t>
            </w:r>
          </w:p>
        </w:tc>
        <w:tc>
          <w:tcPr>
            <w:tcW w:type="dxa" w:w="3088"/>
            <w:vAlign w:val="center"/>
            <w:tcMar>
              <w:top w:w="70" w:type="dxa"/>
              <w:bottom w:w="70" w:type="dxa"/>
              <w:start w:w="80" w:type="dxa"/>
              <w:end w:w="80" w:type="dxa"/>
            </w:tcMar>
          </w:tcPr>
          <w:p>
            <w:pPr>
              <w:keepNext w:val="0"/>
              <w:widowControl/>
              <w:spacing w:line="360" w:lineRule="auto" w:before="0" w:after="0"/>
              <w:jc w:val="left"/>
            </w:pPr>
            <w:r>
              <w:rPr>
                <w:rFonts w:ascii="Arial" w:hAnsi="Arial"/>
                <w:sz w:val="24"/>
              </w:rPr>
            </w:r>
            <w:r>
              <w:rPr>
                <w:rFonts w:ascii="Arial" w:hAnsi="Arial"/>
                <w:b w:val="0"/>
                <w:sz w:val="24"/>
              </w:rPr>
              <w:t>Configure an off-the-shelf store and card payment; test confirmations; select protective packaging; recruit and train a part-time order assistant and driver; document the hand-off process.</w:t>
            </w:r>
          </w:p>
        </w:tc>
        <w:tc>
          <w:tcPr>
            <w:tcW w:type="dxa" w:w="1293"/>
            <w:vAlign w:val="center"/>
            <w:tcMar>
              <w:top w:w="70" w:type="dxa"/>
              <w:bottom w:w="70" w:type="dxa"/>
              <w:start w:w="80" w:type="dxa"/>
              <w:end w:w="80" w:type="dxa"/>
            </w:tcMar>
          </w:tcPr>
          <w:p>
            <w:pPr>
              <w:keepNext w:val="0"/>
              <w:widowControl/>
              <w:spacing w:line="360" w:lineRule="auto" w:before="0" w:after="0"/>
              <w:jc w:val="left"/>
            </w:pPr>
            <w:r>
              <w:rPr>
                <w:rFonts w:ascii="Arial" w:hAnsi="Arial"/>
                <w:sz w:val="24"/>
              </w:rPr>
            </w:r>
            <w:r>
              <w:rPr>
                <w:rFonts w:ascii="Arial" w:hAnsi="Arial"/>
                <w:b w:val="0"/>
                <w:sz w:val="24"/>
              </w:rPr>
              <w:t>7–20 Sept 2026</w:t>
            </w:r>
          </w:p>
        </w:tc>
        <w:tc>
          <w:tcPr>
            <w:tcW w:type="dxa" w:w="2083"/>
            <w:vAlign w:val="center"/>
            <w:tcMar>
              <w:top w:w="70" w:type="dxa"/>
              <w:bottom w:w="70" w:type="dxa"/>
              <w:start w:w="80" w:type="dxa"/>
              <w:end w:w="80" w:type="dxa"/>
            </w:tcMar>
          </w:tcPr>
          <w:p>
            <w:pPr>
              <w:keepNext w:val="0"/>
              <w:widowControl/>
              <w:spacing w:line="360" w:lineRule="auto" w:before="0" w:after="0"/>
              <w:jc w:val="left"/>
            </w:pPr>
            <w:r>
              <w:rPr>
                <w:rFonts w:ascii="Arial" w:hAnsi="Arial"/>
                <w:sz w:val="24"/>
              </w:rPr>
            </w:r>
            <w:r>
              <w:rPr>
                <w:rFonts w:ascii="Arial" w:hAnsi="Arial"/>
                <w:b w:val="0"/>
                <w:sz w:val="24"/>
              </w:rPr>
              <w:t>Basil and platform provider; Basil recruits the assistant and driver</w:t>
            </w:r>
          </w:p>
        </w:tc>
      </w:tr>
      <w:tr>
        <w:trPr>
          <w:cantSplit w:val="true"/>
        </w:trPr>
        <w:tc>
          <w:tcPr>
            <w:tcW w:type="dxa" w:w="503"/>
            <w:vAlign w:val="center"/>
            <w:tcMar>
              <w:top w:w="70" w:type="dxa"/>
              <w:bottom w:w="70" w:type="dxa"/>
              <w:start w:w="80" w:type="dxa"/>
              <w:end w:w="80" w:type="dxa"/>
            </w:tcMar>
          </w:tcPr>
          <w:p>
            <w:pPr>
              <w:keepNext w:val="0"/>
              <w:widowControl/>
              <w:spacing w:line="360" w:lineRule="auto" w:before="0" w:after="0"/>
              <w:jc w:val="center"/>
            </w:pPr>
            <w:r>
              <w:rPr>
                <w:rFonts w:ascii="Arial" w:hAnsi="Arial"/>
                <w:sz w:val="24"/>
              </w:rPr>
            </w:r>
            <w:r>
              <w:rPr>
                <w:rFonts w:ascii="Arial" w:hAnsi="Arial"/>
                <w:b/>
                <w:sz w:val="24"/>
              </w:rPr>
              <w:t>3</w:t>
            </w:r>
          </w:p>
        </w:tc>
        <w:tc>
          <w:tcPr>
            <w:tcW w:type="dxa" w:w="1939"/>
            <w:vAlign w:val="center"/>
            <w:tcMar>
              <w:top w:w="70" w:type="dxa"/>
              <w:bottom w:w="70" w:type="dxa"/>
              <w:start w:w="80" w:type="dxa"/>
              <w:end w:w="80" w:type="dxa"/>
            </w:tcMar>
          </w:tcPr>
          <w:p>
            <w:pPr>
              <w:keepNext w:val="0"/>
              <w:widowControl/>
              <w:spacing w:line="360" w:lineRule="auto" w:before="0" w:after="0"/>
              <w:jc w:val="left"/>
            </w:pPr>
            <w:r>
              <w:rPr>
                <w:rFonts w:ascii="Arial" w:hAnsi="Arial"/>
                <w:sz w:val="24"/>
              </w:rPr>
            </w:r>
            <w:r>
              <w:rPr>
                <w:rFonts w:ascii="Arial" w:hAnsi="Arial"/>
                <w:b w:val="0"/>
                <w:sz w:val="24"/>
              </w:rPr>
              <w:t>Run a controlled pilot</w:t>
            </w:r>
          </w:p>
        </w:tc>
        <w:tc>
          <w:tcPr>
            <w:tcW w:type="dxa" w:w="3088"/>
            <w:vAlign w:val="center"/>
            <w:tcMar>
              <w:top w:w="70" w:type="dxa"/>
              <w:bottom w:w="70" w:type="dxa"/>
              <w:start w:w="80" w:type="dxa"/>
              <w:end w:w="80" w:type="dxa"/>
            </w:tcMar>
          </w:tcPr>
          <w:p>
            <w:pPr>
              <w:keepNext w:val="0"/>
              <w:widowControl/>
              <w:spacing w:line="360" w:lineRule="auto" w:before="0" w:after="0"/>
              <w:jc w:val="left"/>
            </w:pPr>
            <w:r>
              <w:rPr>
                <w:rFonts w:ascii="Arial" w:hAnsi="Arial"/>
                <w:sz w:val="24"/>
              </w:rPr>
            </w:r>
            <w:r>
              <w:rPr>
                <w:rFonts w:ascii="Arial" w:hAnsi="Arial"/>
                <w:b w:val="0"/>
                <w:sz w:val="24"/>
              </w:rPr>
              <w:t>Offer daily click-and-collect and delivery on two fixed days each week. Record channel revenue, order numbers, waste, on-time delivery and complaints; hold a short review each week.</w:t>
            </w:r>
          </w:p>
        </w:tc>
        <w:tc>
          <w:tcPr>
            <w:tcW w:type="dxa" w:w="1293"/>
            <w:vAlign w:val="center"/>
            <w:tcMar>
              <w:top w:w="70" w:type="dxa"/>
              <w:bottom w:w="70" w:type="dxa"/>
              <w:start w:w="80" w:type="dxa"/>
              <w:end w:w="80" w:type="dxa"/>
            </w:tcMar>
          </w:tcPr>
          <w:p>
            <w:pPr>
              <w:keepNext w:val="0"/>
              <w:widowControl/>
              <w:spacing w:line="360" w:lineRule="auto" w:before="0" w:after="0"/>
              <w:jc w:val="left"/>
            </w:pPr>
            <w:r>
              <w:rPr>
                <w:rFonts w:ascii="Arial" w:hAnsi="Arial"/>
                <w:sz w:val="24"/>
              </w:rPr>
            </w:r>
            <w:r>
              <w:rPr>
                <w:rFonts w:ascii="Arial" w:hAnsi="Arial"/>
                <w:b w:val="0"/>
                <w:sz w:val="24"/>
              </w:rPr>
              <w:t>21 Sept–18 Oct 2026</w:t>
            </w:r>
          </w:p>
        </w:tc>
        <w:tc>
          <w:tcPr>
            <w:tcW w:type="dxa" w:w="2083"/>
            <w:vAlign w:val="center"/>
            <w:tcMar>
              <w:top w:w="70" w:type="dxa"/>
              <w:bottom w:w="70" w:type="dxa"/>
              <w:start w:w="80" w:type="dxa"/>
              <w:end w:w="80" w:type="dxa"/>
            </w:tcMar>
          </w:tcPr>
          <w:p>
            <w:pPr>
              <w:keepNext w:val="0"/>
              <w:widowControl/>
              <w:spacing w:line="360" w:lineRule="auto" w:before="0" w:after="0"/>
              <w:jc w:val="left"/>
            </w:pPr>
            <w:r>
              <w:rPr>
                <w:rFonts w:ascii="Arial" w:hAnsi="Arial"/>
                <w:sz w:val="24"/>
              </w:rPr>
            </w:r>
            <w:r>
              <w:rPr>
                <w:rFonts w:ascii="Arial" w:hAnsi="Arial"/>
                <w:b w:val="0"/>
                <w:sz w:val="24"/>
              </w:rPr>
              <w:t>Basil (production), assistant (orders), driver (delivery)</w:t>
            </w:r>
          </w:p>
        </w:tc>
      </w:tr>
    </w:tbl>
    <w:p>
      <w:pPr>
        <w:spacing w:after="0"/>
      </w:pPr>
      <w:r>
        <w:br w:type="page"/>
      </w:r>
    </w:p>
    <w:p>
      <w:pPr>
        <w:keepNext/>
        <w:widowControl/>
        <w:spacing w:line="360" w:lineRule="auto" w:before="0" w:after="40"/>
        <w:jc w:val="center"/>
      </w:pPr>
      <w:r>
        <w:rPr>
          <w:rFonts w:ascii="Arial" w:hAnsi="Arial"/>
          <w:b/>
          <w:i w:val="0"/>
          <w:sz w:val="28"/>
          <w:u w:val="single"/>
        </w:rPr>
        <w:t>Appendix 2 - Task 4a (continued)</w:t>
      </w:r>
    </w:p>
    <w:p>
      <w:pPr>
        <w:keepNext/>
        <w:widowControl/>
        <w:spacing w:line="360" w:lineRule="auto" w:before="40" w:after="80"/>
        <w:jc w:val="center"/>
      </w:pPr>
      <w:r>
        <w:rPr>
          <w:rFonts w:ascii="Arial" w:hAnsi="Arial"/>
          <w:b/>
          <w:i w:val="0"/>
          <w:sz w:val="26"/>
          <w:u w:val="single"/>
        </w:rPr>
        <w:t>Implementation Plan (continued)</w:t>
      </w:r>
    </w:p>
    <w:tbl>
      <w:tblPr>
        <w:tblW w:type="dxa" w:w="8906"/>
        <w:jc w:val="left"/>
        <w:tblLayout w:type="fixed"/>
        <w:tblLook w:firstColumn="1" w:firstRow="1" w:lastColumn="0" w:lastRow="0" w:noHBand="0" w:noVBand="1" w:val="04A0"/>
        <w:tblInd w:type="dxa" w:w="80"/>
      </w:tblPr>
      <w:tblGrid>
        <w:gridCol w:w="503"/>
        <w:gridCol w:w="1939"/>
        <w:gridCol w:w="3088"/>
        <w:gridCol w:w="1293"/>
        <w:gridCol w:w="2083"/>
      </w:tblGrid>
      <w:tr>
        <w:trPr>
          <w:tblHeader w:val="true"/>
          <w:cantSplit w:val="true"/>
        </w:trPr>
        <w:tc>
          <w:tcPr>
            <w:tcW w:type="dxa" w:w="503"/>
            <w:vAlign w:val="center"/>
            <w:shd w:fill="E7E6E6"/>
            <w:tcMar>
              <w:top w:w="70" w:type="dxa"/>
              <w:bottom w:w="70" w:type="dxa"/>
              <w:start w:w="80" w:type="dxa"/>
              <w:end w:w="80" w:type="dxa"/>
            </w:tcMar>
          </w:tcPr>
          <w:p>
            <w:pPr>
              <w:keepNext w:val="0"/>
              <w:widowControl/>
              <w:spacing w:line="360" w:lineRule="auto" w:before="0" w:after="0"/>
              <w:jc w:val="center"/>
            </w:pPr>
            <w:r>
              <w:rPr>
                <w:rFonts w:ascii="Arial" w:hAnsi="Arial"/>
                <w:sz w:val="24"/>
              </w:rPr>
            </w:r>
            <w:r>
              <w:rPr>
                <w:rFonts w:ascii="Arial" w:hAnsi="Arial"/>
                <w:b/>
                <w:sz w:val="24"/>
              </w:rPr>
              <w:t>#</w:t>
            </w:r>
          </w:p>
        </w:tc>
        <w:tc>
          <w:tcPr>
            <w:tcW w:type="dxa" w:w="1939"/>
            <w:vAlign w:val="center"/>
            <w:shd w:fill="E7E6E6"/>
            <w:tcMar>
              <w:top w:w="70" w:type="dxa"/>
              <w:bottom w:w="70" w:type="dxa"/>
              <w:start w:w="80" w:type="dxa"/>
              <w:end w:w="80" w:type="dxa"/>
            </w:tcMar>
          </w:tcPr>
          <w:p>
            <w:pPr>
              <w:keepNext w:val="0"/>
              <w:widowControl/>
              <w:spacing w:line="360" w:lineRule="auto" w:before="0" w:after="0"/>
              <w:jc w:val="center"/>
            </w:pPr>
            <w:r>
              <w:rPr>
                <w:rFonts w:ascii="Arial" w:hAnsi="Arial"/>
                <w:sz w:val="24"/>
              </w:rPr>
            </w:r>
            <w:r>
              <w:rPr>
                <w:rFonts w:ascii="Arial" w:hAnsi="Arial"/>
                <w:b/>
                <w:sz w:val="24"/>
              </w:rPr>
              <w:t>WHAT</w:t>
            </w:r>
          </w:p>
        </w:tc>
        <w:tc>
          <w:tcPr>
            <w:tcW w:type="dxa" w:w="3088"/>
            <w:vAlign w:val="center"/>
            <w:shd w:fill="E7E6E6"/>
            <w:tcMar>
              <w:top w:w="70" w:type="dxa"/>
              <w:bottom w:w="70" w:type="dxa"/>
              <w:start w:w="80" w:type="dxa"/>
              <w:end w:w="80" w:type="dxa"/>
            </w:tcMar>
          </w:tcPr>
          <w:p>
            <w:pPr>
              <w:keepNext w:val="0"/>
              <w:widowControl/>
              <w:spacing w:line="360" w:lineRule="auto" w:before="0" w:after="0"/>
              <w:jc w:val="center"/>
            </w:pPr>
            <w:r>
              <w:rPr>
                <w:rFonts w:ascii="Arial" w:hAnsi="Arial"/>
                <w:sz w:val="24"/>
              </w:rPr>
            </w:r>
            <w:r>
              <w:rPr>
                <w:rFonts w:ascii="Arial" w:hAnsi="Arial"/>
                <w:b/>
                <w:sz w:val="24"/>
              </w:rPr>
              <w:t>HOW</w:t>
            </w:r>
          </w:p>
        </w:tc>
        <w:tc>
          <w:tcPr>
            <w:tcW w:type="dxa" w:w="1293"/>
            <w:vAlign w:val="center"/>
            <w:shd w:fill="E7E6E6"/>
            <w:tcMar>
              <w:top w:w="70" w:type="dxa"/>
              <w:bottom w:w="70" w:type="dxa"/>
              <w:start w:w="80" w:type="dxa"/>
              <w:end w:w="80" w:type="dxa"/>
            </w:tcMar>
          </w:tcPr>
          <w:p>
            <w:pPr>
              <w:keepNext w:val="0"/>
              <w:widowControl/>
              <w:spacing w:line="360" w:lineRule="auto" w:before="0" w:after="0"/>
              <w:jc w:val="center"/>
            </w:pPr>
            <w:r>
              <w:rPr>
                <w:rFonts w:ascii="Arial" w:hAnsi="Arial"/>
                <w:sz w:val="24"/>
              </w:rPr>
            </w:r>
            <w:r>
              <w:rPr>
                <w:rFonts w:ascii="Arial" w:hAnsi="Arial"/>
                <w:b/>
                <w:sz w:val="24"/>
              </w:rPr>
              <w:t>WHEN</w:t>
            </w:r>
          </w:p>
        </w:tc>
        <w:tc>
          <w:tcPr>
            <w:tcW w:type="dxa" w:w="2083"/>
            <w:vAlign w:val="center"/>
            <w:shd w:fill="E7E6E6"/>
            <w:tcMar>
              <w:top w:w="70" w:type="dxa"/>
              <w:bottom w:w="70" w:type="dxa"/>
              <w:start w:w="80" w:type="dxa"/>
              <w:end w:w="80" w:type="dxa"/>
            </w:tcMar>
          </w:tcPr>
          <w:p>
            <w:pPr>
              <w:keepNext w:val="0"/>
              <w:widowControl/>
              <w:spacing w:line="360" w:lineRule="auto" w:before="0" w:after="0"/>
              <w:jc w:val="center"/>
            </w:pPr>
            <w:r>
              <w:rPr>
                <w:rFonts w:ascii="Arial" w:hAnsi="Arial"/>
                <w:sz w:val="24"/>
              </w:rPr>
            </w:r>
            <w:r>
              <w:rPr>
                <w:rFonts w:ascii="Arial" w:hAnsi="Arial"/>
                <w:b/>
                <w:sz w:val="24"/>
              </w:rPr>
              <w:t>WHO</w:t>
            </w:r>
          </w:p>
        </w:tc>
      </w:tr>
      <w:tr>
        <w:trPr>
          <w:cantSplit w:val="true"/>
        </w:trPr>
        <w:tc>
          <w:tcPr>
            <w:tcW w:type="dxa" w:w="503"/>
            <w:vAlign w:val="center"/>
            <w:tcMar>
              <w:top w:w="70" w:type="dxa"/>
              <w:bottom w:w="70" w:type="dxa"/>
              <w:start w:w="80" w:type="dxa"/>
              <w:end w:w="80" w:type="dxa"/>
            </w:tcMar>
          </w:tcPr>
          <w:p>
            <w:pPr>
              <w:keepNext w:val="0"/>
              <w:widowControl/>
              <w:spacing w:line="360" w:lineRule="auto" w:before="0" w:after="0"/>
              <w:jc w:val="center"/>
            </w:pPr>
            <w:r>
              <w:rPr>
                <w:rFonts w:ascii="Arial" w:hAnsi="Arial"/>
                <w:sz w:val="24"/>
              </w:rPr>
            </w:r>
            <w:r>
              <w:rPr>
                <w:rFonts w:ascii="Arial" w:hAnsi="Arial"/>
                <w:b/>
                <w:sz w:val="24"/>
              </w:rPr>
              <w:t>4</w:t>
            </w:r>
          </w:p>
        </w:tc>
        <w:tc>
          <w:tcPr>
            <w:tcW w:type="dxa" w:w="1939"/>
            <w:vAlign w:val="center"/>
            <w:tcMar>
              <w:top w:w="70" w:type="dxa"/>
              <w:bottom w:w="70" w:type="dxa"/>
              <w:start w:w="80" w:type="dxa"/>
              <w:end w:w="80" w:type="dxa"/>
            </w:tcMar>
          </w:tcPr>
          <w:p>
            <w:pPr>
              <w:keepNext w:val="0"/>
              <w:widowControl/>
              <w:spacing w:line="360" w:lineRule="auto" w:before="0" w:after="0"/>
              <w:jc w:val="left"/>
            </w:pPr>
            <w:r>
              <w:rPr>
                <w:rFonts w:ascii="Arial" w:hAnsi="Arial"/>
                <w:sz w:val="24"/>
              </w:rPr>
            </w:r>
            <w:r>
              <w:rPr>
                <w:rFonts w:ascii="Arial" w:hAnsi="Arial"/>
                <w:b w:val="0"/>
                <w:sz w:val="24"/>
              </w:rPr>
              <w:t>Evaluate, improve and scale</w:t>
            </w:r>
          </w:p>
        </w:tc>
        <w:tc>
          <w:tcPr>
            <w:tcW w:type="dxa" w:w="3088"/>
            <w:vAlign w:val="center"/>
            <w:tcMar>
              <w:top w:w="70" w:type="dxa"/>
              <w:bottom w:w="70" w:type="dxa"/>
              <w:start w:w="80" w:type="dxa"/>
              <w:end w:w="80" w:type="dxa"/>
            </w:tcMar>
          </w:tcPr>
          <w:p>
            <w:pPr>
              <w:keepNext w:val="0"/>
              <w:widowControl/>
              <w:spacing w:line="360" w:lineRule="auto" w:before="0" w:after="0"/>
              <w:jc w:val="left"/>
            </w:pPr>
            <w:r>
              <w:rPr>
                <w:rFonts w:ascii="Arial" w:hAnsi="Arial"/>
                <w:sz w:val="24"/>
              </w:rPr>
            </w:r>
            <w:r>
              <w:rPr>
                <w:rFonts w:ascii="Arial" w:hAnsi="Arial"/>
                <w:b w:val="0"/>
                <w:sz w:val="24"/>
              </w:rPr>
              <w:t>Compare results with the baseline and KPI; adjust the range, radius, fee and cut-off; scale delivery only if contribution and service quality are acceptable; promote to the industrial site and home workers.</w:t>
            </w:r>
          </w:p>
        </w:tc>
        <w:tc>
          <w:tcPr>
            <w:tcW w:type="dxa" w:w="1293"/>
            <w:vAlign w:val="center"/>
            <w:tcMar>
              <w:top w:w="70" w:type="dxa"/>
              <w:bottom w:w="70" w:type="dxa"/>
              <w:start w:w="80" w:type="dxa"/>
              <w:end w:w="80" w:type="dxa"/>
            </w:tcMar>
          </w:tcPr>
          <w:p>
            <w:pPr>
              <w:keepNext w:val="0"/>
              <w:widowControl/>
              <w:spacing w:line="360" w:lineRule="auto" w:before="0" w:after="0"/>
              <w:jc w:val="left"/>
            </w:pPr>
            <w:r>
              <w:rPr>
                <w:rFonts w:ascii="Arial" w:hAnsi="Arial"/>
                <w:sz w:val="24"/>
              </w:rPr>
            </w:r>
            <w:r>
              <w:rPr>
                <w:rFonts w:ascii="Arial" w:hAnsi="Arial"/>
                <w:b w:val="0"/>
                <w:sz w:val="24"/>
              </w:rPr>
              <w:t>19 Oct–15 Nov 2026; monthly from 30 Nov 2026</w:t>
            </w:r>
          </w:p>
        </w:tc>
        <w:tc>
          <w:tcPr>
            <w:tcW w:type="dxa" w:w="2083"/>
            <w:vAlign w:val="center"/>
            <w:tcMar>
              <w:top w:w="70" w:type="dxa"/>
              <w:bottom w:w="70" w:type="dxa"/>
              <w:start w:w="80" w:type="dxa"/>
              <w:end w:w="80" w:type="dxa"/>
            </w:tcMar>
          </w:tcPr>
          <w:p>
            <w:pPr>
              <w:keepNext w:val="0"/>
              <w:widowControl/>
              <w:spacing w:line="360" w:lineRule="auto" w:before="0" w:after="0"/>
              <w:jc w:val="left"/>
            </w:pPr>
            <w:r>
              <w:rPr>
                <w:rFonts w:ascii="Arial" w:hAnsi="Arial"/>
                <w:sz w:val="24"/>
              </w:rPr>
            </w:r>
            <w:r>
              <w:rPr>
                <w:rFonts w:ascii="Arial" w:hAnsi="Arial"/>
                <w:b w:val="0"/>
                <w:sz w:val="24"/>
              </w:rPr>
              <w:t>Basil with the assistant and driver</w:t>
            </w:r>
          </w:p>
        </w:tc>
      </w:tr>
    </w:tbl>
    <w:p>
      <w:pPr>
        <w:keepNext w:val="0"/>
        <w:widowControl/>
        <w:spacing w:line="360" w:lineRule="auto" w:before="60" w:after="0"/>
        <w:jc w:val="left"/>
      </w:pPr>
      <w:r>
        <w:rPr>
          <w:rFonts w:ascii="Arial" w:hAnsi="Arial"/>
          <w:b w:val="0"/>
          <w:i w:val="0"/>
          <w:sz w:val="24"/>
          <w:u w:val="none"/>
        </w:rPr>
        <w:t>Format adapted from Kerzner (2022) and the module action-planning framework: what, how, when and who.</w:t>
      </w:r>
    </w:p>
    <w:p>
      <w:pPr>
        <w:spacing w:after="0"/>
      </w:pPr>
      <w:r>
        <w:br w:type="page"/>
      </w:r>
    </w:p>
    <w:p>
      <w:pPr>
        <w:keepNext/>
        <w:widowControl/>
        <w:spacing w:line="360" w:lineRule="auto" w:before="0" w:after="40"/>
        <w:jc w:val="center"/>
      </w:pPr>
      <w:r>
        <w:rPr>
          <w:rFonts w:ascii="Arial" w:hAnsi="Arial"/>
          <w:b/>
          <w:i w:val="0"/>
          <w:sz w:val="28"/>
          <w:u w:val="single"/>
        </w:rPr>
        <w:t>Appendix 3 - Task 5a</w:t>
      </w:r>
    </w:p>
    <w:p>
      <w:pPr>
        <w:keepNext/>
        <w:widowControl/>
        <w:spacing w:line="360" w:lineRule="auto" w:before="40" w:after="80"/>
        <w:jc w:val="center"/>
      </w:pPr>
      <w:r>
        <w:rPr>
          <w:rFonts w:ascii="Arial" w:hAnsi="Arial"/>
          <w:b/>
          <w:i w:val="0"/>
          <w:sz w:val="26"/>
          <w:u w:val="single"/>
        </w:rPr>
        <w:t>KPI and SMART Objectives</w:t>
      </w:r>
    </w:p>
    <w:p>
      <w:pPr>
        <w:keepNext w:val="0"/>
        <w:widowControl/>
        <w:spacing w:line="360" w:lineRule="auto" w:before="0" w:after="80"/>
        <w:jc w:val="left"/>
      </w:pPr>
      <w:r>
        <w:rPr>
          <w:rFonts w:ascii="Arial" w:hAnsi="Arial"/>
          <w:b/>
          <w:i w:val="0"/>
          <w:sz w:val="24"/>
          <w:u w:val="none"/>
        </w:rPr>
        <w:t>Key Performance Indicator: weekly non-footfall sales share = revenue from online pre-orders, click-and-collect and delivery divided by total weekly revenue × 100.</w:t>
      </w:r>
    </w:p>
    <w:tbl>
      <w:tblPr>
        <w:tblW w:type="dxa" w:w="8906"/>
        <w:jc w:val="left"/>
        <w:tblLayout w:type="fixed"/>
        <w:tblLook w:firstColumn="1" w:firstRow="1" w:lastColumn="0" w:lastRow="0" w:noHBand="0" w:noVBand="1" w:val="04A0"/>
        <w:tblInd w:type="dxa" w:w="80"/>
      </w:tblPr>
      <w:tblGrid>
        <w:gridCol w:w="1781"/>
        <w:gridCol w:w="1781"/>
        <w:gridCol w:w="1781"/>
        <w:gridCol w:w="1781"/>
        <w:gridCol w:w="1782"/>
      </w:tblGrid>
      <w:tr>
        <w:trPr>
          <w:tblHeader w:val="true"/>
        </w:trPr>
        <w:tc>
          <w:tcPr>
            <w:tcW w:type="dxa" w:w="1781"/>
            <w:vAlign w:val="center"/>
            <w:shd w:fill="E7E6E6"/>
            <w:tcMar>
              <w:top w:w="90" w:type="dxa"/>
              <w:bottom w:w="90" w:type="dxa"/>
              <w:start w:w="80" w:type="dxa"/>
              <w:end w:w="80" w:type="dxa"/>
            </w:tcMar>
          </w:tcPr>
          <w:p>
            <w:pPr>
              <w:keepNext w:val="0"/>
              <w:widowControl/>
              <w:spacing w:line="360" w:lineRule="auto" w:before="0" w:after="0"/>
              <w:jc w:val="center"/>
            </w:pPr>
            <w:r>
              <w:rPr>
                <w:rFonts w:ascii="Arial" w:hAnsi="Arial"/>
                <w:sz w:val="24"/>
              </w:rPr>
            </w:r>
            <w:r>
              <w:rPr>
                <w:rFonts w:ascii="Arial" w:hAnsi="Arial"/>
                <w:b/>
                <w:sz w:val="24"/>
              </w:rPr>
              <w:t>Specific</w:t>
            </w:r>
          </w:p>
        </w:tc>
        <w:tc>
          <w:tcPr>
            <w:tcW w:type="dxa" w:w="1781"/>
            <w:vAlign w:val="center"/>
            <w:shd w:fill="E7E6E6"/>
            <w:tcMar>
              <w:top w:w="90" w:type="dxa"/>
              <w:bottom w:w="90" w:type="dxa"/>
              <w:start w:w="80" w:type="dxa"/>
              <w:end w:w="80" w:type="dxa"/>
            </w:tcMar>
          </w:tcPr>
          <w:p>
            <w:pPr>
              <w:keepNext w:val="0"/>
              <w:widowControl/>
              <w:spacing w:line="360" w:lineRule="auto" w:before="0" w:after="0"/>
              <w:jc w:val="center"/>
            </w:pPr>
            <w:r>
              <w:rPr>
                <w:rFonts w:ascii="Arial" w:hAnsi="Arial"/>
                <w:sz w:val="24"/>
              </w:rPr>
            </w:r>
            <w:r>
              <w:rPr>
                <w:rFonts w:ascii="Arial" w:hAnsi="Arial"/>
                <w:b/>
                <w:sz w:val="24"/>
              </w:rPr>
              <w:t>Measurable</w:t>
            </w:r>
          </w:p>
        </w:tc>
        <w:tc>
          <w:tcPr>
            <w:tcW w:type="dxa" w:w="1781"/>
            <w:vAlign w:val="center"/>
            <w:shd w:fill="E7E6E6"/>
            <w:tcMar>
              <w:top w:w="90" w:type="dxa"/>
              <w:bottom w:w="90" w:type="dxa"/>
              <w:start w:w="80" w:type="dxa"/>
              <w:end w:w="80" w:type="dxa"/>
            </w:tcMar>
          </w:tcPr>
          <w:p>
            <w:pPr>
              <w:keepNext w:val="0"/>
              <w:widowControl/>
              <w:spacing w:line="360" w:lineRule="auto" w:before="0" w:after="0"/>
              <w:jc w:val="center"/>
            </w:pPr>
            <w:r>
              <w:rPr>
                <w:rFonts w:ascii="Arial" w:hAnsi="Arial"/>
                <w:sz w:val="24"/>
              </w:rPr>
            </w:r>
            <w:r>
              <w:rPr>
                <w:rFonts w:ascii="Arial" w:hAnsi="Arial"/>
                <w:b/>
                <w:sz w:val="24"/>
              </w:rPr>
              <w:t>Attainable</w:t>
            </w:r>
          </w:p>
        </w:tc>
        <w:tc>
          <w:tcPr>
            <w:tcW w:type="dxa" w:w="1781"/>
            <w:vAlign w:val="center"/>
            <w:shd w:fill="E7E6E6"/>
            <w:tcMar>
              <w:top w:w="90" w:type="dxa"/>
              <w:bottom w:w="90" w:type="dxa"/>
              <w:start w:w="80" w:type="dxa"/>
              <w:end w:w="80" w:type="dxa"/>
            </w:tcMar>
          </w:tcPr>
          <w:p>
            <w:pPr>
              <w:keepNext w:val="0"/>
              <w:widowControl/>
              <w:spacing w:line="360" w:lineRule="auto" w:before="0" w:after="0"/>
              <w:jc w:val="center"/>
            </w:pPr>
            <w:r>
              <w:rPr>
                <w:rFonts w:ascii="Arial" w:hAnsi="Arial"/>
                <w:sz w:val="24"/>
              </w:rPr>
            </w:r>
            <w:r>
              <w:rPr>
                <w:rFonts w:ascii="Arial" w:hAnsi="Arial"/>
                <w:b/>
                <w:sz w:val="24"/>
              </w:rPr>
              <w:t>Relevant</w:t>
            </w:r>
          </w:p>
        </w:tc>
        <w:tc>
          <w:tcPr>
            <w:tcW w:type="dxa" w:w="1782"/>
            <w:vAlign w:val="center"/>
            <w:shd w:fill="E7E6E6"/>
            <w:tcMar>
              <w:top w:w="90" w:type="dxa"/>
              <w:bottom w:w="90" w:type="dxa"/>
              <w:start w:w="80" w:type="dxa"/>
              <w:end w:w="80" w:type="dxa"/>
            </w:tcMar>
          </w:tcPr>
          <w:p>
            <w:pPr>
              <w:keepNext w:val="0"/>
              <w:widowControl/>
              <w:spacing w:line="360" w:lineRule="auto" w:before="0" w:after="0"/>
              <w:jc w:val="center"/>
            </w:pPr>
            <w:r>
              <w:rPr>
                <w:rFonts w:ascii="Arial" w:hAnsi="Arial"/>
                <w:sz w:val="24"/>
              </w:rPr>
            </w:r>
            <w:r>
              <w:rPr>
                <w:rFonts w:ascii="Arial" w:hAnsi="Arial"/>
                <w:b/>
                <w:sz w:val="24"/>
              </w:rPr>
              <w:t>Time-Bound</w:t>
            </w:r>
          </w:p>
        </w:tc>
      </w:tr>
      <w:tr>
        <w:trPr/>
        <w:tc>
          <w:tcPr>
            <w:tcW w:type="dxa" w:w="1781"/>
            <w:vAlign w:val="center"/>
            <w:tcMar>
              <w:top w:w="90" w:type="dxa"/>
              <w:bottom w:w="90" w:type="dxa"/>
              <w:start w:w="80" w:type="dxa"/>
              <w:end w:w="80" w:type="dxa"/>
            </w:tcMar>
          </w:tcPr>
          <w:p>
            <w:pPr>
              <w:keepNext w:val="0"/>
              <w:widowControl/>
              <w:spacing w:line="360" w:lineRule="auto" w:before="0" w:after="0"/>
              <w:jc w:val="left"/>
            </w:pPr>
            <w:r>
              <w:rPr>
                <w:rFonts w:ascii="Arial" w:hAnsi="Arial"/>
                <w:sz w:val="24"/>
              </w:rPr>
            </w:r>
            <w:r>
              <w:rPr>
                <w:rFonts w:ascii="Arial" w:hAnsi="Arial"/>
                <w:b w:val="0"/>
                <w:sz w:val="24"/>
              </w:rPr>
              <w:t>Launch online pre-order and payment, timed click-and-collect and a local delivery round for the retail park, adjacent industrial site and nearby postcodes. An assistant handles orders so Basil can continue baking.</w:t>
            </w:r>
          </w:p>
        </w:tc>
        <w:tc>
          <w:tcPr>
            <w:tcW w:type="dxa" w:w="1781"/>
            <w:vAlign w:val="center"/>
            <w:tcMar>
              <w:top w:w="90" w:type="dxa"/>
              <w:bottom w:w="90" w:type="dxa"/>
              <w:start w:w="80" w:type="dxa"/>
              <w:end w:w="80" w:type="dxa"/>
            </w:tcMar>
          </w:tcPr>
          <w:p>
            <w:pPr>
              <w:keepNext w:val="0"/>
              <w:widowControl/>
              <w:spacing w:line="360" w:lineRule="auto" w:before="0" w:after="0"/>
              <w:jc w:val="left"/>
            </w:pPr>
            <w:r>
              <w:rPr>
                <w:rFonts w:ascii="Arial" w:hAnsi="Arial"/>
                <w:sz w:val="24"/>
              </w:rPr>
            </w:r>
            <w:r>
              <w:rPr>
                <w:rFonts w:ascii="Arial" w:hAnsi="Arial"/>
                <w:b w:val="0"/>
                <w:sz w:val="24"/>
              </w:rPr>
              <w:t>Non-footfall sales share = weekly revenue from pre-order, click-and-collect and delivery divided by total weekly revenue × 100. Record the baseline before launch and compare it with weekly platform and till results, supported by order value, waste and punctuality.</w:t>
            </w:r>
          </w:p>
        </w:tc>
        <w:tc>
          <w:tcPr>
            <w:tcW w:type="dxa" w:w="1781"/>
            <w:vAlign w:val="center"/>
            <w:tcMar>
              <w:top w:w="90" w:type="dxa"/>
              <w:bottom w:w="90" w:type="dxa"/>
              <w:start w:w="80" w:type="dxa"/>
              <w:end w:w="80" w:type="dxa"/>
            </w:tcMar>
          </w:tcPr>
          <w:p>
            <w:pPr>
              <w:keepNext w:val="0"/>
              <w:widowControl/>
              <w:spacing w:line="360" w:lineRule="auto" w:before="0" w:after="0"/>
              <w:jc w:val="left"/>
            </w:pPr>
            <w:r>
              <w:rPr>
                <w:rFonts w:ascii="Arial" w:hAnsi="Arial"/>
                <w:sz w:val="24"/>
              </w:rPr>
            </w:r>
            <w:r>
              <w:rPr>
                <w:rFonts w:ascii="Arial" w:hAnsi="Arial"/>
                <w:b w:val="0"/>
                <w:sz w:val="24"/>
              </w:rPr>
              <w:t>Aim for a provisional 20% of weekly revenue through the new channel by month 6. Customer requests suggest demand, while an off-the-shelf platform and a four-week pilot on two delivery days per week keep the initial cost manageable. Scale only if contribution margin is positive.</w:t>
            </w:r>
          </w:p>
        </w:tc>
        <w:tc>
          <w:tcPr>
            <w:tcW w:type="dxa" w:w="1781"/>
            <w:vAlign w:val="center"/>
            <w:tcMar>
              <w:top w:w="90" w:type="dxa"/>
              <w:bottom w:w="90" w:type="dxa"/>
              <w:start w:w="80" w:type="dxa"/>
              <w:end w:w="80" w:type="dxa"/>
            </w:tcMar>
          </w:tcPr>
          <w:p>
            <w:pPr>
              <w:keepNext w:val="0"/>
              <w:widowControl/>
              <w:spacing w:line="360" w:lineRule="auto" w:before="0" w:after="0"/>
              <w:jc w:val="left"/>
            </w:pPr>
            <w:r>
              <w:rPr>
                <w:rFonts w:ascii="Arial" w:hAnsi="Arial"/>
                <w:sz w:val="24"/>
              </w:rPr>
            </w:r>
            <w:r>
              <w:rPr>
                <w:rFonts w:ascii="Arial" w:hAnsi="Arial"/>
                <w:b w:val="0"/>
                <w:sz w:val="24"/>
              </w:rPr>
              <w:t>The objective directly reduces dependence on declining walk-in footfall. Pre-ordering also tackles queues and waste, supporting viability while rent, utilities and organic-input costs remain high.</w:t>
            </w:r>
          </w:p>
        </w:tc>
        <w:tc>
          <w:tcPr>
            <w:tcW w:type="dxa" w:w="1782"/>
            <w:vAlign w:val="center"/>
            <w:tcMar>
              <w:top w:w="90" w:type="dxa"/>
              <w:bottom w:w="90" w:type="dxa"/>
              <w:start w:w="80" w:type="dxa"/>
              <w:end w:w="80" w:type="dxa"/>
            </w:tcMar>
          </w:tcPr>
          <w:p>
            <w:pPr>
              <w:keepNext w:val="0"/>
              <w:widowControl/>
              <w:spacing w:line="360" w:lineRule="auto" w:before="0" w:after="0"/>
              <w:jc w:val="left"/>
            </w:pPr>
            <w:r>
              <w:rPr>
                <w:rFonts w:ascii="Arial" w:hAnsi="Arial"/>
                <w:sz w:val="24"/>
              </w:rPr>
            </w:r>
            <w:r>
              <w:rPr>
                <w:rFonts w:ascii="Arial" w:hAnsi="Arial"/>
                <w:b w:val="0"/>
                <w:sz w:val="24"/>
              </w:rPr>
              <w:t>Make the system live by 20 September 2026, finish the pilot by 18 October 2026 and make the scale decision by 15 November 2026. Review weekly, begin monthly reviews on 30 November 2026 and reach 20% by 21 March 2027, or revise or stop the channel.</w:t>
            </w:r>
          </w:p>
        </w:tc>
      </w:tr>
    </w:tbl>
    <w:p>
      <w:pPr>
        <w:keepNext w:val="0"/>
        <w:widowControl/>
        <w:spacing w:line="360" w:lineRule="auto" w:before="80" w:after="0"/>
        <w:jc w:val="left"/>
      </w:pPr>
      <w:r>
        <w:rPr>
          <w:rFonts w:ascii="Arial" w:hAnsi="Arial"/>
          <w:b w:val="0"/>
          <w:i w:val="0"/>
          <w:sz w:val="24"/>
          <w:u w:val="none"/>
        </w:rPr>
        <w:t>SMART framework adapted from Doran (1981); KPI design informed by Parmenter (2010).</w:t>
      </w:r>
    </w:p>
    <w:sectPr w:rsidR="0011107E" w:rsidRPr="0035328C">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023EE20A" w14:textId="77777777" w:rsidR="008875C4" w:rsidRDefault="008875C4" w:rsidP="00B244A8">
      <w:pPr>
        <w:spacing w:after="0" w:line="240" w:lineRule="auto"/>
      </w:pPr>
      <w:r>
        <w:separator/>
      </w:r>
    </w:p>
  </w:endnote>
  <w:endnote w:type="continuationSeparator" w:id="0">
    <w:p w14:paraId="59DF7304" w14:textId="77777777" w:rsidR="008875C4" w:rsidRDefault="008875C4"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659115639"/>
      <w:docPartObj>
        <w:docPartGallery w:val="Page Numbers (Bottom of Page)"/>
        <w:docPartUnique/>
      </w:docPartObj>
    </w:sdtPr>
    <w:sdtContent>
      <w:sdt>
        <w:sdtPr>
          <w:id w:val="1728636285"/>
          <w:docPartObj>
            <w:docPartGallery w:val="Page Numbers (Top of Page)"/>
            <w:docPartUnique/>
          </w:docPartObj>
        </w:sdtPr>
        <w:sdtContent>
          <w:p w14:paraId="5D46109F" w14:textId="510B16B1" w:rsidR="00B244A8" w:rsidRDefault="00B244A8">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258A9A5A" w14:textId="77777777" w:rsidR="008875C4" w:rsidRDefault="008875C4" w:rsidP="00B244A8">
      <w:pPr>
        <w:spacing w:after="0" w:line="240" w:lineRule="auto"/>
      </w:pPr>
      <w:r>
        <w:separator/>
      </w:r>
    </w:p>
  </w:footnote>
  <w:footnote w:type="continuationSeparator" w:id="0">
    <w:p w14:paraId="0BC2B212" w14:textId="77777777" w:rsidR="008875C4" w:rsidRDefault="008875C4"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C23B96"/>
    <w:multiLevelType w:val="hybridMultilevel"/>
    <w:tmpl w:val="11983E02"/>
    <w:numStyleLink w:val="ImportedStyle2"/>
  </w:abstractNum>
  <w:abstractNum w:abstractNumId="2"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817993"/>
    <w:multiLevelType w:val="hybridMultilevel"/>
    <w:tmpl w:val="B5CCCC88"/>
    <w:lvl w:ilvl="0" w:tplc="08090001">
      <w:start w:val="1"/>
      <w:numFmt w:val="bullet"/>
      <w:lvlText w:val=""/>
      <w:lvlJc w:val="left"/>
      <w:pPr>
        <w:ind w:left="40" w:hanging="360"/>
      </w:pPr>
      <w:rPr>
        <w:rFonts w:ascii="Symbol" w:hAnsi="Symbol" w:hint="default"/>
      </w:rPr>
    </w:lvl>
    <w:lvl w:ilvl="1" w:tplc="08090003" w:tentative="1">
      <w:start w:val="1"/>
      <w:numFmt w:val="bullet"/>
      <w:lvlText w:val="o"/>
      <w:lvlJc w:val="left"/>
      <w:pPr>
        <w:ind w:left="760" w:hanging="360"/>
      </w:pPr>
      <w:rPr>
        <w:rFonts w:ascii="Courier New" w:hAnsi="Courier New" w:cs="Courier New" w:hint="default"/>
      </w:rPr>
    </w:lvl>
    <w:lvl w:ilvl="2" w:tplc="08090005" w:tentative="1">
      <w:start w:val="1"/>
      <w:numFmt w:val="bullet"/>
      <w:lvlText w:val=""/>
      <w:lvlJc w:val="left"/>
      <w:pPr>
        <w:ind w:left="1480" w:hanging="360"/>
      </w:pPr>
      <w:rPr>
        <w:rFonts w:ascii="Wingdings" w:hAnsi="Wingdings" w:hint="default"/>
      </w:rPr>
    </w:lvl>
    <w:lvl w:ilvl="3" w:tplc="08090001" w:tentative="1">
      <w:start w:val="1"/>
      <w:numFmt w:val="bullet"/>
      <w:lvlText w:val=""/>
      <w:lvlJc w:val="left"/>
      <w:pPr>
        <w:ind w:left="2200" w:hanging="360"/>
      </w:pPr>
      <w:rPr>
        <w:rFonts w:ascii="Symbol" w:hAnsi="Symbol" w:hint="default"/>
      </w:rPr>
    </w:lvl>
    <w:lvl w:ilvl="4" w:tplc="08090003" w:tentative="1">
      <w:start w:val="1"/>
      <w:numFmt w:val="bullet"/>
      <w:lvlText w:val="o"/>
      <w:lvlJc w:val="left"/>
      <w:pPr>
        <w:ind w:left="2920" w:hanging="360"/>
      </w:pPr>
      <w:rPr>
        <w:rFonts w:ascii="Courier New" w:hAnsi="Courier New" w:cs="Courier New" w:hint="default"/>
      </w:rPr>
    </w:lvl>
    <w:lvl w:ilvl="5" w:tplc="08090005" w:tentative="1">
      <w:start w:val="1"/>
      <w:numFmt w:val="bullet"/>
      <w:lvlText w:val=""/>
      <w:lvlJc w:val="left"/>
      <w:pPr>
        <w:ind w:left="3640" w:hanging="360"/>
      </w:pPr>
      <w:rPr>
        <w:rFonts w:ascii="Wingdings" w:hAnsi="Wingdings" w:hint="default"/>
      </w:rPr>
    </w:lvl>
    <w:lvl w:ilvl="6" w:tplc="08090001" w:tentative="1">
      <w:start w:val="1"/>
      <w:numFmt w:val="bullet"/>
      <w:lvlText w:val=""/>
      <w:lvlJc w:val="left"/>
      <w:pPr>
        <w:ind w:left="4360" w:hanging="360"/>
      </w:pPr>
      <w:rPr>
        <w:rFonts w:ascii="Symbol" w:hAnsi="Symbol" w:hint="default"/>
      </w:rPr>
    </w:lvl>
    <w:lvl w:ilvl="7" w:tplc="08090003" w:tentative="1">
      <w:start w:val="1"/>
      <w:numFmt w:val="bullet"/>
      <w:lvlText w:val="o"/>
      <w:lvlJc w:val="left"/>
      <w:pPr>
        <w:ind w:left="5080" w:hanging="360"/>
      </w:pPr>
      <w:rPr>
        <w:rFonts w:ascii="Courier New" w:hAnsi="Courier New" w:cs="Courier New" w:hint="default"/>
      </w:rPr>
    </w:lvl>
    <w:lvl w:ilvl="8" w:tplc="08090005" w:tentative="1">
      <w:start w:val="1"/>
      <w:numFmt w:val="bullet"/>
      <w:lvlText w:val=""/>
      <w:lvlJc w:val="left"/>
      <w:pPr>
        <w:ind w:left="5800" w:hanging="360"/>
      </w:pPr>
      <w:rPr>
        <w:rFonts w:ascii="Wingdings" w:hAnsi="Wingdings" w:hint="default"/>
      </w:rPr>
    </w:lvl>
  </w:abstractNum>
  <w:abstractNum w:abstractNumId="4"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AE2C4E"/>
    <w:multiLevelType w:val="hybridMultilevel"/>
    <w:tmpl w:val="EEBC3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8" w15:restartNumberingAfterBreak="0">
    <w:nsid w:val="5913052E"/>
    <w:multiLevelType w:val="hybridMultilevel"/>
    <w:tmpl w:val="BA5C10BE"/>
    <w:lvl w:ilvl="0" w:tplc="08090001">
      <w:start w:val="1"/>
      <w:numFmt w:val="bullet"/>
      <w:lvlText w:val=""/>
      <w:lvlJc w:val="left"/>
      <w:pPr>
        <w:ind w:left="266" w:hanging="360"/>
      </w:pPr>
      <w:rPr>
        <w:rFonts w:ascii="Symbol" w:hAnsi="Symbol" w:hint="default"/>
      </w:rPr>
    </w:lvl>
    <w:lvl w:ilvl="1" w:tplc="08090003" w:tentative="1">
      <w:start w:val="1"/>
      <w:numFmt w:val="bullet"/>
      <w:lvlText w:val="o"/>
      <w:lvlJc w:val="left"/>
      <w:pPr>
        <w:ind w:left="986" w:hanging="360"/>
      </w:pPr>
      <w:rPr>
        <w:rFonts w:ascii="Courier New" w:hAnsi="Courier New" w:cs="Courier New" w:hint="default"/>
      </w:rPr>
    </w:lvl>
    <w:lvl w:ilvl="2" w:tplc="08090005" w:tentative="1">
      <w:start w:val="1"/>
      <w:numFmt w:val="bullet"/>
      <w:lvlText w:val=""/>
      <w:lvlJc w:val="left"/>
      <w:pPr>
        <w:ind w:left="1706" w:hanging="360"/>
      </w:pPr>
      <w:rPr>
        <w:rFonts w:ascii="Wingdings" w:hAnsi="Wingdings" w:hint="default"/>
      </w:rPr>
    </w:lvl>
    <w:lvl w:ilvl="3" w:tplc="08090001" w:tentative="1">
      <w:start w:val="1"/>
      <w:numFmt w:val="bullet"/>
      <w:lvlText w:val=""/>
      <w:lvlJc w:val="left"/>
      <w:pPr>
        <w:ind w:left="2426" w:hanging="360"/>
      </w:pPr>
      <w:rPr>
        <w:rFonts w:ascii="Symbol" w:hAnsi="Symbol" w:hint="default"/>
      </w:rPr>
    </w:lvl>
    <w:lvl w:ilvl="4" w:tplc="08090003" w:tentative="1">
      <w:start w:val="1"/>
      <w:numFmt w:val="bullet"/>
      <w:lvlText w:val="o"/>
      <w:lvlJc w:val="left"/>
      <w:pPr>
        <w:ind w:left="3146" w:hanging="360"/>
      </w:pPr>
      <w:rPr>
        <w:rFonts w:ascii="Courier New" w:hAnsi="Courier New" w:cs="Courier New" w:hint="default"/>
      </w:rPr>
    </w:lvl>
    <w:lvl w:ilvl="5" w:tplc="08090005" w:tentative="1">
      <w:start w:val="1"/>
      <w:numFmt w:val="bullet"/>
      <w:lvlText w:val=""/>
      <w:lvlJc w:val="left"/>
      <w:pPr>
        <w:ind w:left="3866" w:hanging="360"/>
      </w:pPr>
      <w:rPr>
        <w:rFonts w:ascii="Wingdings" w:hAnsi="Wingdings" w:hint="default"/>
      </w:rPr>
    </w:lvl>
    <w:lvl w:ilvl="6" w:tplc="08090001" w:tentative="1">
      <w:start w:val="1"/>
      <w:numFmt w:val="bullet"/>
      <w:lvlText w:val=""/>
      <w:lvlJc w:val="left"/>
      <w:pPr>
        <w:ind w:left="4586" w:hanging="360"/>
      </w:pPr>
      <w:rPr>
        <w:rFonts w:ascii="Symbol" w:hAnsi="Symbol" w:hint="default"/>
      </w:rPr>
    </w:lvl>
    <w:lvl w:ilvl="7" w:tplc="08090003" w:tentative="1">
      <w:start w:val="1"/>
      <w:numFmt w:val="bullet"/>
      <w:lvlText w:val="o"/>
      <w:lvlJc w:val="left"/>
      <w:pPr>
        <w:ind w:left="5306" w:hanging="360"/>
      </w:pPr>
      <w:rPr>
        <w:rFonts w:ascii="Courier New" w:hAnsi="Courier New" w:cs="Courier New" w:hint="default"/>
      </w:rPr>
    </w:lvl>
    <w:lvl w:ilvl="8" w:tplc="08090005" w:tentative="1">
      <w:start w:val="1"/>
      <w:numFmt w:val="bullet"/>
      <w:lvlText w:val=""/>
      <w:lvlJc w:val="left"/>
      <w:pPr>
        <w:ind w:left="6026" w:hanging="360"/>
      </w:pPr>
      <w:rPr>
        <w:rFonts w:ascii="Wingdings" w:hAnsi="Wingdings" w:hint="default"/>
      </w:rPr>
    </w:lvl>
  </w:abstractNum>
  <w:abstractNum w:abstractNumId="9" w15:restartNumberingAfterBreak="0">
    <w:nsid w:val="6D5815C9"/>
    <w:multiLevelType w:val="hybridMultilevel"/>
    <w:tmpl w:val="6E5C38A2"/>
    <w:lvl w:ilvl="0" w:tplc="08090001">
      <w:start w:val="1"/>
      <w:numFmt w:val="bullet"/>
      <w:lvlText w:val=""/>
      <w:lvlJc w:val="left"/>
      <w:pPr>
        <w:ind w:left="96" w:hanging="360"/>
      </w:pPr>
      <w:rPr>
        <w:rFonts w:ascii="Symbol" w:hAnsi="Symbol" w:hint="default"/>
      </w:rPr>
    </w:lvl>
    <w:lvl w:ilvl="1" w:tplc="08090003" w:tentative="1">
      <w:start w:val="1"/>
      <w:numFmt w:val="bullet"/>
      <w:lvlText w:val="o"/>
      <w:lvlJc w:val="left"/>
      <w:pPr>
        <w:ind w:left="816" w:hanging="360"/>
      </w:pPr>
      <w:rPr>
        <w:rFonts w:ascii="Courier New" w:hAnsi="Courier New" w:cs="Courier New" w:hint="default"/>
      </w:rPr>
    </w:lvl>
    <w:lvl w:ilvl="2" w:tplc="08090005" w:tentative="1">
      <w:start w:val="1"/>
      <w:numFmt w:val="bullet"/>
      <w:lvlText w:val=""/>
      <w:lvlJc w:val="left"/>
      <w:pPr>
        <w:ind w:left="1536" w:hanging="360"/>
      </w:pPr>
      <w:rPr>
        <w:rFonts w:ascii="Wingdings" w:hAnsi="Wingdings" w:hint="default"/>
      </w:rPr>
    </w:lvl>
    <w:lvl w:ilvl="3" w:tplc="08090001" w:tentative="1">
      <w:start w:val="1"/>
      <w:numFmt w:val="bullet"/>
      <w:lvlText w:val=""/>
      <w:lvlJc w:val="left"/>
      <w:pPr>
        <w:ind w:left="2256" w:hanging="360"/>
      </w:pPr>
      <w:rPr>
        <w:rFonts w:ascii="Symbol" w:hAnsi="Symbol" w:hint="default"/>
      </w:rPr>
    </w:lvl>
    <w:lvl w:ilvl="4" w:tplc="08090003" w:tentative="1">
      <w:start w:val="1"/>
      <w:numFmt w:val="bullet"/>
      <w:lvlText w:val="o"/>
      <w:lvlJc w:val="left"/>
      <w:pPr>
        <w:ind w:left="2976" w:hanging="360"/>
      </w:pPr>
      <w:rPr>
        <w:rFonts w:ascii="Courier New" w:hAnsi="Courier New" w:cs="Courier New" w:hint="default"/>
      </w:rPr>
    </w:lvl>
    <w:lvl w:ilvl="5" w:tplc="08090005" w:tentative="1">
      <w:start w:val="1"/>
      <w:numFmt w:val="bullet"/>
      <w:lvlText w:val=""/>
      <w:lvlJc w:val="left"/>
      <w:pPr>
        <w:ind w:left="3696" w:hanging="360"/>
      </w:pPr>
      <w:rPr>
        <w:rFonts w:ascii="Wingdings" w:hAnsi="Wingdings" w:hint="default"/>
      </w:rPr>
    </w:lvl>
    <w:lvl w:ilvl="6" w:tplc="08090001" w:tentative="1">
      <w:start w:val="1"/>
      <w:numFmt w:val="bullet"/>
      <w:lvlText w:val=""/>
      <w:lvlJc w:val="left"/>
      <w:pPr>
        <w:ind w:left="4416" w:hanging="360"/>
      </w:pPr>
      <w:rPr>
        <w:rFonts w:ascii="Symbol" w:hAnsi="Symbol" w:hint="default"/>
      </w:rPr>
    </w:lvl>
    <w:lvl w:ilvl="7" w:tplc="08090003" w:tentative="1">
      <w:start w:val="1"/>
      <w:numFmt w:val="bullet"/>
      <w:lvlText w:val="o"/>
      <w:lvlJc w:val="left"/>
      <w:pPr>
        <w:ind w:left="5136" w:hanging="360"/>
      </w:pPr>
      <w:rPr>
        <w:rFonts w:ascii="Courier New" w:hAnsi="Courier New" w:cs="Courier New" w:hint="default"/>
      </w:rPr>
    </w:lvl>
    <w:lvl w:ilvl="8" w:tplc="08090005" w:tentative="1">
      <w:start w:val="1"/>
      <w:numFmt w:val="bullet"/>
      <w:lvlText w:val=""/>
      <w:lvlJc w:val="left"/>
      <w:pPr>
        <w:ind w:left="5856" w:hanging="360"/>
      </w:pPr>
      <w:rPr>
        <w:rFonts w:ascii="Wingdings" w:hAnsi="Wingdings" w:hint="default"/>
      </w:rPr>
    </w:lvl>
  </w:abstractNum>
  <w:abstractNum w:abstractNumId="10" w15:restartNumberingAfterBreak="0">
    <w:nsid w:val="78047D14"/>
    <w:multiLevelType w:val="hybridMultilevel"/>
    <w:tmpl w:val="CB24D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BD32EED"/>
    <w:multiLevelType w:val="hybridMultilevel"/>
    <w:tmpl w:val="52609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949510">
    <w:abstractNumId w:val="7"/>
  </w:num>
  <w:num w:numId="2" w16cid:durableId="17053598">
    <w:abstractNumId w:val="1"/>
  </w:num>
  <w:num w:numId="3" w16cid:durableId="373162920">
    <w:abstractNumId w:val="10"/>
  </w:num>
  <w:num w:numId="4" w16cid:durableId="728724007">
    <w:abstractNumId w:val="0"/>
  </w:num>
  <w:num w:numId="5" w16cid:durableId="1776901974">
    <w:abstractNumId w:val="2"/>
  </w:num>
  <w:num w:numId="6" w16cid:durableId="1242056885">
    <w:abstractNumId w:val="11"/>
  </w:num>
  <w:num w:numId="7" w16cid:durableId="2003004377">
    <w:abstractNumId w:val="6"/>
  </w:num>
  <w:num w:numId="8" w16cid:durableId="1409185463">
    <w:abstractNumId w:val="4"/>
  </w:num>
  <w:num w:numId="9" w16cid:durableId="383985392">
    <w:abstractNumId w:val="9"/>
  </w:num>
  <w:num w:numId="10" w16cid:durableId="706952687">
    <w:abstractNumId w:val="5"/>
  </w:num>
  <w:num w:numId="11" w16cid:durableId="1322657034">
    <w:abstractNumId w:val="3"/>
  </w:num>
  <w:num w:numId="12" w16cid:durableId="1560899573">
    <w:abstractNumId w:val="8"/>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43"/>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5771F"/>
    <w:rsid w:val="00067AB3"/>
    <w:rsid w:val="00074671"/>
    <w:rsid w:val="00084755"/>
    <w:rsid w:val="000B4057"/>
    <w:rsid w:val="000E7A4C"/>
    <w:rsid w:val="00106B58"/>
    <w:rsid w:val="0011107E"/>
    <w:rsid w:val="0012599A"/>
    <w:rsid w:val="0013486A"/>
    <w:rsid w:val="00175C4B"/>
    <w:rsid w:val="001A61CE"/>
    <w:rsid w:val="001B614B"/>
    <w:rsid w:val="001B6FDB"/>
    <w:rsid w:val="001C628A"/>
    <w:rsid w:val="00225B06"/>
    <w:rsid w:val="00230935"/>
    <w:rsid w:val="00231C1C"/>
    <w:rsid w:val="00245D37"/>
    <w:rsid w:val="002522C1"/>
    <w:rsid w:val="0027531E"/>
    <w:rsid w:val="002832DB"/>
    <w:rsid w:val="002D754D"/>
    <w:rsid w:val="002E2FF6"/>
    <w:rsid w:val="00312FA9"/>
    <w:rsid w:val="00332EE7"/>
    <w:rsid w:val="003430D0"/>
    <w:rsid w:val="0035328C"/>
    <w:rsid w:val="00394A9D"/>
    <w:rsid w:val="003B629C"/>
    <w:rsid w:val="003E1A46"/>
    <w:rsid w:val="003F5E6B"/>
    <w:rsid w:val="003F6295"/>
    <w:rsid w:val="00410BE8"/>
    <w:rsid w:val="00416907"/>
    <w:rsid w:val="00417260"/>
    <w:rsid w:val="00424723"/>
    <w:rsid w:val="004356E6"/>
    <w:rsid w:val="00437111"/>
    <w:rsid w:val="00440FE0"/>
    <w:rsid w:val="00455AAA"/>
    <w:rsid w:val="00480CA6"/>
    <w:rsid w:val="00490952"/>
    <w:rsid w:val="004A63C1"/>
    <w:rsid w:val="004C195B"/>
    <w:rsid w:val="004C698C"/>
    <w:rsid w:val="004D103B"/>
    <w:rsid w:val="004D1574"/>
    <w:rsid w:val="004E2BAE"/>
    <w:rsid w:val="004E513A"/>
    <w:rsid w:val="00514DEC"/>
    <w:rsid w:val="00532B9D"/>
    <w:rsid w:val="00541B7D"/>
    <w:rsid w:val="00542A51"/>
    <w:rsid w:val="005724CA"/>
    <w:rsid w:val="005A11A3"/>
    <w:rsid w:val="005D11E9"/>
    <w:rsid w:val="005E6545"/>
    <w:rsid w:val="006666E7"/>
    <w:rsid w:val="00675990"/>
    <w:rsid w:val="00685C57"/>
    <w:rsid w:val="0069332C"/>
    <w:rsid w:val="00696E0C"/>
    <w:rsid w:val="006D5A12"/>
    <w:rsid w:val="006D6A13"/>
    <w:rsid w:val="007030AD"/>
    <w:rsid w:val="00721441"/>
    <w:rsid w:val="00765162"/>
    <w:rsid w:val="00765AA0"/>
    <w:rsid w:val="00771E5A"/>
    <w:rsid w:val="00774A59"/>
    <w:rsid w:val="007766D6"/>
    <w:rsid w:val="007768B0"/>
    <w:rsid w:val="007927FD"/>
    <w:rsid w:val="00792C0F"/>
    <w:rsid w:val="007953DB"/>
    <w:rsid w:val="007A56AD"/>
    <w:rsid w:val="007B200A"/>
    <w:rsid w:val="007D0502"/>
    <w:rsid w:val="007F558A"/>
    <w:rsid w:val="00825B6C"/>
    <w:rsid w:val="00827C35"/>
    <w:rsid w:val="008300D1"/>
    <w:rsid w:val="00830749"/>
    <w:rsid w:val="00883CAF"/>
    <w:rsid w:val="00885717"/>
    <w:rsid w:val="008875C4"/>
    <w:rsid w:val="0089170F"/>
    <w:rsid w:val="008C6A87"/>
    <w:rsid w:val="008D5CD9"/>
    <w:rsid w:val="008E00B6"/>
    <w:rsid w:val="008F5810"/>
    <w:rsid w:val="0091304C"/>
    <w:rsid w:val="009336C8"/>
    <w:rsid w:val="00946742"/>
    <w:rsid w:val="009E1F0E"/>
    <w:rsid w:val="009E2E03"/>
    <w:rsid w:val="00A14A03"/>
    <w:rsid w:val="00A22BB0"/>
    <w:rsid w:val="00A31345"/>
    <w:rsid w:val="00A401AF"/>
    <w:rsid w:val="00A448A7"/>
    <w:rsid w:val="00AB7E77"/>
    <w:rsid w:val="00AC678A"/>
    <w:rsid w:val="00AC7EBC"/>
    <w:rsid w:val="00AD74AC"/>
    <w:rsid w:val="00B031CA"/>
    <w:rsid w:val="00B14506"/>
    <w:rsid w:val="00B152DF"/>
    <w:rsid w:val="00B244A8"/>
    <w:rsid w:val="00B64CDF"/>
    <w:rsid w:val="00B67896"/>
    <w:rsid w:val="00B91658"/>
    <w:rsid w:val="00B97E6F"/>
    <w:rsid w:val="00BC373A"/>
    <w:rsid w:val="00BD2C28"/>
    <w:rsid w:val="00BD339A"/>
    <w:rsid w:val="00C000D0"/>
    <w:rsid w:val="00C03A79"/>
    <w:rsid w:val="00C10F6A"/>
    <w:rsid w:val="00C15F83"/>
    <w:rsid w:val="00C20BB5"/>
    <w:rsid w:val="00C27EC8"/>
    <w:rsid w:val="00C51B9F"/>
    <w:rsid w:val="00C53212"/>
    <w:rsid w:val="00C60DAC"/>
    <w:rsid w:val="00C75A70"/>
    <w:rsid w:val="00C95025"/>
    <w:rsid w:val="00CC32EB"/>
    <w:rsid w:val="00D0208B"/>
    <w:rsid w:val="00D16077"/>
    <w:rsid w:val="00D25DE2"/>
    <w:rsid w:val="00D31DE1"/>
    <w:rsid w:val="00D60EA3"/>
    <w:rsid w:val="00D846CE"/>
    <w:rsid w:val="00D85AB3"/>
    <w:rsid w:val="00D91D11"/>
    <w:rsid w:val="00DA1B79"/>
    <w:rsid w:val="00DD0093"/>
    <w:rsid w:val="00DF77C0"/>
    <w:rsid w:val="00E11948"/>
    <w:rsid w:val="00E34CFB"/>
    <w:rsid w:val="00EA42A0"/>
    <w:rsid w:val="00EE37EC"/>
    <w:rsid w:val="00F0190C"/>
    <w:rsid w:val="00F01BD7"/>
    <w:rsid w:val="00F050E4"/>
    <w:rsid w:val="00F31FCC"/>
    <w:rsid w:val="00F677CE"/>
    <w:rsid w:val="00FA36EB"/>
    <w:rsid w:val="00FA3DB0"/>
    <w:rsid w:val="00FB1D62"/>
    <w:rsid w:val="00FC7243"/>
    <w:rsid w:val="00FD47A2"/>
    <w:rsid w:val="00FE0AD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pPr>
      <w:spacing w:line="360" w:lineRule="auto" w:after="0"/>
    </w:pPr>
    <w:rPr>
      <w:rFonts w:eastAsiaTheme="minorHAnsi" w:ascii="Arial" w:hAnsi="Arial"/>
      <w:sz w:val="24"/>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1D98351-6A88-1B49-92B3-3CF6595E54C4}">
  <we:reference id="WA200008399" version="1.0.0.5" store="Omex" storeType="OMEX"/>
  <we:alternateReferences>
    <we:reference id="WA200008399" version="1.0.0.5" store="WA200008399"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Metadata/LabelInfo.xml><?xml version="1.0" encoding="utf-8"?>
<clbl:labelList xmlns:clbl="http://schemas.microsoft.com/office/2020/mipLabelMetadata">
  <clbl:label id="{defa4170-0d19-0005-0004-bc88714345d2}" enabled="1" method="Standard" siteId="{6e3b16ca-426c-4cd5-85a6-83cb2c321e92}" contentBits="0" removed="0"/>
</clbl:labelList>
</file>

<file path=docProps/app.xml><?xml version="1.0" encoding="utf-8"?>
<Properties xmlns="http://schemas.openxmlformats.org/officeDocument/2006/extended-properties" xmlns:vt="http://schemas.openxmlformats.org/officeDocument/2006/docPropsVTypes">
  <Template>Normal.dotm</Template>
  <TotalTime>1</TotalTime>
  <Pages>10</Pages>
  <Words>622</Words>
  <Characters>3415</Characters>
  <Application>Microsoft Office Word</Application>
  <DocSecurity>0</DocSecurity>
  <Lines>310</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Component 2 Report - Basil's Bakery</dc:title>
  <dc:subject>LCLM4004 Problem Solving and Decision Making</dc:subject>
  <dc:creator>Robertas Valaitis</dc:creator>
  <cp:keywords/>
  <dc:description/>
  <cp:lastModifiedBy>Robertas Valaitis</cp:lastModifiedBy>
  <cp:revision>3</cp:revision>
  <cp:lastPrinted>2025-08-13T10:56:00Z</cp:lastPrinted>
  <dcterms:created xsi:type="dcterms:W3CDTF">2026-08-08T08:30:00Z</dcterms:created>
  <dcterms:modified xsi:type="dcterms:W3CDTF">2026-08-08T08:30:00Z</dcterms:modified>
</cp:coreProperties>
</file>