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92346" w14:textId="521F87EA" w:rsidR="006B321A" w:rsidRDefault="004A0572">
      <w:pPr>
        <w:spacing w:after="100"/>
      </w:pPr>
      <w:r>
        <w:rPr>
          <w:noProof/>
        </w:rPr>
        <w:drawing>
          <wp:inline distT="0" distB="0" distL="0" distR="0" wp14:anchorId="1EADF8D9" wp14:editId="13305255">
            <wp:extent cx="27051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l="3278" t="7693" r="3608" b="16568"/>
                    <a:stretch>
                      <a:fillRect/>
                    </a:stretch>
                  </pic:blipFill>
                  <pic:spPr bwMode="auto">
                    <a:xfrm>
                      <a:off x="0" y="0"/>
                      <a:ext cx="2705100" cy="1219200"/>
                    </a:xfrm>
                    <a:prstGeom prst="rect">
                      <a:avLst/>
                    </a:prstGeom>
                    <a:noFill/>
                    <a:ln>
                      <a:noFill/>
                    </a:ln>
                    <a:extLst>
                      <a:ext uri="{53640926-AAD7-44D8-BBD7-CCE9431645EC}">
                        <a14:shadowObscured xmlns:a14="http://schemas.microsoft.com/office/drawing/2010/main"/>
                      </a:ext>
                    </a:extLst>
                  </pic:spPr>
                </pic:pic>
              </a:graphicData>
            </a:graphic>
          </wp:inline>
        </w:drawing>
      </w:r>
    </w:p>
    <w:p w14:paraId="726B08B9" w14:textId="77777777" w:rsidR="006B321A" w:rsidRDefault="006B321A">
      <w:pPr>
        <w:spacing w:before="200"/>
      </w:pPr>
    </w:p>
    <w:p w14:paraId="0F3A8850" w14:textId="77777777" w:rsidR="006B321A" w:rsidRDefault="00B779D3">
      <w:pPr>
        <w:spacing w:after="40"/>
        <w:jc w:val="center"/>
      </w:pPr>
      <w:r>
        <w:rPr>
          <w:b/>
          <w:bCs/>
          <w:color w:val="1F4E79"/>
          <w:sz w:val="26"/>
          <w:szCs w:val="26"/>
        </w:rPr>
        <w:t>University of Wales Trinity Saint David</w:t>
      </w:r>
    </w:p>
    <w:p w14:paraId="538C1624" w14:textId="77777777" w:rsidR="006B321A" w:rsidRDefault="00B779D3">
      <w:pPr>
        <w:spacing w:after="200"/>
        <w:jc w:val="center"/>
      </w:pPr>
      <w:proofErr w:type="spellStart"/>
      <w:r>
        <w:rPr>
          <w:i/>
          <w:iCs/>
          <w:color w:val="666666"/>
          <w:sz w:val="16"/>
          <w:szCs w:val="16"/>
        </w:rPr>
        <w:t>Prifysgol</w:t>
      </w:r>
      <w:proofErr w:type="spellEnd"/>
      <w:r>
        <w:rPr>
          <w:i/>
          <w:iCs/>
          <w:color w:val="666666"/>
          <w:sz w:val="16"/>
          <w:szCs w:val="16"/>
        </w:rPr>
        <w:t xml:space="preserve"> Cymru Y </w:t>
      </w:r>
      <w:proofErr w:type="spellStart"/>
      <w:r>
        <w:rPr>
          <w:i/>
          <w:iCs/>
          <w:color w:val="666666"/>
          <w:sz w:val="16"/>
          <w:szCs w:val="16"/>
        </w:rPr>
        <w:t>Drindod</w:t>
      </w:r>
      <w:proofErr w:type="spellEnd"/>
      <w:r>
        <w:rPr>
          <w:i/>
          <w:iCs/>
          <w:color w:val="666666"/>
          <w:sz w:val="16"/>
          <w:szCs w:val="16"/>
        </w:rPr>
        <w:t xml:space="preserve"> Dewi Sant</w:t>
      </w:r>
    </w:p>
    <w:p w14:paraId="403A3BF2" w14:textId="77777777" w:rsidR="006B321A" w:rsidRDefault="006B321A">
      <w:pPr>
        <w:pBdr>
          <w:bottom w:val="single" w:sz="12" w:space="1" w:color="1F4E79"/>
        </w:pBdr>
        <w:spacing w:after="250"/>
      </w:pPr>
    </w:p>
    <w:p w14:paraId="151A76BA" w14:textId="77777777" w:rsidR="006B321A" w:rsidRDefault="00B779D3">
      <w:pPr>
        <w:spacing w:after="60"/>
        <w:jc w:val="center"/>
      </w:pPr>
      <w:r>
        <w:rPr>
          <w:b/>
          <w:bCs/>
          <w:color w:val="2E75B6"/>
          <w:sz w:val="22"/>
          <w:szCs w:val="22"/>
        </w:rPr>
        <w:t>COMPONENT 2</w:t>
      </w:r>
    </w:p>
    <w:p w14:paraId="33497FCF" w14:textId="77777777" w:rsidR="006B321A" w:rsidRDefault="00B779D3">
      <w:pPr>
        <w:spacing w:after="60"/>
        <w:jc w:val="center"/>
      </w:pPr>
      <w:r>
        <w:rPr>
          <w:b/>
          <w:bCs/>
          <w:color w:val="1F4E79"/>
          <w:sz w:val="30"/>
          <w:szCs w:val="30"/>
        </w:rPr>
        <w:t>Written Assignment: Poster and Pitch</w:t>
      </w:r>
    </w:p>
    <w:p w14:paraId="4317A7C2" w14:textId="77777777" w:rsidR="006B321A" w:rsidRDefault="006B321A">
      <w:pPr>
        <w:pBdr>
          <w:bottom w:val="single" w:sz="6" w:space="1" w:color="A9D08E"/>
        </w:pBdr>
        <w:spacing w:after="220"/>
      </w:pPr>
    </w:p>
    <w:p w14:paraId="6D0B292F" w14:textId="77777777" w:rsidR="006B321A" w:rsidRDefault="00B779D3">
      <w:pPr>
        <w:spacing w:after="40"/>
        <w:jc w:val="center"/>
      </w:pPr>
      <w:r>
        <w:rPr>
          <w:b/>
          <w:bCs/>
          <w:color w:val="1F4E79"/>
          <w:sz w:val="40"/>
          <w:szCs w:val="40"/>
        </w:rPr>
        <w:t>HomeBridge</w:t>
      </w:r>
    </w:p>
    <w:p w14:paraId="6037E9AE" w14:textId="77777777" w:rsidR="006B321A" w:rsidRDefault="00B779D3">
      <w:pPr>
        <w:spacing w:after="60"/>
        <w:jc w:val="center"/>
      </w:pPr>
      <w:r>
        <w:rPr>
          <w:i/>
          <w:iCs/>
          <w:color w:val="2E75B6"/>
        </w:rPr>
        <w:t>Bridging the Gap from Hospital to Home</w:t>
      </w:r>
    </w:p>
    <w:p w14:paraId="6DEC191C" w14:textId="77777777" w:rsidR="006B321A" w:rsidRDefault="006B321A">
      <w:pPr>
        <w:pBdr>
          <w:bottom w:val="single" w:sz="6" w:space="1" w:color="A9D08E"/>
        </w:pBdr>
        <w:spacing w:after="220"/>
      </w:pPr>
    </w:p>
    <w:p w14:paraId="5A93387C" w14:textId="1F674FC3" w:rsidR="006B321A" w:rsidRDefault="006B321A"/>
    <w:p w14:paraId="142FD10B" w14:textId="77777777" w:rsidR="004A0572" w:rsidRDefault="004A0572"/>
    <w:p w14:paraId="29883D6B" w14:textId="77777777" w:rsidR="004A0572" w:rsidRDefault="004A0572"/>
    <w:p w14:paraId="71AEDCBC" w14:textId="77777777" w:rsidR="004A0572" w:rsidRDefault="004A0572"/>
    <w:p w14:paraId="13EC3CE8" w14:textId="77777777" w:rsidR="004A0572" w:rsidRDefault="004A0572"/>
    <w:p w14:paraId="580FD8B1" w14:textId="77777777" w:rsidR="004A0572" w:rsidRDefault="004A0572"/>
    <w:p w14:paraId="4F3B123E" w14:textId="77777777" w:rsidR="004A0572" w:rsidRDefault="004A0572"/>
    <w:p w14:paraId="7A87FEB2" w14:textId="77777777" w:rsidR="004A0572" w:rsidRDefault="004A0572"/>
    <w:p w14:paraId="7971C022" w14:textId="77777777" w:rsidR="004A0572" w:rsidRDefault="004A0572"/>
    <w:p w14:paraId="3512743C" w14:textId="77777777" w:rsidR="004A0572" w:rsidRDefault="004A0572"/>
    <w:p w14:paraId="040331B7" w14:textId="77777777" w:rsidR="004A0572" w:rsidRDefault="004A0572"/>
    <w:p w14:paraId="7C94B59D" w14:textId="77777777" w:rsidR="004A0572" w:rsidRDefault="004A0572"/>
    <w:p w14:paraId="092139FA" w14:textId="77777777" w:rsidR="004A0572" w:rsidRDefault="004A0572"/>
    <w:tbl>
      <w:tblPr>
        <w:tblW w:w="9216" w:type="dxa"/>
        <w:tblInd w:w="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16"/>
        <w:gridCol w:w="6300"/>
      </w:tblGrid>
      <w:tr w:rsidR="004A0572" w14:paraId="7868AC28" w14:textId="77777777" w:rsidTr="00EF1A16">
        <w:tblPrEx>
          <w:tblCellMar>
            <w:top w:w="0" w:type="dxa"/>
            <w:bottom w:w="0" w:type="dxa"/>
          </w:tblCellMar>
        </w:tblPrEx>
        <w:tc>
          <w:tcPr>
            <w:tcW w:w="2916" w:type="dxa"/>
            <w:tcBorders>
              <w:top w:val="none" w:sz="0" w:space="0" w:color="FFFFFF"/>
              <w:left w:val="none" w:sz="0" w:space="0" w:color="FFFFFF"/>
              <w:bottom w:val="none" w:sz="0" w:space="0" w:color="FFFFFF"/>
              <w:right w:val="none" w:sz="0" w:space="0" w:color="FFFFFF"/>
            </w:tcBorders>
          </w:tcPr>
          <w:p w14:paraId="62C460C7" w14:textId="77777777" w:rsidR="004A0572" w:rsidRPr="004A0572" w:rsidRDefault="004A0572" w:rsidP="00EF1A16">
            <w:pPr>
              <w:spacing w:before="90"/>
              <w:rPr>
                <w:sz w:val="22"/>
                <w:szCs w:val="22"/>
              </w:rPr>
            </w:pPr>
            <w:r w:rsidRPr="004A0572">
              <w:rPr>
                <w:b/>
                <w:bCs/>
                <w:sz w:val="22"/>
                <w:szCs w:val="22"/>
              </w:rPr>
              <w:t>Student Name:</w:t>
            </w:r>
          </w:p>
        </w:tc>
        <w:tc>
          <w:tcPr>
            <w:tcW w:w="6300" w:type="dxa"/>
            <w:tcBorders>
              <w:top w:val="none" w:sz="0" w:space="0" w:color="FFFFFF"/>
              <w:left w:val="none" w:sz="0" w:space="0" w:color="FFFFFF"/>
              <w:bottom w:val="single" w:sz="4" w:space="0" w:color="AAAAAA"/>
              <w:right w:val="none" w:sz="0" w:space="0" w:color="FFFFFF"/>
            </w:tcBorders>
          </w:tcPr>
          <w:p w14:paraId="22C19B1F" w14:textId="77777777" w:rsidR="004A0572" w:rsidRPr="004A0572" w:rsidRDefault="004A0572" w:rsidP="00EF1A16">
            <w:pPr>
              <w:spacing w:before="90"/>
              <w:rPr>
                <w:sz w:val="22"/>
                <w:szCs w:val="22"/>
              </w:rPr>
            </w:pPr>
            <w:r w:rsidRPr="004A0572">
              <w:rPr>
                <w:sz w:val="22"/>
                <w:szCs w:val="22"/>
              </w:rPr>
              <w:t>Khatera Omari</w:t>
            </w:r>
          </w:p>
        </w:tc>
      </w:tr>
      <w:tr w:rsidR="004A0572" w14:paraId="52A48620" w14:textId="77777777" w:rsidTr="00EF1A16">
        <w:tblPrEx>
          <w:tblCellMar>
            <w:top w:w="0" w:type="dxa"/>
            <w:bottom w:w="0" w:type="dxa"/>
          </w:tblCellMar>
        </w:tblPrEx>
        <w:tc>
          <w:tcPr>
            <w:tcW w:w="2916" w:type="dxa"/>
            <w:tcBorders>
              <w:top w:val="none" w:sz="0" w:space="0" w:color="FFFFFF"/>
              <w:left w:val="none" w:sz="0" w:space="0" w:color="FFFFFF"/>
              <w:bottom w:val="none" w:sz="0" w:space="0" w:color="FFFFFF"/>
              <w:right w:val="none" w:sz="0" w:space="0" w:color="FFFFFF"/>
            </w:tcBorders>
          </w:tcPr>
          <w:p w14:paraId="62A167B3" w14:textId="77777777" w:rsidR="004A0572" w:rsidRPr="004A0572" w:rsidRDefault="004A0572" w:rsidP="00EF1A16">
            <w:pPr>
              <w:spacing w:before="90"/>
              <w:rPr>
                <w:sz w:val="22"/>
                <w:szCs w:val="22"/>
              </w:rPr>
            </w:pPr>
            <w:r w:rsidRPr="004A0572">
              <w:rPr>
                <w:b/>
                <w:bCs/>
                <w:sz w:val="22"/>
                <w:szCs w:val="22"/>
              </w:rPr>
              <w:t>Student ID Number:</w:t>
            </w:r>
          </w:p>
        </w:tc>
        <w:tc>
          <w:tcPr>
            <w:tcW w:w="6300" w:type="dxa"/>
            <w:tcBorders>
              <w:top w:val="none" w:sz="0" w:space="0" w:color="FFFFFF"/>
              <w:left w:val="none" w:sz="0" w:space="0" w:color="FFFFFF"/>
              <w:bottom w:val="single" w:sz="4" w:space="0" w:color="AAAAAA"/>
              <w:right w:val="none" w:sz="0" w:space="0" w:color="FFFFFF"/>
            </w:tcBorders>
          </w:tcPr>
          <w:p w14:paraId="651430E4" w14:textId="77777777" w:rsidR="004A0572" w:rsidRPr="004A0572" w:rsidRDefault="004A0572" w:rsidP="00EF1A16">
            <w:pPr>
              <w:spacing w:before="90"/>
              <w:rPr>
                <w:sz w:val="22"/>
                <w:szCs w:val="22"/>
              </w:rPr>
            </w:pPr>
            <w:r w:rsidRPr="004A0572">
              <w:rPr>
                <w:sz w:val="22"/>
                <w:szCs w:val="22"/>
              </w:rPr>
              <w:t>2428550</w:t>
            </w:r>
          </w:p>
        </w:tc>
      </w:tr>
      <w:tr w:rsidR="004A0572" w14:paraId="1BEF1A30" w14:textId="77777777" w:rsidTr="00EF1A16">
        <w:tblPrEx>
          <w:tblCellMar>
            <w:top w:w="0" w:type="dxa"/>
            <w:bottom w:w="0" w:type="dxa"/>
          </w:tblCellMar>
        </w:tblPrEx>
        <w:tc>
          <w:tcPr>
            <w:tcW w:w="2916" w:type="dxa"/>
            <w:tcBorders>
              <w:top w:val="none" w:sz="0" w:space="0" w:color="FFFFFF"/>
              <w:left w:val="none" w:sz="0" w:space="0" w:color="FFFFFF"/>
              <w:bottom w:val="none" w:sz="0" w:space="0" w:color="FFFFFF"/>
              <w:right w:val="none" w:sz="0" w:space="0" w:color="FFFFFF"/>
            </w:tcBorders>
          </w:tcPr>
          <w:p w14:paraId="0CBA57AA" w14:textId="77777777" w:rsidR="004A0572" w:rsidRPr="004A0572" w:rsidRDefault="004A0572" w:rsidP="00EF1A16">
            <w:pPr>
              <w:spacing w:before="90"/>
              <w:rPr>
                <w:sz w:val="22"/>
                <w:szCs w:val="22"/>
              </w:rPr>
            </w:pPr>
            <w:r w:rsidRPr="004A0572">
              <w:rPr>
                <w:b/>
                <w:bCs/>
                <w:sz w:val="22"/>
                <w:szCs w:val="22"/>
              </w:rPr>
              <w:t>Module Title:</w:t>
            </w:r>
          </w:p>
        </w:tc>
        <w:tc>
          <w:tcPr>
            <w:tcW w:w="6300" w:type="dxa"/>
            <w:tcBorders>
              <w:top w:val="none" w:sz="0" w:space="0" w:color="FFFFFF"/>
              <w:left w:val="none" w:sz="0" w:space="0" w:color="FFFFFF"/>
              <w:bottom w:val="single" w:sz="4" w:space="0" w:color="AAAAAA"/>
              <w:right w:val="none" w:sz="0" w:space="0" w:color="FFFFFF"/>
            </w:tcBorders>
          </w:tcPr>
          <w:p w14:paraId="63C1C6A8" w14:textId="77777777" w:rsidR="004A0572" w:rsidRPr="004A0572" w:rsidRDefault="004A0572" w:rsidP="00EF1A16">
            <w:pPr>
              <w:spacing w:before="90"/>
              <w:rPr>
                <w:sz w:val="22"/>
                <w:szCs w:val="22"/>
              </w:rPr>
            </w:pPr>
            <w:r w:rsidRPr="004A0572">
              <w:rPr>
                <w:sz w:val="22"/>
                <w:szCs w:val="22"/>
              </w:rPr>
              <w:t>Creativity in Healthcare</w:t>
            </w:r>
          </w:p>
        </w:tc>
      </w:tr>
      <w:tr w:rsidR="004A0572" w14:paraId="436740EF" w14:textId="77777777" w:rsidTr="00EF1A16">
        <w:tblPrEx>
          <w:tblCellMar>
            <w:top w:w="0" w:type="dxa"/>
            <w:bottom w:w="0" w:type="dxa"/>
          </w:tblCellMar>
        </w:tblPrEx>
        <w:trPr>
          <w:trHeight w:val="682"/>
        </w:trPr>
        <w:tc>
          <w:tcPr>
            <w:tcW w:w="2916" w:type="dxa"/>
            <w:tcBorders>
              <w:top w:val="none" w:sz="0" w:space="0" w:color="FFFFFF"/>
              <w:left w:val="none" w:sz="0" w:space="0" w:color="FFFFFF"/>
              <w:bottom w:val="none" w:sz="0" w:space="0" w:color="FFFFFF"/>
              <w:right w:val="none" w:sz="0" w:space="0" w:color="FFFFFF"/>
            </w:tcBorders>
          </w:tcPr>
          <w:p w14:paraId="3ECC6048" w14:textId="77777777" w:rsidR="004A0572" w:rsidRPr="004A0572" w:rsidRDefault="004A0572" w:rsidP="00EF1A16">
            <w:pPr>
              <w:spacing w:before="90"/>
              <w:rPr>
                <w:sz w:val="22"/>
                <w:szCs w:val="22"/>
              </w:rPr>
            </w:pPr>
            <w:r w:rsidRPr="004A0572">
              <w:rPr>
                <w:b/>
                <w:bCs/>
                <w:sz w:val="22"/>
                <w:szCs w:val="22"/>
              </w:rPr>
              <w:t>Programme / Course:</w:t>
            </w:r>
          </w:p>
        </w:tc>
        <w:tc>
          <w:tcPr>
            <w:tcW w:w="6300" w:type="dxa"/>
            <w:tcBorders>
              <w:top w:val="none" w:sz="0" w:space="0" w:color="FFFFFF"/>
              <w:left w:val="none" w:sz="0" w:space="0" w:color="FFFFFF"/>
              <w:bottom w:val="single" w:sz="4" w:space="0" w:color="AAAAAA"/>
              <w:right w:val="none" w:sz="0" w:space="0" w:color="FFFFFF"/>
            </w:tcBorders>
          </w:tcPr>
          <w:p w14:paraId="41967084" w14:textId="77777777" w:rsidR="004A0572" w:rsidRPr="004A0572" w:rsidRDefault="004A0572" w:rsidP="00EF1A16">
            <w:pPr>
              <w:spacing w:before="90"/>
              <w:rPr>
                <w:sz w:val="22"/>
                <w:szCs w:val="22"/>
              </w:rPr>
            </w:pPr>
            <w:r w:rsidRPr="004A0572">
              <w:rPr>
                <w:sz w:val="22"/>
                <w:szCs w:val="22"/>
              </w:rPr>
              <w:t>Health and Social Care</w:t>
            </w:r>
          </w:p>
        </w:tc>
      </w:tr>
      <w:tr w:rsidR="004A0572" w14:paraId="6756EEF1" w14:textId="77777777" w:rsidTr="00EF1A16">
        <w:tblPrEx>
          <w:tblCellMar>
            <w:top w:w="0" w:type="dxa"/>
            <w:bottom w:w="0" w:type="dxa"/>
          </w:tblCellMar>
        </w:tblPrEx>
        <w:tc>
          <w:tcPr>
            <w:tcW w:w="2916" w:type="dxa"/>
            <w:tcBorders>
              <w:top w:val="none" w:sz="0" w:space="0" w:color="FFFFFF"/>
              <w:left w:val="none" w:sz="0" w:space="0" w:color="FFFFFF"/>
              <w:bottom w:val="none" w:sz="0" w:space="0" w:color="FFFFFF"/>
              <w:right w:val="none" w:sz="0" w:space="0" w:color="FFFFFF"/>
            </w:tcBorders>
          </w:tcPr>
          <w:p w14:paraId="6B32E784" w14:textId="77777777" w:rsidR="004A0572" w:rsidRPr="004A0572" w:rsidRDefault="004A0572" w:rsidP="00EF1A16">
            <w:pPr>
              <w:spacing w:before="90"/>
              <w:rPr>
                <w:sz w:val="22"/>
                <w:szCs w:val="22"/>
              </w:rPr>
            </w:pPr>
            <w:r w:rsidRPr="004A0572">
              <w:rPr>
                <w:b/>
                <w:bCs/>
                <w:sz w:val="22"/>
                <w:szCs w:val="22"/>
              </w:rPr>
              <w:t>Tutor / Marker:</w:t>
            </w:r>
          </w:p>
        </w:tc>
        <w:tc>
          <w:tcPr>
            <w:tcW w:w="6300" w:type="dxa"/>
            <w:tcBorders>
              <w:top w:val="none" w:sz="0" w:space="0" w:color="FFFFFF"/>
              <w:left w:val="none" w:sz="0" w:space="0" w:color="FFFFFF"/>
              <w:bottom w:val="single" w:sz="4" w:space="0" w:color="AAAAAA"/>
              <w:right w:val="none" w:sz="0" w:space="0" w:color="FFFFFF"/>
            </w:tcBorders>
          </w:tcPr>
          <w:p w14:paraId="1AE892DD" w14:textId="77777777" w:rsidR="004A0572" w:rsidRPr="004A0572" w:rsidRDefault="004A0572" w:rsidP="00EF1A16">
            <w:pPr>
              <w:spacing w:before="90"/>
              <w:rPr>
                <w:sz w:val="22"/>
                <w:szCs w:val="22"/>
              </w:rPr>
            </w:pPr>
            <w:r w:rsidRPr="004A0572">
              <w:rPr>
                <w:sz w:val="22"/>
                <w:szCs w:val="22"/>
              </w:rPr>
              <w:t>Brian Mashumba</w:t>
            </w:r>
          </w:p>
        </w:tc>
      </w:tr>
      <w:tr w:rsidR="004A0572" w14:paraId="48991251" w14:textId="77777777" w:rsidTr="00EF1A16">
        <w:tblPrEx>
          <w:tblCellMar>
            <w:top w:w="0" w:type="dxa"/>
            <w:bottom w:w="0" w:type="dxa"/>
          </w:tblCellMar>
        </w:tblPrEx>
        <w:tc>
          <w:tcPr>
            <w:tcW w:w="2916" w:type="dxa"/>
            <w:tcBorders>
              <w:top w:val="none" w:sz="0" w:space="0" w:color="FFFFFF"/>
              <w:left w:val="none" w:sz="0" w:space="0" w:color="FFFFFF"/>
              <w:bottom w:val="none" w:sz="0" w:space="0" w:color="FFFFFF"/>
              <w:right w:val="none" w:sz="0" w:space="0" w:color="FFFFFF"/>
            </w:tcBorders>
          </w:tcPr>
          <w:p w14:paraId="0D197868" w14:textId="77777777" w:rsidR="004A0572" w:rsidRPr="004A0572" w:rsidRDefault="004A0572" w:rsidP="00EF1A16">
            <w:pPr>
              <w:spacing w:before="90"/>
              <w:rPr>
                <w:sz w:val="22"/>
                <w:szCs w:val="22"/>
              </w:rPr>
            </w:pPr>
            <w:r w:rsidRPr="004A0572">
              <w:rPr>
                <w:b/>
                <w:bCs/>
                <w:sz w:val="22"/>
                <w:szCs w:val="22"/>
              </w:rPr>
              <w:t>Submission Date:</w:t>
            </w:r>
          </w:p>
        </w:tc>
        <w:tc>
          <w:tcPr>
            <w:tcW w:w="6300" w:type="dxa"/>
            <w:tcBorders>
              <w:top w:val="none" w:sz="0" w:space="0" w:color="FFFFFF"/>
              <w:left w:val="none" w:sz="0" w:space="0" w:color="FFFFFF"/>
              <w:bottom w:val="single" w:sz="4" w:space="0" w:color="AAAAAA"/>
              <w:right w:val="none" w:sz="0" w:space="0" w:color="FFFFFF"/>
            </w:tcBorders>
          </w:tcPr>
          <w:p w14:paraId="252CF3FE" w14:textId="77777777" w:rsidR="004A0572" w:rsidRPr="004A0572" w:rsidRDefault="004A0572" w:rsidP="00EF1A16">
            <w:pPr>
              <w:spacing w:before="90"/>
              <w:rPr>
                <w:sz w:val="22"/>
                <w:szCs w:val="22"/>
              </w:rPr>
            </w:pPr>
            <w:r w:rsidRPr="004A0572">
              <w:rPr>
                <w:sz w:val="22"/>
                <w:szCs w:val="22"/>
              </w:rPr>
              <w:t>7th August 2026</w:t>
            </w:r>
          </w:p>
        </w:tc>
      </w:tr>
      <w:tr w:rsidR="004A0572" w14:paraId="7AEC15D4" w14:textId="77777777" w:rsidTr="00EF1A16">
        <w:tblPrEx>
          <w:tblCellMar>
            <w:top w:w="0" w:type="dxa"/>
            <w:bottom w:w="0" w:type="dxa"/>
          </w:tblCellMar>
        </w:tblPrEx>
        <w:tc>
          <w:tcPr>
            <w:tcW w:w="2916" w:type="dxa"/>
            <w:tcBorders>
              <w:top w:val="none" w:sz="0" w:space="0" w:color="FFFFFF"/>
              <w:left w:val="none" w:sz="0" w:space="0" w:color="FFFFFF"/>
              <w:bottom w:val="none" w:sz="0" w:space="0" w:color="FFFFFF"/>
              <w:right w:val="none" w:sz="0" w:space="0" w:color="FFFFFF"/>
            </w:tcBorders>
          </w:tcPr>
          <w:p w14:paraId="33608C5C" w14:textId="77777777" w:rsidR="004A0572" w:rsidRPr="004A0572" w:rsidRDefault="004A0572" w:rsidP="00EF1A16">
            <w:pPr>
              <w:spacing w:before="90"/>
              <w:rPr>
                <w:sz w:val="22"/>
                <w:szCs w:val="22"/>
              </w:rPr>
            </w:pPr>
            <w:r w:rsidRPr="004A0572">
              <w:rPr>
                <w:b/>
                <w:bCs/>
                <w:sz w:val="22"/>
                <w:szCs w:val="22"/>
              </w:rPr>
              <w:t>Word Count:</w:t>
            </w:r>
          </w:p>
        </w:tc>
        <w:tc>
          <w:tcPr>
            <w:tcW w:w="6300" w:type="dxa"/>
            <w:tcBorders>
              <w:top w:val="none" w:sz="0" w:space="0" w:color="FFFFFF"/>
              <w:left w:val="none" w:sz="0" w:space="0" w:color="FFFFFF"/>
              <w:bottom w:val="single" w:sz="4" w:space="0" w:color="AAAAAA"/>
              <w:right w:val="none" w:sz="0" w:space="0" w:color="FFFFFF"/>
            </w:tcBorders>
          </w:tcPr>
          <w:p w14:paraId="19F58495" w14:textId="77777777" w:rsidR="004A0572" w:rsidRPr="004A0572" w:rsidRDefault="004A0572" w:rsidP="00EF1A16">
            <w:pPr>
              <w:spacing w:before="90"/>
              <w:rPr>
                <w:sz w:val="22"/>
                <w:szCs w:val="22"/>
              </w:rPr>
            </w:pPr>
            <w:r w:rsidRPr="004A0572">
              <w:rPr>
                <w:sz w:val="22"/>
                <w:szCs w:val="22"/>
              </w:rPr>
              <w:t>Poster (equivalency ~1,000) + Pitch ~950 words</w:t>
            </w:r>
          </w:p>
        </w:tc>
      </w:tr>
    </w:tbl>
    <w:p w14:paraId="4E0E4DB7" w14:textId="77777777" w:rsidR="004A0572" w:rsidRDefault="004A0572" w:rsidP="004A0572">
      <w:pPr>
        <w:spacing w:before="280"/>
      </w:pPr>
    </w:p>
    <w:p w14:paraId="27DAB6BB" w14:textId="77777777" w:rsidR="004A0572" w:rsidRDefault="004A0572"/>
    <w:p w14:paraId="1579BA85" w14:textId="77777777" w:rsidR="004A0572" w:rsidRDefault="004A0572"/>
    <w:p w14:paraId="51DEA13E" w14:textId="77777777" w:rsidR="004A0572" w:rsidRDefault="004A0572"/>
    <w:p w14:paraId="7DD9CD75" w14:textId="77777777" w:rsidR="004A0572" w:rsidRDefault="004A0572"/>
    <w:p w14:paraId="099FB2F9" w14:textId="77777777" w:rsidR="004A0572" w:rsidRDefault="004A0572"/>
    <w:p w14:paraId="2E43BCD9" w14:textId="77777777" w:rsidR="004A0572" w:rsidRDefault="004A0572"/>
    <w:p w14:paraId="4CDB9953" w14:textId="77777777" w:rsidR="004A0572" w:rsidRDefault="004A0572"/>
    <w:p w14:paraId="52E64FF6" w14:textId="77777777" w:rsidR="004A0572" w:rsidRDefault="004A0572"/>
    <w:p w14:paraId="712F99FD" w14:textId="77777777" w:rsidR="004A0572" w:rsidRDefault="004A0572"/>
    <w:p w14:paraId="30BDBA08" w14:textId="77777777" w:rsidR="004A0572" w:rsidRDefault="004A0572"/>
    <w:p w14:paraId="1E8662E7" w14:textId="77777777" w:rsidR="004A0572" w:rsidRDefault="004A0572"/>
    <w:p w14:paraId="4F853876" w14:textId="77777777" w:rsidR="004A0572" w:rsidRDefault="004A0572"/>
    <w:p w14:paraId="1314E6C0" w14:textId="77777777" w:rsidR="004A0572" w:rsidRDefault="004A0572"/>
    <w:p w14:paraId="276C6A0D" w14:textId="77777777" w:rsidR="004A0572" w:rsidRDefault="004A0572"/>
    <w:p w14:paraId="326027B3" w14:textId="77777777" w:rsidR="004A0572" w:rsidRDefault="004A0572"/>
    <w:tbl>
      <w:tblPr>
        <w:tblW w:w="11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106"/>
      </w:tblGrid>
      <w:tr w:rsidR="006B321A" w:rsidRPr="004A0572" w14:paraId="1540C4A8" w14:textId="77777777">
        <w:tblPrEx>
          <w:tblCellMar>
            <w:top w:w="0" w:type="dxa"/>
            <w:bottom w:w="0" w:type="dxa"/>
          </w:tblCellMar>
        </w:tblPrEx>
        <w:tc>
          <w:tcPr>
            <w:tcW w:w="11106" w:type="dxa"/>
            <w:tcBorders>
              <w:top w:val="single" w:sz="4" w:space="0" w:color="1F4E79"/>
              <w:left w:val="single" w:sz="4" w:space="0" w:color="1F4E79"/>
              <w:bottom w:val="single" w:sz="4" w:space="0" w:color="1F4E79"/>
              <w:right w:val="single" w:sz="4" w:space="0" w:color="1F4E79"/>
            </w:tcBorders>
            <w:shd w:val="clear" w:color="auto" w:fill="1F4E79"/>
            <w:tcMar>
              <w:top w:w="45" w:type="dxa"/>
              <w:left w:w="70" w:type="dxa"/>
              <w:bottom w:w="45" w:type="dxa"/>
              <w:right w:w="70" w:type="dxa"/>
            </w:tcMar>
          </w:tcPr>
          <w:p w14:paraId="5CEAD233" w14:textId="77777777" w:rsidR="006B321A" w:rsidRPr="004A0572" w:rsidRDefault="00B779D3">
            <w:pPr>
              <w:jc w:val="center"/>
              <w:rPr>
                <w:sz w:val="22"/>
                <w:szCs w:val="22"/>
              </w:rPr>
            </w:pPr>
            <w:r w:rsidRPr="004A0572">
              <w:rPr>
                <w:b/>
                <w:bCs/>
                <w:color w:val="FFFFFF"/>
                <w:sz w:val="22"/>
                <w:szCs w:val="22"/>
              </w:rPr>
              <w:t>HomeBridge</w:t>
            </w:r>
          </w:p>
          <w:p w14:paraId="378ED09C" w14:textId="77777777" w:rsidR="006B321A" w:rsidRPr="004A0572" w:rsidRDefault="00B779D3">
            <w:pPr>
              <w:spacing w:before="10"/>
              <w:jc w:val="center"/>
              <w:rPr>
                <w:sz w:val="22"/>
                <w:szCs w:val="22"/>
              </w:rPr>
            </w:pPr>
            <w:r w:rsidRPr="004A0572">
              <w:rPr>
                <w:i/>
                <w:iCs/>
                <w:color w:val="A9D08E"/>
                <w:sz w:val="22"/>
                <w:szCs w:val="22"/>
              </w:rPr>
              <w:t>Bridging the Gap from Hospital to Home</w:t>
            </w:r>
          </w:p>
          <w:p w14:paraId="7CE5C197" w14:textId="69AC5237" w:rsidR="006B321A" w:rsidRPr="004A0572" w:rsidRDefault="006B321A">
            <w:pPr>
              <w:spacing w:before="10"/>
              <w:jc w:val="center"/>
              <w:rPr>
                <w:sz w:val="22"/>
                <w:szCs w:val="22"/>
              </w:rPr>
            </w:pPr>
          </w:p>
        </w:tc>
      </w:tr>
    </w:tbl>
    <w:p w14:paraId="70C50BD0" w14:textId="77777777" w:rsidR="006B321A" w:rsidRPr="004A0572" w:rsidRDefault="006B321A">
      <w:pPr>
        <w:spacing w:before="50"/>
        <w:rPr>
          <w:sz w:val="22"/>
          <w:szCs w:val="22"/>
        </w:rPr>
      </w:pPr>
    </w:p>
    <w:tbl>
      <w:tblPr>
        <w:tblW w:w="11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553"/>
        <w:gridCol w:w="5553"/>
      </w:tblGrid>
      <w:tr w:rsidR="006B321A" w:rsidRPr="004A0572" w14:paraId="2F8C4C91" w14:textId="77777777">
        <w:tblPrEx>
          <w:tblCellMar>
            <w:top w:w="0" w:type="dxa"/>
            <w:bottom w:w="0" w:type="dxa"/>
          </w:tblCellMar>
        </w:tblPrEx>
        <w:tc>
          <w:tcPr>
            <w:tcW w:w="5553" w:type="dxa"/>
            <w:tcBorders>
              <w:top w:val="single" w:sz="4" w:space="0" w:color="1F4E79"/>
              <w:left w:val="single" w:sz="4" w:space="0" w:color="1F4E79"/>
              <w:bottom w:val="single" w:sz="4" w:space="0" w:color="1F4E79"/>
              <w:right w:val="single" w:sz="4" w:space="0" w:color="1F4E79"/>
            </w:tcBorders>
            <w:shd w:val="clear" w:color="auto" w:fill="FCE4D6"/>
            <w:tcMar>
              <w:top w:w="35" w:type="dxa"/>
              <w:left w:w="60" w:type="dxa"/>
              <w:bottom w:w="35" w:type="dxa"/>
              <w:right w:w="60" w:type="dxa"/>
            </w:tcMar>
          </w:tcPr>
          <w:p w14:paraId="52631FE6" w14:textId="77777777" w:rsidR="006B321A" w:rsidRPr="004A0572" w:rsidRDefault="00B779D3">
            <w:pPr>
              <w:spacing w:after="25"/>
              <w:rPr>
                <w:sz w:val="22"/>
                <w:szCs w:val="22"/>
              </w:rPr>
            </w:pPr>
            <w:r w:rsidRPr="004A0572">
              <w:rPr>
                <w:b/>
                <w:bCs/>
                <w:color w:val="C00000"/>
                <w:sz w:val="22"/>
                <w:szCs w:val="22"/>
              </w:rPr>
              <w:t>THE ISSUE / GAPS</w:t>
            </w:r>
          </w:p>
          <w:p w14:paraId="3FCBA5C7" w14:textId="77777777" w:rsidR="006B321A" w:rsidRPr="004A0572" w:rsidRDefault="00B779D3">
            <w:pPr>
              <w:pStyle w:val="ListParagraph"/>
              <w:numPr>
                <w:ilvl w:val="0"/>
                <w:numId w:val="2"/>
              </w:numPr>
              <w:spacing w:after="10"/>
              <w:rPr>
                <w:sz w:val="22"/>
                <w:szCs w:val="22"/>
              </w:rPr>
            </w:pPr>
            <w:r w:rsidRPr="004A0572">
              <w:rPr>
                <w:sz w:val="22"/>
                <w:szCs w:val="22"/>
              </w:rPr>
              <w:t>~13,000 patients/day medically fit but still in hospital (King’s Fund, 2026; Age UK, 2026).</w:t>
            </w:r>
          </w:p>
          <w:p w14:paraId="02A39A5D" w14:textId="77777777" w:rsidR="006B321A" w:rsidRPr="004A0572" w:rsidRDefault="00B779D3">
            <w:pPr>
              <w:pStyle w:val="ListParagraph"/>
              <w:numPr>
                <w:ilvl w:val="0"/>
                <w:numId w:val="2"/>
              </w:numPr>
              <w:spacing w:after="10"/>
              <w:rPr>
                <w:sz w:val="22"/>
                <w:szCs w:val="22"/>
              </w:rPr>
            </w:pPr>
            <w:r w:rsidRPr="004A0572">
              <w:rPr>
                <w:sz w:val="22"/>
                <w:szCs w:val="22"/>
              </w:rPr>
              <w:t>Cost: £2.7 billion in 2025/26; nearly 1 in 10 acute beds occupied by delayed patients.</w:t>
            </w:r>
          </w:p>
          <w:p w14:paraId="596597CF" w14:textId="77777777" w:rsidR="006B321A" w:rsidRPr="004A0572" w:rsidRDefault="00B779D3">
            <w:pPr>
              <w:pStyle w:val="ListParagraph"/>
              <w:numPr>
                <w:ilvl w:val="0"/>
                <w:numId w:val="2"/>
              </w:numPr>
              <w:spacing w:after="10"/>
              <w:rPr>
                <w:sz w:val="22"/>
                <w:szCs w:val="22"/>
              </w:rPr>
            </w:pPr>
            <w:r w:rsidRPr="004A0572">
              <w:rPr>
                <w:sz w:val="22"/>
                <w:szCs w:val="22"/>
              </w:rPr>
              <w:t>Only 14% of unpaid carers asked about ability/willingness to care at discharge (Carers UK, 2025).</w:t>
            </w:r>
          </w:p>
          <w:p w14:paraId="297DB89E" w14:textId="77777777" w:rsidR="006B321A" w:rsidRPr="004A0572" w:rsidRDefault="00B779D3">
            <w:pPr>
              <w:pStyle w:val="ListParagraph"/>
              <w:numPr>
                <w:ilvl w:val="0"/>
                <w:numId w:val="2"/>
              </w:numPr>
              <w:rPr>
                <w:sz w:val="22"/>
                <w:szCs w:val="22"/>
              </w:rPr>
            </w:pPr>
            <w:r w:rsidRPr="004A0572">
              <w:rPr>
                <w:sz w:val="22"/>
                <w:szCs w:val="22"/>
              </w:rPr>
              <w:t>Fragmented communication drives avoidable readmissions and carer burnout.</w:t>
            </w:r>
          </w:p>
        </w:tc>
        <w:tc>
          <w:tcPr>
            <w:tcW w:w="5553" w:type="dxa"/>
            <w:tcBorders>
              <w:top w:val="single" w:sz="4" w:space="0" w:color="1F4E79"/>
              <w:left w:val="single" w:sz="4" w:space="0" w:color="1F4E79"/>
              <w:bottom w:val="single" w:sz="4" w:space="0" w:color="1F4E79"/>
              <w:right w:val="single" w:sz="4" w:space="0" w:color="1F4E79"/>
            </w:tcBorders>
            <w:shd w:val="clear" w:color="auto" w:fill="E2EFDA"/>
            <w:tcMar>
              <w:top w:w="35" w:type="dxa"/>
              <w:left w:w="60" w:type="dxa"/>
              <w:bottom w:w="35" w:type="dxa"/>
              <w:right w:w="60" w:type="dxa"/>
            </w:tcMar>
          </w:tcPr>
          <w:p w14:paraId="57205CC4" w14:textId="77777777" w:rsidR="006B321A" w:rsidRPr="004A0572" w:rsidRDefault="00B779D3">
            <w:pPr>
              <w:spacing w:after="25"/>
              <w:rPr>
                <w:sz w:val="22"/>
                <w:szCs w:val="22"/>
              </w:rPr>
            </w:pPr>
            <w:r w:rsidRPr="004A0572">
              <w:rPr>
                <w:b/>
                <w:bCs/>
                <w:color w:val="375623"/>
                <w:sz w:val="22"/>
                <w:szCs w:val="22"/>
              </w:rPr>
              <w:t>TARGET AUDIENCE &amp; IMPACT</w:t>
            </w:r>
          </w:p>
          <w:p w14:paraId="0F939D1A" w14:textId="77777777" w:rsidR="006B321A" w:rsidRPr="004A0572" w:rsidRDefault="00B779D3">
            <w:pPr>
              <w:spacing w:after="10"/>
              <w:rPr>
                <w:sz w:val="22"/>
                <w:szCs w:val="22"/>
              </w:rPr>
            </w:pPr>
            <w:r w:rsidRPr="004A0572">
              <w:rPr>
                <w:b/>
                <w:bCs/>
                <w:sz w:val="22"/>
                <w:szCs w:val="22"/>
              </w:rPr>
              <w:t xml:space="preserve">Primary: </w:t>
            </w:r>
            <w:r w:rsidRPr="004A0572">
              <w:rPr>
                <w:sz w:val="22"/>
                <w:szCs w:val="22"/>
              </w:rPr>
              <w:t>Older adults (65+) with complex needs (Pathways 1–2) + unpaid carers (5.8 million in UK).</w:t>
            </w:r>
          </w:p>
          <w:p w14:paraId="2CFEB661" w14:textId="77777777" w:rsidR="006B321A" w:rsidRPr="004A0572" w:rsidRDefault="00B779D3">
            <w:pPr>
              <w:pStyle w:val="ListParagraph"/>
              <w:numPr>
                <w:ilvl w:val="0"/>
                <w:numId w:val="3"/>
              </w:numPr>
              <w:spacing w:after="10"/>
              <w:rPr>
                <w:sz w:val="22"/>
                <w:szCs w:val="22"/>
              </w:rPr>
            </w:pPr>
            <w:r w:rsidRPr="004A0572">
              <w:rPr>
                <w:sz w:val="22"/>
                <w:szCs w:val="22"/>
              </w:rPr>
              <w:t>Fewer delayed discharges &amp; shorter stays.</w:t>
            </w:r>
          </w:p>
          <w:p w14:paraId="42A7691A" w14:textId="77777777" w:rsidR="006B321A" w:rsidRPr="004A0572" w:rsidRDefault="00B779D3">
            <w:pPr>
              <w:pStyle w:val="ListParagraph"/>
              <w:numPr>
                <w:ilvl w:val="0"/>
                <w:numId w:val="3"/>
              </w:numPr>
              <w:spacing w:after="10"/>
              <w:rPr>
                <w:sz w:val="22"/>
                <w:szCs w:val="22"/>
              </w:rPr>
            </w:pPr>
            <w:r w:rsidRPr="004A0572">
              <w:rPr>
                <w:sz w:val="22"/>
                <w:szCs w:val="22"/>
              </w:rPr>
              <w:t>Reduced 30/90-day emergency readmissions.</w:t>
            </w:r>
          </w:p>
          <w:p w14:paraId="2B77D753" w14:textId="77777777" w:rsidR="006B321A" w:rsidRPr="004A0572" w:rsidRDefault="00B779D3">
            <w:pPr>
              <w:pStyle w:val="ListParagraph"/>
              <w:numPr>
                <w:ilvl w:val="0"/>
                <w:numId w:val="3"/>
              </w:numPr>
              <w:rPr>
                <w:sz w:val="22"/>
                <w:szCs w:val="22"/>
              </w:rPr>
            </w:pPr>
            <w:r w:rsidRPr="004A0572">
              <w:rPr>
                <w:sz w:val="22"/>
                <w:szCs w:val="22"/>
              </w:rPr>
              <w:t>Improved carer confidence &amp; recognition; frees capacity for the common good.</w:t>
            </w:r>
          </w:p>
        </w:tc>
      </w:tr>
    </w:tbl>
    <w:p w14:paraId="3462201B" w14:textId="77777777" w:rsidR="006B321A" w:rsidRPr="004A0572" w:rsidRDefault="006B321A">
      <w:pPr>
        <w:spacing w:before="45"/>
        <w:rPr>
          <w:sz w:val="22"/>
          <w:szCs w:val="22"/>
        </w:rPr>
      </w:pPr>
    </w:p>
    <w:tbl>
      <w:tblPr>
        <w:tblW w:w="11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106"/>
      </w:tblGrid>
      <w:tr w:rsidR="006B321A" w:rsidRPr="004A0572" w14:paraId="062092B3" w14:textId="77777777">
        <w:tblPrEx>
          <w:tblCellMar>
            <w:top w:w="0" w:type="dxa"/>
            <w:bottom w:w="0" w:type="dxa"/>
          </w:tblCellMar>
        </w:tblPrEx>
        <w:tc>
          <w:tcPr>
            <w:tcW w:w="11106" w:type="dxa"/>
            <w:tcBorders>
              <w:top w:val="single" w:sz="4" w:space="0" w:color="1F4E79"/>
              <w:left w:val="single" w:sz="4" w:space="0" w:color="1F4E79"/>
              <w:bottom w:val="single" w:sz="4" w:space="0" w:color="1F4E79"/>
              <w:right w:val="single" w:sz="4" w:space="0" w:color="1F4E79"/>
            </w:tcBorders>
            <w:shd w:val="clear" w:color="auto" w:fill="DDEBF7"/>
            <w:tcMar>
              <w:top w:w="35" w:type="dxa"/>
              <w:left w:w="60" w:type="dxa"/>
              <w:bottom w:w="35" w:type="dxa"/>
              <w:right w:w="60" w:type="dxa"/>
            </w:tcMar>
          </w:tcPr>
          <w:p w14:paraId="337685F3" w14:textId="77777777" w:rsidR="006B321A" w:rsidRPr="004A0572" w:rsidRDefault="00B779D3">
            <w:pPr>
              <w:spacing w:after="20"/>
              <w:rPr>
                <w:sz w:val="22"/>
                <w:szCs w:val="22"/>
              </w:rPr>
            </w:pPr>
            <w:r w:rsidRPr="004A0572">
              <w:rPr>
                <w:b/>
                <w:bCs/>
                <w:color w:val="1F4E79"/>
                <w:sz w:val="22"/>
                <w:szCs w:val="22"/>
              </w:rPr>
              <w:t>IMPLEMENTATION – WHERE, BY WHOM &amp; HOW</w:t>
            </w:r>
          </w:p>
          <w:p w14:paraId="64FD8275" w14:textId="77777777" w:rsidR="006B321A" w:rsidRPr="004A0572" w:rsidRDefault="00B779D3">
            <w:pPr>
              <w:spacing w:after="8"/>
              <w:rPr>
                <w:sz w:val="22"/>
                <w:szCs w:val="22"/>
              </w:rPr>
            </w:pPr>
            <w:r w:rsidRPr="004A0572">
              <w:rPr>
                <w:b/>
                <w:bCs/>
                <w:sz w:val="22"/>
                <w:szCs w:val="22"/>
              </w:rPr>
              <w:t xml:space="preserve">Where: </w:t>
            </w:r>
            <w:r w:rsidRPr="004A0572">
              <w:rPr>
                <w:sz w:val="22"/>
                <w:szCs w:val="22"/>
              </w:rPr>
              <w:t>Acute trusts, ICBs, community health, local authority adult social care &amp; voluntary sector (England, scalable UK-wide).</w:t>
            </w:r>
          </w:p>
          <w:p w14:paraId="6C82B1C5" w14:textId="77777777" w:rsidR="006B321A" w:rsidRPr="004A0572" w:rsidRDefault="00B779D3">
            <w:pPr>
              <w:spacing w:after="8"/>
              <w:rPr>
                <w:sz w:val="22"/>
                <w:szCs w:val="22"/>
              </w:rPr>
            </w:pPr>
            <w:r w:rsidRPr="004A0572">
              <w:rPr>
                <w:b/>
                <w:bCs/>
                <w:sz w:val="22"/>
                <w:szCs w:val="22"/>
              </w:rPr>
              <w:t xml:space="preserve">By whom: </w:t>
            </w:r>
            <w:r w:rsidRPr="004A0572">
              <w:rPr>
                <w:sz w:val="22"/>
                <w:szCs w:val="22"/>
              </w:rPr>
              <w:t>Multidisciplinary Bridge Teams (nurses, therapists, social workers, link workers) + existing Care Transfer Hubs under Discharge to Assess.</w:t>
            </w:r>
          </w:p>
          <w:p w14:paraId="6CEAC8A7" w14:textId="77777777" w:rsidR="006B321A" w:rsidRPr="004A0572" w:rsidRDefault="00B779D3">
            <w:pPr>
              <w:rPr>
                <w:sz w:val="22"/>
                <w:szCs w:val="22"/>
              </w:rPr>
            </w:pPr>
            <w:r w:rsidRPr="004A0572">
              <w:rPr>
                <w:b/>
                <w:bCs/>
                <w:sz w:val="22"/>
                <w:szCs w:val="22"/>
              </w:rPr>
              <w:t xml:space="preserve">How: </w:t>
            </w:r>
            <w:r w:rsidRPr="004A0572">
              <w:rPr>
                <w:sz w:val="22"/>
                <w:szCs w:val="22"/>
              </w:rPr>
              <w:t>Enrol at medical optimisation → personalised shared digital care plan + AI risk stratification → high-risk cases get intensive Bridge support 30–90 days; others receive app monitoring, prompts &amp; rapid escalation.</w:t>
            </w:r>
          </w:p>
        </w:tc>
      </w:tr>
    </w:tbl>
    <w:p w14:paraId="2AA8A363" w14:textId="77777777" w:rsidR="006B321A" w:rsidRPr="004A0572" w:rsidRDefault="006B321A">
      <w:pPr>
        <w:spacing w:before="45"/>
        <w:rPr>
          <w:sz w:val="22"/>
          <w:szCs w:val="22"/>
        </w:rPr>
      </w:pPr>
    </w:p>
    <w:tbl>
      <w:tblPr>
        <w:tblW w:w="11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553"/>
        <w:gridCol w:w="5553"/>
      </w:tblGrid>
      <w:tr w:rsidR="006B321A" w:rsidRPr="004A0572" w14:paraId="6D5644F2" w14:textId="77777777">
        <w:tblPrEx>
          <w:tblCellMar>
            <w:top w:w="0" w:type="dxa"/>
            <w:bottom w:w="0" w:type="dxa"/>
          </w:tblCellMar>
        </w:tblPrEx>
        <w:tc>
          <w:tcPr>
            <w:tcW w:w="5553" w:type="dxa"/>
            <w:tcBorders>
              <w:top w:val="single" w:sz="4" w:space="0" w:color="1F4E79"/>
              <w:left w:val="single" w:sz="4" w:space="0" w:color="1F4E79"/>
              <w:bottom w:val="single" w:sz="4" w:space="0" w:color="1F4E79"/>
              <w:right w:val="single" w:sz="4" w:space="0" w:color="1F4E79"/>
            </w:tcBorders>
            <w:shd w:val="clear" w:color="auto" w:fill="FFF2CC"/>
            <w:tcMar>
              <w:top w:w="35" w:type="dxa"/>
              <w:left w:w="60" w:type="dxa"/>
              <w:bottom w:w="35" w:type="dxa"/>
              <w:right w:w="60" w:type="dxa"/>
            </w:tcMar>
          </w:tcPr>
          <w:p w14:paraId="2290D5F2" w14:textId="77777777" w:rsidR="006B321A" w:rsidRPr="004A0572" w:rsidRDefault="00B779D3">
            <w:pPr>
              <w:spacing w:after="20"/>
              <w:rPr>
                <w:sz w:val="22"/>
                <w:szCs w:val="22"/>
              </w:rPr>
            </w:pPr>
            <w:r w:rsidRPr="004A0572">
              <w:rPr>
                <w:b/>
                <w:bCs/>
                <w:color w:val="806000"/>
                <w:sz w:val="22"/>
                <w:szCs w:val="22"/>
              </w:rPr>
              <w:t>TIMELINE (KEY PHASES)</w:t>
            </w:r>
          </w:p>
          <w:p w14:paraId="296C7B9C" w14:textId="77777777" w:rsidR="006B321A" w:rsidRPr="004A0572" w:rsidRDefault="00B779D3">
            <w:pPr>
              <w:pStyle w:val="ListParagraph"/>
              <w:numPr>
                <w:ilvl w:val="0"/>
                <w:numId w:val="4"/>
              </w:numPr>
              <w:spacing w:after="8"/>
              <w:rPr>
                <w:sz w:val="22"/>
                <w:szCs w:val="22"/>
              </w:rPr>
            </w:pPr>
            <w:r w:rsidRPr="004A0572">
              <w:rPr>
                <w:sz w:val="22"/>
                <w:szCs w:val="22"/>
              </w:rPr>
              <w:t>0–6 months: Co-design, DPIA/DTAC, pilot site selection (2–3 ICBs).</w:t>
            </w:r>
          </w:p>
          <w:p w14:paraId="41CEC938" w14:textId="77777777" w:rsidR="006B321A" w:rsidRPr="004A0572" w:rsidRDefault="00B779D3">
            <w:pPr>
              <w:pStyle w:val="ListParagraph"/>
              <w:numPr>
                <w:ilvl w:val="0"/>
                <w:numId w:val="4"/>
              </w:numPr>
              <w:spacing w:after="8"/>
              <w:rPr>
                <w:sz w:val="22"/>
                <w:szCs w:val="22"/>
              </w:rPr>
            </w:pPr>
            <w:r w:rsidRPr="004A0572">
              <w:rPr>
                <w:sz w:val="22"/>
                <w:szCs w:val="22"/>
              </w:rPr>
              <w:t>7–12 months: Build, train staff, soft launch &amp; iterate.</w:t>
            </w:r>
          </w:p>
          <w:p w14:paraId="350A3001" w14:textId="77777777" w:rsidR="006B321A" w:rsidRPr="004A0572" w:rsidRDefault="00B779D3">
            <w:pPr>
              <w:pStyle w:val="ListParagraph"/>
              <w:numPr>
                <w:ilvl w:val="0"/>
                <w:numId w:val="4"/>
              </w:numPr>
              <w:spacing w:after="8"/>
              <w:rPr>
                <w:sz w:val="22"/>
                <w:szCs w:val="22"/>
              </w:rPr>
            </w:pPr>
            <w:r w:rsidRPr="004A0572">
              <w:rPr>
                <w:sz w:val="22"/>
                <w:szCs w:val="22"/>
              </w:rPr>
              <w:t>13–18 months: Full pilot evaluation (readmissions, delays, carer experience, cost).</w:t>
            </w:r>
          </w:p>
          <w:p w14:paraId="62E054DA" w14:textId="77777777" w:rsidR="006B321A" w:rsidRPr="004A0572" w:rsidRDefault="00B779D3">
            <w:pPr>
              <w:pStyle w:val="ListParagraph"/>
              <w:numPr>
                <w:ilvl w:val="0"/>
                <w:numId w:val="4"/>
              </w:numPr>
              <w:rPr>
                <w:sz w:val="22"/>
                <w:szCs w:val="22"/>
              </w:rPr>
            </w:pPr>
            <w:r w:rsidRPr="004A0572">
              <w:rPr>
                <w:sz w:val="22"/>
                <w:szCs w:val="22"/>
              </w:rPr>
              <w:t>19–24 months: Refine &amp; phased national rollout via ICBs.</w:t>
            </w:r>
          </w:p>
        </w:tc>
        <w:tc>
          <w:tcPr>
            <w:tcW w:w="5553" w:type="dxa"/>
            <w:tcBorders>
              <w:top w:val="single" w:sz="4" w:space="0" w:color="1F4E79"/>
              <w:left w:val="single" w:sz="4" w:space="0" w:color="1F4E79"/>
              <w:bottom w:val="single" w:sz="4" w:space="0" w:color="1F4E79"/>
              <w:right w:val="single" w:sz="4" w:space="0" w:color="1F4E79"/>
            </w:tcBorders>
            <w:shd w:val="clear" w:color="auto" w:fill="FCE4D6"/>
            <w:tcMar>
              <w:top w:w="35" w:type="dxa"/>
              <w:left w:w="60" w:type="dxa"/>
              <w:bottom w:w="35" w:type="dxa"/>
              <w:right w:w="60" w:type="dxa"/>
            </w:tcMar>
          </w:tcPr>
          <w:p w14:paraId="53241BC4" w14:textId="77777777" w:rsidR="006B321A" w:rsidRPr="004A0572" w:rsidRDefault="00B779D3">
            <w:pPr>
              <w:spacing w:after="20"/>
              <w:rPr>
                <w:sz w:val="22"/>
                <w:szCs w:val="22"/>
              </w:rPr>
            </w:pPr>
            <w:r w:rsidRPr="004A0572">
              <w:rPr>
                <w:b/>
                <w:bCs/>
                <w:color w:val="C65911"/>
                <w:sz w:val="22"/>
                <w:szCs w:val="22"/>
              </w:rPr>
              <w:t>DEVELOPMENT &amp; REGULATIONS</w:t>
            </w:r>
          </w:p>
          <w:p w14:paraId="2B4A0F9D" w14:textId="77777777" w:rsidR="006B321A" w:rsidRPr="004A0572" w:rsidRDefault="00B779D3">
            <w:pPr>
              <w:pStyle w:val="ListParagraph"/>
              <w:numPr>
                <w:ilvl w:val="0"/>
                <w:numId w:val="5"/>
              </w:numPr>
              <w:spacing w:after="8"/>
              <w:rPr>
                <w:sz w:val="22"/>
                <w:szCs w:val="22"/>
              </w:rPr>
            </w:pPr>
            <w:r w:rsidRPr="004A0572">
              <w:rPr>
                <w:sz w:val="22"/>
                <w:szCs w:val="22"/>
              </w:rPr>
              <w:t>Discharge to Assess, Care Act 2014, Health &amp; Care Act 2022, NHS 10 Year Plan (2025).</w:t>
            </w:r>
          </w:p>
          <w:p w14:paraId="5345B29B" w14:textId="77777777" w:rsidR="006B321A" w:rsidRPr="004A0572" w:rsidRDefault="00B779D3">
            <w:pPr>
              <w:pStyle w:val="ListParagraph"/>
              <w:numPr>
                <w:ilvl w:val="0"/>
                <w:numId w:val="5"/>
              </w:numPr>
              <w:spacing w:after="8"/>
              <w:rPr>
                <w:sz w:val="22"/>
                <w:szCs w:val="22"/>
              </w:rPr>
            </w:pPr>
            <w:r w:rsidRPr="004A0572">
              <w:rPr>
                <w:sz w:val="22"/>
                <w:szCs w:val="22"/>
              </w:rPr>
              <w:t>NICE NG27 (hospital–community transitions).</w:t>
            </w:r>
          </w:p>
          <w:p w14:paraId="33E1C378" w14:textId="77777777" w:rsidR="006B321A" w:rsidRPr="004A0572" w:rsidRDefault="00B779D3">
            <w:pPr>
              <w:pStyle w:val="ListParagraph"/>
              <w:numPr>
                <w:ilvl w:val="0"/>
                <w:numId w:val="5"/>
              </w:numPr>
              <w:spacing w:after="8"/>
              <w:rPr>
                <w:sz w:val="22"/>
                <w:szCs w:val="22"/>
              </w:rPr>
            </w:pPr>
            <w:r w:rsidRPr="004A0572">
              <w:rPr>
                <w:sz w:val="22"/>
                <w:szCs w:val="22"/>
              </w:rPr>
              <w:t>UK GDPR, DSP Toolkit, DTAC; MHRA SaMD if AI risk tools require it.</w:t>
            </w:r>
          </w:p>
          <w:p w14:paraId="7714A04B" w14:textId="77777777" w:rsidR="006B321A" w:rsidRPr="004A0572" w:rsidRDefault="00B779D3">
            <w:pPr>
              <w:pStyle w:val="ListParagraph"/>
              <w:numPr>
                <w:ilvl w:val="0"/>
                <w:numId w:val="5"/>
              </w:numPr>
              <w:rPr>
                <w:sz w:val="22"/>
                <w:szCs w:val="22"/>
              </w:rPr>
            </w:pPr>
            <w:r w:rsidRPr="004A0572">
              <w:rPr>
                <w:sz w:val="22"/>
                <w:szCs w:val="22"/>
              </w:rPr>
              <w:t>CQC alignment &amp; local authority Care Act duties.</w:t>
            </w:r>
          </w:p>
        </w:tc>
      </w:tr>
    </w:tbl>
    <w:p w14:paraId="219FE0BE" w14:textId="77777777" w:rsidR="006B321A" w:rsidRPr="004A0572" w:rsidRDefault="006B321A">
      <w:pPr>
        <w:spacing w:before="45"/>
        <w:rPr>
          <w:sz w:val="22"/>
          <w:szCs w:val="22"/>
        </w:rPr>
      </w:pPr>
    </w:p>
    <w:tbl>
      <w:tblPr>
        <w:tblW w:w="11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106"/>
      </w:tblGrid>
      <w:tr w:rsidR="006B321A" w:rsidRPr="004A0572" w14:paraId="42C7C644" w14:textId="77777777">
        <w:tblPrEx>
          <w:tblCellMar>
            <w:top w:w="0" w:type="dxa"/>
            <w:bottom w:w="0" w:type="dxa"/>
          </w:tblCellMar>
        </w:tblPrEx>
        <w:tc>
          <w:tcPr>
            <w:tcW w:w="11106" w:type="dxa"/>
            <w:tcBorders>
              <w:top w:val="single" w:sz="4" w:space="0" w:color="1F4E79"/>
              <w:left w:val="single" w:sz="4" w:space="0" w:color="1F4E79"/>
              <w:bottom w:val="single" w:sz="4" w:space="0" w:color="1F4E79"/>
              <w:right w:val="single" w:sz="4" w:space="0" w:color="1F4E79"/>
            </w:tcBorders>
            <w:shd w:val="clear" w:color="auto" w:fill="E2D5F1"/>
            <w:tcMar>
              <w:top w:w="35" w:type="dxa"/>
              <w:left w:w="60" w:type="dxa"/>
              <w:bottom w:w="35" w:type="dxa"/>
              <w:right w:w="60" w:type="dxa"/>
            </w:tcMar>
          </w:tcPr>
          <w:p w14:paraId="0D7D9100" w14:textId="77777777" w:rsidR="006B321A" w:rsidRPr="004A0572" w:rsidRDefault="00B779D3">
            <w:pPr>
              <w:spacing w:after="20"/>
              <w:rPr>
                <w:sz w:val="22"/>
                <w:szCs w:val="22"/>
              </w:rPr>
            </w:pPr>
            <w:r w:rsidRPr="004A0572">
              <w:rPr>
                <w:b/>
                <w:bCs/>
                <w:color w:val="5B2C6F"/>
                <w:sz w:val="22"/>
                <w:szCs w:val="22"/>
              </w:rPr>
              <w:t>TECHNOLOGY INTEGRATION</w:t>
            </w:r>
          </w:p>
          <w:p w14:paraId="2530546A" w14:textId="77777777" w:rsidR="006B321A" w:rsidRPr="004A0572" w:rsidRDefault="00B779D3">
            <w:pPr>
              <w:spacing w:after="8"/>
              <w:rPr>
                <w:sz w:val="22"/>
                <w:szCs w:val="22"/>
              </w:rPr>
            </w:pPr>
            <w:r w:rsidRPr="004A0572">
              <w:rPr>
                <w:b/>
                <w:bCs/>
                <w:sz w:val="22"/>
                <w:szCs w:val="22"/>
              </w:rPr>
              <w:t xml:space="preserve">Core: </w:t>
            </w:r>
            <w:r w:rsidRPr="004A0572">
              <w:rPr>
                <w:sz w:val="22"/>
                <w:szCs w:val="22"/>
              </w:rPr>
              <w:t>Patient/carer app + web portal; clinician dashboard; AI risk-prediction (discharge data, frailty, history, social factors); shared digital care plan visible to hospital, community, social care, GP &amp; named carers; medication/appointment reminders; secure messaging &amp; escalation alerts. Optional NHS App / shared care record links.</w:t>
            </w:r>
          </w:p>
          <w:p w14:paraId="4A232ED0" w14:textId="77777777" w:rsidR="006B321A" w:rsidRPr="004A0572" w:rsidRDefault="00B779D3">
            <w:pPr>
              <w:rPr>
                <w:sz w:val="22"/>
                <w:szCs w:val="22"/>
              </w:rPr>
            </w:pPr>
            <w:r w:rsidRPr="004A0572">
              <w:rPr>
                <w:b/>
                <w:bCs/>
                <w:sz w:val="22"/>
                <w:szCs w:val="22"/>
              </w:rPr>
              <w:t xml:space="preserve">Value: </w:t>
            </w:r>
            <w:r w:rsidRPr="004A0572">
              <w:rPr>
                <w:sz w:val="22"/>
                <w:szCs w:val="22"/>
              </w:rPr>
              <w:t>Real-time visibility closes information gaps; AI prioritises scarce Bridge capacity to highest-risk people; carers get timely support &amp; peer links; data drives continuous improvement.</w:t>
            </w:r>
          </w:p>
        </w:tc>
      </w:tr>
    </w:tbl>
    <w:p w14:paraId="050DFD57" w14:textId="77777777" w:rsidR="006B321A" w:rsidRPr="004A0572" w:rsidRDefault="006B321A">
      <w:pPr>
        <w:spacing w:before="45"/>
        <w:rPr>
          <w:sz w:val="22"/>
          <w:szCs w:val="22"/>
        </w:rPr>
      </w:pPr>
    </w:p>
    <w:tbl>
      <w:tblPr>
        <w:tblW w:w="11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553"/>
        <w:gridCol w:w="5553"/>
      </w:tblGrid>
      <w:tr w:rsidR="006B321A" w:rsidRPr="004A0572" w14:paraId="3A15CEE7" w14:textId="77777777">
        <w:tblPrEx>
          <w:tblCellMar>
            <w:top w:w="0" w:type="dxa"/>
            <w:bottom w:w="0" w:type="dxa"/>
          </w:tblCellMar>
        </w:tblPrEx>
        <w:tc>
          <w:tcPr>
            <w:tcW w:w="5553" w:type="dxa"/>
            <w:tcBorders>
              <w:top w:val="single" w:sz="4" w:space="0" w:color="1F4E79"/>
              <w:left w:val="single" w:sz="4" w:space="0" w:color="1F4E79"/>
              <w:bottom w:val="single" w:sz="4" w:space="0" w:color="1F4E79"/>
              <w:right w:val="single" w:sz="4" w:space="0" w:color="1F4E79"/>
            </w:tcBorders>
            <w:shd w:val="clear" w:color="auto" w:fill="DDEBF7"/>
            <w:tcMar>
              <w:top w:w="35" w:type="dxa"/>
              <w:left w:w="60" w:type="dxa"/>
              <w:bottom w:w="35" w:type="dxa"/>
              <w:right w:w="60" w:type="dxa"/>
            </w:tcMar>
          </w:tcPr>
          <w:p w14:paraId="04BCB5E5" w14:textId="77777777" w:rsidR="006B321A" w:rsidRPr="004A0572" w:rsidRDefault="00B779D3">
            <w:pPr>
              <w:spacing w:after="20"/>
              <w:rPr>
                <w:sz w:val="22"/>
                <w:szCs w:val="22"/>
              </w:rPr>
            </w:pPr>
            <w:r w:rsidRPr="004A0572">
              <w:rPr>
                <w:b/>
                <w:bCs/>
                <w:color w:val="1F4E79"/>
                <w:sz w:val="22"/>
                <w:szCs w:val="22"/>
              </w:rPr>
              <w:t>DISSEMINATION &amp; PROMOTION</w:t>
            </w:r>
          </w:p>
          <w:p w14:paraId="569ACA03" w14:textId="77777777" w:rsidR="006B321A" w:rsidRPr="004A0572" w:rsidRDefault="00B779D3">
            <w:pPr>
              <w:pStyle w:val="ListParagraph"/>
              <w:numPr>
                <w:ilvl w:val="0"/>
                <w:numId w:val="6"/>
              </w:numPr>
              <w:spacing w:after="8"/>
              <w:rPr>
                <w:sz w:val="22"/>
                <w:szCs w:val="22"/>
              </w:rPr>
            </w:pPr>
            <w:r w:rsidRPr="004A0572">
              <w:rPr>
                <w:sz w:val="22"/>
                <w:szCs w:val="22"/>
              </w:rPr>
              <w:t>Professional: NHS England webinars, ICS networks, Royal Colleges, Skills for Care, Care Transfer Hubs.</w:t>
            </w:r>
          </w:p>
          <w:p w14:paraId="0B44BB4C" w14:textId="77777777" w:rsidR="006B321A" w:rsidRPr="004A0572" w:rsidRDefault="00B779D3">
            <w:pPr>
              <w:pStyle w:val="ListParagraph"/>
              <w:numPr>
                <w:ilvl w:val="0"/>
                <w:numId w:val="6"/>
              </w:numPr>
              <w:spacing w:after="8"/>
              <w:rPr>
                <w:sz w:val="22"/>
                <w:szCs w:val="22"/>
              </w:rPr>
            </w:pPr>
            <w:r w:rsidRPr="004A0572">
              <w:rPr>
                <w:sz w:val="22"/>
                <w:szCs w:val="22"/>
              </w:rPr>
              <w:t>Public/carers: Campaigns with Carers UK, Age UK, Alzheimer’s Society; social media, GPs, discharge lounges.</w:t>
            </w:r>
          </w:p>
          <w:p w14:paraId="66D1FCCB" w14:textId="77777777" w:rsidR="006B321A" w:rsidRPr="004A0572" w:rsidRDefault="00B779D3">
            <w:pPr>
              <w:pStyle w:val="ListParagraph"/>
              <w:numPr>
                <w:ilvl w:val="0"/>
                <w:numId w:val="6"/>
              </w:numPr>
              <w:rPr>
                <w:sz w:val="22"/>
                <w:szCs w:val="22"/>
              </w:rPr>
            </w:pPr>
            <w:r w:rsidRPr="004A0572">
              <w:rPr>
                <w:sz w:val="22"/>
                <w:szCs w:val="22"/>
              </w:rPr>
              <w:t>Digital: NHS Futures, local authority sites, PCNs; open evaluation for national spread.</w:t>
            </w:r>
          </w:p>
        </w:tc>
        <w:tc>
          <w:tcPr>
            <w:tcW w:w="5553" w:type="dxa"/>
            <w:tcBorders>
              <w:top w:val="single" w:sz="4" w:space="0" w:color="1F4E79"/>
              <w:left w:val="single" w:sz="4" w:space="0" w:color="1F4E79"/>
              <w:bottom w:val="single" w:sz="4" w:space="0" w:color="1F4E79"/>
              <w:right w:val="single" w:sz="4" w:space="0" w:color="1F4E79"/>
            </w:tcBorders>
            <w:shd w:val="clear" w:color="auto" w:fill="1F4E79"/>
            <w:tcMar>
              <w:top w:w="35" w:type="dxa"/>
              <w:left w:w="60" w:type="dxa"/>
              <w:bottom w:w="35" w:type="dxa"/>
              <w:right w:w="60" w:type="dxa"/>
            </w:tcMar>
          </w:tcPr>
          <w:p w14:paraId="20DBDBB4" w14:textId="77777777" w:rsidR="006B321A" w:rsidRPr="004A0572" w:rsidRDefault="00B779D3">
            <w:pPr>
              <w:spacing w:after="20"/>
              <w:rPr>
                <w:sz w:val="22"/>
                <w:szCs w:val="22"/>
              </w:rPr>
            </w:pPr>
            <w:r w:rsidRPr="004A0572">
              <w:rPr>
                <w:b/>
                <w:bCs/>
                <w:color w:val="FFFFFF"/>
                <w:sz w:val="22"/>
                <w:szCs w:val="22"/>
              </w:rPr>
              <w:t>CONCLUSION – WHY HOMEBRIDGE?</w:t>
            </w:r>
          </w:p>
          <w:p w14:paraId="2D8847B5" w14:textId="77777777" w:rsidR="006B321A" w:rsidRPr="004A0572" w:rsidRDefault="00B779D3">
            <w:pPr>
              <w:spacing w:after="12"/>
              <w:rPr>
                <w:sz w:val="22"/>
                <w:szCs w:val="22"/>
              </w:rPr>
            </w:pPr>
            <w:r w:rsidRPr="004A0572">
              <w:rPr>
                <w:color w:val="FFFFFF"/>
                <w:sz w:val="22"/>
                <w:szCs w:val="22"/>
              </w:rPr>
              <w:t>HomeBridge turns “hospital to community” and “analogue to digital” into practical action. Combining technology with dedicated coordination and genuine carer partnership reduces wasted bed days, protects older people, supports 5.8 million unpaid carers, and builds a more resilient health &amp; social care system.</w:t>
            </w:r>
          </w:p>
          <w:p w14:paraId="6033B0E3" w14:textId="77777777" w:rsidR="006B321A" w:rsidRPr="004A0572" w:rsidRDefault="00B779D3">
            <w:pPr>
              <w:rPr>
                <w:sz w:val="22"/>
                <w:szCs w:val="22"/>
              </w:rPr>
            </w:pPr>
            <w:r w:rsidRPr="004A0572">
              <w:rPr>
                <w:b/>
                <w:bCs/>
                <w:color w:val="A9D08E"/>
                <w:sz w:val="22"/>
                <w:szCs w:val="22"/>
              </w:rPr>
              <w:t>Support HomeBridge – safer journeys home for everyone.</w:t>
            </w:r>
          </w:p>
        </w:tc>
      </w:tr>
    </w:tbl>
    <w:p w14:paraId="6EA86D3D" w14:textId="77777777" w:rsidR="006B321A" w:rsidRPr="004A0572" w:rsidRDefault="00B779D3">
      <w:pPr>
        <w:rPr>
          <w:sz w:val="22"/>
          <w:szCs w:val="22"/>
        </w:rPr>
      </w:pPr>
      <w:r w:rsidRPr="004A0572">
        <w:rPr>
          <w:sz w:val="22"/>
          <w:szCs w:val="22"/>
        </w:rPr>
        <w:br w:type="page"/>
      </w:r>
    </w:p>
    <w:p w14:paraId="4E73B4D2" w14:textId="77777777" w:rsidR="006B321A" w:rsidRPr="004A0572" w:rsidRDefault="00B779D3">
      <w:pPr>
        <w:pStyle w:val="Heading1"/>
        <w:rPr>
          <w:sz w:val="22"/>
          <w:szCs w:val="22"/>
        </w:rPr>
      </w:pPr>
      <w:r w:rsidRPr="004A0572">
        <w:rPr>
          <w:sz w:val="22"/>
          <w:szCs w:val="22"/>
        </w:rPr>
        <w:lastRenderedPageBreak/>
        <w:t>PART 2: THE WRITTEN PITCH</w:t>
      </w:r>
    </w:p>
    <w:p w14:paraId="47ECB946" w14:textId="77777777" w:rsidR="006B321A" w:rsidRPr="004A0572" w:rsidRDefault="00B779D3">
      <w:pPr>
        <w:spacing w:after="120"/>
        <w:rPr>
          <w:sz w:val="22"/>
          <w:szCs w:val="22"/>
        </w:rPr>
      </w:pPr>
      <w:r w:rsidRPr="004A0572">
        <w:rPr>
          <w:b/>
          <w:bCs/>
          <w:color w:val="1F4E79"/>
          <w:sz w:val="22"/>
          <w:szCs w:val="22"/>
        </w:rPr>
        <w:t>HomeBridge: Making the Journey from Hospital to Home Safer, Fairer and More Coordinated</w:t>
      </w:r>
    </w:p>
    <w:p w14:paraId="5F8C9C3A" w14:textId="77777777" w:rsidR="006B321A" w:rsidRPr="004A0572" w:rsidRDefault="00B779D3">
      <w:pPr>
        <w:spacing w:after="110"/>
        <w:rPr>
          <w:sz w:val="22"/>
          <w:szCs w:val="22"/>
        </w:rPr>
      </w:pPr>
      <w:r w:rsidRPr="004A0572">
        <w:rPr>
          <w:sz w:val="22"/>
          <w:szCs w:val="22"/>
        </w:rPr>
        <w:t>Every day in England approximately 13,000 people who are medically fit for discharge remain in hospital beds (King’s Fund, 2026; Age UK, 2026). These delayed discharges cost the NHS an estimated £2.7 billion in 2025/26 and occupy nearly one in ten acute beds (King’s Fund, 2026). The human cost is equally stark: older people lose muscle strength and independence, families experience intense stress, and unpaid carers – already providing care worth £184 billion a year – are frequently left without adequate inf</w:t>
      </w:r>
      <w:r w:rsidRPr="004A0572">
        <w:rPr>
          <w:sz w:val="22"/>
          <w:szCs w:val="22"/>
        </w:rPr>
        <w:t>ormation or support (Carers UK, 2025; Centre for Care, 2025). HomeBridge is an innovative hybrid solution that directly addresses this system failure by combining intelligent digital technology with dedicated multidisciplinary coordination and genuine partnership with carers.</w:t>
      </w:r>
    </w:p>
    <w:p w14:paraId="30524931" w14:textId="77777777" w:rsidR="006B321A" w:rsidRPr="004A0572" w:rsidRDefault="00B779D3">
      <w:pPr>
        <w:pStyle w:val="Heading2"/>
        <w:rPr>
          <w:sz w:val="22"/>
          <w:szCs w:val="22"/>
        </w:rPr>
      </w:pPr>
      <w:r w:rsidRPr="004A0572">
        <w:rPr>
          <w:sz w:val="22"/>
          <w:szCs w:val="22"/>
        </w:rPr>
        <w:t>Why the innovation is needed now</w:t>
      </w:r>
    </w:p>
    <w:p w14:paraId="5FCEBAC2" w14:textId="77777777" w:rsidR="006B321A" w:rsidRPr="004A0572" w:rsidRDefault="00B779D3">
      <w:pPr>
        <w:spacing w:after="110"/>
        <w:rPr>
          <w:sz w:val="22"/>
          <w:szCs w:val="22"/>
        </w:rPr>
      </w:pPr>
      <w:r w:rsidRPr="004A0572">
        <w:rPr>
          <w:sz w:val="22"/>
          <w:szCs w:val="22"/>
        </w:rPr>
        <w:t>Despite the long-standing Discharge to Assess model and the legal framework of the Care Act 2014 and Health and Care Act 2022, coordination between acute hospitals, community health services, adult social care and families remains fragmented. Research consistently shows that transitional care interventions lasting at least one month and targeted at high-risk older people reduce readmissions. Yet capacity constraints, information gaps and the systematic under-involvement of carers continue to undermine outco</w:t>
      </w:r>
      <w:r w:rsidRPr="004A0572">
        <w:rPr>
          <w:sz w:val="22"/>
          <w:szCs w:val="22"/>
        </w:rPr>
        <w:t>mes. Carers UK (2025) found that only 14% of unpaid carers felt they were asked about their ability and willingness to provide care as part of the hospital discharge process, even though the law requires their involvement. Many older people leave hospital without a clear understanding of their medication changes, follow-up appointments or who to contact if their condition deteriorates. This lack of continuity contributes to preventable emergency attendances and further pressure on already stretched services</w:t>
      </w:r>
      <w:r w:rsidRPr="004A0572">
        <w:rPr>
          <w:sz w:val="22"/>
          <w:szCs w:val="22"/>
        </w:rPr>
        <w:t>. HomeBridge closes this gap by creating a single, shared digital and human-supported pathway that keeps the patient, carer and professionals aligned from the moment of medical optimisation until recovery is established in the community.</w:t>
      </w:r>
    </w:p>
    <w:p w14:paraId="18DF9C24" w14:textId="77777777" w:rsidR="006B321A" w:rsidRPr="004A0572" w:rsidRDefault="00B779D3">
      <w:pPr>
        <w:pStyle w:val="Heading2"/>
        <w:rPr>
          <w:sz w:val="22"/>
          <w:szCs w:val="22"/>
        </w:rPr>
      </w:pPr>
      <w:r w:rsidRPr="004A0572">
        <w:rPr>
          <w:sz w:val="22"/>
          <w:szCs w:val="22"/>
        </w:rPr>
        <w:t>Who benefits and how health and wellbeing are improved</w:t>
      </w:r>
    </w:p>
    <w:p w14:paraId="5575C7A0" w14:textId="77777777" w:rsidR="006B321A" w:rsidRPr="004A0572" w:rsidRDefault="00B779D3">
      <w:pPr>
        <w:spacing w:after="110"/>
        <w:rPr>
          <w:sz w:val="22"/>
          <w:szCs w:val="22"/>
        </w:rPr>
      </w:pPr>
      <w:r w:rsidRPr="004A0572">
        <w:rPr>
          <w:sz w:val="22"/>
          <w:szCs w:val="22"/>
        </w:rPr>
        <w:t xml:space="preserve">The primary beneficiaries are older adults (particularly those aged 75 and over with frailty, multimorbidity or cognitive impairment) and the family members who support them. By creating a single shared digital care plan, providing AI-supported risk stratification and guaranteeing proactive follow-up for the critical first 30–90 days after discharge, HomeBridge reduces the risk of emergency readmission, accelerates recovery at home and prevents the cascade of decline that often follows a prolonged hospital </w:t>
      </w:r>
      <w:r w:rsidRPr="004A0572">
        <w:rPr>
          <w:sz w:val="22"/>
          <w:szCs w:val="22"/>
        </w:rPr>
        <w:t>stay. Evidence from transitional care studies indicates that structured post-discharge support improves functional recovery and reduces the likelihood of long-term care placement. For carers, the platform offers clear information, practical guidance, peer support links, respite options and a direct route to professional help when concerns arise. This recognition of carers as essential partners improves their own mental and physical wellbeing and sustains their capacity to continue caring – a contribution th</w:t>
      </w:r>
      <w:r w:rsidRPr="004A0572">
        <w:rPr>
          <w:sz w:val="22"/>
          <w:szCs w:val="22"/>
        </w:rPr>
        <w:t>at is fundamental to the sustainability of the entire health and social care system. In addition, by reducing the stress associated with navigating complex systems alone, HomeBridge can help prevent carer breakdown, which itself is a major driver of unplanned admissions and crisis interventions.</w:t>
      </w:r>
    </w:p>
    <w:p w14:paraId="227827F5" w14:textId="77777777" w:rsidR="006B321A" w:rsidRPr="004A0572" w:rsidRDefault="00B779D3">
      <w:pPr>
        <w:pStyle w:val="Heading2"/>
        <w:rPr>
          <w:sz w:val="22"/>
          <w:szCs w:val="22"/>
        </w:rPr>
      </w:pPr>
      <w:r w:rsidRPr="004A0572">
        <w:rPr>
          <w:sz w:val="22"/>
          <w:szCs w:val="22"/>
        </w:rPr>
        <w:t>Policy, legislation and professional services alignment</w:t>
      </w:r>
    </w:p>
    <w:p w14:paraId="76A1ABE1" w14:textId="77777777" w:rsidR="006B321A" w:rsidRPr="004A0572" w:rsidRDefault="00B779D3">
      <w:pPr>
        <w:spacing w:after="110"/>
        <w:rPr>
          <w:sz w:val="22"/>
          <w:szCs w:val="22"/>
        </w:rPr>
      </w:pPr>
      <w:r w:rsidRPr="004A0572">
        <w:rPr>
          <w:sz w:val="22"/>
          <w:szCs w:val="22"/>
        </w:rPr>
        <w:t>HomeBridge is designed to operationalise existing national policy rather than sit outside it. It supports the three strategic shifts of the NHS 10 Year Health Plan – Fit for the Future (2025): from hospital to community, from analogue to digital, and from sickness to prevention. It strengthens the Discharge to Assess pathways (especially Pathways 1 and 2), intermediate care and reablement services, and the work of Care Transfer Hubs. It helps local authorities fulfil their Care Act duties to promote wellbei</w:t>
      </w:r>
      <w:r w:rsidRPr="004A0572">
        <w:rPr>
          <w:sz w:val="22"/>
          <w:szCs w:val="22"/>
        </w:rPr>
        <w:t xml:space="preserve">ng and prevent, reduce or delay needs, while enabling Integrated Care Boards to use Better Care Fund resources more effectively. Clinically it aligns with NICE guideline NG27 on transitions between inpatient hospital settings and community or care home settings, which emphasises person-centred care, named discharge coordination and effective information sharing. Professional services involved include hospital discharge teams, community nursing and therapy services, adult social care, primary care networks, </w:t>
      </w:r>
      <w:r w:rsidRPr="004A0572">
        <w:rPr>
          <w:sz w:val="22"/>
          <w:szCs w:val="22"/>
        </w:rPr>
        <w:t>pharmacists and the voluntary sector. By embedding digital tools within existing multidisciplinary structures, HomeBridge avoids creating parallel systems and instead amplifies the effectiveness of the workforce already in place. This approach is consistent with the national ambition to deliver more care closer to home while protecting hospital capacity for those who truly need it.</w:t>
      </w:r>
    </w:p>
    <w:p w14:paraId="334BDAB0" w14:textId="77777777" w:rsidR="006B321A" w:rsidRPr="004A0572" w:rsidRDefault="00B779D3">
      <w:pPr>
        <w:pStyle w:val="Heading2"/>
        <w:rPr>
          <w:sz w:val="22"/>
          <w:szCs w:val="22"/>
        </w:rPr>
      </w:pPr>
      <w:r w:rsidRPr="004A0572">
        <w:rPr>
          <w:sz w:val="22"/>
          <w:szCs w:val="22"/>
        </w:rPr>
        <w:t>Encouraging public and community involvement</w:t>
      </w:r>
    </w:p>
    <w:p w14:paraId="001166D6" w14:textId="77777777" w:rsidR="006B321A" w:rsidRPr="004A0572" w:rsidRDefault="00B779D3">
      <w:pPr>
        <w:spacing w:after="110"/>
        <w:rPr>
          <w:sz w:val="22"/>
          <w:szCs w:val="22"/>
        </w:rPr>
      </w:pPr>
      <w:r w:rsidRPr="004A0572">
        <w:rPr>
          <w:sz w:val="22"/>
          <w:szCs w:val="22"/>
        </w:rPr>
        <w:t xml:space="preserve">HomeBridge deliberately invites the wider public and communities to play an active part. Local voluntary organisations, faith groups, social prescribing link workers and peer-support networks are integrated into the resource directory and matching system. Public awareness campaigns, developed in partnership with </w:t>
      </w:r>
      <w:r w:rsidRPr="004A0572">
        <w:rPr>
          <w:sz w:val="22"/>
          <w:szCs w:val="22"/>
        </w:rPr>
        <w:lastRenderedPageBreak/>
        <w:t>organisations such as Carers UK and Age UK, will encourage people to identify themselves as carers early, to download the app when a relative is admitted, and to use the platform to share observations that help professionals intervene sooner. Community members can also train as volunteer “HomeBridge Companions” for low-intensity befriending and practical support, expanding capacity without adding pressure to statutory services. By making the system visible and usable by ordinary citizens, the innovation bui</w:t>
      </w:r>
      <w:r w:rsidRPr="004A0572">
        <w:rPr>
          <w:sz w:val="22"/>
          <w:szCs w:val="22"/>
        </w:rPr>
        <w:t>lds collective responsibility for the wellbeing of older people and reduces the isolation that so often accompanies caring and recovery. Public involvement also strengthens accountability: when families and communities can see and contribute to the care plan, the quality and responsiveness of services improve. This participatory element is essential if the shift from hospital to community is to be socially sustainable as well as clinically effective.</w:t>
      </w:r>
    </w:p>
    <w:p w14:paraId="36A2CB80" w14:textId="77777777" w:rsidR="006B321A" w:rsidRPr="004A0572" w:rsidRDefault="00B779D3">
      <w:pPr>
        <w:pStyle w:val="Heading2"/>
        <w:rPr>
          <w:sz w:val="22"/>
          <w:szCs w:val="22"/>
        </w:rPr>
      </w:pPr>
      <w:r w:rsidRPr="004A0572">
        <w:rPr>
          <w:sz w:val="22"/>
          <w:szCs w:val="22"/>
        </w:rPr>
        <w:t>Technology, safety and regulation</w:t>
      </w:r>
    </w:p>
    <w:p w14:paraId="1E65CA57" w14:textId="77777777" w:rsidR="006B321A" w:rsidRPr="004A0572" w:rsidRDefault="00B779D3">
      <w:pPr>
        <w:spacing w:after="110"/>
        <w:rPr>
          <w:sz w:val="22"/>
          <w:szCs w:val="22"/>
        </w:rPr>
      </w:pPr>
      <w:r w:rsidRPr="004A0572">
        <w:rPr>
          <w:sz w:val="22"/>
          <w:szCs w:val="22"/>
        </w:rPr>
        <w:t>The platform is built to the highest standards of data protection (UK GDPR, Data Protection Act 2018) and will complete the NHS Digital Technology Assessment Criteria (DTAC) and Data Security and Protection Toolkit. Where the AI component provides information used for clinical risk management, it will be assessed under the Medicines and Healthcare products Regulatory Agency (MHRA) framework for Software as a Medical Device and classified appropriately. Clinical safety is overseen through established NHS cli</w:t>
      </w:r>
      <w:r w:rsidRPr="004A0572">
        <w:rPr>
          <w:sz w:val="22"/>
          <w:szCs w:val="22"/>
        </w:rPr>
        <w:t>nical risk management standards. These safeguards ensure that technology enhances rather than endangers care. Accessibility has also been prioritised: the interface will be designed for users with varying levels of digital confidence, including larger text options, simplified navigation and support for carers who may be managing the technology on behalf of the person they support. Training and telephone or video support will be available during the transition period so that no one is excluded because of dig</w:t>
      </w:r>
      <w:r w:rsidRPr="004A0572">
        <w:rPr>
          <w:sz w:val="22"/>
          <w:szCs w:val="22"/>
        </w:rPr>
        <w:t>ital exclusion.</w:t>
      </w:r>
    </w:p>
    <w:p w14:paraId="42102EBE" w14:textId="77777777" w:rsidR="006B321A" w:rsidRPr="004A0572" w:rsidRDefault="00B779D3">
      <w:pPr>
        <w:pStyle w:val="Heading2"/>
        <w:rPr>
          <w:sz w:val="22"/>
          <w:szCs w:val="22"/>
        </w:rPr>
      </w:pPr>
      <w:r w:rsidRPr="004A0572">
        <w:rPr>
          <w:sz w:val="22"/>
          <w:szCs w:val="22"/>
        </w:rPr>
        <w:t>Call to action</w:t>
      </w:r>
    </w:p>
    <w:p w14:paraId="01DDFF47" w14:textId="77777777" w:rsidR="006B321A" w:rsidRPr="004A0572" w:rsidRDefault="00B779D3">
      <w:pPr>
        <w:spacing w:after="110"/>
        <w:rPr>
          <w:sz w:val="22"/>
          <w:szCs w:val="22"/>
        </w:rPr>
      </w:pPr>
      <w:r w:rsidRPr="004A0572">
        <w:rPr>
          <w:sz w:val="22"/>
          <w:szCs w:val="22"/>
        </w:rPr>
        <w:t xml:space="preserve">HomeBridge is practical, evidence-informed and ready for controlled pilot. It does not require wholesale system redesign; it strengthens the pathways, teams and legal duties that already exist. Commissioners, Integrated Care Boards, hospital trusts, local authorities and national bodies are invited to support a multi-site evaluation so that the benefits – fewer delayed discharges, fewer avoidable readmissions, better carer experience and more efficient use of scarce resources – can be demonstrated and then </w:t>
      </w:r>
      <w:r w:rsidRPr="004A0572">
        <w:rPr>
          <w:sz w:val="22"/>
          <w:szCs w:val="22"/>
        </w:rPr>
        <w:t>scaled. The public is invited to demand better-supported transitions and to use the tools that HomeBridge will provide. Together we can turn the national ambition of care closer to home into a lived reality for the older people and unpaid carers who depend on it most. Investing in coordinated, person-centred discharge support is not only a clinical and moral imperative; it is also an economically rational response to a system under sustained pressure. HomeBridge offers a clear, deliverable route to achievin</w:t>
      </w:r>
      <w:r w:rsidRPr="004A0572">
        <w:rPr>
          <w:sz w:val="22"/>
          <w:szCs w:val="22"/>
        </w:rPr>
        <w:t>g that investment’s full potential.</w:t>
      </w:r>
    </w:p>
    <w:p w14:paraId="0462B965" w14:textId="77777777" w:rsidR="006B321A" w:rsidRPr="004A0572" w:rsidRDefault="00B779D3">
      <w:pPr>
        <w:rPr>
          <w:sz w:val="22"/>
          <w:szCs w:val="22"/>
        </w:rPr>
      </w:pPr>
      <w:r w:rsidRPr="004A0572">
        <w:rPr>
          <w:sz w:val="22"/>
          <w:szCs w:val="22"/>
        </w:rPr>
        <w:br w:type="page"/>
      </w:r>
    </w:p>
    <w:p w14:paraId="5A6F0CF7" w14:textId="739E41C0" w:rsidR="006B321A" w:rsidRPr="004A0572" w:rsidRDefault="00B779D3">
      <w:pPr>
        <w:pStyle w:val="Heading1"/>
        <w:rPr>
          <w:sz w:val="22"/>
          <w:szCs w:val="22"/>
        </w:rPr>
      </w:pPr>
      <w:r w:rsidRPr="004A0572">
        <w:rPr>
          <w:sz w:val="22"/>
          <w:szCs w:val="22"/>
        </w:rPr>
        <w:lastRenderedPageBreak/>
        <w:t xml:space="preserve">References </w:t>
      </w:r>
    </w:p>
    <w:p w14:paraId="71513F30" w14:textId="77777777" w:rsidR="006B321A" w:rsidRPr="004A0572" w:rsidRDefault="00B779D3">
      <w:pPr>
        <w:spacing w:after="80"/>
        <w:rPr>
          <w:sz w:val="22"/>
          <w:szCs w:val="22"/>
        </w:rPr>
      </w:pPr>
      <w:r w:rsidRPr="004A0572">
        <w:rPr>
          <w:sz w:val="22"/>
          <w:szCs w:val="22"/>
        </w:rPr>
        <w:t xml:space="preserve">Age UK (2026) </w:t>
      </w:r>
      <w:r w:rsidRPr="004A0572">
        <w:rPr>
          <w:i/>
          <w:iCs/>
          <w:sz w:val="22"/>
          <w:szCs w:val="22"/>
        </w:rPr>
        <w:t>The Longest Wait to Leave</w:t>
      </w:r>
      <w:r w:rsidRPr="004A0572">
        <w:rPr>
          <w:sz w:val="22"/>
          <w:szCs w:val="22"/>
        </w:rPr>
        <w:t>. London: Age UK. Available at: https://www.ageuk.org.uk (Accessed: 5 August 2026).</w:t>
      </w:r>
    </w:p>
    <w:p w14:paraId="54F1FE03" w14:textId="77777777" w:rsidR="006B321A" w:rsidRPr="004A0572" w:rsidRDefault="00B779D3">
      <w:pPr>
        <w:spacing w:after="80"/>
        <w:rPr>
          <w:sz w:val="22"/>
          <w:szCs w:val="22"/>
        </w:rPr>
      </w:pPr>
      <w:r w:rsidRPr="004A0572">
        <w:rPr>
          <w:sz w:val="22"/>
          <w:szCs w:val="22"/>
        </w:rPr>
        <w:t xml:space="preserve">Carers UK (2025) </w:t>
      </w:r>
      <w:r w:rsidRPr="004A0572">
        <w:rPr>
          <w:i/>
          <w:iCs/>
          <w:sz w:val="22"/>
          <w:szCs w:val="22"/>
        </w:rPr>
        <w:t>State of Caring 2025: The Cost of Caring</w:t>
      </w:r>
      <w:r w:rsidRPr="004A0572">
        <w:rPr>
          <w:sz w:val="22"/>
          <w:szCs w:val="22"/>
        </w:rPr>
        <w:t>. London: Carers UK.</w:t>
      </w:r>
    </w:p>
    <w:p w14:paraId="62AA9061" w14:textId="77777777" w:rsidR="006B321A" w:rsidRPr="004A0572" w:rsidRDefault="00B779D3">
      <w:pPr>
        <w:spacing w:after="80"/>
        <w:rPr>
          <w:sz w:val="22"/>
          <w:szCs w:val="22"/>
        </w:rPr>
      </w:pPr>
      <w:r w:rsidRPr="004A0572">
        <w:rPr>
          <w:sz w:val="22"/>
          <w:szCs w:val="22"/>
        </w:rPr>
        <w:t>Carers UK (2025) ‘Rising numbers of unpaid carers say they need more support from the NHS’, press release, 4 September. Available at: https://www.carersuk.org (Accessed: 5 August 2026).</w:t>
      </w:r>
    </w:p>
    <w:p w14:paraId="4471CA88" w14:textId="77777777" w:rsidR="006B321A" w:rsidRPr="004A0572" w:rsidRDefault="00B779D3">
      <w:pPr>
        <w:spacing w:after="80"/>
        <w:rPr>
          <w:sz w:val="22"/>
          <w:szCs w:val="22"/>
        </w:rPr>
      </w:pPr>
      <w:r w:rsidRPr="004A0572">
        <w:rPr>
          <w:sz w:val="22"/>
          <w:szCs w:val="22"/>
        </w:rPr>
        <w:t xml:space="preserve">Centre for Care (2025) </w:t>
      </w:r>
      <w:r w:rsidRPr="004A0572">
        <w:rPr>
          <w:i/>
          <w:iCs/>
          <w:sz w:val="22"/>
          <w:szCs w:val="22"/>
        </w:rPr>
        <w:t>Unpaid care in 2025: rising hours, rising costs</w:t>
      </w:r>
      <w:r w:rsidRPr="004A0572">
        <w:rPr>
          <w:sz w:val="22"/>
          <w:szCs w:val="22"/>
        </w:rPr>
        <w:t>. Available at: https://centreforcare.ac.uk (Accessed: 5 August 2026).</w:t>
      </w:r>
    </w:p>
    <w:p w14:paraId="5C738F75" w14:textId="77777777" w:rsidR="006B321A" w:rsidRPr="004A0572" w:rsidRDefault="00B779D3">
      <w:pPr>
        <w:spacing w:after="80"/>
        <w:rPr>
          <w:sz w:val="22"/>
          <w:szCs w:val="22"/>
        </w:rPr>
      </w:pPr>
      <w:r w:rsidRPr="004A0572">
        <w:rPr>
          <w:sz w:val="22"/>
          <w:szCs w:val="22"/>
        </w:rPr>
        <w:t xml:space="preserve">Department of Health and Social Care (2022) </w:t>
      </w:r>
      <w:r w:rsidRPr="004A0572">
        <w:rPr>
          <w:i/>
          <w:iCs/>
          <w:sz w:val="22"/>
          <w:szCs w:val="22"/>
        </w:rPr>
        <w:t>Hospital Discharge and Community Support Guidance</w:t>
      </w:r>
      <w:r w:rsidRPr="004A0572">
        <w:rPr>
          <w:sz w:val="22"/>
          <w:szCs w:val="22"/>
        </w:rPr>
        <w:t>. London: DHSC.</w:t>
      </w:r>
    </w:p>
    <w:p w14:paraId="5853635A" w14:textId="77777777" w:rsidR="006B321A" w:rsidRPr="004A0572" w:rsidRDefault="00B779D3">
      <w:pPr>
        <w:spacing w:after="80"/>
        <w:rPr>
          <w:sz w:val="22"/>
          <w:szCs w:val="22"/>
        </w:rPr>
      </w:pPr>
      <w:r w:rsidRPr="004A0572">
        <w:rPr>
          <w:sz w:val="22"/>
          <w:szCs w:val="22"/>
        </w:rPr>
        <w:t xml:space="preserve">Department of Health and Social Care (2025) </w:t>
      </w:r>
      <w:r w:rsidRPr="004A0572">
        <w:rPr>
          <w:i/>
          <w:iCs/>
          <w:sz w:val="22"/>
          <w:szCs w:val="22"/>
        </w:rPr>
        <w:t>Fit for the Future: 10 Year Health Plan for England</w:t>
      </w:r>
      <w:r w:rsidRPr="004A0572">
        <w:rPr>
          <w:sz w:val="22"/>
          <w:szCs w:val="22"/>
        </w:rPr>
        <w:t>. London: DHSC.</w:t>
      </w:r>
    </w:p>
    <w:p w14:paraId="12176A76" w14:textId="77777777" w:rsidR="006B321A" w:rsidRPr="004A0572" w:rsidRDefault="00B779D3">
      <w:pPr>
        <w:spacing w:after="80"/>
        <w:rPr>
          <w:sz w:val="22"/>
          <w:szCs w:val="22"/>
        </w:rPr>
      </w:pPr>
      <w:r w:rsidRPr="004A0572">
        <w:rPr>
          <w:sz w:val="22"/>
          <w:szCs w:val="22"/>
        </w:rPr>
        <w:t>King’s Fund (2026) ‘New research finds that delayed discharges cost NHS £2.7bn’, press release, 7 July. Available at: https://www.kingsfund.org.uk (Accessed: 5 August 2026).</w:t>
      </w:r>
    </w:p>
    <w:p w14:paraId="275BE086" w14:textId="77777777" w:rsidR="006B321A" w:rsidRPr="004A0572" w:rsidRDefault="00B779D3">
      <w:pPr>
        <w:spacing w:after="80"/>
        <w:rPr>
          <w:sz w:val="22"/>
          <w:szCs w:val="22"/>
        </w:rPr>
      </w:pPr>
      <w:r w:rsidRPr="004A0572">
        <w:rPr>
          <w:sz w:val="22"/>
          <w:szCs w:val="22"/>
        </w:rPr>
        <w:t xml:space="preserve">National Institute for Health and Care Excellence (2015) </w:t>
      </w:r>
      <w:r w:rsidRPr="004A0572">
        <w:rPr>
          <w:i/>
          <w:iCs/>
          <w:sz w:val="22"/>
          <w:szCs w:val="22"/>
        </w:rPr>
        <w:t>Transition between inpatient hospital settings and community or care home settings for adults with social care needs</w:t>
      </w:r>
      <w:r w:rsidRPr="004A0572">
        <w:rPr>
          <w:sz w:val="22"/>
          <w:szCs w:val="22"/>
        </w:rPr>
        <w:t>. NICE guideline NG27. Available at: https://www.nice.org.uk/guidance/ng27 (Accessed: 5 August 2026).</w:t>
      </w:r>
    </w:p>
    <w:p w14:paraId="0AC13C3D" w14:textId="77777777" w:rsidR="006B321A" w:rsidRPr="004A0572" w:rsidRDefault="00B779D3">
      <w:pPr>
        <w:spacing w:after="80"/>
        <w:rPr>
          <w:sz w:val="22"/>
          <w:szCs w:val="22"/>
        </w:rPr>
      </w:pPr>
      <w:r w:rsidRPr="004A0572">
        <w:rPr>
          <w:sz w:val="22"/>
          <w:szCs w:val="22"/>
        </w:rPr>
        <w:t xml:space="preserve">NHS England (2023) </w:t>
      </w:r>
      <w:r w:rsidRPr="004A0572">
        <w:rPr>
          <w:i/>
          <w:iCs/>
          <w:sz w:val="22"/>
          <w:szCs w:val="22"/>
        </w:rPr>
        <w:t>Intermediate Care Framework for Rehabilitation, Reablement and Recovery Following Hospital Discharge</w:t>
      </w:r>
      <w:r w:rsidRPr="004A0572">
        <w:rPr>
          <w:sz w:val="22"/>
          <w:szCs w:val="22"/>
        </w:rPr>
        <w:t>. London: NHS England.</w:t>
      </w:r>
    </w:p>
    <w:p w14:paraId="3230B58C" w14:textId="77777777" w:rsidR="006B321A" w:rsidRPr="004A0572" w:rsidRDefault="00B779D3">
      <w:pPr>
        <w:spacing w:after="80"/>
        <w:rPr>
          <w:sz w:val="22"/>
          <w:szCs w:val="22"/>
        </w:rPr>
      </w:pPr>
      <w:r w:rsidRPr="004A0572">
        <w:rPr>
          <w:sz w:val="22"/>
          <w:szCs w:val="22"/>
        </w:rPr>
        <w:t xml:space="preserve">Nuffield Trust (2026) </w:t>
      </w:r>
      <w:r w:rsidRPr="004A0572">
        <w:rPr>
          <w:i/>
          <w:iCs/>
          <w:sz w:val="22"/>
          <w:szCs w:val="22"/>
        </w:rPr>
        <w:t>Delayed Discharges from Hospital</w:t>
      </w:r>
      <w:r w:rsidRPr="004A0572">
        <w:rPr>
          <w:sz w:val="22"/>
          <w:szCs w:val="22"/>
        </w:rPr>
        <w:t>. Available at: https://www.nuffieldtrust.org.uk (Accessed: 5 August 2026).</w:t>
      </w:r>
    </w:p>
    <w:p w14:paraId="11B176FB" w14:textId="77777777" w:rsidR="006B321A" w:rsidRPr="004A0572" w:rsidRDefault="00B779D3">
      <w:pPr>
        <w:spacing w:after="80"/>
        <w:rPr>
          <w:sz w:val="22"/>
          <w:szCs w:val="22"/>
        </w:rPr>
      </w:pPr>
      <w:r w:rsidRPr="004A0572">
        <w:rPr>
          <w:sz w:val="22"/>
          <w:szCs w:val="22"/>
        </w:rPr>
        <w:t xml:space="preserve">UK Government (2014) </w:t>
      </w:r>
      <w:r w:rsidRPr="004A0572">
        <w:rPr>
          <w:i/>
          <w:iCs/>
          <w:sz w:val="22"/>
          <w:szCs w:val="22"/>
        </w:rPr>
        <w:t>Care Act 2014</w:t>
      </w:r>
      <w:r w:rsidRPr="004A0572">
        <w:rPr>
          <w:sz w:val="22"/>
          <w:szCs w:val="22"/>
        </w:rPr>
        <w:t>. London: The Stationery Office.</w:t>
      </w:r>
    </w:p>
    <w:p w14:paraId="602E3AB9" w14:textId="77777777" w:rsidR="006B321A" w:rsidRPr="004A0572" w:rsidRDefault="00B779D3">
      <w:pPr>
        <w:spacing w:after="80"/>
        <w:rPr>
          <w:sz w:val="22"/>
          <w:szCs w:val="22"/>
        </w:rPr>
      </w:pPr>
      <w:r w:rsidRPr="004A0572">
        <w:rPr>
          <w:sz w:val="22"/>
          <w:szCs w:val="22"/>
        </w:rPr>
        <w:t xml:space="preserve">UK Government (2022) </w:t>
      </w:r>
      <w:r w:rsidRPr="004A0572">
        <w:rPr>
          <w:i/>
          <w:iCs/>
          <w:sz w:val="22"/>
          <w:szCs w:val="22"/>
        </w:rPr>
        <w:t>Health and Care Act 2022</w:t>
      </w:r>
      <w:r w:rsidRPr="004A0572">
        <w:rPr>
          <w:sz w:val="22"/>
          <w:szCs w:val="22"/>
        </w:rPr>
        <w:t>. London: The Stationery Office.</w:t>
      </w:r>
    </w:p>
    <w:p w14:paraId="688FA63E" w14:textId="77777777" w:rsidR="006B321A" w:rsidRDefault="00B779D3">
      <w:pPr>
        <w:spacing w:before="180"/>
        <w:jc w:val="center"/>
      </w:pPr>
      <w:r>
        <w:rPr>
          <w:color w:val="666666"/>
          <w:sz w:val="14"/>
          <w:szCs w:val="14"/>
        </w:rPr>
        <w:t>— End of Document —</w:t>
      </w:r>
    </w:p>
    <w:sectPr w:rsidR="006B321A">
      <w:pgSz w:w="11906" w:h="16838"/>
      <w:pgMar w:top="500" w:right="720" w:bottom="500" w:left="72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D6A4C"/>
    <w:multiLevelType w:val="hybridMultilevel"/>
    <w:tmpl w:val="6614A0D2"/>
    <w:lvl w:ilvl="0" w:tplc="490EF0C2">
      <w:start w:val="1"/>
      <w:numFmt w:val="bullet"/>
      <w:lvlText w:val="●"/>
      <w:lvlJc w:val="left"/>
      <w:pPr>
        <w:ind w:left="720" w:hanging="360"/>
      </w:pPr>
    </w:lvl>
    <w:lvl w:ilvl="1" w:tplc="CE50704A">
      <w:start w:val="1"/>
      <w:numFmt w:val="bullet"/>
      <w:lvlText w:val="○"/>
      <w:lvlJc w:val="left"/>
      <w:pPr>
        <w:ind w:left="1440" w:hanging="360"/>
      </w:pPr>
    </w:lvl>
    <w:lvl w:ilvl="2" w:tplc="47726708">
      <w:start w:val="1"/>
      <w:numFmt w:val="bullet"/>
      <w:lvlText w:val="■"/>
      <w:lvlJc w:val="left"/>
      <w:pPr>
        <w:ind w:left="2160" w:hanging="360"/>
      </w:pPr>
    </w:lvl>
    <w:lvl w:ilvl="3" w:tplc="313C2032">
      <w:start w:val="1"/>
      <w:numFmt w:val="bullet"/>
      <w:lvlText w:val="●"/>
      <w:lvlJc w:val="left"/>
      <w:pPr>
        <w:ind w:left="2880" w:hanging="360"/>
      </w:pPr>
    </w:lvl>
    <w:lvl w:ilvl="4" w:tplc="660AF3BC">
      <w:start w:val="1"/>
      <w:numFmt w:val="bullet"/>
      <w:lvlText w:val="○"/>
      <w:lvlJc w:val="left"/>
      <w:pPr>
        <w:ind w:left="3600" w:hanging="360"/>
      </w:pPr>
    </w:lvl>
    <w:lvl w:ilvl="5" w:tplc="0ABAD6FA">
      <w:start w:val="1"/>
      <w:numFmt w:val="bullet"/>
      <w:lvlText w:val="■"/>
      <w:lvlJc w:val="left"/>
      <w:pPr>
        <w:ind w:left="4320" w:hanging="360"/>
      </w:pPr>
    </w:lvl>
    <w:lvl w:ilvl="6" w:tplc="E47890F4">
      <w:start w:val="1"/>
      <w:numFmt w:val="bullet"/>
      <w:lvlText w:val="●"/>
      <w:lvlJc w:val="left"/>
      <w:pPr>
        <w:ind w:left="5040" w:hanging="360"/>
      </w:pPr>
    </w:lvl>
    <w:lvl w:ilvl="7" w:tplc="68DEAE14">
      <w:start w:val="1"/>
      <w:numFmt w:val="bullet"/>
      <w:lvlText w:val="●"/>
      <w:lvlJc w:val="left"/>
      <w:pPr>
        <w:ind w:left="5760" w:hanging="360"/>
      </w:pPr>
    </w:lvl>
    <w:lvl w:ilvl="8" w:tplc="E12ACD5E">
      <w:start w:val="1"/>
      <w:numFmt w:val="bullet"/>
      <w:lvlText w:val="●"/>
      <w:lvlJc w:val="left"/>
      <w:pPr>
        <w:ind w:left="6480" w:hanging="360"/>
      </w:pPr>
    </w:lvl>
  </w:abstractNum>
  <w:abstractNum w:abstractNumId="1" w15:restartNumberingAfterBreak="0">
    <w:nsid w:val="25BC65C5"/>
    <w:multiLevelType w:val="hybridMultilevel"/>
    <w:tmpl w:val="00F643DE"/>
    <w:lvl w:ilvl="0" w:tplc="EF2613F0">
      <w:start w:val="1"/>
      <w:numFmt w:val="bullet"/>
      <w:lvlText w:val="•"/>
      <w:lvlJc w:val="left"/>
      <w:pPr>
        <w:ind w:left="360" w:hanging="180"/>
      </w:pPr>
    </w:lvl>
    <w:lvl w:ilvl="1" w:tplc="1CB24BAE">
      <w:numFmt w:val="decimal"/>
      <w:lvlText w:val=""/>
      <w:lvlJc w:val="left"/>
    </w:lvl>
    <w:lvl w:ilvl="2" w:tplc="B428F214">
      <w:numFmt w:val="decimal"/>
      <w:lvlText w:val=""/>
      <w:lvlJc w:val="left"/>
    </w:lvl>
    <w:lvl w:ilvl="3" w:tplc="976C82D4">
      <w:numFmt w:val="decimal"/>
      <w:lvlText w:val=""/>
      <w:lvlJc w:val="left"/>
    </w:lvl>
    <w:lvl w:ilvl="4" w:tplc="6E7284CC">
      <w:numFmt w:val="decimal"/>
      <w:lvlText w:val=""/>
      <w:lvlJc w:val="left"/>
    </w:lvl>
    <w:lvl w:ilvl="5" w:tplc="FF002C9E">
      <w:numFmt w:val="decimal"/>
      <w:lvlText w:val=""/>
      <w:lvlJc w:val="left"/>
    </w:lvl>
    <w:lvl w:ilvl="6" w:tplc="31FABC7E">
      <w:numFmt w:val="decimal"/>
      <w:lvlText w:val=""/>
      <w:lvlJc w:val="left"/>
    </w:lvl>
    <w:lvl w:ilvl="7" w:tplc="C64606A8">
      <w:numFmt w:val="decimal"/>
      <w:lvlText w:val=""/>
      <w:lvlJc w:val="left"/>
    </w:lvl>
    <w:lvl w:ilvl="8" w:tplc="C5107C68">
      <w:numFmt w:val="decimal"/>
      <w:lvlText w:val=""/>
      <w:lvlJc w:val="left"/>
    </w:lvl>
  </w:abstractNum>
  <w:abstractNum w:abstractNumId="2" w15:restartNumberingAfterBreak="0">
    <w:nsid w:val="3A046621"/>
    <w:multiLevelType w:val="hybridMultilevel"/>
    <w:tmpl w:val="9FA0373E"/>
    <w:lvl w:ilvl="0" w:tplc="B602DCFC">
      <w:start w:val="1"/>
      <w:numFmt w:val="bullet"/>
      <w:lvlText w:val="•"/>
      <w:lvlJc w:val="left"/>
      <w:pPr>
        <w:ind w:left="360" w:hanging="180"/>
      </w:pPr>
    </w:lvl>
    <w:lvl w:ilvl="1" w:tplc="5A6076F0">
      <w:numFmt w:val="decimal"/>
      <w:lvlText w:val=""/>
      <w:lvlJc w:val="left"/>
    </w:lvl>
    <w:lvl w:ilvl="2" w:tplc="508EAAC2">
      <w:numFmt w:val="decimal"/>
      <w:lvlText w:val=""/>
      <w:lvlJc w:val="left"/>
    </w:lvl>
    <w:lvl w:ilvl="3" w:tplc="76B20DA4">
      <w:numFmt w:val="decimal"/>
      <w:lvlText w:val=""/>
      <w:lvlJc w:val="left"/>
    </w:lvl>
    <w:lvl w:ilvl="4" w:tplc="B9163174">
      <w:numFmt w:val="decimal"/>
      <w:lvlText w:val=""/>
      <w:lvlJc w:val="left"/>
    </w:lvl>
    <w:lvl w:ilvl="5" w:tplc="9768DC40">
      <w:numFmt w:val="decimal"/>
      <w:lvlText w:val=""/>
      <w:lvlJc w:val="left"/>
    </w:lvl>
    <w:lvl w:ilvl="6" w:tplc="1336736C">
      <w:numFmt w:val="decimal"/>
      <w:lvlText w:val=""/>
      <w:lvlJc w:val="left"/>
    </w:lvl>
    <w:lvl w:ilvl="7" w:tplc="73A883E4">
      <w:numFmt w:val="decimal"/>
      <w:lvlText w:val=""/>
      <w:lvlJc w:val="left"/>
    </w:lvl>
    <w:lvl w:ilvl="8" w:tplc="268880B0">
      <w:numFmt w:val="decimal"/>
      <w:lvlText w:val=""/>
      <w:lvlJc w:val="left"/>
    </w:lvl>
  </w:abstractNum>
  <w:abstractNum w:abstractNumId="3" w15:restartNumberingAfterBreak="0">
    <w:nsid w:val="42E811E0"/>
    <w:multiLevelType w:val="hybridMultilevel"/>
    <w:tmpl w:val="D69CA37E"/>
    <w:lvl w:ilvl="0" w:tplc="C89231F6">
      <w:start w:val="1"/>
      <w:numFmt w:val="bullet"/>
      <w:lvlText w:val="•"/>
      <w:lvlJc w:val="left"/>
      <w:pPr>
        <w:ind w:left="360" w:hanging="180"/>
      </w:pPr>
    </w:lvl>
    <w:lvl w:ilvl="1" w:tplc="030EA03A">
      <w:numFmt w:val="decimal"/>
      <w:lvlText w:val=""/>
      <w:lvlJc w:val="left"/>
    </w:lvl>
    <w:lvl w:ilvl="2" w:tplc="6CE4C59E">
      <w:numFmt w:val="decimal"/>
      <w:lvlText w:val=""/>
      <w:lvlJc w:val="left"/>
    </w:lvl>
    <w:lvl w:ilvl="3" w:tplc="C3C4C062">
      <w:numFmt w:val="decimal"/>
      <w:lvlText w:val=""/>
      <w:lvlJc w:val="left"/>
    </w:lvl>
    <w:lvl w:ilvl="4" w:tplc="24204450">
      <w:numFmt w:val="decimal"/>
      <w:lvlText w:val=""/>
      <w:lvlJc w:val="left"/>
    </w:lvl>
    <w:lvl w:ilvl="5" w:tplc="3E22EB2E">
      <w:numFmt w:val="decimal"/>
      <w:lvlText w:val=""/>
      <w:lvlJc w:val="left"/>
    </w:lvl>
    <w:lvl w:ilvl="6" w:tplc="FBF8F032">
      <w:numFmt w:val="decimal"/>
      <w:lvlText w:val=""/>
      <w:lvlJc w:val="left"/>
    </w:lvl>
    <w:lvl w:ilvl="7" w:tplc="555E827A">
      <w:numFmt w:val="decimal"/>
      <w:lvlText w:val=""/>
      <w:lvlJc w:val="left"/>
    </w:lvl>
    <w:lvl w:ilvl="8" w:tplc="0234C060">
      <w:numFmt w:val="decimal"/>
      <w:lvlText w:val=""/>
      <w:lvlJc w:val="left"/>
    </w:lvl>
  </w:abstractNum>
  <w:abstractNum w:abstractNumId="4" w15:restartNumberingAfterBreak="0">
    <w:nsid w:val="4ACC2699"/>
    <w:multiLevelType w:val="hybridMultilevel"/>
    <w:tmpl w:val="0A8AA646"/>
    <w:lvl w:ilvl="0" w:tplc="6032D1C0">
      <w:start w:val="1"/>
      <w:numFmt w:val="bullet"/>
      <w:lvlText w:val="•"/>
      <w:lvlJc w:val="left"/>
      <w:pPr>
        <w:ind w:left="360" w:hanging="180"/>
      </w:pPr>
    </w:lvl>
    <w:lvl w:ilvl="1" w:tplc="3CD0553E">
      <w:numFmt w:val="decimal"/>
      <w:lvlText w:val=""/>
      <w:lvlJc w:val="left"/>
    </w:lvl>
    <w:lvl w:ilvl="2" w:tplc="AA90E8D4">
      <w:numFmt w:val="decimal"/>
      <w:lvlText w:val=""/>
      <w:lvlJc w:val="left"/>
    </w:lvl>
    <w:lvl w:ilvl="3" w:tplc="D43A587C">
      <w:numFmt w:val="decimal"/>
      <w:lvlText w:val=""/>
      <w:lvlJc w:val="left"/>
    </w:lvl>
    <w:lvl w:ilvl="4" w:tplc="EAD0B798">
      <w:numFmt w:val="decimal"/>
      <w:lvlText w:val=""/>
      <w:lvlJc w:val="left"/>
    </w:lvl>
    <w:lvl w:ilvl="5" w:tplc="C2DA9A1C">
      <w:numFmt w:val="decimal"/>
      <w:lvlText w:val=""/>
      <w:lvlJc w:val="left"/>
    </w:lvl>
    <w:lvl w:ilvl="6" w:tplc="A37EB58C">
      <w:numFmt w:val="decimal"/>
      <w:lvlText w:val=""/>
      <w:lvlJc w:val="left"/>
    </w:lvl>
    <w:lvl w:ilvl="7" w:tplc="2D6CDAB2">
      <w:numFmt w:val="decimal"/>
      <w:lvlText w:val=""/>
      <w:lvlJc w:val="left"/>
    </w:lvl>
    <w:lvl w:ilvl="8" w:tplc="95381A34">
      <w:numFmt w:val="decimal"/>
      <w:lvlText w:val=""/>
      <w:lvlJc w:val="left"/>
    </w:lvl>
  </w:abstractNum>
  <w:abstractNum w:abstractNumId="5" w15:restartNumberingAfterBreak="0">
    <w:nsid w:val="73624C17"/>
    <w:multiLevelType w:val="hybridMultilevel"/>
    <w:tmpl w:val="BC00F3CE"/>
    <w:lvl w:ilvl="0" w:tplc="BC242F20">
      <w:start w:val="1"/>
      <w:numFmt w:val="bullet"/>
      <w:lvlText w:val="•"/>
      <w:lvlJc w:val="left"/>
      <w:pPr>
        <w:ind w:left="360" w:hanging="180"/>
      </w:pPr>
    </w:lvl>
    <w:lvl w:ilvl="1" w:tplc="550ACE5E">
      <w:numFmt w:val="decimal"/>
      <w:lvlText w:val=""/>
      <w:lvlJc w:val="left"/>
    </w:lvl>
    <w:lvl w:ilvl="2" w:tplc="62E8FB9C">
      <w:numFmt w:val="decimal"/>
      <w:lvlText w:val=""/>
      <w:lvlJc w:val="left"/>
    </w:lvl>
    <w:lvl w:ilvl="3" w:tplc="3EDC058E">
      <w:numFmt w:val="decimal"/>
      <w:lvlText w:val=""/>
      <w:lvlJc w:val="left"/>
    </w:lvl>
    <w:lvl w:ilvl="4" w:tplc="97BED57A">
      <w:numFmt w:val="decimal"/>
      <w:lvlText w:val=""/>
      <w:lvlJc w:val="left"/>
    </w:lvl>
    <w:lvl w:ilvl="5" w:tplc="40206C1C">
      <w:numFmt w:val="decimal"/>
      <w:lvlText w:val=""/>
      <w:lvlJc w:val="left"/>
    </w:lvl>
    <w:lvl w:ilvl="6" w:tplc="E0D29C66">
      <w:numFmt w:val="decimal"/>
      <w:lvlText w:val=""/>
      <w:lvlJc w:val="left"/>
    </w:lvl>
    <w:lvl w:ilvl="7" w:tplc="87902188">
      <w:numFmt w:val="decimal"/>
      <w:lvlText w:val=""/>
      <w:lvlJc w:val="left"/>
    </w:lvl>
    <w:lvl w:ilvl="8" w:tplc="D40441C8">
      <w:numFmt w:val="decimal"/>
      <w:lvlText w:val=""/>
      <w:lvlJc w:val="left"/>
    </w:lvl>
  </w:abstractNum>
  <w:num w:numId="1" w16cid:durableId="1706446477">
    <w:abstractNumId w:val="0"/>
    <w:lvlOverride w:ilvl="0">
      <w:startOverride w:val="1"/>
    </w:lvlOverride>
  </w:num>
  <w:num w:numId="2" w16cid:durableId="865168539">
    <w:abstractNumId w:val="4"/>
    <w:lvlOverride w:ilvl="0">
      <w:startOverride w:val="1"/>
    </w:lvlOverride>
  </w:num>
  <w:num w:numId="3" w16cid:durableId="1718894729">
    <w:abstractNumId w:val="1"/>
    <w:lvlOverride w:ilvl="0">
      <w:startOverride w:val="1"/>
    </w:lvlOverride>
  </w:num>
  <w:num w:numId="4" w16cid:durableId="811482850">
    <w:abstractNumId w:val="2"/>
    <w:lvlOverride w:ilvl="0">
      <w:startOverride w:val="1"/>
    </w:lvlOverride>
  </w:num>
  <w:num w:numId="5" w16cid:durableId="1453017509">
    <w:abstractNumId w:val="3"/>
    <w:lvlOverride w:ilvl="0">
      <w:startOverride w:val="1"/>
    </w:lvlOverride>
  </w:num>
  <w:num w:numId="6" w16cid:durableId="1260021793">
    <w:abstractNumId w:val="5"/>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321A"/>
    <w:rsid w:val="003641DA"/>
    <w:rsid w:val="004A0572"/>
    <w:rsid w:val="006B3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BE90B"/>
  <w15:docId w15:val="{42D48516-1DA5-4AF7-986D-5F3517616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00" w:after="120"/>
      <w:outlineLvl w:val="0"/>
    </w:pPr>
    <w:rPr>
      <w:b/>
      <w:bCs/>
      <w:color w:val="1F4E79"/>
      <w:sz w:val="28"/>
      <w:szCs w:val="28"/>
    </w:rPr>
  </w:style>
  <w:style w:type="paragraph" w:styleId="Heading2">
    <w:name w:val="heading 2"/>
    <w:uiPriority w:val="9"/>
    <w:unhideWhenUsed/>
    <w:qFormat/>
    <w:pPr>
      <w:spacing w:before="160" w:after="8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2046</Words>
  <Characters>11667</Characters>
  <Application>Microsoft Office Word</Application>
  <DocSecurity>0</DocSecurity>
  <Lines>97</Lines>
  <Paragraphs>27</Paragraphs>
  <ScaleCrop>false</ScaleCrop>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Khatera Omari - CY SCS</cp:lastModifiedBy>
  <cp:revision>2</cp:revision>
  <dcterms:created xsi:type="dcterms:W3CDTF">2026-08-06T21:57:00Z</dcterms:created>
  <dcterms:modified xsi:type="dcterms:W3CDTF">2026-08-06T21:57:00Z</dcterms:modified>
</cp:coreProperties>
</file>