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2"/>
        </w:rPr>
        <w:id w:val="-311493114"/>
        <w:docPartObj>
          <w:docPartGallery w:val="Cover Pages"/>
          <w:docPartUnique/>
        </w:docPartObj>
      </w:sdtPr>
      <w:sdtEndPr>
        <w:rPr>
          <w:rFonts w:ascii="Arial" w:eastAsiaTheme="minorHAnsi" w:hAnsi="Arial" w:cs="Arial"/>
          <w:b/>
          <w:bCs/>
          <w:kern w:val="2"/>
          <w:sz w:val="24"/>
          <w:szCs w:val="24"/>
          <w:lang w:val="en-GB"/>
          <w14:ligatures w14:val="standardContextual"/>
        </w:rPr>
      </w:sdtEndPr>
      <w:sdtContent>
        <w:p w14:paraId="6C45BF9B" w14:textId="172EBA8E" w:rsidR="007514E1" w:rsidRDefault="007514E1">
          <w:pPr>
            <w:pStyle w:val="NoSpacing"/>
            <w:rPr>
              <w:sz w:val="2"/>
            </w:rPr>
          </w:pPr>
        </w:p>
        <w:p w14:paraId="4AD48BE7" w14:textId="5FECC1A0" w:rsidR="007514E1" w:rsidRDefault="007514E1">
          <w:r>
            <w:rPr>
              <w:noProof/>
              <w:color w:val="156082" w:themeColor="accent1"/>
              <w:sz w:val="36"/>
              <w:szCs w:val="36"/>
            </w:rPr>
            <mc:AlternateContent>
              <mc:Choice Requires="wpg">
                <w:drawing>
                  <wp:anchor distT="0" distB="0" distL="114300" distR="114300" simplePos="0" relativeHeight="251660288" behindDoc="1" locked="0" layoutInCell="1" allowOverlap="1" wp14:anchorId="574E0782" wp14:editId="47403B94">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88A6CF9"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24089045" wp14:editId="779375BD">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7D340A" w14:textId="38F4E225" w:rsidR="007514E1" w:rsidRPr="007514E1" w:rsidRDefault="007514E1">
                                <w:pPr>
                                  <w:pStyle w:val="NoSpacing"/>
                                  <w:jc w:val="right"/>
                                  <w:rPr>
                                    <w:rFonts w:ascii="Arial Black" w:hAnsi="Arial Black"/>
                                    <w:color w:val="156082" w:themeColor="accent1"/>
                                    <w:sz w:val="36"/>
                                    <w:szCs w:val="36"/>
                                  </w:rPr>
                                </w:pPr>
                                <w:sdt>
                                  <w:sdtPr>
                                    <w:rPr>
                                      <w:rFonts w:ascii="Arial Black" w:hAnsi="Arial Black"/>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Pr="007514E1">
                                      <w:rPr>
                                        <w:rFonts w:ascii="Arial Black" w:hAnsi="Arial Black"/>
                                        <w:color w:val="156082" w:themeColor="accent1"/>
                                        <w:sz w:val="36"/>
                                        <w:szCs w:val="36"/>
                                      </w:rPr>
                                      <w:t>BA/HND Business and Management</w:t>
                                    </w:r>
                                  </w:sdtContent>
                                </w:sdt>
                              </w:p>
                              <w:sdt>
                                <w:sdtPr>
                                  <w:rPr>
                                    <w:rFonts w:ascii="Arial Black" w:hAnsi="Arial Black"/>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24215E9" w14:textId="5C906347" w:rsidR="007514E1" w:rsidRPr="007514E1" w:rsidRDefault="007514E1">
                                    <w:pPr>
                                      <w:pStyle w:val="NoSpacing"/>
                                      <w:jc w:val="right"/>
                                      <w:rPr>
                                        <w:rFonts w:ascii="Arial Black" w:hAnsi="Arial Black"/>
                                        <w:color w:val="156082" w:themeColor="accent1"/>
                                        <w:sz w:val="36"/>
                                        <w:szCs w:val="36"/>
                                      </w:rPr>
                                    </w:pPr>
                                    <w:r w:rsidRPr="007514E1">
                                      <w:rPr>
                                        <w:rFonts w:ascii="Arial Black" w:hAnsi="Arial Black"/>
                                        <w:color w:val="156082" w:themeColor="accent1"/>
                                        <w:sz w:val="36"/>
                                        <w:szCs w:val="36"/>
                                      </w:rPr>
                                      <w:t xml:space="preserve">Financial Management </w:t>
                                    </w:r>
                                    <w:r w:rsidRPr="007514E1">
                                      <w:rPr>
                                        <w:rFonts w:ascii="Arial Black" w:hAnsi="Arial Black"/>
                                        <w:color w:val="156082" w:themeColor="accent1"/>
                                        <w:sz w:val="36"/>
                                        <w:szCs w:val="36"/>
                                      </w:rPr>
                                      <w:t>for</w:t>
                                    </w:r>
                                    <w:r w:rsidRPr="007514E1">
                                      <w:rPr>
                                        <w:rFonts w:ascii="Arial Black" w:hAnsi="Arial Black"/>
                                        <w:color w:val="156082" w:themeColor="accent1"/>
                                        <w:sz w:val="36"/>
                                        <w:szCs w:val="36"/>
                                      </w:rPr>
                                      <w:t xml:space="preserve"> Business Sustainability</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w14:anchorId="24089045" id="_x0000_t202" coordsize="21600,21600" o:spt="202" path="m,l,21600r21600,l21600,xe">
                    <v:stroke joinstyle="miter"/>
                    <v:path gradientshapeok="t" o:connecttype="rect"/>
                  </v:shapetype>
                  <v:shape id="Text Box 73" o:spid="_x0000_s1026"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MkCYAIAAC0FAAAOAAAAZHJzL2Uyb0RvYy54bWysVMFu2zAMvQ/YPwi6r3aatFuDOkWWosOA&#10;oi2WDj0rspQYk0WNUmJnXz9KtpMi26XDLjItPlHk46Oub9rasJ1CX4Et+Ogs50xZCWVl1wX//nz3&#10;4RNnPghbCgNWFXyvPL+ZvX933bipOocNmFIhoyDWTxtX8E0IbpplXm5ULfwZOGXJqQFrEegX11mJ&#10;oqHotcnO8/wyawBLhyCV97R72zn5LMXXWsnwqLVXgZmCU24hrZjWVVyz2bWYrlG4TSX7NMQ/ZFGL&#10;ytKlh1C3Igi2xeqPUHUlETzocCahzkDrSqpUA1Uzyk+qWW6EU6kWIse7A03+/4WVD7ule0IW2s/Q&#10;UgMjIY3zU0+bsZ5WYx2/lCkjP1G4P9Cm2sAkbV5cTcaXObkk+cYfJ1f5JIbJjqcd+vBFQc2iUXCk&#10;tiS2xO7ehw46QOJlFu4qY1JrjGVNwS/HF3k6cPBQcGMjVqUm92GOmScr7I2KGGO/Kc2qMhUQN5K8&#10;1MIg2wkShpBS2ZBqT3EJHVGaknjLwR5/zOoth7s6hpvBhsPhurKAqfqTtMsfQ8q6wxPnr+qOZmhX&#10;bd/RFZR7ajRCNwPeybuKunEvfHgSSKKnBtIgh0datAFiHXqLsw3gr7/tRzxpkbycNTREBfc/twIV&#10;Z+arJZXGiRsMHIzVYNhtvQCif0RPhJPJpAMYzGBqhPqF5nsebyGXsJLuKvhqMBehG2V6H6SazxOI&#10;5sqJcG+XTsbQsRtRW8/ti0DXCzCQdB9gGC8xPdFhh01CcfNtIDUmkUZCOxZ7omkmk8z79yMO/ev/&#10;hDq+crPfAAAA//8DAFBLAwQUAAYACAAAACEAMcOijdoAAAAEAQAADwAAAGRycy9kb3ducmV2Lnht&#10;bEyP3WrCQBCF7wu+wzKF3tVN/0RjNiJSoaUUrfUBJtkxCWZnQ3bV9O077U17M3A4wznfyRaDa9WZ&#10;+tB4NnA3TkARl942XBnYf65vp6BCRLbYeiYDXxRgkY+uMkytv/AHnXexUhLCIUUDdYxdqnUoa3IY&#10;xr4jFu/ge4dRZF9p2+NFwl2r75Nkoh02LA01drSqqTzuTk5KwvEQ8XH9/qZXxUvBz9vX6aYy5uZ6&#10;WM5BRRri3zP84As65MJU+BPboFoDMiT+XvFmDxORhYGnWQI6z/R/+PwbAAD//wMAUEsBAi0AFAAG&#10;AAgAAAAhALaDOJL+AAAA4QEAABMAAAAAAAAAAAAAAAAAAAAAAFtDb250ZW50X1R5cGVzXS54bWxQ&#10;SwECLQAUAAYACAAAACEAOP0h/9YAAACUAQAACwAAAAAAAAAAAAAAAAAvAQAAX3JlbHMvLnJlbHNQ&#10;SwECLQAUAAYACAAAACEAT1TJAmACAAAtBQAADgAAAAAAAAAAAAAAAAAuAgAAZHJzL2Uyb0RvYy54&#10;bWxQSwECLQAUAAYACAAAACEAMcOijdoAAAAEAQAADwAAAAAAAAAAAAAAAAC6BAAAZHJzL2Rvd25y&#10;ZXYueG1sUEsFBgAAAAAEAAQA8wAAAMEFAAAAAA==&#10;" filled="f" stroked="f" strokeweight=".5pt">
                    <v:textbox style="mso-fit-shape-to-text:t" inset="0,0,0,0">
                      <w:txbxContent>
                        <w:p w14:paraId="147D340A" w14:textId="38F4E225" w:rsidR="007514E1" w:rsidRPr="007514E1" w:rsidRDefault="007514E1">
                          <w:pPr>
                            <w:pStyle w:val="NoSpacing"/>
                            <w:jc w:val="right"/>
                            <w:rPr>
                              <w:rFonts w:ascii="Arial Black" w:hAnsi="Arial Black"/>
                              <w:color w:val="156082" w:themeColor="accent1"/>
                              <w:sz w:val="36"/>
                              <w:szCs w:val="36"/>
                            </w:rPr>
                          </w:pPr>
                          <w:sdt>
                            <w:sdtPr>
                              <w:rPr>
                                <w:rFonts w:ascii="Arial Black" w:hAnsi="Arial Black"/>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Pr="007514E1">
                                <w:rPr>
                                  <w:rFonts w:ascii="Arial Black" w:hAnsi="Arial Black"/>
                                  <w:color w:val="156082" w:themeColor="accent1"/>
                                  <w:sz w:val="36"/>
                                  <w:szCs w:val="36"/>
                                </w:rPr>
                                <w:t>BA/HND Business and Management</w:t>
                              </w:r>
                            </w:sdtContent>
                          </w:sdt>
                        </w:p>
                        <w:sdt>
                          <w:sdtPr>
                            <w:rPr>
                              <w:rFonts w:ascii="Arial Black" w:hAnsi="Arial Black"/>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24215E9" w14:textId="5C906347" w:rsidR="007514E1" w:rsidRPr="007514E1" w:rsidRDefault="007514E1">
                              <w:pPr>
                                <w:pStyle w:val="NoSpacing"/>
                                <w:jc w:val="right"/>
                                <w:rPr>
                                  <w:rFonts w:ascii="Arial Black" w:hAnsi="Arial Black"/>
                                  <w:color w:val="156082" w:themeColor="accent1"/>
                                  <w:sz w:val="36"/>
                                  <w:szCs w:val="36"/>
                                </w:rPr>
                              </w:pPr>
                              <w:r w:rsidRPr="007514E1">
                                <w:rPr>
                                  <w:rFonts w:ascii="Arial Black" w:hAnsi="Arial Black"/>
                                  <w:color w:val="156082" w:themeColor="accent1"/>
                                  <w:sz w:val="36"/>
                                  <w:szCs w:val="36"/>
                                </w:rPr>
                                <w:t xml:space="preserve">Financial Management </w:t>
                              </w:r>
                              <w:r w:rsidRPr="007514E1">
                                <w:rPr>
                                  <w:rFonts w:ascii="Arial Black" w:hAnsi="Arial Black"/>
                                  <w:color w:val="156082" w:themeColor="accent1"/>
                                  <w:sz w:val="36"/>
                                  <w:szCs w:val="36"/>
                                </w:rPr>
                                <w:t>for</w:t>
                              </w:r>
                              <w:r w:rsidRPr="007514E1">
                                <w:rPr>
                                  <w:rFonts w:ascii="Arial Black" w:hAnsi="Arial Black"/>
                                  <w:color w:val="156082" w:themeColor="accent1"/>
                                  <w:sz w:val="36"/>
                                  <w:szCs w:val="36"/>
                                </w:rPr>
                                <w:t xml:space="preserve"> Business Sustainability</w:t>
                              </w:r>
                            </w:p>
                          </w:sdtContent>
                        </w:sdt>
                      </w:txbxContent>
                    </v:textbox>
                    <w10:wrap anchorx="page" anchory="margin"/>
                  </v:shape>
                </w:pict>
              </mc:Fallback>
            </mc:AlternateContent>
          </w:r>
        </w:p>
        <w:p w14:paraId="3E9AC868" w14:textId="18CD0F8A" w:rsidR="007514E1" w:rsidRDefault="007514E1">
          <w:pPr>
            <w:rPr>
              <w:rFonts w:ascii="Arial" w:hAnsi="Arial" w:cs="Arial"/>
              <w:b/>
              <w:bCs/>
            </w:rPr>
          </w:pPr>
          <w:r>
            <w:rPr>
              <w:noProof/>
            </w:rPr>
            <mc:AlternateContent>
              <mc:Choice Requires="wps">
                <w:drawing>
                  <wp:anchor distT="0" distB="0" distL="114300" distR="114300" simplePos="0" relativeHeight="251661312" behindDoc="0" locked="0" layoutInCell="1" allowOverlap="1" wp14:anchorId="5707FAA7" wp14:editId="0DD9D0A4">
                    <wp:simplePos x="0" y="0"/>
                    <wp:positionH relativeFrom="margin">
                      <wp:align>left</wp:align>
                    </wp:positionH>
                    <wp:positionV relativeFrom="margin">
                      <wp:posOffset>838200</wp:posOffset>
                    </wp:positionV>
                    <wp:extent cx="5943600" cy="914400"/>
                    <wp:effectExtent l="0" t="0" r="0" b="508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Black" w:eastAsiaTheme="majorEastAsia" w:hAnsi="Arial Black" w:cstheme="majorBidi"/>
                                    <w:caps/>
                                    <w:color w:val="2C7FCE" w:themeColor="text2" w:themeTint="99"/>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346C0500" w14:textId="3B6C6124" w:rsidR="007514E1" w:rsidRPr="007514E1" w:rsidRDefault="007514E1" w:rsidP="007514E1">
                                    <w:pPr>
                                      <w:pStyle w:val="NoSpacing"/>
                                      <w:rPr>
                                        <w:rFonts w:ascii="Arial Black" w:eastAsiaTheme="majorEastAsia" w:hAnsi="Arial Black" w:cstheme="majorBidi"/>
                                        <w:caps/>
                                        <w:color w:val="2C7FCE" w:themeColor="text2" w:themeTint="99"/>
                                        <w:sz w:val="56"/>
                                        <w:szCs w:val="56"/>
                                      </w:rPr>
                                    </w:pPr>
                                    <w:r w:rsidRPr="007514E1">
                                      <w:rPr>
                                        <w:rFonts w:ascii="Arial Black" w:eastAsiaTheme="majorEastAsia" w:hAnsi="Arial Black" w:cstheme="majorBidi"/>
                                        <w:caps/>
                                        <w:color w:val="2C7FCE" w:themeColor="text2" w:themeTint="99"/>
                                        <w:sz w:val="56"/>
                                        <w:szCs w:val="56"/>
                                      </w:rPr>
                                      <w:t>Financial Ratio Analysis of McDonald’s Corporation (2022–2023)</w:t>
                                    </w:r>
                                  </w:p>
                                </w:sdtContent>
                              </w:sdt>
                              <w:p w14:paraId="2F089D94" w14:textId="77777777" w:rsidR="007514E1" w:rsidRDefault="007514E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 w14:anchorId="5707FAA7" id="Text Box 66" o:spid="_x0000_s1027" type="#_x0000_t202" style="position:absolute;margin-left:0;margin-top:66pt;width:468pt;height:1in;z-index:251661312;visibility:visible;mso-wrap-style:square;mso-width-percent:765;mso-wrap-distance-left:9pt;mso-wrap-distance-top:0;mso-wrap-distance-right:9pt;mso-wrap-distance-bottom:0;mso-position-horizontal:left;mso-position-horizontal-relative:margin;mso-position-vertical:absolute;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FkBeaAIAAEQFAAAOAAAAZHJzL2Uyb0RvYy54bWysVEtv2zAMvg/YfxB0X+y0SbYGdYqsRYYB&#10;RVssHXpWZKkxJouaxMTOfv0o2Xkg26XDLjItfnx/1PVNWxu2VT5UYAs+HOScKSuhrOxrwb8/Lz58&#10;4iygsKUwYFXBdyrwm9n7d9eNm6oLWIMplWfkxIZp4wq+RnTTLAtyrWoRBuCUJaUGXwukX/+alV40&#10;5L022UWeT7IGfOk8SBUC3d51Sj5L/rVWEh+1DgqZKTjlhun06VzFM5tdi+mrF25dyT4N8Q9Z1KKy&#10;FPTg6k6gYBtf/eGqrqSHABoHEuoMtK6kSjVQNcP8rJrlWjiVaqHmBHdoU/h/buXDdumePMP2M7Q0&#10;wNiQxoVpoMtYT6t9Hb+UKSM9tXB3aJtqkUm6HF+NLic5qSTproajEcnkJjtaOx/wi4KaRaHgnsaS&#10;uiW29wE76B4Sg1lYVMak0RjLmoJPLsd5MjhoyLmxEavSkHs3x8yThDujIsbYb0qzqkwFxItEL3Vr&#10;PNsKIoaQUllMtSe/hI4oTUm8xbDHH7N6i3FXxz4yWDwY15UFn6o/S7v8sU9Zd3jq+UndUcR21VLh&#10;J4NdQbmjeXvoViE4uahoKPci4JPwxH2aI+0zPtKhDVDzoZc4W4P/9bf7iCdKkpazhnap4OHnRnjF&#10;mflqiayJE7R86Wc0/nhBMfypZnWqsZv6FmgqQ3o5nExixKPZi9pD/UJrP49RSSWspNgFx714i92G&#10;07Mh1XyeQLRuTuC9XToZXcchRco9ty/Cu56XSIx+gP3WiekZPTts4o+bb5BImrgb+9x1te8/rWpi&#10;f/+sxLfg9D+hjo/f7DcAAAD//wMAUEsDBBQABgAIAAAAIQCTAmn64AAAAAgBAAAPAAAAZHJzL2Rv&#10;d25yZXYueG1sTI9LT8MwEITvSP0P1iJxiahDKrUQ4lS8euCAUB9IHN14iaPG6xC7bcqvZznR2+zO&#10;avabYj64VhywD40nBTfjFARS5U1DtYLNenF9CyJETUa3nlDBCQPMy9FFoXPjj7TEwyrWgkMo5FqB&#10;jbHLpQyVRafD2HdI7H353unIY19L0+sjh7tWZmk6lU43xB+s7vDJYrVb7Z0C37ycPt7NW5ItkuT7&#10;+bVe/jx+WqWuLoeHexARh/h/DH/4jA4lM239nkwQrQIuEnk7yViwfTeZstgqyGYsZFnI8wLlLwAA&#10;AP//AwBQSwECLQAUAAYACAAAACEAtoM4kv4AAADhAQAAEwAAAAAAAAAAAAAAAAAAAAAAW0NvbnRl&#10;bnRfVHlwZXNdLnhtbFBLAQItABQABgAIAAAAIQA4/SH/1gAAAJQBAAALAAAAAAAAAAAAAAAAAC8B&#10;AABfcmVscy8ucmVsc1BLAQItABQABgAIAAAAIQA7FkBeaAIAAEQFAAAOAAAAAAAAAAAAAAAAAC4C&#10;AABkcnMvZTJvRG9jLnhtbFBLAQItABQABgAIAAAAIQCTAmn64AAAAAgBAAAPAAAAAAAAAAAAAAAA&#10;AMIEAABkcnMvZG93bnJldi54bWxQSwUGAAAAAAQABADzAAAAzwUAAAAA&#10;" filled="f" stroked="f" strokeweight=".5pt">
                    <v:textbox style="mso-fit-shape-to-text:t">
                      <w:txbxContent>
                        <w:sdt>
                          <w:sdtPr>
                            <w:rPr>
                              <w:rFonts w:ascii="Arial Black" w:eastAsiaTheme="majorEastAsia" w:hAnsi="Arial Black" w:cstheme="majorBidi"/>
                              <w:caps/>
                              <w:color w:val="2C7FCE" w:themeColor="text2" w:themeTint="99"/>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346C0500" w14:textId="3B6C6124" w:rsidR="007514E1" w:rsidRPr="007514E1" w:rsidRDefault="007514E1" w:rsidP="007514E1">
                              <w:pPr>
                                <w:pStyle w:val="NoSpacing"/>
                                <w:rPr>
                                  <w:rFonts w:ascii="Arial Black" w:eastAsiaTheme="majorEastAsia" w:hAnsi="Arial Black" w:cstheme="majorBidi"/>
                                  <w:caps/>
                                  <w:color w:val="2C7FCE" w:themeColor="text2" w:themeTint="99"/>
                                  <w:sz w:val="56"/>
                                  <w:szCs w:val="56"/>
                                </w:rPr>
                              </w:pPr>
                              <w:r w:rsidRPr="007514E1">
                                <w:rPr>
                                  <w:rFonts w:ascii="Arial Black" w:eastAsiaTheme="majorEastAsia" w:hAnsi="Arial Black" w:cstheme="majorBidi"/>
                                  <w:caps/>
                                  <w:color w:val="2C7FCE" w:themeColor="text2" w:themeTint="99"/>
                                  <w:sz w:val="56"/>
                                  <w:szCs w:val="56"/>
                                </w:rPr>
                                <w:t>Financial Ratio Analysis of McDonald’s Corporation (2022–2023)</w:t>
                              </w:r>
                            </w:p>
                          </w:sdtContent>
                        </w:sdt>
                        <w:p w14:paraId="2F089D94" w14:textId="77777777" w:rsidR="007514E1" w:rsidRDefault="007514E1"/>
                      </w:txbxContent>
                    </v:textbox>
                    <w10:wrap anchorx="margin" anchory="margin"/>
                  </v:shape>
                </w:pict>
              </mc:Fallback>
            </mc:AlternateContent>
          </w:r>
          <w:r>
            <w:rPr>
              <w:rFonts w:ascii="Arial" w:hAnsi="Arial" w:cs="Arial"/>
              <w:b/>
              <w:bCs/>
            </w:rPr>
            <w:br w:type="page"/>
          </w:r>
        </w:p>
      </w:sdtContent>
    </w:sdt>
    <w:p w14:paraId="018D2465" w14:textId="2D234F02" w:rsidR="00F90100" w:rsidRPr="007514E1" w:rsidRDefault="00F90100" w:rsidP="00F90100">
      <w:pPr>
        <w:pStyle w:val="ListParagraph"/>
        <w:numPr>
          <w:ilvl w:val="0"/>
          <w:numId w:val="1"/>
        </w:numPr>
        <w:spacing w:line="480" w:lineRule="auto"/>
        <w:rPr>
          <w:rFonts w:ascii="Arial" w:hAnsi="Arial" w:cs="Arial"/>
          <w:b/>
          <w:bCs/>
        </w:rPr>
      </w:pPr>
      <w:r w:rsidRPr="007514E1">
        <w:rPr>
          <w:rFonts w:ascii="Arial" w:hAnsi="Arial" w:cs="Arial"/>
          <w:b/>
          <w:bCs/>
        </w:rPr>
        <w:lastRenderedPageBreak/>
        <w:t>Introduction</w:t>
      </w:r>
    </w:p>
    <w:p w14:paraId="45ED23BB" w14:textId="77777777" w:rsidR="00F90100" w:rsidRDefault="00F90100" w:rsidP="00F90100">
      <w:pPr>
        <w:spacing w:line="480" w:lineRule="auto"/>
        <w:rPr>
          <w:rFonts w:ascii="Arial" w:hAnsi="Arial" w:cs="Arial"/>
        </w:rPr>
      </w:pPr>
      <w:r w:rsidRPr="00F90100">
        <w:rPr>
          <w:rFonts w:ascii="Arial" w:hAnsi="Arial" w:cs="Arial"/>
        </w:rPr>
        <w:t xml:space="preserve">McDonald’s Corporation, established in 1940, is among the most well-known brands in the fast-food business. With over 40,000 restaurant locations worldwide, over 90% of which are franchised, it is in a strong position in the quick-service restaurant (QSR) market. The corporation </w:t>
      </w:r>
      <w:r w:rsidRPr="00F90100">
        <w:rPr>
          <w:rFonts w:ascii="Arial" w:hAnsi="Arial" w:cs="Arial"/>
        </w:rPr>
        <w:t>can</w:t>
      </w:r>
      <w:r w:rsidRPr="00F90100">
        <w:rPr>
          <w:rFonts w:ascii="Arial" w:hAnsi="Arial" w:cs="Arial"/>
        </w:rPr>
        <w:t xml:space="preserve"> effectively manage capital-light operations, reduce direct operational risk, and obtain a higher return on capital through franchising (McDonald’s Franchise Model, 2021). This report will assess McDonald’s financial performance from 2022 to 2023 using ratio analysis to track performance trends, understand weaknesses, and formulate recommendations to enhance financial sustainability. </w:t>
      </w:r>
    </w:p>
    <w:p w14:paraId="1F86B237" w14:textId="77777777" w:rsidR="00F90100" w:rsidRDefault="00F90100" w:rsidP="00F90100">
      <w:pPr>
        <w:spacing w:line="480" w:lineRule="auto"/>
        <w:rPr>
          <w:rFonts w:ascii="Arial" w:hAnsi="Arial" w:cs="Arial"/>
        </w:rPr>
      </w:pPr>
    </w:p>
    <w:p w14:paraId="0FFBCE8A" w14:textId="77777777" w:rsidR="00F90100" w:rsidRDefault="00F90100" w:rsidP="00F90100">
      <w:pPr>
        <w:spacing w:line="480" w:lineRule="auto"/>
        <w:rPr>
          <w:rFonts w:ascii="Arial" w:hAnsi="Arial" w:cs="Arial"/>
        </w:rPr>
      </w:pPr>
    </w:p>
    <w:p w14:paraId="0FA636A9" w14:textId="77777777" w:rsidR="00F90100" w:rsidRDefault="00F90100" w:rsidP="00F90100">
      <w:pPr>
        <w:spacing w:line="480" w:lineRule="auto"/>
        <w:rPr>
          <w:rFonts w:ascii="Arial" w:hAnsi="Arial" w:cs="Arial"/>
        </w:rPr>
      </w:pPr>
    </w:p>
    <w:p w14:paraId="64A8A30C" w14:textId="77777777" w:rsidR="00F90100" w:rsidRDefault="00F90100" w:rsidP="00F90100">
      <w:pPr>
        <w:spacing w:line="480" w:lineRule="auto"/>
        <w:rPr>
          <w:rFonts w:ascii="Arial" w:hAnsi="Arial" w:cs="Arial"/>
        </w:rPr>
      </w:pPr>
    </w:p>
    <w:p w14:paraId="432E2F2A" w14:textId="77777777" w:rsidR="00F90100" w:rsidRDefault="00F90100" w:rsidP="00F90100">
      <w:pPr>
        <w:spacing w:line="480" w:lineRule="auto"/>
        <w:rPr>
          <w:rFonts w:ascii="Arial" w:hAnsi="Arial" w:cs="Arial"/>
        </w:rPr>
      </w:pPr>
    </w:p>
    <w:p w14:paraId="2F903EBE" w14:textId="77777777" w:rsidR="00F90100" w:rsidRDefault="00F90100" w:rsidP="00F90100">
      <w:pPr>
        <w:spacing w:line="480" w:lineRule="auto"/>
        <w:rPr>
          <w:rFonts w:ascii="Arial" w:hAnsi="Arial" w:cs="Arial"/>
        </w:rPr>
      </w:pPr>
    </w:p>
    <w:p w14:paraId="2F13999F" w14:textId="77777777" w:rsidR="00F90100" w:rsidRDefault="00F90100" w:rsidP="00F90100">
      <w:pPr>
        <w:spacing w:line="480" w:lineRule="auto"/>
        <w:rPr>
          <w:rFonts w:ascii="Arial" w:hAnsi="Arial" w:cs="Arial"/>
        </w:rPr>
      </w:pPr>
    </w:p>
    <w:p w14:paraId="7A1BD20D" w14:textId="77777777" w:rsidR="00F90100" w:rsidRDefault="00F90100" w:rsidP="00F90100">
      <w:pPr>
        <w:spacing w:line="480" w:lineRule="auto"/>
        <w:rPr>
          <w:rFonts w:ascii="Arial" w:hAnsi="Arial" w:cs="Arial"/>
        </w:rPr>
      </w:pPr>
    </w:p>
    <w:p w14:paraId="3EBFA99B" w14:textId="77777777" w:rsidR="00F90100" w:rsidRDefault="00F90100" w:rsidP="00F90100">
      <w:pPr>
        <w:spacing w:line="480" w:lineRule="auto"/>
        <w:rPr>
          <w:rFonts w:ascii="Arial" w:hAnsi="Arial" w:cs="Arial"/>
        </w:rPr>
      </w:pPr>
    </w:p>
    <w:p w14:paraId="2B3031F5" w14:textId="77777777" w:rsidR="00F90100" w:rsidRDefault="00F90100" w:rsidP="00F90100">
      <w:pPr>
        <w:spacing w:line="480" w:lineRule="auto"/>
        <w:rPr>
          <w:rFonts w:ascii="Arial" w:hAnsi="Arial" w:cs="Arial"/>
        </w:rPr>
      </w:pPr>
    </w:p>
    <w:p w14:paraId="5EAF9165" w14:textId="77777777" w:rsidR="00F90100" w:rsidRDefault="00F90100" w:rsidP="00F90100">
      <w:pPr>
        <w:spacing w:line="480" w:lineRule="auto"/>
        <w:rPr>
          <w:rFonts w:ascii="Arial" w:hAnsi="Arial" w:cs="Arial"/>
        </w:rPr>
      </w:pPr>
    </w:p>
    <w:p w14:paraId="0D7B15E1" w14:textId="77777777" w:rsidR="00F90100" w:rsidRDefault="00F90100" w:rsidP="00F90100">
      <w:pPr>
        <w:spacing w:line="480" w:lineRule="auto"/>
        <w:rPr>
          <w:rFonts w:ascii="Arial" w:hAnsi="Arial" w:cs="Arial"/>
        </w:rPr>
      </w:pPr>
    </w:p>
    <w:p w14:paraId="44BB687C" w14:textId="4074A157" w:rsidR="00F90100" w:rsidRPr="007514E1" w:rsidRDefault="00F90100" w:rsidP="00F90100">
      <w:pPr>
        <w:pStyle w:val="ListParagraph"/>
        <w:numPr>
          <w:ilvl w:val="0"/>
          <w:numId w:val="1"/>
        </w:numPr>
        <w:spacing w:line="480" w:lineRule="auto"/>
        <w:rPr>
          <w:rFonts w:ascii="Arial" w:hAnsi="Arial" w:cs="Arial"/>
          <w:b/>
          <w:bCs/>
        </w:rPr>
      </w:pPr>
      <w:r w:rsidRPr="007514E1">
        <w:rPr>
          <w:rFonts w:ascii="Arial" w:hAnsi="Arial" w:cs="Arial"/>
          <w:b/>
          <w:bCs/>
        </w:rPr>
        <w:lastRenderedPageBreak/>
        <w:t>Overview of Financial Data</w:t>
      </w:r>
    </w:p>
    <w:p w14:paraId="2008E475" w14:textId="77777777" w:rsidR="00F90100" w:rsidRDefault="00F90100" w:rsidP="00F90100">
      <w:pPr>
        <w:spacing w:line="480" w:lineRule="auto"/>
        <w:rPr>
          <w:rFonts w:ascii="Arial" w:hAnsi="Arial" w:cs="Arial"/>
        </w:rPr>
      </w:pPr>
      <w:r w:rsidRPr="00F90100">
        <w:rPr>
          <w:rFonts w:ascii="Arial" w:hAnsi="Arial" w:cs="Arial"/>
        </w:rPr>
        <w:t xml:space="preserve">The financial data provided in this report is derived from McDonald’s audited financial statements provided in their annual 10-K SEC files (SEC, 2021). Between 2022 and 2023, McDonald’s saw measurable growth in its key performance indicators. Revenue grew from $23.18 billion to $25.49 billion, and net income was increased from $6.18 billion to $7.55 billion. McDonald’s total assets increased from $50.39 billion to $52.52 billion, which reflects capital invested in technology as well as capital invested in global expansion. However, shareholder equity for McDonald’s remained a negative value, dropping further from -$4.60 billion to -$5.32 billion due to continued aggressive share buybacks. This highly leveraged balance sheet is a tactic that shareholders have benefited from in the past, however it can add long-term financial risk (Bernard, 1994). </w:t>
      </w:r>
    </w:p>
    <w:p w14:paraId="49ED8BED" w14:textId="68B1105C" w:rsidR="00F90100" w:rsidRPr="007514E1" w:rsidRDefault="00F90100" w:rsidP="00F90100">
      <w:pPr>
        <w:pStyle w:val="ListParagraph"/>
        <w:numPr>
          <w:ilvl w:val="0"/>
          <w:numId w:val="1"/>
        </w:numPr>
        <w:spacing w:line="480" w:lineRule="auto"/>
        <w:rPr>
          <w:rFonts w:ascii="Arial" w:hAnsi="Arial" w:cs="Arial"/>
          <w:b/>
          <w:bCs/>
        </w:rPr>
      </w:pPr>
      <w:r w:rsidRPr="007514E1">
        <w:rPr>
          <w:rFonts w:ascii="Arial" w:hAnsi="Arial" w:cs="Arial"/>
          <w:b/>
          <w:bCs/>
        </w:rPr>
        <w:t>Financial Ratio Analysis</w:t>
      </w:r>
    </w:p>
    <w:p w14:paraId="0B58075C" w14:textId="77777777" w:rsidR="00F90100" w:rsidRDefault="00F90100" w:rsidP="00F90100">
      <w:pPr>
        <w:spacing w:line="480" w:lineRule="auto"/>
        <w:rPr>
          <w:rFonts w:ascii="Arial" w:hAnsi="Arial" w:cs="Arial"/>
        </w:rPr>
      </w:pPr>
      <w:r w:rsidRPr="00F90100">
        <w:rPr>
          <w:rFonts w:ascii="Arial" w:hAnsi="Arial" w:cs="Arial"/>
        </w:rPr>
        <w:t>Ratio analysis helps convert complicated financial data into a more interpretable and useful format for both managers and investors. Ratio analysis also helps determine liquidity, profitability, efficiency and leverage based of each metric (Dyson, 2010).</w:t>
      </w:r>
    </w:p>
    <w:p w14:paraId="6261AE8B" w14:textId="77777777" w:rsidR="00F90100" w:rsidRPr="00F90100" w:rsidRDefault="00F90100" w:rsidP="00F90100">
      <w:pPr>
        <w:pStyle w:val="ListParagraph"/>
        <w:numPr>
          <w:ilvl w:val="0"/>
          <w:numId w:val="2"/>
        </w:numPr>
        <w:spacing w:line="480" w:lineRule="auto"/>
        <w:rPr>
          <w:rFonts w:ascii="Arial" w:hAnsi="Arial" w:cs="Arial"/>
        </w:rPr>
      </w:pPr>
      <w:r w:rsidRPr="00F90100">
        <w:rPr>
          <w:rFonts w:ascii="Arial" w:hAnsi="Arial" w:cs="Arial"/>
        </w:rPr>
        <w:t xml:space="preserve">Profitability Ratios </w:t>
      </w:r>
    </w:p>
    <w:p w14:paraId="24432990" w14:textId="77777777" w:rsidR="00F90100" w:rsidRPr="00F90100" w:rsidRDefault="00F90100" w:rsidP="00F90100">
      <w:pPr>
        <w:pStyle w:val="ListParagraph"/>
        <w:numPr>
          <w:ilvl w:val="0"/>
          <w:numId w:val="4"/>
        </w:numPr>
        <w:spacing w:line="480" w:lineRule="auto"/>
        <w:rPr>
          <w:rFonts w:ascii="Arial" w:hAnsi="Arial" w:cs="Arial"/>
        </w:rPr>
      </w:pPr>
      <w:r w:rsidRPr="00F90100">
        <w:rPr>
          <w:rFonts w:ascii="Arial" w:hAnsi="Arial" w:cs="Arial"/>
        </w:rPr>
        <w:t>Net Profit Margin</w:t>
      </w:r>
    </w:p>
    <w:p w14:paraId="4CCA1E10" w14:textId="19BE73E0" w:rsidR="00F90100" w:rsidRPr="007514E1" w:rsidRDefault="00F90100" w:rsidP="00F90100">
      <w:pPr>
        <w:spacing w:line="480" w:lineRule="auto"/>
        <w:jc w:val="center"/>
        <w:rPr>
          <w:rFonts w:ascii="Arial" w:hAnsi="Arial" w:cs="Arial"/>
          <w:b/>
          <w:bCs/>
        </w:rPr>
      </w:pPr>
      <w:r w:rsidRPr="007514E1">
        <w:rPr>
          <w:rFonts w:ascii="Arial" w:hAnsi="Arial" w:cs="Arial"/>
          <w:b/>
          <w:bCs/>
        </w:rPr>
        <w:t xml:space="preserve">Net Profit Margin = (Net Income </w:t>
      </w:r>
      <w:r w:rsidRPr="007514E1">
        <w:rPr>
          <w:rFonts w:ascii="Arial" w:hAnsi="Arial" w:cs="Arial"/>
          <w:b/>
          <w:bCs/>
        </w:rPr>
        <w:t>/Revenue)</w:t>
      </w:r>
      <w:r w:rsidRPr="007514E1">
        <w:rPr>
          <w:rFonts w:ascii="Arial" w:hAnsi="Arial" w:cs="Arial"/>
          <w:b/>
          <w:bCs/>
        </w:rPr>
        <w:t xml:space="preserve"> × 100</w:t>
      </w:r>
    </w:p>
    <w:p w14:paraId="78697D05" w14:textId="77777777" w:rsidR="00F90100" w:rsidRDefault="00F90100" w:rsidP="00F90100">
      <w:pPr>
        <w:spacing w:line="480" w:lineRule="auto"/>
        <w:rPr>
          <w:rFonts w:ascii="Arial" w:hAnsi="Arial" w:cs="Arial"/>
        </w:rPr>
      </w:pPr>
      <w:r w:rsidRPr="00F90100">
        <w:rPr>
          <w:rFonts w:ascii="Arial" w:hAnsi="Arial" w:cs="Arial"/>
        </w:rPr>
        <w:t>2022: 26.65%</w:t>
      </w:r>
    </w:p>
    <w:p w14:paraId="275DE55D" w14:textId="77777777" w:rsidR="00F90100" w:rsidRDefault="00F90100" w:rsidP="00F90100">
      <w:pPr>
        <w:spacing w:line="480" w:lineRule="auto"/>
        <w:rPr>
          <w:rFonts w:ascii="Arial" w:hAnsi="Arial" w:cs="Arial"/>
        </w:rPr>
      </w:pPr>
      <w:r w:rsidRPr="00F90100">
        <w:rPr>
          <w:rFonts w:ascii="Arial" w:hAnsi="Arial" w:cs="Arial"/>
        </w:rPr>
        <w:t>2023: 29.61%</w:t>
      </w:r>
    </w:p>
    <w:p w14:paraId="0AEE0018" w14:textId="77777777" w:rsidR="00F90100" w:rsidRDefault="00F90100" w:rsidP="00F90100">
      <w:pPr>
        <w:spacing w:line="480" w:lineRule="auto"/>
        <w:rPr>
          <w:rFonts w:ascii="Arial" w:hAnsi="Arial" w:cs="Arial"/>
        </w:rPr>
      </w:pPr>
      <w:r w:rsidRPr="00F90100">
        <w:rPr>
          <w:rFonts w:ascii="Arial" w:hAnsi="Arial" w:cs="Arial"/>
        </w:rPr>
        <w:t xml:space="preserve">The shift in the net profit margin implies that McDonald's has increased its ability to transform sales into net profit. This has come from successful pricing initiatives to </w:t>
      </w:r>
      <w:r w:rsidRPr="00F90100">
        <w:rPr>
          <w:rFonts w:ascii="Arial" w:hAnsi="Arial" w:cs="Arial"/>
        </w:rPr>
        <w:lastRenderedPageBreak/>
        <w:t>combat inflationary pressures, coupled with better control of costs throughout its franchise system (Shahid et al., 2014).</w:t>
      </w:r>
    </w:p>
    <w:p w14:paraId="26344B31" w14:textId="77777777" w:rsidR="00F90100" w:rsidRPr="00F90100" w:rsidRDefault="00F90100" w:rsidP="00F90100">
      <w:pPr>
        <w:pStyle w:val="ListParagraph"/>
        <w:numPr>
          <w:ilvl w:val="0"/>
          <w:numId w:val="3"/>
        </w:numPr>
        <w:spacing w:line="480" w:lineRule="auto"/>
        <w:rPr>
          <w:rFonts w:ascii="Arial" w:hAnsi="Arial" w:cs="Arial"/>
        </w:rPr>
      </w:pPr>
      <w:r w:rsidRPr="00F90100">
        <w:rPr>
          <w:rFonts w:ascii="Arial" w:hAnsi="Arial" w:cs="Arial"/>
        </w:rPr>
        <w:t xml:space="preserve">Return on Assets (ROA)  </w:t>
      </w:r>
    </w:p>
    <w:p w14:paraId="1E04D65E" w14:textId="77777777" w:rsidR="00F90100" w:rsidRDefault="00F90100" w:rsidP="00F90100">
      <w:pPr>
        <w:spacing w:line="480" w:lineRule="auto"/>
        <w:jc w:val="center"/>
        <w:rPr>
          <w:rFonts w:ascii="Arial" w:hAnsi="Arial" w:cs="Arial"/>
        </w:rPr>
      </w:pPr>
      <w:r w:rsidRPr="00F90100">
        <w:rPr>
          <w:rFonts w:ascii="Arial" w:hAnsi="Arial" w:cs="Arial"/>
        </w:rPr>
        <w:t xml:space="preserve">ROA = (Net Income </w:t>
      </w:r>
      <w:r>
        <w:rPr>
          <w:rFonts w:ascii="Arial" w:hAnsi="Arial" w:cs="Arial"/>
        </w:rPr>
        <w:t>/</w:t>
      </w:r>
      <w:r w:rsidRPr="00F90100">
        <w:rPr>
          <w:rFonts w:ascii="Arial" w:hAnsi="Arial" w:cs="Arial"/>
        </w:rPr>
        <w:t>Total Assets) × 100</w:t>
      </w:r>
    </w:p>
    <w:p w14:paraId="4ABCC00D" w14:textId="77777777" w:rsidR="00F90100" w:rsidRDefault="00F90100" w:rsidP="00F90100">
      <w:pPr>
        <w:spacing w:line="480" w:lineRule="auto"/>
        <w:rPr>
          <w:rFonts w:ascii="Arial" w:hAnsi="Arial" w:cs="Arial"/>
        </w:rPr>
      </w:pPr>
      <w:r w:rsidRPr="00F90100">
        <w:rPr>
          <w:rFonts w:ascii="Arial" w:hAnsi="Arial" w:cs="Arial"/>
        </w:rPr>
        <w:t>2022: 12.27%</w:t>
      </w:r>
    </w:p>
    <w:p w14:paraId="68787099" w14:textId="77777777" w:rsidR="00F90100" w:rsidRDefault="00F90100" w:rsidP="00F90100">
      <w:pPr>
        <w:spacing w:line="480" w:lineRule="auto"/>
        <w:rPr>
          <w:rFonts w:ascii="Arial" w:hAnsi="Arial" w:cs="Arial"/>
        </w:rPr>
      </w:pPr>
      <w:r w:rsidRPr="00F90100">
        <w:rPr>
          <w:rFonts w:ascii="Arial" w:hAnsi="Arial" w:cs="Arial"/>
        </w:rPr>
        <w:t>2023: 14.38%</w:t>
      </w:r>
    </w:p>
    <w:p w14:paraId="55772DC2" w14:textId="77777777" w:rsidR="00F90100" w:rsidRDefault="00F90100" w:rsidP="00F90100">
      <w:pPr>
        <w:spacing w:line="480" w:lineRule="auto"/>
        <w:rPr>
          <w:rFonts w:ascii="Arial" w:hAnsi="Arial" w:cs="Arial"/>
        </w:rPr>
      </w:pPr>
      <w:r w:rsidRPr="00F90100">
        <w:rPr>
          <w:rFonts w:ascii="Arial" w:hAnsi="Arial" w:cs="Arial"/>
        </w:rPr>
        <w:t>The increase in ROA indicates better utili</w:t>
      </w:r>
      <w:r>
        <w:rPr>
          <w:rFonts w:ascii="Arial" w:hAnsi="Arial" w:cs="Arial"/>
        </w:rPr>
        <w:t>s</w:t>
      </w:r>
      <w:r w:rsidRPr="00F90100">
        <w:rPr>
          <w:rFonts w:ascii="Arial" w:hAnsi="Arial" w:cs="Arial"/>
        </w:rPr>
        <w:t>ation of assets to generate profits, which was achieved by investing in drive-thru technologies and continued expansion into international markets with higher growth potential (Zhang et al., 2022). The increase in ROA illustrates the effectiveness of McDonald's low-capital franchising strategy, which enhances revenue with minimal expansion of assets (</w:t>
      </w:r>
      <w:proofErr w:type="spellStart"/>
      <w:r w:rsidRPr="00F90100">
        <w:rPr>
          <w:rFonts w:ascii="Arial" w:hAnsi="Arial" w:cs="Arial"/>
        </w:rPr>
        <w:t>Ayrapetova</w:t>
      </w:r>
      <w:proofErr w:type="spellEnd"/>
      <w:r w:rsidRPr="00F90100">
        <w:rPr>
          <w:rFonts w:ascii="Arial" w:hAnsi="Arial" w:cs="Arial"/>
        </w:rPr>
        <w:t>, 2014).</w:t>
      </w:r>
    </w:p>
    <w:p w14:paraId="6D375C3C" w14:textId="77777777" w:rsidR="00F90100" w:rsidRPr="00F90100" w:rsidRDefault="00F90100" w:rsidP="00F90100">
      <w:pPr>
        <w:pStyle w:val="ListParagraph"/>
        <w:numPr>
          <w:ilvl w:val="0"/>
          <w:numId w:val="2"/>
        </w:numPr>
        <w:spacing w:line="480" w:lineRule="auto"/>
        <w:rPr>
          <w:rFonts w:ascii="Arial" w:hAnsi="Arial" w:cs="Arial"/>
        </w:rPr>
      </w:pPr>
      <w:r w:rsidRPr="00F90100">
        <w:rPr>
          <w:rFonts w:ascii="Arial" w:hAnsi="Arial" w:cs="Arial"/>
        </w:rPr>
        <w:t xml:space="preserve">Liquidity Ratios </w:t>
      </w:r>
    </w:p>
    <w:p w14:paraId="44D3C704" w14:textId="77777777" w:rsidR="00F90100" w:rsidRPr="00F90100" w:rsidRDefault="00F90100" w:rsidP="00F90100">
      <w:pPr>
        <w:pStyle w:val="ListParagraph"/>
        <w:numPr>
          <w:ilvl w:val="0"/>
          <w:numId w:val="3"/>
        </w:numPr>
        <w:spacing w:line="480" w:lineRule="auto"/>
        <w:rPr>
          <w:rFonts w:ascii="Arial" w:hAnsi="Arial" w:cs="Arial"/>
        </w:rPr>
      </w:pPr>
      <w:r w:rsidRPr="00F90100">
        <w:rPr>
          <w:rFonts w:ascii="Arial" w:hAnsi="Arial" w:cs="Arial"/>
        </w:rPr>
        <w:t xml:space="preserve">Current Ratio </w:t>
      </w:r>
    </w:p>
    <w:p w14:paraId="7B439E26" w14:textId="5479B4FA" w:rsidR="00F90100" w:rsidRPr="007514E1" w:rsidRDefault="00F90100" w:rsidP="00F90100">
      <w:pPr>
        <w:spacing w:line="480" w:lineRule="auto"/>
        <w:jc w:val="center"/>
        <w:rPr>
          <w:rFonts w:ascii="Arial" w:hAnsi="Arial" w:cs="Arial"/>
          <w:b/>
          <w:bCs/>
        </w:rPr>
      </w:pPr>
      <w:r w:rsidRPr="007514E1">
        <w:rPr>
          <w:rFonts w:ascii="Arial" w:hAnsi="Arial" w:cs="Arial"/>
          <w:b/>
          <w:bCs/>
        </w:rPr>
        <w:t>Current Ratio = Current Assets</w:t>
      </w:r>
      <w:r w:rsidRPr="007514E1">
        <w:rPr>
          <w:rFonts w:ascii="Arial" w:hAnsi="Arial" w:cs="Arial"/>
          <w:b/>
          <w:bCs/>
        </w:rPr>
        <w:t>/</w:t>
      </w:r>
      <w:r w:rsidRPr="007514E1">
        <w:rPr>
          <w:rFonts w:ascii="Arial" w:hAnsi="Arial" w:cs="Arial"/>
          <w:b/>
          <w:bCs/>
        </w:rPr>
        <w:t xml:space="preserve"> Current Liabilities</w:t>
      </w:r>
    </w:p>
    <w:p w14:paraId="4B7FA7CD" w14:textId="77777777" w:rsidR="00F90100" w:rsidRDefault="00F90100" w:rsidP="00F90100">
      <w:pPr>
        <w:spacing w:line="480" w:lineRule="auto"/>
        <w:rPr>
          <w:rFonts w:ascii="Arial" w:hAnsi="Arial" w:cs="Arial"/>
        </w:rPr>
      </w:pPr>
      <w:r w:rsidRPr="00F90100">
        <w:rPr>
          <w:rFonts w:ascii="Arial" w:hAnsi="Arial" w:cs="Arial"/>
        </w:rPr>
        <w:t>2022: 1.06</w:t>
      </w:r>
    </w:p>
    <w:p w14:paraId="135F923C" w14:textId="77777777" w:rsidR="00F90100" w:rsidRDefault="00F90100" w:rsidP="00F90100">
      <w:pPr>
        <w:spacing w:line="480" w:lineRule="auto"/>
        <w:rPr>
          <w:rFonts w:ascii="Arial" w:hAnsi="Arial" w:cs="Arial"/>
        </w:rPr>
      </w:pPr>
      <w:r w:rsidRPr="00F90100">
        <w:rPr>
          <w:rFonts w:ascii="Arial" w:hAnsi="Arial" w:cs="Arial"/>
        </w:rPr>
        <w:t>2023: 1.05</w:t>
      </w:r>
    </w:p>
    <w:p w14:paraId="0108B1DB" w14:textId="77777777" w:rsidR="00F90100" w:rsidRDefault="00F90100" w:rsidP="00F90100">
      <w:pPr>
        <w:spacing w:line="480" w:lineRule="auto"/>
        <w:rPr>
          <w:rFonts w:ascii="Arial" w:hAnsi="Arial" w:cs="Arial"/>
        </w:rPr>
      </w:pPr>
      <w:r w:rsidRPr="00F90100">
        <w:rPr>
          <w:rFonts w:ascii="Arial" w:hAnsi="Arial" w:cs="Arial"/>
        </w:rPr>
        <w:t>McDonald's current ratio is roughly the same as 2022 and remains a slight margin above 1, indicating it has adequate liquidity to cover its short-term obligations. While not particularly high, this is acceptable in the context of the QSR industry because turnaround times on inventory are fast and cash inflows will be strong, even if cash reserves are poorly capitali</w:t>
      </w:r>
      <w:r>
        <w:rPr>
          <w:rFonts w:ascii="Arial" w:hAnsi="Arial" w:cs="Arial"/>
        </w:rPr>
        <w:t>s</w:t>
      </w:r>
      <w:r w:rsidRPr="00F90100">
        <w:rPr>
          <w:rFonts w:ascii="Arial" w:hAnsi="Arial" w:cs="Arial"/>
        </w:rPr>
        <w:t xml:space="preserve">ed (Attrill and McLaney, 2015). If, however, a major </w:t>
      </w:r>
      <w:r w:rsidRPr="00F90100">
        <w:rPr>
          <w:rFonts w:ascii="Arial" w:hAnsi="Arial" w:cs="Arial"/>
        </w:rPr>
        <w:lastRenderedPageBreak/>
        <w:t>operational disruption occurs, it will place significant pressure on this limited liquidity (Drury, 2020).</w:t>
      </w:r>
    </w:p>
    <w:p w14:paraId="66A7470E" w14:textId="77777777" w:rsidR="00F90100" w:rsidRPr="00F90100" w:rsidRDefault="00F90100" w:rsidP="00F90100">
      <w:pPr>
        <w:pStyle w:val="ListParagraph"/>
        <w:numPr>
          <w:ilvl w:val="0"/>
          <w:numId w:val="2"/>
        </w:numPr>
        <w:spacing w:line="480" w:lineRule="auto"/>
        <w:rPr>
          <w:rFonts w:ascii="Arial" w:hAnsi="Arial" w:cs="Arial"/>
        </w:rPr>
      </w:pPr>
      <w:r w:rsidRPr="00F90100">
        <w:rPr>
          <w:rFonts w:ascii="Arial" w:hAnsi="Arial" w:cs="Arial"/>
        </w:rPr>
        <w:t xml:space="preserve">Leverage Ratios </w:t>
      </w:r>
    </w:p>
    <w:p w14:paraId="2D07F8BE" w14:textId="77777777" w:rsidR="00F90100" w:rsidRPr="00F90100" w:rsidRDefault="00F90100" w:rsidP="00F90100">
      <w:pPr>
        <w:pStyle w:val="ListParagraph"/>
        <w:numPr>
          <w:ilvl w:val="0"/>
          <w:numId w:val="3"/>
        </w:numPr>
        <w:spacing w:line="480" w:lineRule="auto"/>
        <w:rPr>
          <w:rFonts w:ascii="Arial" w:hAnsi="Arial" w:cs="Arial"/>
        </w:rPr>
      </w:pPr>
      <w:r w:rsidRPr="00F90100">
        <w:rPr>
          <w:rFonts w:ascii="Arial" w:hAnsi="Arial" w:cs="Arial"/>
        </w:rPr>
        <w:t xml:space="preserve">Debt-to-Equity Ratio </w:t>
      </w:r>
    </w:p>
    <w:p w14:paraId="72CD1EDD" w14:textId="21C002B6" w:rsidR="00F90100" w:rsidRPr="007514E1" w:rsidRDefault="00F90100" w:rsidP="00F90100">
      <w:pPr>
        <w:spacing w:line="480" w:lineRule="auto"/>
        <w:jc w:val="center"/>
        <w:rPr>
          <w:rFonts w:ascii="Arial" w:hAnsi="Arial" w:cs="Arial"/>
          <w:b/>
          <w:bCs/>
        </w:rPr>
      </w:pPr>
      <w:r w:rsidRPr="007514E1">
        <w:rPr>
          <w:rFonts w:ascii="Arial" w:hAnsi="Arial" w:cs="Arial"/>
          <w:b/>
          <w:bCs/>
        </w:rPr>
        <w:t xml:space="preserve">Debt to Equity = Total Liabilities </w:t>
      </w:r>
      <w:r w:rsidRPr="007514E1">
        <w:rPr>
          <w:rFonts w:ascii="Arial" w:hAnsi="Arial" w:cs="Arial"/>
          <w:b/>
          <w:bCs/>
        </w:rPr>
        <w:t>/</w:t>
      </w:r>
      <w:r w:rsidRPr="007514E1">
        <w:rPr>
          <w:rFonts w:ascii="Arial" w:hAnsi="Arial" w:cs="Arial"/>
          <w:b/>
          <w:bCs/>
        </w:rPr>
        <w:t>Shareholder Equity</w:t>
      </w:r>
    </w:p>
    <w:p w14:paraId="433A129D" w14:textId="77777777" w:rsidR="00F90100" w:rsidRDefault="00F90100" w:rsidP="00F90100">
      <w:pPr>
        <w:spacing w:line="480" w:lineRule="auto"/>
        <w:rPr>
          <w:rFonts w:ascii="Arial" w:hAnsi="Arial" w:cs="Arial"/>
        </w:rPr>
      </w:pPr>
      <w:r w:rsidRPr="00F90100">
        <w:rPr>
          <w:rFonts w:ascii="Arial" w:hAnsi="Arial" w:cs="Arial"/>
        </w:rPr>
        <w:t>2022: -11.95</w:t>
      </w:r>
    </w:p>
    <w:p w14:paraId="7447FC61" w14:textId="77777777" w:rsidR="00F90100" w:rsidRDefault="00F90100" w:rsidP="00F90100">
      <w:pPr>
        <w:spacing w:line="480" w:lineRule="auto"/>
        <w:rPr>
          <w:rFonts w:ascii="Arial" w:hAnsi="Arial" w:cs="Arial"/>
        </w:rPr>
      </w:pPr>
      <w:r w:rsidRPr="00F90100">
        <w:rPr>
          <w:rFonts w:ascii="Arial" w:hAnsi="Arial" w:cs="Arial"/>
        </w:rPr>
        <w:t>2023: -10.87</w:t>
      </w:r>
    </w:p>
    <w:p w14:paraId="5B3C0236" w14:textId="77777777" w:rsidR="00F90100" w:rsidRDefault="00F90100" w:rsidP="00F90100">
      <w:pPr>
        <w:spacing w:line="480" w:lineRule="auto"/>
        <w:rPr>
          <w:rFonts w:ascii="Arial" w:hAnsi="Arial" w:cs="Arial"/>
        </w:rPr>
      </w:pPr>
      <w:r w:rsidRPr="00F90100">
        <w:rPr>
          <w:rFonts w:ascii="Arial" w:hAnsi="Arial" w:cs="Arial"/>
        </w:rPr>
        <w:t xml:space="preserve">The continued negative equity reflects the company's method of borrowing to fund a large share buyback </w:t>
      </w:r>
      <w:r w:rsidRPr="00F90100">
        <w:rPr>
          <w:rFonts w:ascii="Arial" w:hAnsi="Arial" w:cs="Arial"/>
        </w:rPr>
        <w:t>program. Although</w:t>
      </w:r>
      <w:r w:rsidRPr="00F90100">
        <w:rPr>
          <w:rFonts w:ascii="Arial" w:hAnsi="Arial" w:cs="Arial"/>
        </w:rPr>
        <w:t xml:space="preserve"> it increases EPS and stockholder returns, it raises issues of long-term solvency and sustainability of the capital structure (Bernard, 1994). Also, Tang (2013) indicates that such high leverage exposes companies to credit market risks if the economy experiences a downturn.</w:t>
      </w:r>
    </w:p>
    <w:p w14:paraId="7A81FFE6" w14:textId="01CAF254" w:rsidR="00F90100" w:rsidRPr="00F90100" w:rsidRDefault="00F90100" w:rsidP="00F90100">
      <w:pPr>
        <w:pStyle w:val="ListParagraph"/>
        <w:numPr>
          <w:ilvl w:val="0"/>
          <w:numId w:val="5"/>
        </w:numPr>
        <w:spacing w:line="480" w:lineRule="auto"/>
        <w:rPr>
          <w:rFonts w:ascii="Arial" w:hAnsi="Arial" w:cs="Arial"/>
        </w:rPr>
      </w:pPr>
      <w:r w:rsidRPr="00F90100">
        <w:rPr>
          <w:rFonts w:ascii="Arial" w:hAnsi="Arial" w:cs="Arial"/>
        </w:rPr>
        <w:t>Efficiency Ratios</w:t>
      </w:r>
    </w:p>
    <w:p w14:paraId="546FDC6E" w14:textId="77777777" w:rsidR="00F90100" w:rsidRPr="00F90100" w:rsidRDefault="00F90100" w:rsidP="00F90100">
      <w:pPr>
        <w:pStyle w:val="ListParagraph"/>
        <w:numPr>
          <w:ilvl w:val="0"/>
          <w:numId w:val="3"/>
        </w:numPr>
        <w:spacing w:line="480" w:lineRule="auto"/>
        <w:rPr>
          <w:rFonts w:ascii="Arial" w:hAnsi="Arial" w:cs="Arial"/>
        </w:rPr>
      </w:pPr>
      <w:r w:rsidRPr="00F90100">
        <w:rPr>
          <w:rFonts w:ascii="Arial" w:hAnsi="Arial" w:cs="Arial"/>
        </w:rPr>
        <w:t>Asset Turnover Ratio</w:t>
      </w:r>
    </w:p>
    <w:p w14:paraId="0EB4EBAF" w14:textId="77777777" w:rsidR="00F90100" w:rsidRPr="007514E1" w:rsidRDefault="00F90100" w:rsidP="00F90100">
      <w:pPr>
        <w:spacing w:line="480" w:lineRule="auto"/>
        <w:jc w:val="center"/>
        <w:rPr>
          <w:rFonts w:ascii="Arial" w:hAnsi="Arial" w:cs="Arial"/>
          <w:b/>
          <w:bCs/>
        </w:rPr>
      </w:pPr>
      <w:r w:rsidRPr="007514E1">
        <w:rPr>
          <w:rFonts w:ascii="Arial" w:hAnsi="Arial" w:cs="Arial"/>
          <w:b/>
          <w:bCs/>
        </w:rPr>
        <w:t>Asset Turnover=Revenue</w:t>
      </w:r>
      <w:r w:rsidRPr="007514E1">
        <w:rPr>
          <w:rFonts w:ascii="Arial" w:hAnsi="Arial" w:cs="Arial"/>
          <w:b/>
          <w:bCs/>
        </w:rPr>
        <w:t>/</w:t>
      </w:r>
      <w:r w:rsidRPr="007514E1">
        <w:rPr>
          <w:rFonts w:ascii="Arial" w:hAnsi="Arial" w:cs="Arial"/>
          <w:b/>
          <w:bCs/>
        </w:rPr>
        <w:t>Total Assets</w:t>
      </w:r>
    </w:p>
    <w:p w14:paraId="5509B7F3" w14:textId="77777777" w:rsidR="00F90100" w:rsidRDefault="00F90100" w:rsidP="00F90100">
      <w:pPr>
        <w:spacing w:line="480" w:lineRule="auto"/>
        <w:rPr>
          <w:rFonts w:ascii="Arial" w:hAnsi="Arial" w:cs="Arial"/>
        </w:rPr>
      </w:pPr>
      <w:r w:rsidRPr="00F90100">
        <w:rPr>
          <w:rFonts w:ascii="Arial" w:hAnsi="Arial" w:cs="Arial"/>
        </w:rPr>
        <w:t>2022: 0.46</w:t>
      </w:r>
    </w:p>
    <w:p w14:paraId="4751A1FB" w14:textId="77777777" w:rsidR="00F90100" w:rsidRDefault="00F90100" w:rsidP="00F90100">
      <w:pPr>
        <w:spacing w:line="480" w:lineRule="auto"/>
        <w:rPr>
          <w:rFonts w:ascii="Arial" w:hAnsi="Arial" w:cs="Arial"/>
        </w:rPr>
      </w:pPr>
      <w:r w:rsidRPr="00F90100">
        <w:rPr>
          <w:rFonts w:ascii="Arial" w:hAnsi="Arial" w:cs="Arial"/>
        </w:rPr>
        <w:t>2023: 0.49</w:t>
      </w:r>
    </w:p>
    <w:p w14:paraId="1F3BCA78" w14:textId="77777777" w:rsidR="00E666B1" w:rsidRDefault="00F90100" w:rsidP="00F90100">
      <w:pPr>
        <w:spacing w:line="480" w:lineRule="auto"/>
        <w:rPr>
          <w:rFonts w:ascii="Arial" w:hAnsi="Arial" w:cs="Arial"/>
        </w:rPr>
      </w:pPr>
      <w:r w:rsidRPr="00F90100">
        <w:rPr>
          <w:rFonts w:ascii="Arial" w:hAnsi="Arial" w:cs="Arial"/>
        </w:rPr>
        <w:t>The increase in asset turnover means that McDonald’s has become more efficient at creating revenue using its' assets. This increase aligns with McDonald’s growing dependence on ‘digital’ sales phenomena, AI infrastructure in ordering, and delivery (TechCrunch, 2019). Investment in these intangible assets has meant that revenue could grow without the need for a growing physical asset base (Heaton et al., 2010).</w:t>
      </w:r>
    </w:p>
    <w:p w14:paraId="6484A2B9" w14:textId="51454030" w:rsidR="00E666B1" w:rsidRPr="007514E1" w:rsidRDefault="00F90100" w:rsidP="00E666B1">
      <w:pPr>
        <w:pStyle w:val="ListParagraph"/>
        <w:numPr>
          <w:ilvl w:val="0"/>
          <w:numId w:val="1"/>
        </w:numPr>
        <w:spacing w:line="480" w:lineRule="auto"/>
        <w:rPr>
          <w:rFonts w:ascii="Arial" w:hAnsi="Arial" w:cs="Arial"/>
          <w:b/>
          <w:bCs/>
        </w:rPr>
      </w:pPr>
      <w:r w:rsidRPr="007514E1">
        <w:rPr>
          <w:rFonts w:ascii="Arial" w:hAnsi="Arial" w:cs="Arial"/>
          <w:b/>
          <w:bCs/>
        </w:rPr>
        <w:lastRenderedPageBreak/>
        <w:t>Year on Year Performance Comparison</w:t>
      </w:r>
    </w:p>
    <w:p w14:paraId="781AEC48" w14:textId="77777777" w:rsidR="00E666B1" w:rsidRDefault="00F90100" w:rsidP="00F90100">
      <w:pPr>
        <w:spacing w:line="480" w:lineRule="auto"/>
        <w:rPr>
          <w:rFonts w:ascii="Arial" w:hAnsi="Arial" w:cs="Arial"/>
        </w:rPr>
      </w:pPr>
      <w:r w:rsidRPr="00F90100">
        <w:rPr>
          <w:rFonts w:ascii="Arial" w:hAnsi="Arial" w:cs="Arial"/>
        </w:rPr>
        <w:t>McDonald’s was better in 2023 than 2022 on almost all key ratios. Increases in net profit margin, ROA and asset turnover suggest not only operational efficiency, but also efficiency in profit generation. The enhancements were a function of a combination of internal strategies and favourable macro trends once COVID-19 restrictions were eased (Carr, 2021</w:t>
      </w:r>
      <w:r w:rsidR="00E666B1" w:rsidRPr="00F90100">
        <w:rPr>
          <w:rFonts w:ascii="Arial" w:hAnsi="Arial" w:cs="Arial"/>
        </w:rPr>
        <w:t>). The</w:t>
      </w:r>
      <w:r w:rsidRPr="00F90100">
        <w:rPr>
          <w:rFonts w:ascii="Arial" w:hAnsi="Arial" w:cs="Arial"/>
        </w:rPr>
        <w:t xml:space="preserve"> main contributors to McDonald’s 2023 performance were:</w:t>
      </w:r>
    </w:p>
    <w:p w14:paraId="0B286015" w14:textId="3B03C8EA" w:rsidR="00E666B1" w:rsidRPr="007514E1" w:rsidRDefault="00F90100" w:rsidP="007514E1">
      <w:pPr>
        <w:pStyle w:val="ListParagraph"/>
        <w:numPr>
          <w:ilvl w:val="0"/>
          <w:numId w:val="6"/>
        </w:numPr>
        <w:spacing w:line="480" w:lineRule="auto"/>
        <w:rPr>
          <w:rFonts w:ascii="Arial" w:hAnsi="Arial" w:cs="Arial"/>
        </w:rPr>
      </w:pPr>
      <w:r w:rsidRPr="007514E1">
        <w:rPr>
          <w:rFonts w:ascii="Arial" w:hAnsi="Arial" w:cs="Arial"/>
        </w:rPr>
        <w:t>Digital Next Strategy</w:t>
      </w:r>
      <w:r w:rsidR="007514E1" w:rsidRPr="007514E1">
        <w:rPr>
          <w:rFonts w:ascii="Arial" w:hAnsi="Arial" w:cs="Arial"/>
        </w:rPr>
        <w:t xml:space="preserve">: </w:t>
      </w:r>
      <w:r w:rsidRPr="007514E1">
        <w:rPr>
          <w:rFonts w:ascii="Arial" w:hAnsi="Arial" w:cs="Arial"/>
        </w:rPr>
        <w:t>McDonald’s has invested significantly in technology to develop and enhance customer experience and operational efficiency. McDonald’s acquisitions of voice ordering AI and Dynamic Yield (personali</w:t>
      </w:r>
      <w:r w:rsidR="00E666B1" w:rsidRPr="007514E1">
        <w:rPr>
          <w:rFonts w:ascii="Arial" w:hAnsi="Arial" w:cs="Arial"/>
        </w:rPr>
        <w:t>s</w:t>
      </w:r>
      <w:r w:rsidRPr="007514E1">
        <w:rPr>
          <w:rFonts w:ascii="Arial" w:hAnsi="Arial" w:cs="Arial"/>
        </w:rPr>
        <w:t xml:space="preserve">ed menu technology) have advanced digital ordering and updated service models for drive-thru (TechCrunch, 2019). </w:t>
      </w:r>
    </w:p>
    <w:p w14:paraId="2464B971" w14:textId="71B8B961" w:rsidR="00E666B1" w:rsidRPr="007514E1" w:rsidRDefault="00F90100" w:rsidP="007514E1">
      <w:pPr>
        <w:pStyle w:val="ListParagraph"/>
        <w:numPr>
          <w:ilvl w:val="0"/>
          <w:numId w:val="6"/>
        </w:numPr>
        <w:spacing w:line="480" w:lineRule="auto"/>
        <w:rPr>
          <w:rFonts w:ascii="Arial" w:hAnsi="Arial" w:cs="Arial"/>
        </w:rPr>
      </w:pPr>
      <w:r w:rsidRPr="007514E1">
        <w:rPr>
          <w:rFonts w:ascii="Arial" w:hAnsi="Arial" w:cs="Arial"/>
        </w:rPr>
        <w:t>International Growth and Franchising</w:t>
      </w:r>
      <w:r w:rsidR="007514E1" w:rsidRPr="007514E1">
        <w:rPr>
          <w:rFonts w:ascii="Arial" w:hAnsi="Arial" w:cs="Arial"/>
        </w:rPr>
        <w:t xml:space="preserve">: </w:t>
      </w:r>
      <w:r w:rsidRPr="007514E1">
        <w:rPr>
          <w:rFonts w:ascii="Arial" w:hAnsi="Arial" w:cs="Arial"/>
        </w:rPr>
        <w:t>The company's global expansion is ongoing, and performance remains strong in countries such as China, Japan, and the UK. The company’s use of franchising allows the company to generate stable income from rent and royalties and transfer much of the operational risk to franchisees (McDonald’s History, 2021). This asset-light strategy increases returns while also minimi</w:t>
      </w:r>
      <w:r w:rsidR="00E666B1" w:rsidRPr="007514E1">
        <w:rPr>
          <w:rFonts w:ascii="Arial" w:hAnsi="Arial" w:cs="Arial"/>
        </w:rPr>
        <w:t>s</w:t>
      </w:r>
      <w:r w:rsidRPr="007514E1">
        <w:rPr>
          <w:rFonts w:ascii="Arial" w:hAnsi="Arial" w:cs="Arial"/>
        </w:rPr>
        <w:t xml:space="preserve">ing the company's risk exposure to rising </w:t>
      </w:r>
      <w:r w:rsidR="00E666B1" w:rsidRPr="007514E1">
        <w:rPr>
          <w:rFonts w:ascii="Arial" w:hAnsi="Arial" w:cs="Arial"/>
        </w:rPr>
        <w:t>labour</w:t>
      </w:r>
      <w:r w:rsidRPr="007514E1">
        <w:rPr>
          <w:rFonts w:ascii="Arial" w:hAnsi="Arial" w:cs="Arial"/>
        </w:rPr>
        <w:t xml:space="preserve"> costs and utility expenses (</w:t>
      </w:r>
      <w:proofErr w:type="spellStart"/>
      <w:r w:rsidRPr="007514E1">
        <w:rPr>
          <w:rFonts w:ascii="Arial" w:hAnsi="Arial" w:cs="Arial"/>
        </w:rPr>
        <w:t>Ayrapetova</w:t>
      </w:r>
      <w:proofErr w:type="spellEnd"/>
      <w:r w:rsidRPr="007514E1">
        <w:rPr>
          <w:rFonts w:ascii="Arial" w:hAnsi="Arial" w:cs="Arial"/>
        </w:rPr>
        <w:t>, 2014).</w:t>
      </w:r>
    </w:p>
    <w:p w14:paraId="34B7A036" w14:textId="5B12C6E6" w:rsidR="00E666B1" w:rsidRPr="007514E1" w:rsidRDefault="00F90100" w:rsidP="007514E1">
      <w:pPr>
        <w:pStyle w:val="ListParagraph"/>
        <w:numPr>
          <w:ilvl w:val="0"/>
          <w:numId w:val="6"/>
        </w:numPr>
        <w:spacing w:line="480" w:lineRule="auto"/>
        <w:rPr>
          <w:rFonts w:ascii="Arial" w:hAnsi="Arial" w:cs="Arial"/>
        </w:rPr>
      </w:pPr>
      <w:r w:rsidRPr="007514E1">
        <w:rPr>
          <w:rFonts w:ascii="Arial" w:hAnsi="Arial" w:cs="Arial"/>
        </w:rPr>
        <w:t>Inflation Strategy via Menu Pricing</w:t>
      </w:r>
      <w:r w:rsidR="007514E1" w:rsidRPr="007514E1">
        <w:rPr>
          <w:rFonts w:ascii="Arial" w:hAnsi="Arial" w:cs="Arial"/>
        </w:rPr>
        <w:t xml:space="preserve">: </w:t>
      </w:r>
      <w:r w:rsidRPr="007514E1">
        <w:rPr>
          <w:rFonts w:ascii="Arial" w:hAnsi="Arial" w:cs="Arial"/>
        </w:rPr>
        <w:t xml:space="preserve">To offset inflation across </w:t>
      </w:r>
      <w:r w:rsidR="00E666B1" w:rsidRPr="007514E1">
        <w:rPr>
          <w:rFonts w:ascii="Arial" w:hAnsi="Arial" w:cs="Arial"/>
        </w:rPr>
        <w:t>labour</w:t>
      </w:r>
      <w:r w:rsidRPr="007514E1">
        <w:rPr>
          <w:rFonts w:ascii="Arial" w:hAnsi="Arial" w:cs="Arial"/>
        </w:rPr>
        <w:t>, packaging, and food components, McDonald’s has tactically raised prices in its menus. Importantly, traffic to McDonald’s remained strong, suggesting the company has successfully maintained its value perception (Shahid et al., 2014). This price elasticity exhibits brand strength and the company's connection to its broad customer base.</w:t>
      </w:r>
    </w:p>
    <w:p w14:paraId="609C0065" w14:textId="5BC7FA0E" w:rsidR="00E666B1" w:rsidRPr="007514E1" w:rsidRDefault="00F90100" w:rsidP="00E666B1">
      <w:pPr>
        <w:pStyle w:val="ListParagraph"/>
        <w:numPr>
          <w:ilvl w:val="0"/>
          <w:numId w:val="1"/>
        </w:numPr>
        <w:spacing w:line="480" w:lineRule="auto"/>
        <w:rPr>
          <w:rFonts w:ascii="Arial" w:hAnsi="Arial" w:cs="Arial"/>
          <w:b/>
          <w:bCs/>
        </w:rPr>
      </w:pPr>
      <w:r w:rsidRPr="007514E1">
        <w:rPr>
          <w:rFonts w:ascii="Arial" w:hAnsi="Arial" w:cs="Arial"/>
          <w:b/>
          <w:bCs/>
        </w:rPr>
        <w:lastRenderedPageBreak/>
        <w:t>Challenges and Weaknesses</w:t>
      </w:r>
    </w:p>
    <w:p w14:paraId="177311FC" w14:textId="77777777" w:rsidR="00E666B1" w:rsidRDefault="00F90100" w:rsidP="00E666B1">
      <w:pPr>
        <w:spacing w:line="480" w:lineRule="auto"/>
        <w:rPr>
          <w:rFonts w:ascii="Arial" w:hAnsi="Arial" w:cs="Arial"/>
        </w:rPr>
      </w:pPr>
      <w:r w:rsidRPr="00E666B1">
        <w:rPr>
          <w:rFonts w:ascii="Arial" w:hAnsi="Arial" w:cs="Arial"/>
        </w:rPr>
        <w:t xml:space="preserve">Despite significant gains, McDonald's continues to face significant financial and operational challenges. </w:t>
      </w:r>
    </w:p>
    <w:p w14:paraId="3B08CEC2" w14:textId="77777777" w:rsidR="00E666B1" w:rsidRPr="007514E1" w:rsidRDefault="00F90100" w:rsidP="007514E1">
      <w:pPr>
        <w:pStyle w:val="ListParagraph"/>
        <w:numPr>
          <w:ilvl w:val="0"/>
          <w:numId w:val="7"/>
        </w:numPr>
        <w:spacing w:line="480" w:lineRule="auto"/>
        <w:rPr>
          <w:rFonts w:ascii="Arial" w:hAnsi="Arial" w:cs="Arial"/>
        </w:rPr>
      </w:pPr>
      <w:r w:rsidRPr="007514E1">
        <w:rPr>
          <w:rFonts w:ascii="Arial" w:hAnsi="Arial" w:cs="Arial"/>
        </w:rPr>
        <w:t>Negative Equity and High Leverage</w:t>
      </w:r>
      <w:r w:rsidR="00E666B1" w:rsidRPr="007514E1">
        <w:rPr>
          <w:rFonts w:ascii="Arial" w:hAnsi="Arial" w:cs="Arial"/>
        </w:rPr>
        <w:t xml:space="preserve">: </w:t>
      </w:r>
      <w:r w:rsidRPr="007514E1">
        <w:rPr>
          <w:rFonts w:ascii="Arial" w:hAnsi="Arial" w:cs="Arial"/>
        </w:rPr>
        <w:t xml:space="preserve">The company continues to have negative equity as it continues to aggressively purchase shares financed through debt. While this action can inflate the company's EPS and value to its shareholders in the short run, it also increases financial risk, such as the company’s ability to borrow capital to address potential market volatility (Bernard, 1994). </w:t>
      </w:r>
    </w:p>
    <w:p w14:paraId="65B9320E" w14:textId="77777777" w:rsidR="00E666B1" w:rsidRPr="007514E1" w:rsidRDefault="00F90100" w:rsidP="007514E1">
      <w:pPr>
        <w:pStyle w:val="ListParagraph"/>
        <w:numPr>
          <w:ilvl w:val="0"/>
          <w:numId w:val="7"/>
        </w:numPr>
        <w:spacing w:line="480" w:lineRule="auto"/>
        <w:rPr>
          <w:rFonts w:ascii="Arial" w:hAnsi="Arial" w:cs="Arial"/>
        </w:rPr>
      </w:pPr>
      <w:r w:rsidRPr="007514E1">
        <w:rPr>
          <w:rFonts w:ascii="Arial" w:hAnsi="Arial" w:cs="Arial"/>
        </w:rPr>
        <w:t>Sustainability and ESG Commitments</w:t>
      </w:r>
      <w:r w:rsidR="00E666B1" w:rsidRPr="007514E1">
        <w:rPr>
          <w:rFonts w:ascii="Arial" w:hAnsi="Arial" w:cs="Arial"/>
        </w:rPr>
        <w:t xml:space="preserve">: </w:t>
      </w:r>
      <w:r w:rsidRPr="007514E1">
        <w:rPr>
          <w:rFonts w:ascii="Arial" w:hAnsi="Arial" w:cs="Arial"/>
        </w:rPr>
        <w:t>Both consumers and investors remain increasingly interested in corporate sustainability. McDonald's has received considerable bad press for its supply chain practices, carbon emissions, and use of non-recyclable packaging (Choi &amp; Wang, 2009). Strengthening its commitment to Environmental, Social, and Governance (ESG) will be necessary to continue competing in the market while addressing the company's moral responsibility.</w:t>
      </w:r>
    </w:p>
    <w:p w14:paraId="18B384C0" w14:textId="2829B724" w:rsidR="00E666B1" w:rsidRPr="007514E1" w:rsidRDefault="00F90100" w:rsidP="00E666B1">
      <w:pPr>
        <w:pStyle w:val="ListParagraph"/>
        <w:numPr>
          <w:ilvl w:val="0"/>
          <w:numId w:val="7"/>
        </w:numPr>
        <w:spacing w:line="480" w:lineRule="auto"/>
        <w:rPr>
          <w:rFonts w:ascii="Arial" w:hAnsi="Arial" w:cs="Arial"/>
        </w:rPr>
      </w:pPr>
      <w:r w:rsidRPr="007514E1">
        <w:rPr>
          <w:rFonts w:ascii="Arial" w:hAnsi="Arial" w:cs="Arial"/>
        </w:rPr>
        <w:t>Employee Costs and Operational Challenges</w:t>
      </w:r>
      <w:r w:rsidR="00E666B1" w:rsidRPr="007514E1">
        <w:rPr>
          <w:rFonts w:ascii="Arial" w:hAnsi="Arial" w:cs="Arial"/>
        </w:rPr>
        <w:t xml:space="preserve">: </w:t>
      </w:r>
      <w:r w:rsidRPr="007514E1">
        <w:rPr>
          <w:rFonts w:ascii="Arial" w:hAnsi="Arial" w:cs="Arial"/>
        </w:rPr>
        <w:t xml:space="preserve">Consumer-facing businesses in targeted markets are facing increased operating costs due to rising of minimum wage standards coupled with </w:t>
      </w:r>
      <w:r w:rsidR="00E666B1" w:rsidRPr="007514E1">
        <w:rPr>
          <w:rFonts w:ascii="Arial" w:hAnsi="Arial" w:cs="Arial"/>
        </w:rPr>
        <w:t>labour</w:t>
      </w:r>
      <w:r w:rsidRPr="007514E1">
        <w:rPr>
          <w:rFonts w:ascii="Arial" w:hAnsi="Arial" w:cs="Arial"/>
        </w:rPr>
        <w:t xml:space="preserve"> shortages. Furthermore, the economy could lead to uncertain consumer discretionary spend impacting quick-serve restaurants ("QSR") like McDonald's (Carr, 2021).</w:t>
      </w:r>
    </w:p>
    <w:p w14:paraId="61EB39C6" w14:textId="0DB9B8FB" w:rsidR="00E666B1" w:rsidRPr="007514E1" w:rsidRDefault="00F90100" w:rsidP="00E666B1">
      <w:pPr>
        <w:pStyle w:val="ListParagraph"/>
        <w:numPr>
          <w:ilvl w:val="0"/>
          <w:numId w:val="1"/>
        </w:numPr>
        <w:spacing w:line="480" w:lineRule="auto"/>
        <w:rPr>
          <w:rFonts w:ascii="Arial" w:hAnsi="Arial" w:cs="Arial"/>
          <w:b/>
          <w:bCs/>
        </w:rPr>
      </w:pPr>
      <w:r w:rsidRPr="007514E1">
        <w:rPr>
          <w:rFonts w:ascii="Arial" w:hAnsi="Arial" w:cs="Arial"/>
          <w:b/>
          <w:bCs/>
        </w:rPr>
        <w:t xml:space="preserve">Recommendations for Financial and Strategy Development </w:t>
      </w:r>
    </w:p>
    <w:p w14:paraId="4D200B2A" w14:textId="77777777" w:rsidR="00E666B1" w:rsidRPr="007514E1" w:rsidRDefault="00F90100" w:rsidP="007514E1">
      <w:pPr>
        <w:pStyle w:val="ListParagraph"/>
        <w:numPr>
          <w:ilvl w:val="0"/>
          <w:numId w:val="8"/>
        </w:numPr>
        <w:spacing w:line="480" w:lineRule="auto"/>
        <w:rPr>
          <w:rFonts w:ascii="Arial" w:hAnsi="Arial" w:cs="Arial"/>
        </w:rPr>
      </w:pPr>
      <w:r w:rsidRPr="007514E1">
        <w:rPr>
          <w:rFonts w:ascii="Arial" w:hAnsi="Arial" w:cs="Arial"/>
        </w:rPr>
        <w:t>Diminish Leverage and Strengthen Capital Structure</w:t>
      </w:r>
      <w:r w:rsidR="00E666B1" w:rsidRPr="007514E1">
        <w:rPr>
          <w:rFonts w:ascii="Arial" w:hAnsi="Arial" w:cs="Arial"/>
        </w:rPr>
        <w:t>:</w:t>
      </w:r>
      <w:r w:rsidRPr="007514E1">
        <w:rPr>
          <w:rFonts w:ascii="Arial" w:hAnsi="Arial" w:cs="Arial"/>
        </w:rPr>
        <w:t xml:space="preserve"> </w:t>
      </w:r>
      <w:r w:rsidR="00E666B1" w:rsidRPr="007514E1">
        <w:rPr>
          <w:rFonts w:ascii="Arial" w:hAnsi="Arial" w:cs="Arial"/>
        </w:rPr>
        <w:t>To</w:t>
      </w:r>
      <w:r w:rsidRPr="007514E1">
        <w:rPr>
          <w:rFonts w:ascii="Arial" w:hAnsi="Arial" w:cs="Arial"/>
        </w:rPr>
        <w:t xml:space="preserve"> increase financial viability, McDonald's should reduce share repurchases programs and put that capital towards long-term debt to restore positive equity and a lower debt to equity ratio, thereby increasing its capital structure (Lucey, 2009).</w:t>
      </w:r>
    </w:p>
    <w:p w14:paraId="6C1890B0" w14:textId="77777777" w:rsidR="00E666B1" w:rsidRPr="007514E1" w:rsidRDefault="00F90100" w:rsidP="007514E1">
      <w:pPr>
        <w:pStyle w:val="ListParagraph"/>
        <w:numPr>
          <w:ilvl w:val="0"/>
          <w:numId w:val="8"/>
        </w:numPr>
        <w:spacing w:line="480" w:lineRule="auto"/>
        <w:rPr>
          <w:rFonts w:ascii="Arial" w:hAnsi="Arial" w:cs="Arial"/>
        </w:rPr>
      </w:pPr>
      <w:r w:rsidRPr="007514E1">
        <w:rPr>
          <w:rFonts w:ascii="Arial" w:hAnsi="Arial" w:cs="Arial"/>
        </w:rPr>
        <w:lastRenderedPageBreak/>
        <w:t>Increase Plant-Based and Healthier Menu Options</w:t>
      </w:r>
      <w:r w:rsidR="00E666B1" w:rsidRPr="007514E1">
        <w:rPr>
          <w:rFonts w:ascii="Arial" w:hAnsi="Arial" w:cs="Arial"/>
        </w:rPr>
        <w:t xml:space="preserve">: </w:t>
      </w:r>
      <w:r w:rsidRPr="007514E1">
        <w:rPr>
          <w:rFonts w:ascii="Arial" w:hAnsi="Arial" w:cs="Arial"/>
        </w:rPr>
        <w:t>Increasing options for vegetarian and the McPlant line are congruent with health and sustainability. This shift will provide a foothold with eco-friendly customers and improve diversification of offerings to slow-growth markets (Zhang et al., 2022).</w:t>
      </w:r>
    </w:p>
    <w:p w14:paraId="2597643B" w14:textId="77777777" w:rsidR="00E666B1" w:rsidRPr="007514E1" w:rsidRDefault="00F90100" w:rsidP="007514E1">
      <w:pPr>
        <w:pStyle w:val="ListParagraph"/>
        <w:numPr>
          <w:ilvl w:val="0"/>
          <w:numId w:val="8"/>
        </w:numPr>
        <w:spacing w:line="480" w:lineRule="auto"/>
        <w:rPr>
          <w:rFonts w:ascii="Arial" w:hAnsi="Arial" w:cs="Arial"/>
        </w:rPr>
      </w:pPr>
      <w:r w:rsidRPr="007514E1">
        <w:rPr>
          <w:rFonts w:ascii="Arial" w:hAnsi="Arial" w:cs="Arial"/>
        </w:rPr>
        <w:t>Diversify Digital Technology Infrastructure Globally</w:t>
      </w:r>
      <w:r w:rsidR="00E666B1" w:rsidRPr="007514E1">
        <w:rPr>
          <w:rFonts w:ascii="Arial" w:hAnsi="Arial" w:cs="Arial"/>
        </w:rPr>
        <w:t xml:space="preserve">: </w:t>
      </w:r>
      <w:r w:rsidRPr="007514E1">
        <w:rPr>
          <w:rFonts w:ascii="Arial" w:hAnsi="Arial" w:cs="Arial"/>
        </w:rPr>
        <w:t xml:space="preserve">Investing in mobile ordering, AI at the drive-thru and kitchen smart technology will continue to create a better customer experience while increasing efficiencies and at the same time manage down </w:t>
      </w:r>
      <w:r w:rsidR="00E666B1" w:rsidRPr="007514E1">
        <w:rPr>
          <w:rFonts w:ascii="Arial" w:hAnsi="Arial" w:cs="Arial"/>
        </w:rPr>
        <w:t>labour</w:t>
      </w:r>
      <w:r w:rsidRPr="007514E1">
        <w:rPr>
          <w:rFonts w:ascii="Arial" w:hAnsi="Arial" w:cs="Arial"/>
        </w:rPr>
        <w:t xml:space="preserve"> costs while also increasing average order sizes (TechCrunch, 2019).</w:t>
      </w:r>
    </w:p>
    <w:p w14:paraId="3CDF2648" w14:textId="57106E66" w:rsidR="00E666B1" w:rsidRPr="007514E1" w:rsidRDefault="00F90100" w:rsidP="007514E1">
      <w:pPr>
        <w:pStyle w:val="ListParagraph"/>
        <w:numPr>
          <w:ilvl w:val="0"/>
          <w:numId w:val="8"/>
        </w:numPr>
        <w:spacing w:line="480" w:lineRule="auto"/>
        <w:rPr>
          <w:rFonts w:ascii="Arial" w:hAnsi="Arial" w:cs="Arial"/>
        </w:rPr>
      </w:pPr>
      <w:r w:rsidRPr="007514E1">
        <w:rPr>
          <w:rFonts w:ascii="Arial" w:hAnsi="Arial" w:cs="Arial"/>
        </w:rPr>
        <w:t>Increase Growth into Emerging Markets</w:t>
      </w:r>
      <w:r w:rsidR="00E666B1" w:rsidRPr="007514E1">
        <w:rPr>
          <w:rFonts w:ascii="Arial" w:hAnsi="Arial" w:cs="Arial"/>
        </w:rPr>
        <w:t xml:space="preserve">: </w:t>
      </w:r>
      <w:r w:rsidRPr="007514E1">
        <w:rPr>
          <w:rFonts w:ascii="Arial" w:hAnsi="Arial" w:cs="Arial"/>
        </w:rPr>
        <w:t>Emerging markets like India, Indonesia, and parts of Africa where there is valid pricing and reason to create menus, show potential to allow market dimensions to drive additional revenue growth. Creating a locali</w:t>
      </w:r>
      <w:r w:rsidR="00E666B1" w:rsidRPr="007514E1">
        <w:rPr>
          <w:rFonts w:ascii="Arial" w:hAnsi="Arial" w:cs="Arial"/>
        </w:rPr>
        <w:t>s</w:t>
      </w:r>
      <w:r w:rsidRPr="007514E1">
        <w:rPr>
          <w:rFonts w:ascii="Arial" w:hAnsi="Arial" w:cs="Arial"/>
        </w:rPr>
        <w:t xml:space="preserve">ed customer experiences and introducing local franchisees can provide </w:t>
      </w:r>
      <w:r w:rsidR="00E666B1" w:rsidRPr="007514E1">
        <w:rPr>
          <w:rFonts w:ascii="Arial" w:hAnsi="Arial" w:cs="Arial"/>
        </w:rPr>
        <w:t>growth</w:t>
      </w:r>
      <w:r w:rsidRPr="007514E1">
        <w:rPr>
          <w:rFonts w:ascii="Arial" w:hAnsi="Arial" w:cs="Arial"/>
        </w:rPr>
        <w:t xml:space="preserve"> areas for emergence merchants in unsaturated markets (Tang, 2013).</w:t>
      </w:r>
    </w:p>
    <w:p w14:paraId="704588F5" w14:textId="77777777" w:rsidR="00E666B1" w:rsidRPr="007514E1" w:rsidRDefault="00F90100" w:rsidP="007514E1">
      <w:pPr>
        <w:pStyle w:val="ListParagraph"/>
        <w:numPr>
          <w:ilvl w:val="0"/>
          <w:numId w:val="8"/>
        </w:numPr>
        <w:spacing w:line="480" w:lineRule="auto"/>
        <w:rPr>
          <w:rFonts w:ascii="Arial" w:hAnsi="Arial" w:cs="Arial"/>
        </w:rPr>
      </w:pPr>
      <w:r w:rsidRPr="007514E1">
        <w:rPr>
          <w:rFonts w:ascii="Arial" w:hAnsi="Arial" w:cs="Arial"/>
        </w:rPr>
        <w:t>Strengthen ESG Performance and Communication</w:t>
      </w:r>
      <w:r w:rsidR="00E666B1" w:rsidRPr="007514E1">
        <w:rPr>
          <w:rFonts w:ascii="Arial" w:hAnsi="Arial" w:cs="Arial"/>
        </w:rPr>
        <w:t xml:space="preserve">: </w:t>
      </w:r>
      <w:r w:rsidRPr="007514E1">
        <w:rPr>
          <w:rFonts w:ascii="Arial" w:hAnsi="Arial" w:cs="Arial"/>
        </w:rPr>
        <w:t>Invest in packaging sustainability and energy-efficient kitchens. In addition, committing to fully transparent ESG reports communicating positive long-term progress will build and retain trust with stakeholders and influence other ESG positive and investor (Choi &amp; Wang, 2009).</w:t>
      </w:r>
    </w:p>
    <w:p w14:paraId="5134273D" w14:textId="77777777" w:rsidR="00E666B1" w:rsidRDefault="00E666B1" w:rsidP="00E666B1">
      <w:pPr>
        <w:spacing w:line="480" w:lineRule="auto"/>
        <w:rPr>
          <w:rFonts w:ascii="Arial" w:hAnsi="Arial" w:cs="Arial"/>
        </w:rPr>
      </w:pPr>
    </w:p>
    <w:p w14:paraId="388DD182" w14:textId="77777777" w:rsidR="007514E1" w:rsidRDefault="007514E1" w:rsidP="00E666B1">
      <w:pPr>
        <w:spacing w:line="480" w:lineRule="auto"/>
        <w:rPr>
          <w:rFonts w:ascii="Arial" w:hAnsi="Arial" w:cs="Arial"/>
        </w:rPr>
      </w:pPr>
    </w:p>
    <w:p w14:paraId="483E23F3" w14:textId="77777777" w:rsidR="007514E1" w:rsidRDefault="007514E1" w:rsidP="00E666B1">
      <w:pPr>
        <w:spacing w:line="480" w:lineRule="auto"/>
        <w:rPr>
          <w:rFonts w:ascii="Arial" w:hAnsi="Arial" w:cs="Arial"/>
        </w:rPr>
      </w:pPr>
    </w:p>
    <w:p w14:paraId="0ACFE8D9" w14:textId="60F4DE78" w:rsidR="00E666B1" w:rsidRPr="007514E1" w:rsidRDefault="00F90100" w:rsidP="00E666B1">
      <w:pPr>
        <w:pStyle w:val="ListParagraph"/>
        <w:numPr>
          <w:ilvl w:val="0"/>
          <w:numId w:val="1"/>
        </w:numPr>
        <w:spacing w:line="480" w:lineRule="auto"/>
        <w:rPr>
          <w:rFonts w:ascii="Arial" w:hAnsi="Arial" w:cs="Arial"/>
          <w:b/>
          <w:bCs/>
        </w:rPr>
      </w:pPr>
      <w:r w:rsidRPr="007514E1">
        <w:rPr>
          <w:rFonts w:ascii="Arial" w:hAnsi="Arial" w:cs="Arial"/>
          <w:b/>
          <w:bCs/>
        </w:rPr>
        <w:lastRenderedPageBreak/>
        <w:t>Conclusion</w:t>
      </w:r>
    </w:p>
    <w:p w14:paraId="1FFFBB33" w14:textId="77777777" w:rsidR="007514E1" w:rsidRDefault="00F90100" w:rsidP="00E666B1">
      <w:pPr>
        <w:spacing w:line="480" w:lineRule="auto"/>
        <w:rPr>
          <w:rFonts w:ascii="Arial" w:hAnsi="Arial" w:cs="Arial"/>
        </w:rPr>
      </w:pPr>
      <w:r w:rsidRPr="00E666B1">
        <w:rPr>
          <w:rFonts w:ascii="Arial" w:hAnsi="Arial" w:cs="Arial"/>
        </w:rPr>
        <w:t>The ratio analysis of McDonald's for 2022 and 2023 provides a full picture of financial health. There were considerable improvements in both profitability and operational efficiency which were driven by pricing, global expansion, and technology transformation. Financial risk, sustainability, and inflationary pressures remain.</w:t>
      </w:r>
    </w:p>
    <w:p w14:paraId="6A005006" w14:textId="77777777" w:rsidR="007514E1" w:rsidRPr="007514E1" w:rsidRDefault="00F90100" w:rsidP="00E666B1">
      <w:pPr>
        <w:spacing w:line="480" w:lineRule="auto"/>
        <w:rPr>
          <w:rFonts w:ascii="Arial" w:hAnsi="Arial" w:cs="Arial"/>
          <w:b/>
          <w:bCs/>
        </w:rPr>
      </w:pPr>
      <w:r w:rsidRPr="007514E1">
        <w:rPr>
          <w:rFonts w:ascii="Arial" w:hAnsi="Arial" w:cs="Arial"/>
          <w:b/>
          <w:bCs/>
        </w:rPr>
        <w:t>Key Findings:</w:t>
      </w:r>
    </w:p>
    <w:p w14:paraId="1FFD746E" w14:textId="77777777" w:rsidR="007514E1" w:rsidRPr="007514E1" w:rsidRDefault="00F90100" w:rsidP="007514E1">
      <w:pPr>
        <w:pStyle w:val="ListParagraph"/>
        <w:numPr>
          <w:ilvl w:val="0"/>
          <w:numId w:val="3"/>
        </w:numPr>
        <w:spacing w:line="480" w:lineRule="auto"/>
        <w:rPr>
          <w:rFonts w:ascii="Arial" w:hAnsi="Arial" w:cs="Arial"/>
        </w:rPr>
      </w:pPr>
      <w:r w:rsidRPr="007514E1">
        <w:rPr>
          <w:rFonts w:ascii="Arial" w:hAnsi="Arial" w:cs="Arial"/>
        </w:rPr>
        <w:t>Net profit margin and ROA increased in 2023 providing greater profitability and operational efficiency.</w:t>
      </w:r>
    </w:p>
    <w:p w14:paraId="1321D82E" w14:textId="77777777" w:rsidR="007514E1" w:rsidRPr="007514E1" w:rsidRDefault="00F90100" w:rsidP="007514E1">
      <w:pPr>
        <w:pStyle w:val="ListParagraph"/>
        <w:numPr>
          <w:ilvl w:val="0"/>
          <w:numId w:val="3"/>
        </w:numPr>
        <w:spacing w:line="480" w:lineRule="auto"/>
        <w:rPr>
          <w:rFonts w:ascii="Arial" w:hAnsi="Arial" w:cs="Arial"/>
        </w:rPr>
      </w:pPr>
      <w:r w:rsidRPr="007514E1">
        <w:rPr>
          <w:rFonts w:ascii="Arial" w:hAnsi="Arial" w:cs="Arial"/>
        </w:rPr>
        <w:t>Liquidity was steady, while negative equity indicate vulnerability for revenues.</w:t>
      </w:r>
    </w:p>
    <w:p w14:paraId="05E09B30" w14:textId="77777777" w:rsidR="007514E1" w:rsidRPr="007514E1" w:rsidRDefault="00F90100" w:rsidP="007514E1">
      <w:pPr>
        <w:pStyle w:val="ListParagraph"/>
        <w:numPr>
          <w:ilvl w:val="0"/>
          <w:numId w:val="3"/>
        </w:numPr>
        <w:spacing w:line="480" w:lineRule="auto"/>
        <w:rPr>
          <w:rFonts w:ascii="Arial" w:hAnsi="Arial" w:cs="Arial"/>
        </w:rPr>
      </w:pPr>
      <w:r w:rsidRPr="007514E1">
        <w:rPr>
          <w:rFonts w:ascii="Arial" w:hAnsi="Arial" w:cs="Arial"/>
        </w:rPr>
        <w:t>Technology investment and franchise expansion were the top long-term drivers for improved financial performance.</w:t>
      </w:r>
    </w:p>
    <w:p w14:paraId="7AB4020C" w14:textId="77777777" w:rsidR="007514E1" w:rsidRPr="007514E1" w:rsidRDefault="00F90100" w:rsidP="007514E1">
      <w:pPr>
        <w:pStyle w:val="ListParagraph"/>
        <w:numPr>
          <w:ilvl w:val="0"/>
          <w:numId w:val="3"/>
        </w:numPr>
        <w:spacing w:line="480" w:lineRule="auto"/>
        <w:rPr>
          <w:rFonts w:ascii="Arial" w:hAnsi="Arial" w:cs="Arial"/>
        </w:rPr>
      </w:pPr>
      <w:r w:rsidRPr="007514E1">
        <w:rPr>
          <w:rFonts w:ascii="Arial" w:hAnsi="Arial" w:cs="Arial"/>
        </w:rPr>
        <w:t>Future growth relies on further strengthening their ESG investment, decreasing financial risk, and seeking emerging market merchant.</w:t>
      </w:r>
    </w:p>
    <w:p w14:paraId="5A978B22" w14:textId="77777777" w:rsidR="007514E1" w:rsidRPr="007514E1" w:rsidRDefault="00F90100" w:rsidP="00E666B1">
      <w:pPr>
        <w:spacing w:line="480" w:lineRule="auto"/>
        <w:rPr>
          <w:rFonts w:ascii="Arial" w:hAnsi="Arial" w:cs="Arial"/>
          <w:b/>
          <w:bCs/>
        </w:rPr>
      </w:pPr>
      <w:r w:rsidRPr="007514E1">
        <w:rPr>
          <w:rFonts w:ascii="Arial" w:hAnsi="Arial" w:cs="Arial"/>
          <w:b/>
          <w:bCs/>
        </w:rPr>
        <w:t>Value of Ratio Analysis</w:t>
      </w:r>
    </w:p>
    <w:p w14:paraId="52695C70" w14:textId="09DC9712" w:rsidR="00F90100" w:rsidRDefault="00F90100" w:rsidP="00E666B1">
      <w:pPr>
        <w:spacing w:line="480" w:lineRule="auto"/>
        <w:rPr>
          <w:rFonts w:ascii="Arial" w:hAnsi="Arial" w:cs="Arial"/>
        </w:rPr>
      </w:pPr>
      <w:r w:rsidRPr="00E666B1">
        <w:rPr>
          <w:rFonts w:ascii="Arial" w:hAnsi="Arial" w:cs="Arial"/>
        </w:rPr>
        <w:t>This analysis has demonstrated how key financial metrics based on profit margin, asset utili</w:t>
      </w:r>
      <w:r w:rsidR="007514E1">
        <w:rPr>
          <w:rFonts w:ascii="Arial" w:hAnsi="Arial" w:cs="Arial"/>
        </w:rPr>
        <w:t>s</w:t>
      </w:r>
      <w:r w:rsidRPr="00E666B1">
        <w:rPr>
          <w:rFonts w:ascii="Arial" w:hAnsi="Arial" w:cs="Arial"/>
        </w:rPr>
        <w:t>ation, and debt provide insights into McDonald's financial strengths and weaknesses. This demonstrates ratio analysis for advanced strategic and investment decision making is a useful analysis tool in due diligence context (Wood, 2015</w:t>
      </w:r>
      <w:r w:rsidR="007514E1">
        <w:rPr>
          <w:rFonts w:ascii="Arial" w:hAnsi="Arial" w:cs="Arial"/>
        </w:rPr>
        <w:t>).</w:t>
      </w:r>
    </w:p>
    <w:p w14:paraId="567347AE" w14:textId="77777777" w:rsidR="007514E1" w:rsidRDefault="007514E1" w:rsidP="00E666B1">
      <w:pPr>
        <w:spacing w:line="480" w:lineRule="auto"/>
        <w:rPr>
          <w:rFonts w:ascii="Arial" w:hAnsi="Arial" w:cs="Arial"/>
        </w:rPr>
      </w:pPr>
    </w:p>
    <w:p w14:paraId="3864ED52" w14:textId="77777777" w:rsidR="007514E1" w:rsidRDefault="007514E1" w:rsidP="00E666B1">
      <w:pPr>
        <w:spacing w:line="480" w:lineRule="auto"/>
        <w:rPr>
          <w:rFonts w:ascii="Arial" w:hAnsi="Arial" w:cs="Arial"/>
        </w:rPr>
      </w:pPr>
    </w:p>
    <w:p w14:paraId="4B0905A9" w14:textId="77777777" w:rsidR="007514E1" w:rsidRDefault="007514E1" w:rsidP="00E666B1">
      <w:pPr>
        <w:spacing w:line="480" w:lineRule="auto"/>
        <w:rPr>
          <w:rFonts w:ascii="Arial" w:hAnsi="Arial" w:cs="Arial"/>
        </w:rPr>
      </w:pPr>
    </w:p>
    <w:p w14:paraId="71AA06FB" w14:textId="77777777" w:rsidR="007514E1" w:rsidRDefault="007514E1" w:rsidP="00E666B1">
      <w:pPr>
        <w:spacing w:line="480" w:lineRule="auto"/>
        <w:rPr>
          <w:rFonts w:ascii="Arial" w:hAnsi="Arial" w:cs="Arial"/>
        </w:rPr>
      </w:pPr>
    </w:p>
    <w:p w14:paraId="3E7A298F" w14:textId="04F847CB" w:rsidR="007514E1" w:rsidRPr="0099431E" w:rsidRDefault="007514E1" w:rsidP="00E666B1">
      <w:pPr>
        <w:spacing w:line="480" w:lineRule="auto"/>
        <w:rPr>
          <w:rFonts w:ascii="Arial" w:hAnsi="Arial" w:cs="Arial"/>
          <w:b/>
          <w:bCs/>
        </w:rPr>
      </w:pPr>
      <w:r w:rsidRPr="0099431E">
        <w:rPr>
          <w:rFonts w:ascii="Arial" w:hAnsi="Arial" w:cs="Arial"/>
          <w:b/>
          <w:bCs/>
        </w:rPr>
        <w:lastRenderedPageBreak/>
        <w:t>References</w:t>
      </w:r>
    </w:p>
    <w:p w14:paraId="05804E6D" w14:textId="77777777" w:rsidR="005A55D0" w:rsidRDefault="005A55D0" w:rsidP="005A55D0">
      <w:pPr>
        <w:spacing w:line="480" w:lineRule="auto"/>
        <w:rPr>
          <w:rFonts w:ascii="Arial" w:hAnsi="Arial" w:cs="Arial"/>
        </w:rPr>
      </w:pPr>
      <w:proofErr w:type="spellStart"/>
      <w:r w:rsidRPr="005A55D0">
        <w:rPr>
          <w:rFonts w:ascii="Arial" w:hAnsi="Arial" w:cs="Arial"/>
        </w:rPr>
        <w:t>Ayrapetova</w:t>
      </w:r>
      <w:proofErr w:type="spellEnd"/>
      <w:r w:rsidRPr="005A55D0">
        <w:rPr>
          <w:rFonts w:ascii="Arial" w:hAnsi="Arial" w:cs="Arial"/>
        </w:rPr>
        <w:t xml:space="preserve">, T. (2014). Report on the financial evaluation: McDonald's Corporation and Yum! Brands. </w:t>
      </w:r>
      <w:r w:rsidRPr="005A55D0">
        <w:rPr>
          <w:rFonts w:ascii="Arial" w:hAnsi="Arial" w:cs="Arial"/>
          <w:i/>
          <w:iCs/>
        </w:rPr>
        <w:t>CRIS-Bulletin of the Centre for Research and Interdisciplinary Study, 2014</w:t>
      </w:r>
      <w:r w:rsidRPr="005A55D0">
        <w:rPr>
          <w:rFonts w:ascii="Arial" w:hAnsi="Arial" w:cs="Arial"/>
        </w:rPr>
        <w:t>(1), 1–28.</w:t>
      </w:r>
    </w:p>
    <w:p w14:paraId="5B53C3D6" w14:textId="590DE7BE" w:rsidR="005A55D0" w:rsidRPr="005A55D0" w:rsidRDefault="005A55D0" w:rsidP="005A55D0">
      <w:pPr>
        <w:spacing w:line="480" w:lineRule="auto"/>
        <w:rPr>
          <w:rFonts w:ascii="Arial" w:hAnsi="Arial" w:cs="Arial"/>
        </w:rPr>
      </w:pPr>
      <w:r w:rsidRPr="005A55D0">
        <w:rPr>
          <w:rFonts w:ascii="Arial" w:hAnsi="Arial" w:cs="Arial"/>
        </w:rPr>
        <w:t xml:space="preserve">Bernard, V. L. (1994). Accounting-based valuation methods, determinants of market-to-book ratios, and implications for financial statement analysis. </w:t>
      </w:r>
      <w:r w:rsidRPr="005A55D0">
        <w:rPr>
          <w:rFonts w:ascii="Arial" w:hAnsi="Arial" w:cs="Arial"/>
          <w:i/>
          <w:iCs/>
        </w:rPr>
        <w:t>Journal of Accounting Research, 32</w:t>
      </w:r>
      <w:r w:rsidRPr="005A55D0">
        <w:rPr>
          <w:rFonts w:ascii="Arial" w:hAnsi="Arial" w:cs="Arial"/>
        </w:rPr>
        <w:t>(Supplement), 97–130.</w:t>
      </w:r>
    </w:p>
    <w:p w14:paraId="540B55BA" w14:textId="132CC92A" w:rsidR="005A55D0" w:rsidRDefault="005A55D0" w:rsidP="005A55D0">
      <w:pPr>
        <w:spacing w:line="480" w:lineRule="auto"/>
        <w:rPr>
          <w:rFonts w:ascii="Arial" w:hAnsi="Arial" w:cs="Arial"/>
        </w:rPr>
      </w:pPr>
      <w:r w:rsidRPr="005A55D0">
        <w:rPr>
          <w:rFonts w:ascii="Arial" w:hAnsi="Arial" w:cs="Arial"/>
        </w:rPr>
        <w:t xml:space="preserve">Carr, E. (2021). </w:t>
      </w:r>
      <w:r w:rsidRPr="005A55D0">
        <w:rPr>
          <w:rFonts w:ascii="Arial" w:hAnsi="Arial" w:cs="Arial"/>
          <w:i/>
          <w:iCs/>
        </w:rPr>
        <w:t>Covid-19 is likely to fade away in 2022.</w:t>
      </w:r>
      <w:r w:rsidRPr="005A55D0">
        <w:rPr>
          <w:rFonts w:ascii="Arial" w:hAnsi="Arial" w:cs="Arial"/>
        </w:rPr>
        <w:t xml:space="preserve"> The Economist. </w:t>
      </w:r>
      <w:hyperlink r:id="rId7" w:history="1">
        <w:r w:rsidRPr="00932F96">
          <w:rPr>
            <w:rStyle w:val="Hyperlink"/>
            <w:rFonts w:ascii="Arial" w:hAnsi="Arial" w:cs="Arial"/>
          </w:rPr>
          <w:t>https://www.economist.com/the-world-ahead/2021/11/08/covid-19-is-likely-to-fade-away-in-2022</w:t>
        </w:r>
      </w:hyperlink>
    </w:p>
    <w:p w14:paraId="55FC5EBC" w14:textId="4C131675" w:rsidR="005A55D0" w:rsidRDefault="005A55D0" w:rsidP="005A55D0">
      <w:pPr>
        <w:spacing w:line="480" w:lineRule="auto"/>
        <w:rPr>
          <w:rFonts w:ascii="Arial" w:hAnsi="Arial" w:cs="Arial"/>
        </w:rPr>
      </w:pPr>
      <w:r w:rsidRPr="005A55D0">
        <w:rPr>
          <w:rFonts w:ascii="Arial" w:hAnsi="Arial" w:cs="Arial"/>
        </w:rPr>
        <w:t xml:space="preserve">Choi, J., &amp; Wang, H. (2009). Stakeholder relations and the persistence of corporate financial performance. </w:t>
      </w:r>
      <w:r w:rsidRPr="005A55D0">
        <w:rPr>
          <w:rFonts w:ascii="Arial" w:hAnsi="Arial" w:cs="Arial"/>
          <w:i/>
          <w:iCs/>
        </w:rPr>
        <w:t>Strategic Management Journal, 30</w:t>
      </w:r>
      <w:r w:rsidRPr="005A55D0">
        <w:rPr>
          <w:rFonts w:ascii="Arial" w:hAnsi="Arial" w:cs="Arial"/>
        </w:rPr>
        <w:t xml:space="preserve">(8), 895–907. </w:t>
      </w:r>
      <w:hyperlink r:id="rId8" w:history="1">
        <w:r w:rsidRPr="00932F96">
          <w:rPr>
            <w:rStyle w:val="Hyperlink"/>
            <w:rFonts w:ascii="Arial" w:hAnsi="Arial" w:cs="Arial"/>
          </w:rPr>
          <w:t>https://doi.org/10.1002/smj.759</w:t>
        </w:r>
      </w:hyperlink>
    </w:p>
    <w:p w14:paraId="3415ACB9" w14:textId="59380A9F" w:rsidR="005A55D0" w:rsidRPr="005A55D0" w:rsidRDefault="005A55D0" w:rsidP="005A55D0">
      <w:pPr>
        <w:spacing w:line="480" w:lineRule="auto"/>
        <w:rPr>
          <w:rFonts w:ascii="Arial" w:hAnsi="Arial" w:cs="Arial"/>
        </w:rPr>
      </w:pPr>
      <w:r w:rsidRPr="005A55D0">
        <w:rPr>
          <w:rFonts w:ascii="Arial" w:hAnsi="Arial" w:cs="Arial"/>
        </w:rPr>
        <w:t xml:space="preserve">Drury, J. (2020). </w:t>
      </w:r>
      <w:r w:rsidRPr="005A55D0">
        <w:rPr>
          <w:rFonts w:ascii="Arial" w:hAnsi="Arial" w:cs="Arial"/>
          <w:i/>
          <w:iCs/>
        </w:rPr>
        <w:t>Management and cost accounting</w:t>
      </w:r>
      <w:r w:rsidRPr="005A55D0">
        <w:rPr>
          <w:rFonts w:ascii="Arial" w:hAnsi="Arial" w:cs="Arial"/>
        </w:rPr>
        <w:t xml:space="preserve"> (9th ed.). Cengage Learning.</w:t>
      </w:r>
    </w:p>
    <w:p w14:paraId="335F81EB" w14:textId="77777777" w:rsidR="005A55D0" w:rsidRPr="005A55D0" w:rsidRDefault="005A55D0" w:rsidP="005A55D0">
      <w:pPr>
        <w:spacing w:line="480" w:lineRule="auto"/>
        <w:rPr>
          <w:rFonts w:ascii="Arial" w:hAnsi="Arial" w:cs="Arial"/>
        </w:rPr>
      </w:pPr>
      <w:r w:rsidRPr="005A55D0">
        <w:rPr>
          <w:rFonts w:ascii="Arial" w:hAnsi="Arial" w:cs="Arial"/>
        </w:rPr>
        <w:t xml:space="preserve">Dyson, J. R. (2010). </w:t>
      </w:r>
      <w:r w:rsidRPr="005A55D0">
        <w:rPr>
          <w:rFonts w:ascii="Arial" w:hAnsi="Arial" w:cs="Arial"/>
          <w:i/>
          <w:iCs/>
        </w:rPr>
        <w:t>Accounting for non-accounting students</w:t>
      </w:r>
      <w:r w:rsidRPr="005A55D0">
        <w:rPr>
          <w:rFonts w:ascii="Arial" w:hAnsi="Arial" w:cs="Arial"/>
        </w:rPr>
        <w:t xml:space="preserve"> (8th ed.). Pearson.</w:t>
      </w:r>
    </w:p>
    <w:p w14:paraId="0AD0C38A" w14:textId="3241C82F" w:rsidR="005A55D0" w:rsidRDefault="005A55D0" w:rsidP="005A55D0">
      <w:pPr>
        <w:spacing w:line="480" w:lineRule="auto"/>
        <w:rPr>
          <w:rFonts w:ascii="Arial" w:hAnsi="Arial" w:cs="Arial"/>
        </w:rPr>
      </w:pPr>
      <w:r w:rsidRPr="005A55D0">
        <w:rPr>
          <w:rFonts w:ascii="Arial" w:hAnsi="Arial" w:cs="Arial"/>
        </w:rPr>
        <w:t xml:space="preserve">Heaton, J. C., Lucas, D., &amp; McDonald, R. L. (2010). Is mark-to-market accounting destabilizing? Analysis and implications for policy. </w:t>
      </w:r>
      <w:r w:rsidRPr="005A55D0">
        <w:rPr>
          <w:rFonts w:ascii="Arial" w:hAnsi="Arial" w:cs="Arial"/>
          <w:i/>
          <w:iCs/>
        </w:rPr>
        <w:t>Journal of Monetary Economics, 57</w:t>
      </w:r>
      <w:r w:rsidRPr="005A55D0">
        <w:rPr>
          <w:rFonts w:ascii="Arial" w:hAnsi="Arial" w:cs="Arial"/>
        </w:rPr>
        <w:t xml:space="preserve">(1), 64–75. </w:t>
      </w:r>
      <w:hyperlink r:id="rId9" w:history="1">
        <w:r w:rsidRPr="00932F96">
          <w:rPr>
            <w:rStyle w:val="Hyperlink"/>
            <w:rFonts w:ascii="Arial" w:hAnsi="Arial" w:cs="Arial"/>
          </w:rPr>
          <w:t>https://doi.org/10.1016/j.jmoneco.2009.11.001</w:t>
        </w:r>
      </w:hyperlink>
    </w:p>
    <w:p w14:paraId="72F5A838" w14:textId="35655092" w:rsidR="005A55D0" w:rsidRPr="005A55D0" w:rsidRDefault="005A55D0" w:rsidP="005A55D0">
      <w:pPr>
        <w:spacing w:line="480" w:lineRule="auto"/>
        <w:rPr>
          <w:rFonts w:ascii="Arial" w:hAnsi="Arial" w:cs="Arial"/>
        </w:rPr>
      </w:pPr>
      <w:r w:rsidRPr="005A55D0">
        <w:rPr>
          <w:rFonts w:ascii="Arial" w:hAnsi="Arial" w:cs="Arial"/>
        </w:rPr>
        <w:t xml:space="preserve">Lucey, T. (2009). </w:t>
      </w:r>
      <w:r w:rsidRPr="005A55D0">
        <w:rPr>
          <w:rFonts w:ascii="Arial" w:hAnsi="Arial" w:cs="Arial"/>
          <w:i/>
          <w:iCs/>
        </w:rPr>
        <w:t>Costing</w:t>
      </w:r>
      <w:r w:rsidRPr="005A55D0">
        <w:rPr>
          <w:rFonts w:ascii="Arial" w:hAnsi="Arial" w:cs="Arial"/>
        </w:rPr>
        <w:t xml:space="preserve"> (7th ed.). Cengage Learning.</w:t>
      </w:r>
    </w:p>
    <w:p w14:paraId="3F12ACCA" w14:textId="73DCACE0" w:rsidR="005A55D0" w:rsidRDefault="005A55D0" w:rsidP="005A55D0">
      <w:pPr>
        <w:spacing w:line="480" w:lineRule="auto"/>
        <w:rPr>
          <w:rFonts w:ascii="Arial" w:hAnsi="Arial" w:cs="Arial"/>
        </w:rPr>
      </w:pPr>
      <w:r w:rsidRPr="005A55D0">
        <w:rPr>
          <w:rFonts w:ascii="Arial" w:hAnsi="Arial" w:cs="Arial"/>
        </w:rPr>
        <w:t xml:space="preserve">McDonald’s. (2021a). </w:t>
      </w:r>
      <w:r w:rsidRPr="005A55D0">
        <w:rPr>
          <w:rFonts w:ascii="Arial" w:hAnsi="Arial" w:cs="Arial"/>
          <w:i/>
          <w:iCs/>
        </w:rPr>
        <w:t>Accelerating the arches: Our growth strategy.</w:t>
      </w:r>
      <w:r w:rsidRPr="005A55D0">
        <w:rPr>
          <w:rFonts w:ascii="Arial" w:hAnsi="Arial" w:cs="Arial"/>
        </w:rPr>
        <w:t xml:space="preserve"> </w:t>
      </w:r>
      <w:hyperlink r:id="rId10" w:history="1">
        <w:r w:rsidRPr="00932F96">
          <w:rPr>
            <w:rStyle w:val="Hyperlink"/>
            <w:rFonts w:ascii="Arial" w:hAnsi="Arial" w:cs="Arial"/>
          </w:rPr>
          <w:t>https://corporate.mcdonalds.com/corpmcd/our-company/who-we-are/accelerating-the-arches.html</w:t>
        </w:r>
      </w:hyperlink>
    </w:p>
    <w:p w14:paraId="532CD7C3" w14:textId="15229A5E" w:rsidR="005A55D0" w:rsidRDefault="005A55D0" w:rsidP="005A55D0">
      <w:pPr>
        <w:spacing w:line="480" w:lineRule="auto"/>
        <w:rPr>
          <w:rFonts w:ascii="Arial" w:hAnsi="Arial" w:cs="Arial"/>
        </w:rPr>
      </w:pPr>
      <w:r w:rsidRPr="005A55D0">
        <w:rPr>
          <w:rFonts w:ascii="Arial" w:hAnsi="Arial" w:cs="Arial"/>
        </w:rPr>
        <w:lastRenderedPageBreak/>
        <w:t xml:space="preserve">McDonald’s. (2021b). </w:t>
      </w:r>
      <w:r w:rsidRPr="005A55D0">
        <w:rPr>
          <w:rFonts w:ascii="Arial" w:hAnsi="Arial" w:cs="Arial"/>
          <w:i/>
          <w:iCs/>
        </w:rPr>
        <w:t>Franchise operating model and history.</w:t>
      </w:r>
      <w:r w:rsidRPr="005A55D0">
        <w:rPr>
          <w:rFonts w:ascii="Arial" w:hAnsi="Arial" w:cs="Arial"/>
        </w:rPr>
        <w:t xml:space="preserve"> </w:t>
      </w:r>
      <w:hyperlink r:id="rId11" w:history="1">
        <w:r w:rsidRPr="00932F96">
          <w:rPr>
            <w:rStyle w:val="Hyperlink"/>
            <w:rFonts w:ascii="Arial" w:hAnsi="Arial" w:cs="Arial"/>
          </w:rPr>
          <w:t>https://corporate.mcdonalds.com/corpmcd/our-company/who-we-are/our-history.html</w:t>
        </w:r>
      </w:hyperlink>
    </w:p>
    <w:p w14:paraId="375C7EB8" w14:textId="05B6681D" w:rsidR="005A55D0" w:rsidRDefault="005A55D0" w:rsidP="005A55D0">
      <w:pPr>
        <w:spacing w:line="480" w:lineRule="auto"/>
        <w:rPr>
          <w:rFonts w:ascii="Arial" w:hAnsi="Arial" w:cs="Arial"/>
        </w:rPr>
      </w:pPr>
      <w:r w:rsidRPr="005A55D0">
        <w:rPr>
          <w:rFonts w:ascii="Arial" w:hAnsi="Arial" w:cs="Arial"/>
        </w:rPr>
        <w:t xml:space="preserve">Securities and Exchange Commission. (2021). </w:t>
      </w:r>
      <w:r w:rsidRPr="005A55D0">
        <w:rPr>
          <w:rFonts w:ascii="Arial" w:hAnsi="Arial" w:cs="Arial"/>
          <w:i/>
          <w:iCs/>
        </w:rPr>
        <w:t>McDonald's Corporation filings.</w:t>
      </w:r>
      <w:r w:rsidRPr="005A55D0">
        <w:rPr>
          <w:rFonts w:ascii="Arial" w:hAnsi="Arial" w:cs="Arial"/>
        </w:rPr>
        <w:t xml:space="preserve"> </w:t>
      </w:r>
      <w:hyperlink r:id="rId12" w:history="1">
        <w:r w:rsidRPr="00932F96">
          <w:rPr>
            <w:rStyle w:val="Hyperlink"/>
            <w:rFonts w:ascii="Arial" w:hAnsi="Arial" w:cs="Arial"/>
          </w:rPr>
          <w:t>https://www.sec.gov/cgi-bin/browse-edgar?action=getcompany&amp;CIK=0000063908</w:t>
        </w:r>
      </w:hyperlink>
    </w:p>
    <w:p w14:paraId="2EA168CA" w14:textId="412A46BF" w:rsidR="005A55D0" w:rsidRDefault="005A55D0" w:rsidP="005A55D0">
      <w:pPr>
        <w:spacing w:line="480" w:lineRule="auto"/>
        <w:rPr>
          <w:rFonts w:ascii="Arial" w:hAnsi="Arial" w:cs="Arial"/>
        </w:rPr>
      </w:pPr>
      <w:r w:rsidRPr="005A55D0">
        <w:rPr>
          <w:rFonts w:ascii="Arial" w:hAnsi="Arial" w:cs="Arial"/>
        </w:rPr>
        <w:t xml:space="preserve">Shahid, M., Shafiq, H., Khan, A., Bari, R., Shahzad, N., Ch, I. S., &amp; Parveen, S. (2014). Financial exposure of McDonald's corp. success as a market leader. </w:t>
      </w:r>
      <w:r w:rsidRPr="005A55D0">
        <w:rPr>
          <w:rFonts w:ascii="Arial" w:hAnsi="Arial" w:cs="Arial"/>
          <w:i/>
          <w:iCs/>
        </w:rPr>
        <w:t>International Journal of Accounting and Financial Reporting, 4</w:t>
      </w:r>
      <w:r w:rsidRPr="005A55D0">
        <w:rPr>
          <w:rFonts w:ascii="Arial" w:hAnsi="Arial" w:cs="Arial"/>
        </w:rPr>
        <w:t xml:space="preserve">(1), 338–356. </w:t>
      </w:r>
      <w:hyperlink r:id="rId13" w:history="1">
        <w:r w:rsidRPr="00932F96">
          <w:rPr>
            <w:rStyle w:val="Hyperlink"/>
            <w:rFonts w:ascii="Arial" w:hAnsi="Arial" w:cs="Arial"/>
          </w:rPr>
          <w:t>https://doi.org/10.5296/ijafr.v4i1.5967</w:t>
        </w:r>
      </w:hyperlink>
    </w:p>
    <w:p w14:paraId="2B38ABFB" w14:textId="3659D086" w:rsidR="005A55D0" w:rsidRPr="005A55D0" w:rsidRDefault="005A55D0" w:rsidP="005A55D0">
      <w:pPr>
        <w:spacing w:line="480" w:lineRule="auto"/>
        <w:rPr>
          <w:rFonts w:ascii="Arial" w:hAnsi="Arial" w:cs="Arial"/>
        </w:rPr>
      </w:pPr>
      <w:r w:rsidRPr="005A55D0">
        <w:rPr>
          <w:rFonts w:ascii="Arial" w:hAnsi="Arial" w:cs="Arial"/>
        </w:rPr>
        <w:t xml:space="preserve">Tang, Y. (2013). </w:t>
      </w:r>
      <w:r w:rsidRPr="005A55D0">
        <w:rPr>
          <w:rFonts w:ascii="Arial" w:hAnsi="Arial" w:cs="Arial"/>
          <w:i/>
          <w:iCs/>
        </w:rPr>
        <w:t>Financial analysis of Yum! Company.</w:t>
      </w:r>
      <w:r w:rsidRPr="005A55D0">
        <w:rPr>
          <w:rFonts w:ascii="Arial" w:hAnsi="Arial" w:cs="Arial"/>
        </w:rPr>
        <w:t xml:space="preserve"> [Unpublished manuscript].</w:t>
      </w:r>
    </w:p>
    <w:p w14:paraId="18F3EB82" w14:textId="6D06F2A9" w:rsidR="005A55D0" w:rsidRDefault="005A55D0" w:rsidP="005A55D0">
      <w:pPr>
        <w:spacing w:line="480" w:lineRule="auto"/>
        <w:rPr>
          <w:rFonts w:ascii="Arial" w:hAnsi="Arial" w:cs="Arial"/>
        </w:rPr>
      </w:pPr>
      <w:r w:rsidRPr="005A55D0">
        <w:rPr>
          <w:rFonts w:ascii="Arial" w:hAnsi="Arial" w:cs="Arial"/>
        </w:rPr>
        <w:t xml:space="preserve">TechCrunch. (2019, September 10). </w:t>
      </w:r>
      <w:r w:rsidRPr="005A55D0">
        <w:rPr>
          <w:rFonts w:ascii="Arial" w:hAnsi="Arial" w:cs="Arial"/>
          <w:i/>
          <w:iCs/>
        </w:rPr>
        <w:t xml:space="preserve">McDonald’s acquires </w:t>
      </w:r>
      <w:proofErr w:type="spellStart"/>
      <w:r w:rsidRPr="005A55D0">
        <w:rPr>
          <w:rFonts w:ascii="Arial" w:hAnsi="Arial" w:cs="Arial"/>
          <w:i/>
          <w:iCs/>
        </w:rPr>
        <w:t>Apprente</w:t>
      </w:r>
      <w:proofErr w:type="spellEnd"/>
      <w:r w:rsidRPr="005A55D0">
        <w:rPr>
          <w:rFonts w:ascii="Arial" w:hAnsi="Arial" w:cs="Arial"/>
          <w:i/>
          <w:iCs/>
        </w:rPr>
        <w:t xml:space="preserve"> to bring voice technology to drive-thru</w:t>
      </w:r>
      <w:r w:rsidRPr="005A55D0">
        <w:rPr>
          <w:rFonts w:ascii="Arial" w:hAnsi="Arial" w:cs="Arial"/>
        </w:rPr>
        <w:t xml:space="preserve">. TechCrunch </w:t>
      </w:r>
      <w:hyperlink r:id="rId14" w:history="1">
        <w:r w:rsidRPr="00932F96">
          <w:rPr>
            <w:rStyle w:val="Hyperlink"/>
            <w:rFonts w:ascii="Arial" w:hAnsi="Arial" w:cs="Arial"/>
          </w:rPr>
          <w:t>https://techcrunch.com/2019/09/10/mcdonalds-acquires-apprente/</w:t>
        </w:r>
      </w:hyperlink>
    </w:p>
    <w:p w14:paraId="41E2BA4C" w14:textId="77777777" w:rsidR="005A55D0" w:rsidRDefault="005A55D0" w:rsidP="005A55D0">
      <w:pPr>
        <w:spacing w:line="480" w:lineRule="auto"/>
        <w:rPr>
          <w:rFonts w:ascii="Arial" w:hAnsi="Arial" w:cs="Arial"/>
        </w:rPr>
      </w:pPr>
      <w:r w:rsidRPr="005A55D0">
        <w:rPr>
          <w:rFonts w:ascii="Arial" w:hAnsi="Arial" w:cs="Arial"/>
        </w:rPr>
        <w:t xml:space="preserve">Wood, F. (2015). </w:t>
      </w:r>
      <w:r w:rsidRPr="005A55D0">
        <w:rPr>
          <w:rFonts w:ascii="Arial" w:hAnsi="Arial" w:cs="Arial"/>
          <w:i/>
          <w:iCs/>
        </w:rPr>
        <w:t>Frank Wood’s Business Accounting 1</w:t>
      </w:r>
      <w:r w:rsidRPr="005A55D0">
        <w:rPr>
          <w:rFonts w:ascii="Arial" w:hAnsi="Arial" w:cs="Arial"/>
        </w:rPr>
        <w:t xml:space="preserve"> (13th ed.). FT Pitman Publications.</w:t>
      </w:r>
    </w:p>
    <w:p w14:paraId="04A46098" w14:textId="6DDC923A" w:rsidR="005A55D0" w:rsidRDefault="005A55D0" w:rsidP="005A55D0">
      <w:pPr>
        <w:spacing w:line="480" w:lineRule="auto"/>
        <w:rPr>
          <w:rFonts w:ascii="Arial" w:hAnsi="Arial" w:cs="Arial"/>
          <w:i/>
          <w:iCs/>
        </w:rPr>
      </w:pPr>
      <w:r w:rsidRPr="005A55D0">
        <w:rPr>
          <w:rFonts w:ascii="Arial" w:hAnsi="Arial" w:cs="Arial"/>
        </w:rPr>
        <w:t xml:space="preserve">Zhang, X., Jiang, D., &amp; Zhao, Z. (2022, March). </w:t>
      </w:r>
      <w:r w:rsidRPr="005A55D0">
        <w:rPr>
          <w:rFonts w:ascii="Arial" w:hAnsi="Arial" w:cs="Arial"/>
          <w:i/>
          <w:iCs/>
        </w:rPr>
        <w:t>Forecasting McDonald’s Corporation performance of 2022–2031 based on forecasting financial statements and valuation models. In International Conference on Business and Policy Studies (pp. 809–820). Springer Nature Singapore.</w:t>
      </w:r>
    </w:p>
    <w:p w14:paraId="72C8A3FF" w14:textId="488D866C" w:rsidR="005A55D0" w:rsidRDefault="005A55D0" w:rsidP="005A55D0">
      <w:pPr>
        <w:spacing w:line="480" w:lineRule="auto"/>
        <w:rPr>
          <w:rFonts w:ascii="Arial" w:hAnsi="Arial" w:cs="Arial"/>
        </w:rPr>
      </w:pPr>
      <w:hyperlink r:id="rId15" w:history="1">
        <w:r w:rsidRPr="00932F96">
          <w:rPr>
            <w:rStyle w:val="Hyperlink"/>
            <w:rFonts w:ascii="Arial" w:hAnsi="Arial" w:cs="Arial"/>
          </w:rPr>
          <w:t>https://corporate.mcdonalds.com/content/dam/sites/corp/nfl/pdf/2023%20Annual%20Report_vf.pdf</w:t>
        </w:r>
      </w:hyperlink>
      <w:r>
        <w:rPr>
          <w:rFonts w:ascii="Arial" w:hAnsi="Arial" w:cs="Arial"/>
        </w:rPr>
        <w:t xml:space="preserve"> </w:t>
      </w:r>
    </w:p>
    <w:p w14:paraId="1F6D3CC7" w14:textId="12E24BB3" w:rsidR="0099431E" w:rsidRPr="005A55D0" w:rsidRDefault="0099431E" w:rsidP="005A55D0">
      <w:pPr>
        <w:spacing w:line="480" w:lineRule="auto"/>
        <w:rPr>
          <w:rFonts w:ascii="Arial" w:hAnsi="Arial" w:cs="Arial"/>
        </w:rPr>
      </w:pPr>
      <w:hyperlink r:id="rId16" w:history="1">
        <w:r w:rsidRPr="00932F96">
          <w:rPr>
            <w:rStyle w:val="Hyperlink"/>
            <w:rFonts w:ascii="Arial" w:hAnsi="Arial" w:cs="Arial"/>
          </w:rPr>
          <w:t>https://corporate.mcdonalds.com/corpmcd/investors/financial-information.html</w:t>
        </w:r>
      </w:hyperlink>
      <w:r>
        <w:rPr>
          <w:rFonts w:ascii="Arial" w:hAnsi="Arial" w:cs="Arial"/>
        </w:rPr>
        <w:t xml:space="preserve"> </w:t>
      </w:r>
    </w:p>
    <w:p w14:paraId="0ECDE633" w14:textId="77777777" w:rsidR="007514E1" w:rsidRPr="00E666B1" w:rsidRDefault="007514E1" w:rsidP="00E666B1">
      <w:pPr>
        <w:spacing w:line="480" w:lineRule="auto"/>
        <w:rPr>
          <w:rFonts w:ascii="Arial" w:hAnsi="Arial" w:cs="Arial"/>
        </w:rPr>
      </w:pPr>
    </w:p>
    <w:sectPr w:rsidR="007514E1" w:rsidRPr="00E666B1" w:rsidSect="007514E1">
      <w:head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E555CB" w14:textId="77777777" w:rsidR="00AB584D" w:rsidRDefault="00AB584D" w:rsidP="007514E1">
      <w:pPr>
        <w:spacing w:after="0" w:line="240" w:lineRule="auto"/>
      </w:pPr>
      <w:r>
        <w:separator/>
      </w:r>
    </w:p>
  </w:endnote>
  <w:endnote w:type="continuationSeparator" w:id="0">
    <w:p w14:paraId="700249B2" w14:textId="77777777" w:rsidR="00AB584D" w:rsidRDefault="00AB584D" w:rsidP="007514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6F2A68" w14:textId="77777777" w:rsidR="00AB584D" w:rsidRDefault="00AB584D" w:rsidP="007514E1">
      <w:pPr>
        <w:spacing w:after="0" w:line="240" w:lineRule="auto"/>
      </w:pPr>
      <w:r>
        <w:separator/>
      </w:r>
    </w:p>
  </w:footnote>
  <w:footnote w:type="continuationSeparator" w:id="0">
    <w:p w14:paraId="18236A9F" w14:textId="77777777" w:rsidR="00AB584D" w:rsidRDefault="00AB584D" w:rsidP="007514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81357857"/>
      <w:docPartObj>
        <w:docPartGallery w:val="Page Numbers (Top of Page)"/>
        <w:docPartUnique/>
      </w:docPartObj>
    </w:sdtPr>
    <w:sdtEndPr>
      <w:rPr>
        <w:noProof/>
      </w:rPr>
    </w:sdtEndPr>
    <w:sdtContent>
      <w:p w14:paraId="5C77379B" w14:textId="1D2CDA9A" w:rsidR="007514E1" w:rsidRDefault="007514E1">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35382AE5" w14:textId="77777777" w:rsidR="007514E1" w:rsidRDefault="007514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050B1F"/>
    <w:multiLevelType w:val="hybridMultilevel"/>
    <w:tmpl w:val="B660275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F297188"/>
    <w:multiLevelType w:val="hybridMultilevel"/>
    <w:tmpl w:val="66F672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1C6306"/>
    <w:multiLevelType w:val="hybridMultilevel"/>
    <w:tmpl w:val="2AB4AE4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FDF197D"/>
    <w:multiLevelType w:val="hybridMultilevel"/>
    <w:tmpl w:val="46CA1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4A5027D"/>
    <w:multiLevelType w:val="hybridMultilevel"/>
    <w:tmpl w:val="669AB2BA"/>
    <w:lvl w:ilvl="0" w:tplc="08090019">
      <w:start w:val="4"/>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CBA155C"/>
    <w:multiLevelType w:val="multilevel"/>
    <w:tmpl w:val="CF964BC2"/>
    <w:lvl w:ilvl="0">
      <w:start w:val="1"/>
      <w:numFmt w:val="decimal"/>
      <w:lvlText w:val="%1."/>
      <w:lvlJc w:val="left"/>
      <w:pPr>
        <w:ind w:left="720" w:hanging="360"/>
      </w:pPr>
      <w:rPr>
        <w:rFonts w:hint="default"/>
      </w:rPr>
    </w:lvl>
    <w:lvl w:ilvl="1">
      <w:start w:val="4"/>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63D47C68"/>
    <w:multiLevelType w:val="hybridMultilevel"/>
    <w:tmpl w:val="D07E1A96"/>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76A43BD9"/>
    <w:multiLevelType w:val="hybridMultilevel"/>
    <w:tmpl w:val="811A35B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32172339">
    <w:abstractNumId w:val="5"/>
  </w:num>
  <w:num w:numId="2" w16cid:durableId="1772630750">
    <w:abstractNumId w:val="2"/>
  </w:num>
  <w:num w:numId="3" w16cid:durableId="954141884">
    <w:abstractNumId w:val="3"/>
  </w:num>
  <w:num w:numId="4" w16cid:durableId="1541164054">
    <w:abstractNumId w:val="1"/>
  </w:num>
  <w:num w:numId="5" w16cid:durableId="1116211981">
    <w:abstractNumId w:val="4"/>
  </w:num>
  <w:num w:numId="6" w16cid:durableId="1517498885">
    <w:abstractNumId w:val="0"/>
  </w:num>
  <w:num w:numId="7" w16cid:durableId="125512726">
    <w:abstractNumId w:val="7"/>
  </w:num>
  <w:num w:numId="8" w16cid:durableId="211643948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0100"/>
    <w:rsid w:val="005A55D0"/>
    <w:rsid w:val="00734EC2"/>
    <w:rsid w:val="007514E1"/>
    <w:rsid w:val="0099431E"/>
    <w:rsid w:val="00AB584D"/>
    <w:rsid w:val="00E666B1"/>
    <w:rsid w:val="00F901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6A0522"/>
  <w15:chartTrackingRefBased/>
  <w15:docId w15:val="{795284FF-749F-480B-896E-FF42B5BB53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010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9010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010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010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010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010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010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010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010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010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9010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010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010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010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01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01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01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0100"/>
    <w:rPr>
      <w:rFonts w:eastAsiaTheme="majorEastAsia" w:cstheme="majorBidi"/>
      <w:color w:val="272727" w:themeColor="text1" w:themeTint="D8"/>
    </w:rPr>
  </w:style>
  <w:style w:type="paragraph" w:styleId="Title">
    <w:name w:val="Title"/>
    <w:basedOn w:val="Normal"/>
    <w:next w:val="Normal"/>
    <w:link w:val="TitleChar"/>
    <w:uiPriority w:val="10"/>
    <w:qFormat/>
    <w:rsid w:val="00F9010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01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010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01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0100"/>
    <w:pPr>
      <w:spacing w:before="160"/>
      <w:jc w:val="center"/>
    </w:pPr>
    <w:rPr>
      <w:i/>
      <w:iCs/>
      <w:color w:val="404040" w:themeColor="text1" w:themeTint="BF"/>
    </w:rPr>
  </w:style>
  <w:style w:type="character" w:customStyle="1" w:styleId="QuoteChar">
    <w:name w:val="Quote Char"/>
    <w:basedOn w:val="DefaultParagraphFont"/>
    <w:link w:val="Quote"/>
    <w:uiPriority w:val="29"/>
    <w:rsid w:val="00F90100"/>
    <w:rPr>
      <w:i/>
      <w:iCs/>
      <w:color w:val="404040" w:themeColor="text1" w:themeTint="BF"/>
    </w:rPr>
  </w:style>
  <w:style w:type="paragraph" w:styleId="ListParagraph">
    <w:name w:val="List Paragraph"/>
    <w:basedOn w:val="Normal"/>
    <w:uiPriority w:val="34"/>
    <w:qFormat/>
    <w:rsid w:val="00F90100"/>
    <w:pPr>
      <w:ind w:left="720"/>
      <w:contextualSpacing/>
    </w:pPr>
  </w:style>
  <w:style w:type="character" w:styleId="IntenseEmphasis">
    <w:name w:val="Intense Emphasis"/>
    <w:basedOn w:val="DefaultParagraphFont"/>
    <w:uiPriority w:val="21"/>
    <w:qFormat/>
    <w:rsid w:val="00F90100"/>
    <w:rPr>
      <w:i/>
      <w:iCs/>
      <w:color w:val="0F4761" w:themeColor="accent1" w:themeShade="BF"/>
    </w:rPr>
  </w:style>
  <w:style w:type="paragraph" w:styleId="IntenseQuote">
    <w:name w:val="Intense Quote"/>
    <w:basedOn w:val="Normal"/>
    <w:next w:val="Normal"/>
    <w:link w:val="IntenseQuoteChar"/>
    <w:uiPriority w:val="30"/>
    <w:qFormat/>
    <w:rsid w:val="00F9010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0100"/>
    <w:rPr>
      <w:i/>
      <w:iCs/>
      <w:color w:val="0F4761" w:themeColor="accent1" w:themeShade="BF"/>
    </w:rPr>
  </w:style>
  <w:style w:type="character" w:styleId="IntenseReference">
    <w:name w:val="Intense Reference"/>
    <w:basedOn w:val="DefaultParagraphFont"/>
    <w:uiPriority w:val="32"/>
    <w:qFormat/>
    <w:rsid w:val="00F90100"/>
    <w:rPr>
      <w:b/>
      <w:bCs/>
      <w:smallCaps/>
      <w:color w:val="0F4761" w:themeColor="accent1" w:themeShade="BF"/>
      <w:spacing w:val="5"/>
    </w:rPr>
  </w:style>
  <w:style w:type="paragraph" w:styleId="Header">
    <w:name w:val="header"/>
    <w:basedOn w:val="Normal"/>
    <w:link w:val="HeaderChar"/>
    <w:uiPriority w:val="99"/>
    <w:unhideWhenUsed/>
    <w:rsid w:val="007514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14E1"/>
  </w:style>
  <w:style w:type="paragraph" w:styleId="Footer">
    <w:name w:val="footer"/>
    <w:basedOn w:val="Normal"/>
    <w:link w:val="FooterChar"/>
    <w:uiPriority w:val="99"/>
    <w:unhideWhenUsed/>
    <w:rsid w:val="007514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14E1"/>
  </w:style>
  <w:style w:type="paragraph" w:styleId="NoSpacing">
    <w:name w:val="No Spacing"/>
    <w:link w:val="NoSpacingChar"/>
    <w:uiPriority w:val="1"/>
    <w:qFormat/>
    <w:rsid w:val="007514E1"/>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514E1"/>
    <w:rPr>
      <w:rFonts w:eastAsiaTheme="minorEastAsia"/>
      <w:kern w:val="0"/>
      <w:sz w:val="22"/>
      <w:szCs w:val="22"/>
      <w:lang w:val="en-US"/>
      <w14:ligatures w14:val="none"/>
    </w:rPr>
  </w:style>
  <w:style w:type="character" w:styleId="Hyperlink">
    <w:name w:val="Hyperlink"/>
    <w:basedOn w:val="DefaultParagraphFont"/>
    <w:uiPriority w:val="99"/>
    <w:unhideWhenUsed/>
    <w:rsid w:val="005A55D0"/>
    <w:rPr>
      <w:color w:val="467886" w:themeColor="hyperlink"/>
      <w:u w:val="single"/>
    </w:rPr>
  </w:style>
  <w:style w:type="character" w:styleId="UnresolvedMention">
    <w:name w:val="Unresolved Mention"/>
    <w:basedOn w:val="DefaultParagraphFont"/>
    <w:uiPriority w:val="99"/>
    <w:semiHidden/>
    <w:unhideWhenUsed/>
    <w:rsid w:val="005A55D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2/smj.759" TargetMode="External"/><Relationship Id="rId13" Type="http://schemas.openxmlformats.org/officeDocument/2006/relationships/hyperlink" Target="https://doi.org/10.5296/ijafr.v4i1.5967"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economist.com/the-world-ahead/2021/11/08/covid-19-is-likely-to-fade-away-in-2022" TargetMode="External"/><Relationship Id="rId12" Type="http://schemas.openxmlformats.org/officeDocument/2006/relationships/hyperlink" Target="https://www.sec.gov/cgi-bin/browse-edgar?action=getcompany&amp;CIK=0000063908"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corporate.mcdonalds.com/corpmcd/investors/financial-information.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orporate.mcdonalds.com/corpmcd/our-company/who-we-are/our-history.html" TargetMode="External"/><Relationship Id="rId5" Type="http://schemas.openxmlformats.org/officeDocument/2006/relationships/footnotes" Target="footnotes.xml"/><Relationship Id="rId15" Type="http://schemas.openxmlformats.org/officeDocument/2006/relationships/hyperlink" Target="https://corporate.mcdonalds.com/content/dam/sites/corp/nfl/pdf/2023%20Annual%20Report_vf.pdf" TargetMode="External"/><Relationship Id="rId10" Type="http://schemas.openxmlformats.org/officeDocument/2006/relationships/hyperlink" Target="https://corporate.mcdonalds.com/corpmcd/our-company/who-we-are/accelerating-the-arches.html"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016/j.jmoneco.2009.11.001" TargetMode="External"/><Relationship Id="rId14" Type="http://schemas.openxmlformats.org/officeDocument/2006/relationships/hyperlink" Target="https://techcrunch.com/2019/09/10/mcdonalds-acquires-appren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48</TotalTime>
  <Pages>11</Pages>
  <Words>2067</Words>
  <Characters>11785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BA/HND Business and Management</Company>
  <LinksUpToDate>false</LinksUpToDate>
  <CharactersWithSpaces>13825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Ratio Analysis of McDonald’s Corporation (2022–2023)</dc:title>
  <dc:subject/>
  <dc:creator>Mirabela Voican (1907947)</dc:creator>
  <cp:keywords/>
  <dc:description/>
  <cp:lastModifiedBy>Mirabela Voican (1907947)</cp:lastModifiedBy>
  <cp:revision>1</cp:revision>
  <dcterms:created xsi:type="dcterms:W3CDTF">2025-04-08T22:33:00Z</dcterms:created>
  <dcterms:modified xsi:type="dcterms:W3CDTF">2025-04-08T23:21:00Z</dcterms:modified>
  <cp:category>Financial Management for Business Sustainability</cp:category>
</cp:coreProperties>
</file>