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DC0" w:rsidRDefault="00B43DC0" w:rsidP="00B43DC0">
      <w:pPr>
        <w:pStyle w:val="Title"/>
        <w:jc w:val="center"/>
      </w:pPr>
      <w:r>
        <w:t>Financial Analysis</w:t>
      </w:r>
      <w:r w:rsidR="004802FE">
        <w:t xml:space="preserve"> of British Airways</w:t>
      </w:r>
      <w:r>
        <w:t xml:space="preserve"> &amp; comparison</w:t>
      </w:r>
    </w:p>
    <w:p w:rsidR="004802FE" w:rsidRDefault="004802FE" w:rsidP="004802FE">
      <w:pPr>
        <w:spacing w:line="480" w:lineRule="auto"/>
        <w:rPr>
          <w:rFonts w:cs="Times New Roman"/>
          <w:sz w:val="36"/>
          <w:szCs w:val="36"/>
        </w:rPr>
      </w:pPr>
    </w:p>
    <w:p w:rsidR="004802FE" w:rsidRPr="00E230B3" w:rsidRDefault="004802FE" w:rsidP="004802FE">
      <w:pPr>
        <w:spacing w:line="480" w:lineRule="auto"/>
        <w:rPr>
          <w:rFonts w:cs="Times New Roman"/>
          <w:sz w:val="36"/>
          <w:szCs w:val="36"/>
        </w:rPr>
      </w:pPr>
      <w:r>
        <w:rPr>
          <w:rFonts w:cs="Times New Roman"/>
          <w:sz w:val="36"/>
          <w:szCs w:val="36"/>
        </w:rPr>
        <w:t xml:space="preserve">Name </w:t>
      </w:r>
      <w:r>
        <w:rPr>
          <w:rFonts w:cs="Times New Roman"/>
          <w:sz w:val="36"/>
          <w:szCs w:val="36"/>
        </w:rPr>
        <w:tab/>
      </w:r>
      <w:r>
        <w:rPr>
          <w:rFonts w:cs="Times New Roman"/>
          <w:sz w:val="36"/>
          <w:szCs w:val="36"/>
        </w:rPr>
        <w:tab/>
      </w:r>
      <w:r>
        <w:rPr>
          <w:rFonts w:cs="Times New Roman"/>
          <w:sz w:val="36"/>
          <w:szCs w:val="36"/>
        </w:rPr>
        <w:tab/>
        <w:t xml:space="preserve">: </w:t>
      </w:r>
      <w:proofErr w:type="spellStart"/>
      <w:r>
        <w:rPr>
          <w:rFonts w:cs="Times New Roman"/>
          <w:sz w:val="36"/>
          <w:szCs w:val="36"/>
        </w:rPr>
        <w:t>Dhruvinkumar</w:t>
      </w:r>
      <w:proofErr w:type="spellEnd"/>
      <w:r>
        <w:rPr>
          <w:rFonts w:cs="Times New Roman"/>
          <w:sz w:val="36"/>
          <w:szCs w:val="36"/>
        </w:rPr>
        <w:t xml:space="preserve"> Ray</w:t>
      </w:r>
    </w:p>
    <w:p w:rsidR="004802FE" w:rsidRPr="00E230B3" w:rsidRDefault="004802FE" w:rsidP="004802FE">
      <w:pPr>
        <w:spacing w:line="480" w:lineRule="auto"/>
        <w:rPr>
          <w:rFonts w:cs="Times New Roman"/>
          <w:sz w:val="36"/>
          <w:szCs w:val="36"/>
        </w:rPr>
      </w:pPr>
      <w:r w:rsidRPr="00E230B3">
        <w:rPr>
          <w:rFonts w:cs="Times New Roman"/>
          <w:sz w:val="36"/>
          <w:szCs w:val="36"/>
        </w:rPr>
        <w:t>Student Number</w:t>
      </w:r>
      <w:r>
        <w:rPr>
          <w:rFonts w:cs="Times New Roman"/>
          <w:sz w:val="36"/>
          <w:szCs w:val="36"/>
        </w:rPr>
        <w:t xml:space="preserve"> </w:t>
      </w:r>
      <w:r>
        <w:rPr>
          <w:rFonts w:cs="Times New Roman"/>
          <w:sz w:val="36"/>
          <w:szCs w:val="36"/>
        </w:rPr>
        <w:tab/>
        <w:t>: 1704866</w:t>
      </w:r>
    </w:p>
    <w:p w:rsidR="004802FE" w:rsidRPr="00E230B3" w:rsidRDefault="004802FE" w:rsidP="004802FE">
      <w:pPr>
        <w:spacing w:line="480" w:lineRule="auto"/>
        <w:rPr>
          <w:rFonts w:cs="Times New Roman"/>
          <w:sz w:val="36"/>
          <w:szCs w:val="36"/>
        </w:rPr>
      </w:pPr>
      <w:r w:rsidRPr="00E230B3">
        <w:rPr>
          <w:rFonts w:cs="Times New Roman"/>
          <w:sz w:val="36"/>
          <w:szCs w:val="36"/>
        </w:rPr>
        <w:t xml:space="preserve">Module Title  </w:t>
      </w:r>
      <w:r w:rsidRPr="00E230B3">
        <w:rPr>
          <w:rFonts w:cs="Times New Roman"/>
          <w:sz w:val="36"/>
          <w:szCs w:val="36"/>
        </w:rPr>
        <w:tab/>
      </w:r>
      <w:r w:rsidRPr="00E230B3">
        <w:rPr>
          <w:rFonts w:cs="Times New Roman"/>
          <w:sz w:val="36"/>
          <w:szCs w:val="36"/>
        </w:rPr>
        <w:tab/>
        <w:t>: Financial Management (SBMA7100)</w:t>
      </w:r>
    </w:p>
    <w:p w:rsidR="004802FE" w:rsidRPr="00E230B3" w:rsidRDefault="004802FE" w:rsidP="004802FE">
      <w:pPr>
        <w:spacing w:line="480" w:lineRule="auto"/>
        <w:rPr>
          <w:rFonts w:cs="Times New Roman"/>
          <w:sz w:val="36"/>
          <w:szCs w:val="36"/>
        </w:rPr>
      </w:pPr>
      <w:r w:rsidRPr="00E230B3">
        <w:rPr>
          <w:rFonts w:cs="Times New Roman"/>
          <w:sz w:val="36"/>
          <w:szCs w:val="36"/>
        </w:rPr>
        <w:t>Assignment Tittle   : Corporate Financial Analysis</w:t>
      </w:r>
    </w:p>
    <w:p w:rsidR="004802FE" w:rsidRPr="00E230B3" w:rsidRDefault="004802FE" w:rsidP="004802FE">
      <w:pPr>
        <w:spacing w:line="480" w:lineRule="auto"/>
        <w:rPr>
          <w:rFonts w:cs="Times New Roman"/>
          <w:sz w:val="36"/>
          <w:szCs w:val="36"/>
        </w:rPr>
      </w:pPr>
      <w:r w:rsidRPr="00E230B3">
        <w:rPr>
          <w:rFonts w:cs="Times New Roman"/>
          <w:sz w:val="36"/>
          <w:szCs w:val="36"/>
        </w:rPr>
        <w:t>Lecturer’s Name</w:t>
      </w:r>
      <w:r w:rsidRPr="00E230B3">
        <w:rPr>
          <w:rFonts w:cs="Times New Roman"/>
          <w:sz w:val="36"/>
          <w:szCs w:val="36"/>
        </w:rPr>
        <w:tab/>
        <w:t xml:space="preserve">: </w:t>
      </w:r>
      <w:proofErr w:type="spellStart"/>
      <w:r w:rsidRPr="00E230B3">
        <w:rPr>
          <w:rFonts w:cs="Times New Roman"/>
          <w:sz w:val="36"/>
          <w:szCs w:val="36"/>
        </w:rPr>
        <w:t>Jia</w:t>
      </w:r>
      <w:proofErr w:type="spellEnd"/>
      <w:r w:rsidRPr="00E230B3">
        <w:rPr>
          <w:rFonts w:cs="Times New Roman"/>
          <w:sz w:val="36"/>
          <w:szCs w:val="36"/>
        </w:rPr>
        <w:t xml:space="preserve"> Miao</w:t>
      </w:r>
    </w:p>
    <w:p w:rsidR="00CF02F5" w:rsidRDefault="00CF02F5">
      <w:pPr>
        <w:spacing w:line="276" w:lineRule="auto"/>
        <w:jc w:val="left"/>
        <w:rPr>
          <w:rFonts w:asciiTheme="majorHAnsi" w:eastAsiaTheme="majorEastAsia" w:hAnsiTheme="majorHAnsi" w:cstheme="majorBidi"/>
          <w:b/>
          <w:bCs/>
          <w:color w:val="365F91" w:themeColor="accent1" w:themeShade="BF"/>
          <w:sz w:val="28"/>
          <w:szCs w:val="28"/>
        </w:rPr>
      </w:pPr>
    </w:p>
    <w:p w:rsidR="004802FE" w:rsidRDefault="004802FE">
      <w:pPr>
        <w:spacing w:line="276" w:lineRule="auto"/>
        <w:jc w:val="left"/>
        <w:rPr>
          <w:rFonts w:asciiTheme="majorHAnsi" w:eastAsiaTheme="majorEastAsia" w:hAnsiTheme="majorHAnsi" w:cstheme="majorBidi"/>
          <w:b/>
          <w:bCs/>
          <w:color w:val="365F91" w:themeColor="accent1" w:themeShade="BF"/>
          <w:sz w:val="28"/>
          <w:szCs w:val="28"/>
        </w:rPr>
      </w:pPr>
    </w:p>
    <w:p w:rsidR="004802FE" w:rsidRDefault="004802FE">
      <w:pPr>
        <w:spacing w:line="276" w:lineRule="auto"/>
        <w:jc w:val="left"/>
        <w:rPr>
          <w:rFonts w:asciiTheme="majorHAnsi" w:eastAsiaTheme="majorEastAsia" w:hAnsiTheme="majorHAnsi" w:cstheme="majorBidi"/>
          <w:b/>
          <w:bCs/>
          <w:color w:val="365F91" w:themeColor="accent1" w:themeShade="BF"/>
          <w:sz w:val="28"/>
          <w:szCs w:val="28"/>
        </w:rPr>
      </w:pPr>
    </w:p>
    <w:p w:rsidR="004802FE" w:rsidRDefault="004802FE">
      <w:pPr>
        <w:spacing w:line="276" w:lineRule="auto"/>
        <w:jc w:val="left"/>
        <w:rPr>
          <w:rFonts w:asciiTheme="majorHAnsi" w:eastAsiaTheme="majorEastAsia" w:hAnsiTheme="majorHAnsi" w:cstheme="majorBidi"/>
          <w:b/>
          <w:bCs/>
          <w:color w:val="365F91" w:themeColor="accent1" w:themeShade="BF"/>
          <w:sz w:val="28"/>
          <w:szCs w:val="28"/>
        </w:rPr>
      </w:pPr>
    </w:p>
    <w:p w:rsidR="004802FE" w:rsidRDefault="004802FE">
      <w:pPr>
        <w:spacing w:line="276" w:lineRule="auto"/>
        <w:jc w:val="left"/>
        <w:rPr>
          <w:rFonts w:asciiTheme="majorHAnsi" w:eastAsiaTheme="majorEastAsia" w:hAnsiTheme="majorHAnsi" w:cstheme="majorBidi"/>
          <w:b/>
          <w:bCs/>
          <w:color w:val="365F91" w:themeColor="accent1" w:themeShade="BF"/>
          <w:sz w:val="28"/>
          <w:szCs w:val="28"/>
        </w:rPr>
      </w:pPr>
    </w:p>
    <w:p w:rsidR="004802FE" w:rsidRDefault="004802FE">
      <w:pPr>
        <w:spacing w:line="276" w:lineRule="auto"/>
        <w:jc w:val="left"/>
        <w:rPr>
          <w:rFonts w:asciiTheme="majorHAnsi" w:eastAsiaTheme="majorEastAsia" w:hAnsiTheme="majorHAnsi" w:cstheme="majorBidi"/>
          <w:b/>
          <w:bCs/>
          <w:color w:val="365F91" w:themeColor="accent1" w:themeShade="BF"/>
          <w:sz w:val="28"/>
          <w:szCs w:val="28"/>
        </w:rPr>
      </w:pPr>
    </w:p>
    <w:p w:rsidR="004802FE" w:rsidRDefault="004802FE">
      <w:pPr>
        <w:spacing w:line="276" w:lineRule="auto"/>
        <w:jc w:val="left"/>
        <w:rPr>
          <w:rFonts w:asciiTheme="majorHAnsi" w:eastAsiaTheme="majorEastAsia" w:hAnsiTheme="majorHAnsi" w:cstheme="majorBidi"/>
          <w:b/>
          <w:bCs/>
          <w:color w:val="365F91" w:themeColor="accent1" w:themeShade="BF"/>
          <w:sz w:val="28"/>
          <w:szCs w:val="28"/>
        </w:rPr>
      </w:pPr>
    </w:p>
    <w:p w:rsidR="004802FE" w:rsidRDefault="004802FE">
      <w:pPr>
        <w:spacing w:line="276" w:lineRule="auto"/>
        <w:jc w:val="left"/>
        <w:rPr>
          <w:rFonts w:asciiTheme="majorHAnsi" w:eastAsiaTheme="majorEastAsia" w:hAnsiTheme="majorHAnsi" w:cstheme="majorBidi"/>
          <w:b/>
          <w:bCs/>
          <w:color w:val="365F91" w:themeColor="accent1" w:themeShade="BF"/>
          <w:sz w:val="28"/>
          <w:szCs w:val="28"/>
        </w:rPr>
      </w:pPr>
    </w:p>
    <w:p w:rsidR="004802FE" w:rsidRDefault="004802FE">
      <w:pPr>
        <w:spacing w:line="276" w:lineRule="auto"/>
        <w:jc w:val="left"/>
        <w:rPr>
          <w:rFonts w:asciiTheme="majorHAnsi" w:eastAsiaTheme="majorEastAsia" w:hAnsiTheme="majorHAnsi" w:cstheme="majorBidi"/>
          <w:b/>
          <w:bCs/>
          <w:color w:val="365F91" w:themeColor="accent1" w:themeShade="BF"/>
          <w:sz w:val="28"/>
          <w:szCs w:val="28"/>
        </w:rPr>
      </w:pPr>
    </w:p>
    <w:sdt>
      <w:sdtPr>
        <w:rPr>
          <w:rFonts w:ascii="Times New Roman" w:eastAsiaTheme="minorHAnsi" w:hAnsi="Times New Roman" w:cstheme="minorBidi"/>
          <w:b w:val="0"/>
          <w:bCs w:val="0"/>
          <w:color w:val="auto"/>
          <w:sz w:val="24"/>
          <w:szCs w:val="22"/>
          <w:lang w:val="en-GB"/>
        </w:rPr>
        <w:id w:val="29658501"/>
        <w:docPartObj>
          <w:docPartGallery w:val="Table of Contents"/>
          <w:docPartUnique/>
        </w:docPartObj>
      </w:sdtPr>
      <w:sdtEndPr/>
      <w:sdtContent>
        <w:p w:rsidR="00CF02F5" w:rsidRDefault="00CF02F5">
          <w:pPr>
            <w:pStyle w:val="TOCHeading"/>
          </w:pPr>
          <w:r>
            <w:t>Table of Contents</w:t>
          </w:r>
        </w:p>
        <w:p w:rsidR="00DC30EC" w:rsidRDefault="009E2EBE">
          <w:pPr>
            <w:pStyle w:val="TOC1"/>
            <w:tabs>
              <w:tab w:val="right" w:leader="dot" w:pos="9350"/>
            </w:tabs>
            <w:rPr>
              <w:rFonts w:asciiTheme="minorHAnsi" w:eastAsiaTheme="minorEastAsia" w:hAnsiTheme="minorHAnsi"/>
              <w:noProof/>
              <w:sz w:val="22"/>
              <w:lang w:val="en-US"/>
            </w:rPr>
          </w:pPr>
          <w:r>
            <w:fldChar w:fldCharType="begin"/>
          </w:r>
          <w:r w:rsidR="00CF02F5">
            <w:instrText xml:space="preserve"> TOC \o "1-3" \h \z \u </w:instrText>
          </w:r>
          <w:r>
            <w:fldChar w:fldCharType="separate"/>
          </w:r>
          <w:hyperlink w:anchor="_Toc502257774" w:history="1">
            <w:r w:rsidR="00DC30EC" w:rsidRPr="009B0DD0">
              <w:rPr>
                <w:rStyle w:val="Hyperlink"/>
                <w:noProof/>
              </w:rPr>
              <w:t>Part- A</w:t>
            </w:r>
            <w:r w:rsidR="00DC30EC">
              <w:rPr>
                <w:noProof/>
                <w:webHidden/>
              </w:rPr>
              <w:tab/>
            </w:r>
            <w:r w:rsidR="00DC30EC">
              <w:rPr>
                <w:noProof/>
                <w:webHidden/>
              </w:rPr>
              <w:fldChar w:fldCharType="begin"/>
            </w:r>
            <w:r w:rsidR="00DC30EC">
              <w:rPr>
                <w:noProof/>
                <w:webHidden/>
              </w:rPr>
              <w:instrText xml:space="preserve"> PAGEREF _Toc502257774 \h </w:instrText>
            </w:r>
            <w:r w:rsidR="00DC30EC">
              <w:rPr>
                <w:noProof/>
                <w:webHidden/>
              </w:rPr>
            </w:r>
            <w:r w:rsidR="00DC30EC">
              <w:rPr>
                <w:noProof/>
                <w:webHidden/>
              </w:rPr>
              <w:fldChar w:fldCharType="separate"/>
            </w:r>
            <w:r w:rsidR="00DC30EC">
              <w:rPr>
                <w:noProof/>
                <w:webHidden/>
              </w:rPr>
              <w:t>3</w:t>
            </w:r>
            <w:r w:rsidR="00DC30EC">
              <w:rPr>
                <w:noProof/>
                <w:webHidden/>
              </w:rPr>
              <w:fldChar w:fldCharType="end"/>
            </w:r>
          </w:hyperlink>
        </w:p>
        <w:p w:rsidR="00DC30EC" w:rsidRDefault="004802FE">
          <w:pPr>
            <w:pStyle w:val="TOC2"/>
            <w:tabs>
              <w:tab w:val="right" w:leader="dot" w:pos="9350"/>
            </w:tabs>
            <w:rPr>
              <w:rFonts w:asciiTheme="minorHAnsi" w:eastAsiaTheme="minorEastAsia" w:hAnsiTheme="minorHAnsi"/>
              <w:noProof/>
              <w:sz w:val="22"/>
              <w:lang w:val="en-US"/>
            </w:rPr>
          </w:pPr>
          <w:hyperlink w:anchor="_Toc502257775" w:history="1">
            <w:r w:rsidR="00DC30EC" w:rsidRPr="009B0DD0">
              <w:rPr>
                <w:rStyle w:val="Hyperlink"/>
                <w:noProof/>
              </w:rPr>
              <w:t>British Airways brief history</w:t>
            </w:r>
            <w:r w:rsidR="00DC30EC">
              <w:rPr>
                <w:noProof/>
                <w:webHidden/>
              </w:rPr>
              <w:tab/>
            </w:r>
            <w:r w:rsidR="00DC30EC">
              <w:rPr>
                <w:noProof/>
                <w:webHidden/>
              </w:rPr>
              <w:fldChar w:fldCharType="begin"/>
            </w:r>
            <w:r w:rsidR="00DC30EC">
              <w:rPr>
                <w:noProof/>
                <w:webHidden/>
              </w:rPr>
              <w:instrText xml:space="preserve"> PAGEREF _Toc502257775 \h </w:instrText>
            </w:r>
            <w:r w:rsidR="00DC30EC">
              <w:rPr>
                <w:noProof/>
                <w:webHidden/>
              </w:rPr>
            </w:r>
            <w:r w:rsidR="00DC30EC">
              <w:rPr>
                <w:noProof/>
                <w:webHidden/>
              </w:rPr>
              <w:fldChar w:fldCharType="separate"/>
            </w:r>
            <w:r w:rsidR="00DC30EC">
              <w:rPr>
                <w:noProof/>
                <w:webHidden/>
              </w:rPr>
              <w:t>3</w:t>
            </w:r>
            <w:r w:rsidR="00DC30EC">
              <w:rPr>
                <w:noProof/>
                <w:webHidden/>
              </w:rPr>
              <w:fldChar w:fldCharType="end"/>
            </w:r>
          </w:hyperlink>
        </w:p>
        <w:p w:rsidR="00DC30EC" w:rsidRDefault="004802FE">
          <w:pPr>
            <w:pStyle w:val="TOC1"/>
            <w:tabs>
              <w:tab w:val="right" w:leader="dot" w:pos="9350"/>
            </w:tabs>
            <w:rPr>
              <w:rFonts w:asciiTheme="minorHAnsi" w:eastAsiaTheme="minorEastAsia" w:hAnsiTheme="minorHAnsi"/>
              <w:noProof/>
              <w:sz w:val="22"/>
              <w:lang w:val="en-US"/>
            </w:rPr>
          </w:pPr>
          <w:hyperlink w:anchor="_Toc502257776" w:history="1">
            <w:r w:rsidR="00DC30EC" w:rsidRPr="009B0DD0">
              <w:rPr>
                <w:rStyle w:val="Hyperlink"/>
                <w:noProof/>
              </w:rPr>
              <w:t>Part-B</w:t>
            </w:r>
            <w:r w:rsidR="00DC30EC">
              <w:rPr>
                <w:noProof/>
                <w:webHidden/>
              </w:rPr>
              <w:tab/>
            </w:r>
            <w:r w:rsidR="00DC30EC">
              <w:rPr>
                <w:noProof/>
                <w:webHidden/>
              </w:rPr>
              <w:fldChar w:fldCharType="begin"/>
            </w:r>
            <w:r w:rsidR="00DC30EC">
              <w:rPr>
                <w:noProof/>
                <w:webHidden/>
              </w:rPr>
              <w:instrText xml:space="preserve"> PAGEREF _Toc502257776 \h </w:instrText>
            </w:r>
            <w:r w:rsidR="00DC30EC">
              <w:rPr>
                <w:noProof/>
                <w:webHidden/>
              </w:rPr>
            </w:r>
            <w:r w:rsidR="00DC30EC">
              <w:rPr>
                <w:noProof/>
                <w:webHidden/>
              </w:rPr>
              <w:fldChar w:fldCharType="separate"/>
            </w:r>
            <w:r w:rsidR="00DC30EC">
              <w:rPr>
                <w:noProof/>
                <w:webHidden/>
              </w:rPr>
              <w:t>5</w:t>
            </w:r>
            <w:r w:rsidR="00DC30EC">
              <w:rPr>
                <w:noProof/>
                <w:webHidden/>
              </w:rPr>
              <w:fldChar w:fldCharType="end"/>
            </w:r>
          </w:hyperlink>
        </w:p>
        <w:p w:rsidR="00DC30EC" w:rsidRDefault="004802FE">
          <w:pPr>
            <w:pStyle w:val="TOC1"/>
            <w:tabs>
              <w:tab w:val="right" w:leader="dot" w:pos="9350"/>
            </w:tabs>
            <w:rPr>
              <w:rFonts w:asciiTheme="minorHAnsi" w:eastAsiaTheme="minorEastAsia" w:hAnsiTheme="minorHAnsi"/>
              <w:noProof/>
              <w:sz w:val="22"/>
              <w:lang w:val="en-US"/>
            </w:rPr>
          </w:pPr>
          <w:hyperlink w:anchor="_Toc502257777" w:history="1">
            <w:r w:rsidR="00DC30EC" w:rsidRPr="009B0DD0">
              <w:rPr>
                <w:rStyle w:val="Hyperlink"/>
                <w:noProof/>
              </w:rPr>
              <w:t>Critical analysis of the ratios calculated for the last five years(2012-2016)</w:t>
            </w:r>
            <w:r w:rsidR="00DC30EC">
              <w:rPr>
                <w:noProof/>
                <w:webHidden/>
              </w:rPr>
              <w:tab/>
            </w:r>
            <w:r w:rsidR="00DC30EC">
              <w:rPr>
                <w:noProof/>
                <w:webHidden/>
              </w:rPr>
              <w:fldChar w:fldCharType="begin"/>
            </w:r>
            <w:r w:rsidR="00DC30EC">
              <w:rPr>
                <w:noProof/>
                <w:webHidden/>
              </w:rPr>
              <w:instrText xml:space="preserve"> PAGEREF _Toc502257777 \h </w:instrText>
            </w:r>
            <w:r w:rsidR="00DC30EC">
              <w:rPr>
                <w:noProof/>
                <w:webHidden/>
              </w:rPr>
            </w:r>
            <w:r w:rsidR="00DC30EC">
              <w:rPr>
                <w:noProof/>
                <w:webHidden/>
              </w:rPr>
              <w:fldChar w:fldCharType="separate"/>
            </w:r>
            <w:r w:rsidR="00DC30EC">
              <w:rPr>
                <w:noProof/>
                <w:webHidden/>
              </w:rPr>
              <w:t>5</w:t>
            </w:r>
            <w:r w:rsidR="00DC30EC">
              <w:rPr>
                <w:noProof/>
                <w:webHidden/>
              </w:rPr>
              <w:fldChar w:fldCharType="end"/>
            </w:r>
          </w:hyperlink>
        </w:p>
        <w:p w:rsidR="00DC30EC" w:rsidRDefault="004802FE">
          <w:pPr>
            <w:pStyle w:val="TOC2"/>
            <w:tabs>
              <w:tab w:val="right" w:leader="dot" w:pos="9350"/>
            </w:tabs>
            <w:rPr>
              <w:rFonts w:asciiTheme="minorHAnsi" w:eastAsiaTheme="minorEastAsia" w:hAnsiTheme="minorHAnsi"/>
              <w:noProof/>
              <w:sz w:val="22"/>
              <w:lang w:val="en-US"/>
            </w:rPr>
          </w:pPr>
          <w:hyperlink w:anchor="_Toc502257778" w:history="1">
            <w:r w:rsidR="00DC30EC" w:rsidRPr="009B0DD0">
              <w:rPr>
                <w:rStyle w:val="Hyperlink"/>
                <w:noProof/>
              </w:rPr>
              <w:t>Profitability Ratios:</w:t>
            </w:r>
            <w:r w:rsidR="00DC30EC">
              <w:rPr>
                <w:noProof/>
                <w:webHidden/>
              </w:rPr>
              <w:tab/>
            </w:r>
            <w:r w:rsidR="00DC30EC">
              <w:rPr>
                <w:noProof/>
                <w:webHidden/>
              </w:rPr>
              <w:fldChar w:fldCharType="begin"/>
            </w:r>
            <w:r w:rsidR="00DC30EC">
              <w:rPr>
                <w:noProof/>
                <w:webHidden/>
              </w:rPr>
              <w:instrText xml:space="preserve"> PAGEREF _Toc502257778 \h </w:instrText>
            </w:r>
            <w:r w:rsidR="00DC30EC">
              <w:rPr>
                <w:noProof/>
                <w:webHidden/>
              </w:rPr>
            </w:r>
            <w:r w:rsidR="00DC30EC">
              <w:rPr>
                <w:noProof/>
                <w:webHidden/>
              </w:rPr>
              <w:fldChar w:fldCharType="separate"/>
            </w:r>
            <w:r w:rsidR="00DC30EC">
              <w:rPr>
                <w:noProof/>
                <w:webHidden/>
              </w:rPr>
              <w:t>5</w:t>
            </w:r>
            <w:r w:rsidR="00DC30EC">
              <w:rPr>
                <w:noProof/>
                <w:webHidden/>
              </w:rPr>
              <w:fldChar w:fldCharType="end"/>
            </w:r>
          </w:hyperlink>
        </w:p>
        <w:p w:rsidR="00DC30EC" w:rsidRDefault="004802FE">
          <w:pPr>
            <w:pStyle w:val="TOC3"/>
            <w:tabs>
              <w:tab w:val="right" w:leader="dot" w:pos="9350"/>
            </w:tabs>
            <w:rPr>
              <w:rFonts w:asciiTheme="minorHAnsi" w:eastAsiaTheme="minorEastAsia" w:hAnsiTheme="minorHAnsi"/>
              <w:noProof/>
              <w:sz w:val="22"/>
              <w:lang w:val="en-US"/>
            </w:rPr>
          </w:pPr>
          <w:hyperlink w:anchor="_Toc502257779" w:history="1">
            <w:r w:rsidR="00DC30EC" w:rsidRPr="009B0DD0">
              <w:rPr>
                <w:rStyle w:val="Hyperlink"/>
                <w:noProof/>
              </w:rPr>
              <w:t>Gross profit margin:</w:t>
            </w:r>
            <w:r w:rsidR="00DC30EC">
              <w:rPr>
                <w:noProof/>
                <w:webHidden/>
              </w:rPr>
              <w:tab/>
            </w:r>
            <w:r w:rsidR="00DC30EC">
              <w:rPr>
                <w:noProof/>
                <w:webHidden/>
              </w:rPr>
              <w:fldChar w:fldCharType="begin"/>
            </w:r>
            <w:r w:rsidR="00DC30EC">
              <w:rPr>
                <w:noProof/>
                <w:webHidden/>
              </w:rPr>
              <w:instrText xml:space="preserve"> PAGEREF _Toc502257779 \h </w:instrText>
            </w:r>
            <w:r w:rsidR="00DC30EC">
              <w:rPr>
                <w:noProof/>
                <w:webHidden/>
              </w:rPr>
            </w:r>
            <w:r w:rsidR="00DC30EC">
              <w:rPr>
                <w:noProof/>
                <w:webHidden/>
              </w:rPr>
              <w:fldChar w:fldCharType="separate"/>
            </w:r>
            <w:r w:rsidR="00DC30EC">
              <w:rPr>
                <w:noProof/>
                <w:webHidden/>
              </w:rPr>
              <w:t>6</w:t>
            </w:r>
            <w:r w:rsidR="00DC30EC">
              <w:rPr>
                <w:noProof/>
                <w:webHidden/>
              </w:rPr>
              <w:fldChar w:fldCharType="end"/>
            </w:r>
          </w:hyperlink>
        </w:p>
        <w:p w:rsidR="00DC30EC" w:rsidRDefault="004802FE">
          <w:pPr>
            <w:pStyle w:val="TOC3"/>
            <w:tabs>
              <w:tab w:val="right" w:leader="dot" w:pos="9350"/>
            </w:tabs>
            <w:rPr>
              <w:rFonts w:asciiTheme="minorHAnsi" w:eastAsiaTheme="minorEastAsia" w:hAnsiTheme="minorHAnsi"/>
              <w:noProof/>
              <w:sz w:val="22"/>
              <w:lang w:val="en-US"/>
            </w:rPr>
          </w:pPr>
          <w:hyperlink w:anchor="_Toc502257780" w:history="1">
            <w:r w:rsidR="00DC30EC" w:rsidRPr="009B0DD0">
              <w:rPr>
                <w:rStyle w:val="Hyperlink"/>
                <w:noProof/>
              </w:rPr>
              <w:t>Net Profit margin</w:t>
            </w:r>
            <w:r w:rsidR="00DC30EC">
              <w:rPr>
                <w:noProof/>
                <w:webHidden/>
              </w:rPr>
              <w:tab/>
            </w:r>
            <w:r w:rsidR="00DC30EC">
              <w:rPr>
                <w:noProof/>
                <w:webHidden/>
              </w:rPr>
              <w:fldChar w:fldCharType="begin"/>
            </w:r>
            <w:r w:rsidR="00DC30EC">
              <w:rPr>
                <w:noProof/>
                <w:webHidden/>
              </w:rPr>
              <w:instrText xml:space="preserve"> PAGEREF _Toc502257780 \h </w:instrText>
            </w:r>
            <w:r w:rsidR="00DC30EC">
              <w:rPr>
                <w:noProof/>
                <w:webHidden/>
              </w:rPr>
            </w:r>
            <w:r w:rsidR="00DC30EC">
              <w:rPr>
                <w:noProof/>
                <w:webHidden/>
              </w:rPr>
              <w:fldChar w:fldCharType="separate"/>
            </w:r>
            <w:r w:rsidR="00DC30EC">
              <w:rPr>
                <w:noProof/>
                <w:webHidden/>
              </w:rPr>
              <w:t>7</w:t>
            </w:r>
            <w:r w:rsidR="00DC30EC">
              <w:rPr>
                <w:noProof/>
                <w:webHidden/>
              </w:rPr>
              <w:fldChar w:fldCharType="end"/>
            </w:r>
          </w:hyperlink>
        </w:p>
        <w:p w:rsidR="00DC30EC" w:rsidRDefault="004802FE">
          <w:pPr>
            <w:pStyle w:val="TOC2"/>
            <w:tabs>
              <w:tab w:val="right" w:leader="dot" w:pos="9350"/>
            </w:tabs>
            <w:rPr>
              <w:rFonts w:asciiTheme="minorHAnsi" w:eastAsiaTheme="minorEastAsia" w:hAnsiTheme="minorHAnsi"/>
              <w:noProof/>
              <w:sz w:val="22"/>
              <w:lang w:val="en-US"/>
            </w:rPr>
          </w:pPr>
          <w:hyperlink w:anchor="_Toc502257781" w:history="1">
            <w:r w:rsidR="00DC30EC" w:rsidRPr="009B0DD0">
              <w:rPr>
                <w:rStyle w:val="Hyperlink"/>
                <w:noProof/>
              </w:rPr>
              <w:t>Liquidity ratios:</w:t>
            </w:r>
            <w:r w:rsidR="00DC30EC">
              <w:rPr>
                <w:noProof/>
                <w:webHidden/>
              </w:rPr>
              <w:tab/>
            </w:r>
            <w:r w:rsidR="00DC30EC">
              <w:rPr>
                <w:noProof/>
                <w:webHidden/>
              </w:rPr>
              <w:fldChar w:fldCharType="begin"/>
            </w:r>
            <w:r w:rsidR="00DC30EC">
              <w:rPr>
                <w:noProof/>
                <w:webHidden/>
              </w:rPr>
              <w:instrText xml:space="preserve"> PAGEREF _Toc502257781 \h </w:instrText>
            </w:r>
            <w:r w:rsidR="00DC30EC">
              <w:rPr>
                <w:noProof/>
                <w:webHidden/>
              </w:rPr>
            </w:r>
            <w:r w:rsidR="00DC30EC">
              <w:rPr>
                <w:noProof/>
                <w:webHidden/>
              </w:rPr>
              <w:fldChar w:fldCharType="separate"/>
            </w:r>
            <w:r w:rsidR="00DC30EC">
              <w:rPr>
                <w:noProof/>
                <w:webHidden/>
              </w:rPr>
              <w:t>7</w:t>
            </w:r>
            <w:r w:rsidR="00DC30EC">
              <w:rPr>
                <w:noProof/>
                <w:webHidden/>
              </w:rPr>
              <w:fldChar w:fldCharType="end"/>
            </w:r>
          </w:hyperlink>
        </w:p>
        <w:p w:rsidR="00DC30EC" w:rsidRDefault="004802FE">
          <w:pPr>
            <w:pStyle w:val="TOC3"/>
            <w:tabs>
              <w:tab w:val="right" w:leader="dot" w:pos="9350"/>
            </w:tabs>
            <w:rPr>
              <w:rFonts w:asciiTheme="minorHAnsi" w:eastAsiaTheme="minorEastAsia" w:hAnsiTheme="minorHAnsi"/>
              <w:noProof/>
              <w:sz w:val="22"/>
              <w:lang w:val="en-US"/>
            </w:rPr>
          </w:pPr>
          <w:hyperlink w:anchor="_Toc502257782" w:history="1">
            <w:r w:rsidR="00DC30EC" w:rsidRPr="009B0DD0">
              <w:rPr>
                <w:rStyle w:val="Hyperlink"/>
                <w:noProof/>
              </w:rPr>
              <w:t>Current Ratio:</w:t>
            </w:r>
            <w:r w:rsidR="00DC30EC">
              <w:rPr>
                <w:noProof/>
                <w:webHidden/>
              </w:rPr>
              <w:tab/>
            </w:r>
            <w:r w:rsidR="00DC30EC">
              <w:rPr>
                <w:noProof/>
                <w:webHidden/>
              </w:rPr>
              <w:fldChar w:fldCharType="begin"/>
            </w:r>
            <w:r w:rsidR="00DC30EC">
              <w:rPr>
                <w:noProof/>
                <w:webHidden/>
              </w:rPr>
              <w:instrText xml:space="preserve"> PAGEREF _Toc502257782 \h </w:instrText>
            </w:r>
            <w:r w:rsidR="00DC30EC">
              <w:rPr>
                <w:noProof/>
                <w:webHidden/>
              </w:rPr>
            </w:r>
            <w:r w:rsidR="00DC30EC">
              <w:rPr>
                <w:noProof/>
                <w:webHidden/>
              </w:rPr>
              <w:fldChar w:fldCharType="separate"/>
            </w:r>
            <w:r w:rsidR="00DC30EC">
              <w:rPr>
                <w:noProof/>
                <w:webHidden/>
              </w:rPr>
              <w:t>8</w:t>
            </w:r>
            <w:r w:rsidR="00DC30EC">
              <w:rPr>
                <w:noProof/>
                <w:webHidden/>
              </w:rPr>
              <w:fldChar w:fldCharType="end"/>
            </w:r>
          </w:hyperlink>
        </w:p>
        <w:p w:rsidR="00DC30EC" w:rsidRDefault="004802FE">
          <w:pPr>
            <w:pStyle w:val="TOC3"/>
            <w:tabs>
              <w:tab w:val="right" w:leader="dot" w:pos="9350"/>
            </w:tabs>
            <w:rPr>
              <w:rFonts w:asciiTheme="minorHAnsi" w:eastAsiaTheme="minorEastAsia" w:hAnsiTheme="minorHAnsi"/>
              <w:noProof/>
              <w:sz w:val="22"/>
              <w:lang w:val="en-US"/>
            </w:rPr>
          </w:pPr>
          <w:hyperlink w:anchor="_Toc502257783" w:history="1">
            <w:r w:rsidR="00DC30EC" w:rsidRPr="009B0DD0">
              <w:rPr>
                <w:rStyle w:val="Hyperlink"/>
                <w:noProof/>
              </w:rPr>
              <w:t>Quick Ratio:</w:t>
            </w:r>
            <w:r w:rsidR="00DC30EC">
              <w:rPr>
                <w:noProof/>
                <w:webHidden/>
              </w:rPr>
              <w:tab/>
            </w:r>
            <w:r w:rsidR="00DC30EC">
              <w:rPr>
                <w:noProof/>
                <w:webHidden/>
              </w:rPr>
              <w:fldChar w:fldCharType="begin"/>
            </w:r>
            <w:r w:rsidR="00DC30EC">
              <w:rPr>
                <w:noProof/>
                <w:webHidden/>
              </w:rPr>
              <w:instrText xml:space="preserve"> PAGEREF _Toc502257783 \h </w:instrText>
            </w:r>
            <w:r w:rsidR="00DC30EC">
              <w:rPr>
                <w:noProof/>
                <w:webHidden/>
              </w:rPr>
            </w:r>
            <w:r w:rsidR="00DC30EC">
              <w:rPr>
                <w:noProof/>
                <w:webHidden/>
              </w:rPr>
              <w:fldChar w:fldCharType="separate"/>
            </w:r>
            <w:r w:rsidR="00DC30EC">
              <w:rPr>
                <w:noProof/>
                <w:webHidden/>
              </w:rPr>
              <w:t>8</w:t>
            </w:r>
            <w:r w:rsidR="00DC30EC">
              <w:rPr>
                <w:noProof/>
                <w:webHidden/>
              </w:rPr>
              <w:fldChar w:fldCharType="end"/>
            </w:r>
          </w:hyperlink>
        </w:p>
        <w:p w:rsidR="00DC30EC" w:rsidRDefault="004802FE">
          <w:pPr>
            <w:pStyle w:val="TOC2"/>
            <w:tabs>
              <w:tab w:val="right" w:leader="dot" w:pos="9350"/>
            </w:tabs>
            <w:rPr>
              <w:rFonts w:asciiTheme="minorHAnsi" w:eastAsiaTheme="minorEastAsia" w:hAnsiTheme="minorHAnsi"/>
              <w:noProof/>
              <w:sz w:val="22"/>
              <w:lang w:val="en-US"/>
            </w:rPr>
          </w:pPr>
          <w:hyperlink w:anchor="_Toc502257784" w:history="1">
            <w:r w:rsidR="00DC30EC" w:rsidRPr="009B0DD0">
              <w:rPr>
                <w:rStyle w:val="Hyperlink"/>
                <w:noProof/>
              </w:rPr>
              <w:t>Efficiency ratio:</w:t>
            </w:r>
            <w:r w:rsidR="00DC30EC">
              <w:rPr>
                <w:noProof/>
                <w:webHidden/>
              </w:rPr>
              <w:tab/>
            </w:r>
            <w:r w:rsidR="00DC30EC">
              <w:rPr>
                <w:noProof/>
                <w:webHidden/>
              </w:rPr>
              <w:fldChar w:fldCharType="begin"/>
            </w:r>
            <w:r w:rsidR="00DC30EC">
              <w:rPr>
                <w:noProof/>
                <w:webHidden/>
              </w:rPr>
              <w:instrText xml:space="preserve"> PAGEREF _Toc502257784 \h </w:instrText>
            </w:r>
            <w:r w:rsidR="00DC30EC">
              <w:rPr>
                <w:noProof/>
                <w:webHidden/>
              </w:rPr>
            </w:r>
            <w:r w:rsidR="00DC30EC">
              <w:rPr>
                <w:noProof/>
                <w:webHidden/>
              </w:rPr>
              <w:fldChar w:fldCharType="separate"/>
            </w:r>
            <w:r w:rsidR="00DC30EC">
              <w:rPr>
                <w:noProof/>
                <w:webHidden/>
              </w:rPr>
              <w:t>9</w:t>
            </w:r>
            <w:r w:rsidR="00DC30EC">
              <w:rPr>
                <w:noProof/>
                <w:webHidden/>
              </w:rPr>
              <w:fldChar w:fldCharType="end"/>
            </w:r>
          </w:hyperlink>
        </w:p>
        <w:p w:rsidR="00DC30EC" w:rsidRDefault="004802FE">
          <w:pPr>
            <w:pStyle w:val="TOC3"/>
            <w:tabs>
              <w:tab w:val="right" w:leader="dot" w:pos="9350"/>
            </w:tabs>
            <w:rPr>
              <w:rFonts w:asciiTheme="minorHAnsi" w:eastAsiaTheme="minorEastAsia" w:hAnsiTheme="minorHAnsi"/>
              <w:noProof/>
              <w:sz w:val="22"/>
              <w:lang w:val="en-US"/>
            </w:rPr>
          </w:pPr>
          <w:hyperlink w:anchor="_Toc502257785" w:history="1">
            <w:r w:rsidR="00DC30EC" w:rsidRPr="009B0DD0">
              <w:rPr>
                <w:rStyle w:val="Hyperlink"/>
                <w:rFonts w:eastAsia="Times New Roman"/>
                <w:noProof/>
                <w:lang w:val="en-US"/>
              </w:rPr>
              <w:t>Return on capital employed:</w:t>
            </w:r>
            <w:r w:rsidR="00DC30EC">
              <w:rPr>
                <w:noProof/>
                <w:webHidden/>
              </w:rPr>
              <w:tab/>
            </w:r>
            <w:r w:rsidR="00DC30EC">
              <w:rPr>
                <w:noProof/>
                <w:webHidden/>
              </w:rPr>
              <w:fldChar w:fldCharType="begin"/>
            </w:r>
            <w:r w:rsidR="00DC30EC">
              <w:rPr>
                <w:noProof/>
                <w:webHidden/>
              </w:rPr>
              <w:instrText xml:space="preserve"> PAGEREF _Toc502257785 \h </w:instrText>
            </w:r>
            <w:r w:rsidR="00DC30EC">
              <w:rPr>
                <w:noProof/>
                <w:webHidden/>
              </w:rPr>
            </w:r>
            <w:r w:rsidR="00DC30EC">
              <w:rPr>
                <w:noProof/>
                <w:webHidden/>
              </w:rPr>
              <w:fldChar w:fldCharType="separate"/>
            </w:r>
            <w:r w:rsidR="00DC30EC">
              <w:rPr>
                <w:noProof/>
                <w:webHidden/>
              </w:rPr>
              <w:t>9</w:t>
            </w:r>
            <w:r w:rsidR="00DC30EC">
              <w:rPr>
                <w:noProof/>
                <w:webHidden/>
              </w:rPr>
              <w:fldChar w:fldCharType="end"/>
            </w:r>
          </w:hyperlink>
        </w:p>
        <w:p w:rsidR="00DC30EC" w:rsidRDefault="004802FE">
          <w:pPr>
            <w:pStyle w:val="TOC3"/>
            <w:tabs>
              <w:tab w:val="right" w:leader="dot" w:pos="9350"/>
            </w:tabs>
            <w:rPr>
              <w:rFonts w:asciiTheme="minorHAnsi" w:eastAsiaTheme="minorEastAsia" w:hAnsiTheme="minorHAnsi"/>
              <w:noProof/>
              <w:sz w:val="22"/>
              <w:lang w:val="en-US"/>
            </w:rPr>
          </w:pPr>
          <w:hyperlink w:anchor="_Toc502257786" w:history="1">
            <w:r w:rsidR="00DC30EC" w:rsidRPr="009B0DD0">
              <w:rPr>
                <w:rStyle w:val="Hyperlink"/>
                <w:noProof/>
              </w:rPr>
              <w:t>Total asset turnover ratio:</w:t>
            </w:r>
            <w:r w:rsidR="00DC30EC">
              <w:rPr>
                <w:noProof/>
                <w:webHidden/>
              </w:rPr>
              <w:tab/>
            </w:r>
            <w:r w:rsidR="00DC30EC">
              <w:rPr>
                <w:noProof/>
                <w:webHidden/>
              </w:rPr>
              <w:fldChar w:fldCharType="begin"/>
            </w:r>
            <w:r w:rsidR="00DC30EC">
              <w:rPr>
                <w:noProof/>
                <w:webHidden/>
              </w:rPr>
              <w:instrText xml:space="preserve"> PAGEREF _Toc502257786 \h </w:instrText>
            </w:r>
            <w:r w:rsidR="00DC30EC">
              <w:rPr>
                <w:noProof/>
                <w:webHidden/>
              </w:rPr>
            </w:r>
            <w:r w:rsidR="00DC30EC">
              <w:rPr>
                <w:noProof/>
                <w:webHidden/>
              </w:rPr>
              <w:fldChar w:fldCharType="separate"/>
            </w:r>
            <w:r w:rsidR="00DC30EC">
              <w:rPr>
                <w:noProof/>
                <w:webHidden/>
              </w:rPr>
              <w:t>10</w:t>
            </w:r>
            <w:r w:rsidR="00DC30EC">
              <w:rPr>
                <w:noProof/>
                <w:webHidden/>
              </w:rPr>
              <w:fldChar w:fldCharType="end"/>
            </w:r>
          </w:hyperlink>
        </w:p>
        <w:p w:rsidR="00DC30EC" w:rsidRDefault="004802FE">
          <w:pPr>
            <w:pStyle w:val="TOC3"/>
            <w:tabs>
              <w:tab w:val="right" w:leader="dot" w:pos="9350"/>
            </w:tabs>
            <w:rPr>
              <w:rFonts w:asciiTheme="minorHAnsi" w:eastAsiaTheme="minorEastAsia" w:hAnsiTheme="minorHAnsi"/>
              <w:noProof/>
              <w:sz w:val="22"/>
              <w:lang w:val="en-US"/>
            </w:rPr>
          </w:pPr>
          <w:hyperlink w:anchor="_Toc502257787" w:history="1">
            <w:r w:rsidR="00DC30EC" w:rsidRPr="009B0DD0">
              <w:rPr>
                <w:rStyle w:val="Hyperlink"/>
                <w:noProof/>
              </w:rPr>
              <w:t>Gearing Ratio</w:t>
            </w:r>
            <w:r w:rsidR="00DC30EC">
              <w:rPr>
                <w:noProof/>
                <w:webHidden/>
              </w:rPr>
              <w:tab/>
            </w:r>
            <w:r w:rsidR="00DC30EC">
              <w:rPr>
                <w:noProof/>
                <w:webHidden/>
              </w:rPr>
              <w:fldChar w:fldCharType="begin"/>
            </w:r>
            <w:r w:rsidR="00DC30EC">
              <w:rPr>
                <w:noProof/>
                <w:webHidden/>
              </w:rPr>
              <w:instrText xml:space="preserve"> PAGEREF _Toc502257787 \h </w:instrText>
            </w:r>
            <w:r w:rsidR="00DC30EC">
              <w:rPr>
                <w:noProof/>
                <w:webHidden/>
              </w:rPr>
            </w:r>
            <w:r w:rsidR="00DC30EC">
              <w:rPr>
                <w:noProof/>
                <w:webHidden/>
              </w:rPr>
              <w:fldChar w:fldCharType="separate"/>
            </w:r>
            <w:r w:rsidR="00DC30EC">
              <w:rPr>
                <w:noProof/>
                <w:webHidden/>
              </w:rPr>
              <w:t>11</w:t>
            </w:r>
            <w:r w:rsidR="00DC30EC">
              <w:rPr>
                <w:noProof/>
                <w:webHidden/>
              </w:rPr>
              <w:fldChar w:fldCharType="end"/>
            </w:r>
          </w:hyperlink>
        </w:p>
        <w:p w:rsidR="00DC30EC" w:rsidRDefault="004802FE">
          <w:pPr>
            <w:pStyle w:val="TOC1"/>
            <w:tabs>
              <w:tab w:val="right" w:leader="dot" w:pos="9350"/>
            </w:tabs>
            <w:rPr>
              <w:rFonts w:asciiTheme="minorHAnsi" w:eastAsiaTheme="minorEastAsia" w:hAnsiTheme="minorHAnsi"/>
              <w:noProof/>
              <w:sz w:val="22"/>
              <w:lang w:val="en-US"/>
            </w:rPr>
          </w:pPr>
          <w:hyperlink w:anchor="_Toc502257788" w:history="1">
            <w:r w:rsidR="00DC30EC" w:rsidRPr="009B0DD0">
              <w:rPr>
                <w:rStyle w:val="Hyperlink"/>
                <w:noProof/>
              </w:rPr>
              <w:t>Explanation of the changes in ratios over years</w:t>
            </w:r>
            <w:r w:rsidR="00DC30EC">
              <w:rPr>
                <w:noProof/>
                <w:webHidden/>
              </w:rPr>
              <w:tab/>
            </w:r>
            <w:r w:rsidR="00DC30EC">
              <w:rPr>
                <w:noProof/>
                <w:webHidden/>
              </w:rPr>
              <w:fldChar w:fldCharType="begin"/>
            </w:r>
            <w:r w:rsidR="00DC30EC">
              <w:rPr>
                <w:noProof/>
                <w:webHidden/>
              </w:rPr>
              <w:instrText xml:space="preserve"> PAGEREF _Toc502257788 \h </w:instrText>
            </w:r>
            <w:r w:rsidR="00DC30EC">
              <w:rPr>
                <w:noProof/>
                <w:webHidden/>
              </w:rPr>
            </w:r>
            <w:r w:rsidR="00DC30EC">
              <w:rPr>
                <w:noProof/>
                <w:webHidden/>
              </w:rPr>
              <w:fldChar w:fldCharType="separate"/>
            </w:r>
            <w:r w:rsidR="00DC30EC">
              <w:rPr>
                <w:noProof/>
                <w:webHidden/>
              </w:rPr>
              <w:t>12</w:t>
            </w:r>
            <w:r w:rsidR="00DC30EC">
              <w:rPr>
                <w:noProof/>
                <w:webHidden/>
              </w:rPr>
              <w:fldChar w:fldCharType="end"/>
            </w:r>
          </w:hyperlink>
        </w:p>
        <w:p w:rsidR="00DC30EC" w:rsidRDefault="004802FE">
          <w:pPr>
            <w:pStyle w:val="TOC1"/>
            <w:tabs>
              <w:tab w:val="right" w:leader="dot" w:pos="9350"/>
            </w:tabs>
            <w:rPr>
              <w:rFonts w:asciiTheme="minorHAnsi" w:eastAsiaTheme="minorEastAsia" w:hAnsiTheme="minorHAnsi"/>
              <w:noProof/>
              <w:sz w:val="22"/>
              <w:lang w:val="en-US"/>
            </w:rPr>
          </w:pPr>
          <w:hyperlink w:anchor="_Toc502257789" w:history="1">
            <w:r w:rsidR="00DC30EC" w:rsidRPr="009B0DD0">
              <w:rPr>
                <w:rStyle w:val="Hyperlink"/>
                <w:noProof/>
              </w:rPr>
              <w:t>Comparison of the financial performance of British airways with Virgin Atlantic airways</w:t>
            </w:r>
            <w:r w:rsidR="00DC30EC">
              <w:rPr>
                <w:noProof/>
                <w:webHidden/>
              </w:rPr>
              <w:tab/>
            </w:r>
            <w:r w:rsidR="00DC30EC">
              <w:rPr>
                <w:noProof/>
                <w:webHidden/>
              </w:rPr>
              <w:fldChar w:fldCharType="begin"/>
            </w:r>
            <w:r w:rsidR="00DC30EC">
              <w:rPr>
                <w:noProof/>
                <w:webHidden/>
              </w:rPr>
              <w:instrText xml:space="preserve"> PAGEREF _Toc502257789 \h </w:instrText>
            </w:r>
            <w:r w:rsidR="00DC30EC">
              <w:rPr>
                <w:noProof/>
                <w:webHidden/>
              </w:rPr>
            </w:r>
            <w:r w:rsidR="00DC30EC">
              <w:rPr>
                <w:noProof/>
                <w:webHidden/>
              </w:rPr>
              <w:fldChar w:fldCharType="separate"/>
            </w:r>
            <w:r w:rsidR="00DC30EC">
              <w:rPr>
                <w:noProof/>
                <w:webHidden/>
              </w:rPr>
              <w:t>15</w:t>
            </w:r>
            <w:r w:rsidR="00DC30EC">
              <w:rPr>
                <w:noProof/>
                <w:webHidden/>
              </w:rPr>
              <w:fldChar w:fldCharType="end"/>
            </w:r>
          </w:hyperlink>
        </w:p>
        <w:p w:rsidR="00DC30EC" w:rsidRDefault="004802FE">
          <w:pPr>
            <w:pStyle w:val="TOC1"/>
            <w:tabs>
              <w:tab w:val="right" w:leader="dot" w:pos="9350"/>
            </w:tabs>
            <w:rPr>
              <w:rFonts w:asciiTheme="minorHAnsi" w:eastAsiaTheme="minorEastAsia" w:hAnsiTheme="minorHAnsi"/>
              <w:noProof/>
              <w:sz w:val="22"/>
              <w:lang w:val="en-US"/>
            </w:rPr>
          </w:pPr>
          <w:hyperlink w:anchor="_Toc502257790" w:history="1">
            <w:r w:rsidR="00DC30EC" w:rsidRPr="009B0DD0">
              <w:rPr>
                <w:rStyle w:val="Hyperlink"/>
                <w:noProof/>
              </w:rPr>
              <w:t>Future Performance Projection of British airways in comparison to Virgin atlantics</w:t>
            </w:r>
            <w:r w:rsidR="00DC30EC">
              <w:rPr>
                <w:noProof/>
                <w:webHidden/>
              </w:rPr>
              <w:tab/>
            </w:r>
            <w:r w:rsidR="00DC30EC">
              <w:rPr>
                <w:noProof/>
                <w:webHidden/>
              </w:rPr>
              <w:fldChar w:fldCharType="begin"/>
            </w:r>
            <w:r w:rsidR="00DC30EC">
              <w:rPr>
                <w:noProof/>
                <w:webHidden/>
              </w:rPr>
              <w:instrText xml:space="preserve"> PAGEREF _Toc502257790 \h </w:instrText>
            </w:r>
            <w:r w:rsidR="00DC30EC">
              <w:rPr>
                <w:noProof/>
                <w:webHidden/>
              </w:rPr>
            </w:r>
            <w:r w:rsidR="00DC30EC">
              <w:rPr>
                <w:noProof/>
                <w:webHidden/>
              </w:rPr>
              <w:fldChar w:fldCharType="separate"/>
            </w:r>
            <w:r w:rsidR="00DC30EC">
              <w:rPr>
                <w:noProof/>
                <w:webHidden/>
              </w:rPr>
              <w:t>22</w:t>
            </w:r>
            <w:r w:rsidR="00DC30EC">
              <w:rPr>
                <w:noProof/>
                <w:webHidden/>
              </w:rPr>
              <w:fldChar w:fldCharType="end"/>
            </w:r>
          </w:hyperlink>
        </w:p>
        <w:p w:rsidR="00DC30EC" w:rsidRDefault="004802FE">
          <w:pPr>
            <w:pStyle w:val="TOC1"/>
            <w:tabs>
              <w:tab w:val="right" w:leader="dot" w:pos="9350"/>
            </w:tabs>
            <w:rPr>
              <w:rFonts w:asciiTheme="minorHAnsi" w:eastAsiaTheme="minorEastAsia" w:hAnsiTheme="minorHAnsi"/>
              <w:noProof/>
              <w:sz w:val="22"/>
              <w:lang w:val="en-US"/>
            </w:rPr>
          </w:pPr>
          <w:hyperlink w:anchor="_Toc502257791" w:history="1">
            <w:r w:rsidR="00DC30EC" w:rsidRPr="009B0DD0">
              <w:rPr>
                <w:rStyle w:val="Hyperlink"/>
                <w:noProof/>
              </w:rPr>
              <w:t>Pros and cons of ratio analysis</w:t>
            </w:r>
            <w:r w:rsidR="00DC30EC">
              <w:rPr>
                <w:noProof/>
                <w:webHidden/>
              </w:rPr>
              <w:tab/>
            </w:r>
            <w:r w:rsidR="00DC30EC">
              <w:rPr>
                <w:noProof/>
                <w:webHidden/>
              </w:rPr>
              <w:fldChar w:fldCharType="begin"/>
            </w:r>
            <w:r w:rsidR="00DC30EC">
              <w:rPr>
                <w:noProof/>
                <w:webHidden/>
              </w:rPr>
              <w:instrText xml:space="preserve"> PAGEREF _Toc502257791 \h </w:instrText>
            </w:r>
            <w:r w:rsidR="00DC30EC">
              <w:rPr>
                <w:noProof/>
                <w:webHidden/>
              </w:rPr>
            </w:r>
            <w:r w:rsidR="00DC30EC">
              <w:rPr>
                <w:noProof/>
                <w:webHidden/>
              </w:rPr>
              <w:fldChar w:fldCharType="separate"/>
            </w:r>
            <w:r w:rsidR="00DC30EC">
              <w:rPr>
                <w:noProof/>
                <w:webHidden/>
              </w:rPr>
              <w:t>22</w:t>
            </w:r>
            <w:r w:rsidR="00DC30EC">
              <w:rPr>
                <w:noProof/>
                <w:webHidden/>
              </w:rPr>
              <w:fldChar w:fldCharType="end"/>
            </w:r>
          </w:hyperlink>
        </w:p>
        <w:p w:rsidR="00DC30EC" w:rsidRDefault="004802FE">
          <w:pPr>
            <w:pStyle w:val="TOC1"/>
            <w:tabs>
              <w:tab w:val="right" w:leader="dot" w:pos="9350"/>
            </w:tabs>
            <w:rPr>
              <w:rFonts w:asciiTheme="minorHAnsi" w:eastAsiaTheme="minorEastAsia" w:hAnsiTheme="minorHAnsi"/>
              <w:noProof/>
              <w:sz w:val="22"/>
              <w:lang w:val="en-US"/>
            </w:rPr>
          </w:pPr>
          <w:hyperlink w:anchor="_Toc502257792" w:history="1">
            <w:r w:rsidR="00DC30EC" w:rsidRPr="009B0DD0">
              <w:rPr>
                <w:rStyle w:val="Hyperlink"/>
                <w:noProof/>
              </w:rPr>
              <w:t>Power point presentation</w:t>
            </w:r>
            <w:r w:rsidR="00DC30EC">
              <w:rPr>
                <w:noProof/>
                <w:webHidden/>
              </w:rPr>
              <w:tab/>
            </w:r>
            <w:r w:rsidR="00DC30EC">
              <w:rPr>
                <w:noProof/>
                <w:webHidden/>
              </w:rPr>
              <w:fldChar w:fldCharType="begin"/>
            </w:r>
            <w:r w:rsidR="00DC30EC">
              <w:rPr>
                <w:noProof/>
                <w:webHidden/>
              </w:rPr>
              <w:instrText xml:space="preserve"> PAGEREF _Toc502257792 \h </w:instrText>
            </w:r>
            <w:r w:rsidR="00DC30EC">
              <w:rPr>
                <w:noProof/>
                <w:webHidden/>
              </w:rPr>
            </w:r>
            <w:r w:rsidR="00DC30EC">
              <w:rPr>
                <w:noProof/>
                <w:webHidden/>
              </w:rPr>
              <w:fldChar w:fldCharType="separate"/>
            </w:r>
            <w:r w:rsidR="00DC30EC">
              <w:rPr>
                <w:noProof/>
                <w:webHidden/>
              </w:rPr>
              <w:t>24</w:t>
            </w:r>
            <w:r w:rsidR="00DC30EC">
              <w:rPr>
                <w:noProof/>
                <w:webHidden/>
              </w:rPr>
              <w:fldChar w:fldCharType="end"/>
            </w:r>
          </w:hyperlink>
        </w:p>
        <w:p w:rsidR="00DC30EC" w:rsidRDefault="004802FE">
          <w:pPr>
            <w:pStyle w:val="TOC1"/>
            <w:tabs>
              <w:tab w:val="right" w:leader="dot" w:pos="9350"/>
            </w:tabs>
            <w:rPr>
              <w:rFonts w:asciiTheme="minorHAnsi" w:eastAsiaTheme="minorEastAsia" w:hAnsiTheme="minorHAnsi"/>
              <w:noProof/>
              <w:sz w:val="22"/>
              <w:lang w:val="en-US"/>
            </w:rPr>
          </w:pPr>
          <w:hyperlink w:anchor="_Toc502257793" w:history="1">
            <w:r w:rsidR="00DC30EC" w:rsidRPr="009B0DD0">
              <w:rPr>
                <w:rStyle w:val="Hyperlink"/>
                <w:noProof/>
              </w:rPr>
              <w:t>Reference</w:t>
            </w:r>
            <w:r w:rsidR="00DC30EC">
              <w:rPr>
                <w:noProof/>
                <w:webHidden/>
              </w:rPr>
              <w:tab/>
            </w:r>
            <w:r w:rsidR="00DC30EC">
              <w:rPr>
                <w:noProof/>
                <w:webHidden/>
              </w:rPr>
              <w:fldChar w:fldCharType="begin"/>
            </w:r>
            <w:r w:rsidR="00DC30EC">
              <w:rPr>
                <w:noProof/>
                <w:webHidden/>
              </w:rPr>
              <w:instrText xml:space="preserve"> PAGEREF _Toc502257793 \h </w:instrText>
            </w:r>
            <w:r w:rsidR="00DC30EC">
              <w:rPr>
                <w:noProof/>
                <w:webHidden/>
              </w:rPr>
            </w:r>
            <w:r w:rsidR="00DC30EC">
              <w:rPr>
                <w:noProof/>
                <w:webHidden/>
              </w:rPr>
              <w:fldChar w:fldCharType="separate"/>
            </w:r>
            <w:r w:rsidR="00DC30EC">
              <w:rPr>
                <w:noProof/>
                <w:webHidden/>
              </w:rPr>
              <w:t>32</w:t>
            </w:r>
            <w:r w:rsidR="00DC30EC">
              <w:rPr>
                <w:noProof/>
                <w:webHidden/>
              </w:rPr>
              <w:fldChar w:fldCharType="end"/>
            </w:r>
          </w:hyperlink>
        </w:p>
        <w:p w:rsidR="00DC30EC" w:rsidRDefault="004802FE">
          <w:pPr>
            <w:pStyle w:val="TOC1"/>
            <w:tabs>
              <w:tab w:val="right" w:leader="dot" w:pos="9350"/>
            </w:tabs>
            <w:rPr>
              <w:rFonts w:asciiTheme="minorHAnsi" w:eastAsiaTheme="minorEastAsia" w:hAnsiTheme="minorHAnsi"/>
              <w:noProof/>
              <w:sz w:val="22"/>
              <w:lang w:val="en-US"/>
            </w:rPr>
          </w:pPr>
          <w:hyperlink w:anchor="_Toc502257794" w:history="1">
            <w:r w:rsidR="00DC30EC" w:rsidRPr="009B0DD0">
              <w:rPr>
                <w:rStyle w:val="Hyperlink"/>
                <w:noProof/>
              </w:rPr>
              <w:t>Appendix</w:t>
            </w:r>
            <w:r w:rsidR="00DC30EC">
              <w:rPr>
                <w:noProof/>
                <w:webHidden/>
              </w:rPr>
              <w:tab/>
            </w:r>
            <w:r w:rsidR="00DC30EC">
              <w:rPr>
                <w:noProof/>
                <w:webHidden/>
              </w:rPr>
              <w:fldChar w:fldCharType="begin"/>
            </w:r>
            <w:r w:rsidR="00DC30EC">
              <w:rPr>
                <w:noProof/>
                <w:webHidden/>
              </w:rPr>
              <w:instrText xml:space="preserve"> PAGEREF _Toc502257794 \h </w:instrText>
            </w:r>
            <w:r w:rsidR="00DC30EC">
              <w:rPr>
                <w:noProof/>
                <w:webHidden/>
              </w:rPr>
            </w:r>
            <w:r w:rsidR="00DC30EC">
              <w:rPr>
                <w:noProof/>
                <w:webHidden/>
              </w:rPr>
              <w:fldChar w:fldCharType="separate"/>
            </w:r>
            <w:r w:rsidR="00DC30EC">
              <w:rPr>
                <w:noProof/>
                <w:webHidden/>
              </w:rPr>
              <w:t>34</w:t>
            </w:r>
            <w:r w:rsidR="00DC30EC">
              <w:rPr>
                <w:noProof/>
                <w:webHidden/>
              </w:rPr>
              <w:fldChar w:fldCharType="end"/>
            </w:r>
          </w:hyperlink>
        </w:p>
        <w:p w:rsidR="00CF02F5" w:rsidRDefault="009E2EBE">
          <w:r>
            <w:fldChar w:fldCharType="end"/>
          </w:r>
        </w:p>
      </w:sdtContent>
    </w:sdt>
    <w:p w:rsidR="00CF02F5" w:rsidRDefault="00CF02F5">
      <w:pPr>
        <w:spacing w:line="276" w:lineRule="auto"/>
        <w:jc w:val="left"/>
        <w:rPr>
          <w:rFonts w:asciiTheme="majorHAnsi" w:eastAsiaTheme="majorEastAsia" w:hAnsiTheme="majorHAnsi" w:cstheme="majorBidi"/>
          <w:b/>
          <w:bCs/>
          <w:color w:val="365F91" w:themeColor="accent1" w:themeShade="BF"/>
          <w:sz w:val="28"/>
          <w:szCs w:val="28"/>
        </w:rPr>
      </w:pPr>
      <w:r>
        <w:br w:type="page"/>
      </w:r>
    </w:p>
    <w:p w:rsidR="00B43DC0" w:rsidRDefault="00B43DC0" w:rsidP="00B43DC0">
      <w:pPr>
        <w:pStyle w:val="Heading1"/>
      </w:pPr>
      <w:bookmarkStart w:id="0" w:name="_Toc502257774"/>
      <w:r>
        <w:lastRenderedPageBreak/>
        <w:t>Part- A</w:t>
      </w:r>
      <w:bookmarkEnd w:id="0"/>
    </w:p>
    <w:p w:rsidR="00B43DC0" w:rsidRDefault="00B43DC0" w:rsidP="00B43DC0">
      <w:pPr>
        <w:pStyle w:val="Heading2"/>
      </w:pPr>
      <w:bookmarkStart w:id="1" w:name="_Toc502257775"/>
      <w:r>
        <w:t>British Airways brief history</w:t>
      </w:r>
      <w:bookmarkEnd w:id="1"/>
    </w:p>
    <w:p w:rsidR="00B43DC0" w:rsidRDefault="00B43DC0" w:rsidP="00B43DC0">
      <w:r>
        <w:t>British Airways (BA) is the flag British carrier which is in operation for over 90 years.  The organisation started their journey in the year 1919 in the name of ‘Aircraft Transport and Travel Limited’ (</w:t>
      </w:r>
      <w:proofErr w:type="spellStart"/>
      <w:r>
        <w:t>Britishairways</w:t>
      </w:r>
      <w:proofErr w:type="spellEnd"/>
      <w:r>
        <w:t>, 2017). In the year 1924 the merger of ‘British Marine Air Navigation Co’, ‘Handley Page Transport Ltd’, ‘Daimler Airway’ and ‘</w:t>
      </w:r>
      <w:proofErr w:type="spellStart"/>
      <w:r>
        <w:t>Instone</w:t>
      </w:r>
      <w:proofErr w:type="spellEnd"/>
      <w:r>
        <w:t xml:space="preserve"> Air Line Ltd’ gave birth to the organisation called ‘</w:t>
      </w:r>
      <w:r w:rsidRPr="00D54F4A">
        <w:t>Imperial Airways</w:t>
      </w:r>
      <w:r>
        <w:t>’ and as subsidiaries the government. In the year 1936 the organisation called British Airways through process of merger of the companies like ‘Spartan Air Lines’, ‘Hillman’s Airways’ and ‘United Airways’ (</w:t>
      </w:r>
      <w:proofErr w:type="spellStart"/>
      <w:r>
        <w:t>Britishairways</w:t>
      </w:r>
      <w:proofErr w:type="spellEnd"/>
      <w:r>
        <w:t xml:space="preserve">, 2017).  Later in 1938 the organisation British Airways and </w:t>
      </w:r>
      <w:r w:rsidRPr="00EF0FC7">
        <w:t>Imperial Airways</w:t>
      </w:r>
      <w:r>
        <w:t xml:space="preserve"> were also merged and became </w:t>
      </w:r>
      <w:bookmarkStart w:id="2" w:name="ref87403"/>
      <w:bookmarkEnd w:id="2"/>
      <w:r>
        <w:t>‘</w:t>
      </w:r>
      <w:r w:rsidRPr="00E66DB9">
        <w:t>British Overseas Airways Corporation</w:t>
      </w:r>
      <w:r>
        <w:t>’ as nationalised carrier.  The organisation called British Airways actually was formed in today’s form  in the year 1974 by the process of dissolution of the ‘British European Airways’ and ‘</w:t>
      </w:r>
      <w:r w:rsidRPr="004C15FE">
        <w:t>British Overseas Airways Corporation</w:t>
      </w:r>
      <w:r>
        <w:t xml:space="preserve">’ and accumulated in the newly formed flagship British government owned carrier ‘British Airways’ . This was the amalgamation ‘British European Airways’, ‘British Overseas Airways Corporation’ and the other companies which were associated and supported by these main organisations.  The organisation was owned by the British government. But the shift came in the year 1987 when the organisation under gone the privatisation process (Britannica, 2017). Currently the organisation is owned by the large ‘International Airlines group’. The organisation currently based in the ‘Harmondsworth’ area of London and it is near to the airport of ‘Heathrow’.  There are two main subsidiary organisations that are under the BA. One is the </w:t>
      </w:r>
      <w:proofErr w:type="spellStart"/>
      <w:r>
        <w:t>Openskies</w:t>
      </w:r>
      <w:proofErr w:type="spellEnd"/>
      <w:r>
        <w:t xml:space="preserve"> and the other one is the </w:t>
      </w:r>
      <w:proofErr w:type="spellStart"/>
      <w:r>
        <w:t>Cityflier</w:t>
      </w:r>
      <w:proofErr w:type="spellEnd"/>
      <w:r>
        <w:t xml:space="preserve">. </w:t>
      </w:r>
    </w:p>
    <w:p w:rsidR="00B43DC0" w:rsidRDefault="00B43DC0" w:rsidP="00B43DC0">
      <w:r>
        <w:t>The privatised company BA after the year 1987 took the approach of business acquisition and acquired the organisations like US and UK travel rout based company called ‘British Caledonian Airways’, ‘</w:t>
      </w:r>
      <w:proofErr w:type="spellStart"/>
      <w:r>
        <w:t>L’Avion</w:t>
      </w:r>
      <w:proofErr w:type="spellEnd"/>
      <w:r>
        <w:t>’ a French company and so on. In recent time the significant merger and acquisition is the ‘</w:t>
      </w:r>
      <w:bookmarkStart w:id="3" w:name="ref1158892"/>
      <w:bookmarkEnd w:id="3"/>
      <w:r w:rsidRPr="00B80CBA">
        <w:t>Iberia</w:t>
      </w:r>
      <w:r>
        <w:t>’ in the year 2011 (Britannica, 2017).  This manger is significant as after this process both the organisation became part of the ‘International Airlines group’. Through their operation continued under their respective brand name, the merger of ‘</w:t>
      </w:r>
      <w:r w:rsidRPr="007875D4">
        <w:t>Iberia</w:t>
      </w:r>
      <w:r>
        <w:t>’ the Spanish company provided the combined organisation competitive advantage of offering both the premium and low cost flying solution to the market (</w:t>
      </w:r>
      <w:proofErr w:type="spellStart"/>
      <w:r>
        <w:t>Wearden</w:t>
      </w:r>
      <w:proofErr w:type="spellEnd"/>
      <w:r>
        <w:t xml:space="preserve">, 2010). BA is known for its </w:t>
      </w:r>
      <w:r>
        <w:lastRenderedPageBreak/>
        <w:t xml:space="preserve">premium service but in recent times the growth of the low cost carrier in the market provided a significant challenge to the BA, one of the world largest carriers. </w:t>
      </w:r>
    </w:p>
    <w:p w:rsidR="00B43DC0" w:rsidRDefault="00B43DC0" w:rsidP="00B43DC0">
      <w:r>
        <w:t xml:space="preserve">The airline business was not profitable. Government after government had faced the similar problem. But in the 1980 BA took the approach of its private </w:t>
      </w:r>
      <w:r w:rsidR="00037236">
        <w:t>counterpart</w:t>
      </w:r>
      <w:r>
        <w:t xml:space="preserve"> where it cut down over 23k job in the organisation and also paid the government for the redundancy factors (Airways, 2009). But the future profits were taken by BA after that. The terminal 4 of the Heathrow airport were constructed in the year 1986 and it was mainly used by the BA up until 2008 (London Heathrow Guide, 2017). This incident gave the BA advantage to consolidate and after the process of privatisation in 1987 the organisation took over the ‘British Caledonian Airways’ (Airways, 2009). All of these provided the big competitive advantage to the organisation because of no such big competitor in the UK market. </w:t>
      </w:r>
    </w:p>
    <w:p w:rsidR="00B43DC0" w:rsidRDefault="00B43DC0" w:rsidP="00B43DC0">
      <w:r>
        <w:t xml:space="preserve">The financial management of the organisation during these years had under gone lot ups and down. As per the market forced the organisation took different strategy time to time to keep it financially viable (Grundy and </w:t>
      </w:r>
      <w:proofErr w:type="spellStart"/>
      <w:r>
        <w:t>Moxon</w:t>
      </w:r>
      <w:proofErr w:type="spellEnd"/>
      <w:r>
        <w:t xml:space="preserve">, 2013). The merger and acquisition of other organisation were the business strategy supported by the sound financial decision making to provide the organisation the needed competitive advantage to function in this globalised market dominated economic situation. BA first established the dominance in the UK market and from this strong base the organisation looked for the expansion process into the international market like the North America, EU and the Asia pacific region. In the beginning of 1990 the organisation faced loss in the EU market following the crisis in Gulf region (Grundy and </w:t>
      </w:r>
      <w:proofErr w:type="spellStart"/>
      <w:r>
        <w:t>Moxon</w:t>
      </w:r>
      <w:proofErr w:type="spellEnd"/>
      <w:r>
        <w:t>, 2013). After that some partnership in this region failed as well as some unsuccessful acquisition and manger attempts. Later the organisation started to brought stake in the companies like international airline based in Australia called ‘Qantas’ or in ‘ TAT European Airlines’ of France. These strategic moves of the company had provided the competitive advantage in the EU and Pacific Rim region. The organisation form an alliance with the USAir through 25% stake in it as a refocusing strategy in the Atlantic route (</w:t>
      </w:r>
      <w:proofErr w:type="spellStart"/>
      <w:r>
        <w:t>Referenceforbusiness</w:t>
      </w:r>
      <w:proofErr w:type="spellEnd"/>
      <w:r>
        <w:t xml:space="preserve">, 2017).  </w:t>
      </w:r>
    </w:p>
    <w:p w:rsidR="00B43DC0" w:rsidRDefault="00B43DC0" w:rsidP="00B43DC0">
      <w:r>
        <w:t xml:space="preserve">These strategic successes in the foreign market were seriously challenged in the domestic market by the Virgin Atlantic (VT) formed in the early 1980 (Gregory, 2010). The organisation recognises the requirements for batter customer service and positioned business accordingly. This approach had provided VT a base to compete against the mighty BA. During this </w:t>
      </w:r>
      <w:r>
        <w:lastRenderedPageBreak/>
        <w:t>competitive times BV were engaged in some unethical business tricks with the VT and that resulted in large law suit and compensation. It had also tarnished the reputation of BA. During this tough time at home also followed by the turmoil in the foreign partnership which were began loss the profitability. One of the significant incidents during 1997 was the stake selling of USAir (</w:t>
      </w:r>
      <w:proofErr w:type="spellStart"/>
      <w:r>
        <w:t>Referenceforbusiness</w:t>
      </w:r>
      <w:proofErr w:type="spellEnd"/>
      <w:r>
        <w:t xml:space="preserve">, 2017). The process of airline market deregulation in the EU market in the year 1997 helped the company to become one of the largest airlines in the world.  </w:t>
      </w:r>
    </w:p>
    <w:p w:rsidR="00B43DC0" w:rsidRDefault="00B43DC0" w:rsidP="00B43DC0">
      <w:r>
        <w:t>One of the significant changes came in the organisation and it’s strategies during the financial crises of 2008-09. The global financial meltdown had provided serious challenges to the airlines industry. In the annual report of 2008-09 the organisation provided detailed map of their future strategic position of becoming the leading airlines organisation in the premium segment of the market (</w:t>
      </w:r>
      <w:proofErr w:type="spellStart"/>
      <w:r>
        <w:t>Britishairways</w:t>
      </w:r>
      <w:proofErr w:type="spellEnd"/>
      <w:r>
        <w:t>, 2009). The plan includes approaches like the further significant advancement in the customer service, following the cost base which is competitive one, definite plan for growth and large improvement in the corporate social responsibility. From this time the organisation started to invest in the flexible and more efficient aircraft with less environmental impact. The investment in the corporate social responsibility focused in the reducing environmental impact, waste, carbon emission, noise and also inventing in the community activity, employees, and efficient energy (</w:t>
      </w:r>
      <w:proofErr w:type="spellStart"/>
      <w:r>
        <w:t>Britishairways</w:t>
      </w:r>
      <w:proofErr w:type="spellEnd"/>
      <w:r>
        <w:t>, 2009). </w:t>
      </w:r>
    </w:p>
    <w:p w:rsidR="004802FE" w:rsidRDefault="004802FE" w:rsidP="00B43DC0"/>
    <w:p w:rsidR="004802FE" w:rsidRDefault="004802FE" w:rsidP="00B43DC0"/>
    <w:p w:rsidR="004802FE" w:rsidRDefault="004802FE" w:rsidP="00B43DC0"/>
    <w:p w:rsidR="004802FE" w:rsidRDefault="004802FE" w:rsidP="00B43DC0"/>
    <w:p w:rsidR="004802FE" w:rsidRDefault="004802FE" w:rsidP="00B43DC0"/>
    <w:p w:rsidR="00F178FB" w:rsidRDefault="00B43DC0" w:rsidP="00B43DC0">
      <w:pPr>
        <w:pStyle w:val="Heading1"/>
      </w:pPr>
      <w:bookmarkStart w:id="4" w:name="_Toc502257776"/>
      <w:r>
        <w:lastRenderedPageBreak/>
        <w:t>Part-B</w:t>
      </w:r>
      <w:bookmarkEnd w:id="4"/>
    </w:p>
    <w:p w:rsidR="00B43DC0" w:rsidRDefault="00B43DC0" w:rsidP="00B43DC0">
      <w:pPr>
        <w:pStyle w:val="Heading1"/>
      </w:pPr>
      <w:bookmarkStart w:id="5" w:name="_Toc502257777"/>
      <w:r>
        <w:t xml:space="preserve">Critical analysis of the ratios calculated for the last five </w:t>
      </w:r>
      <w:proofErr w:type="gramStart"/>
      <w:r>
        <w:t>years(</w:t>
      </w:r>
      <w:proofErr w:type="gramEnd"/>
      <w:r>
        <w:t>2012-2016)</w:t>
      </w:r>
      <w:bookmarkEnd w:id="5"/>
    </w:p>
    <w:p w:rsidR="00B43DC0" w:rsidRDefault="00B43DC0" w:rsidP="00B43DC0"/>
    <w:p w:rsidR="00B43DC0" w:rsidRDefault="00B43DC0" w:rsidP="00B43DC0"/>
    <w:p w:rsidR="00940CAF" w:rsidRDefault="00940CAF" w:rsidP="00940CAF">
      <w:pPr>
        <w:pStyle w:val="Heading2"/>
      </w:pPr>
      <w:bookmarkStart w:id="6" w:name="_Toc502257778"/>
      <w:r>
        <w:t>Profitability Ratios:</w:t>
      </w:r>
      <w:bookmarkEnd w:id="6"/>
    </w:p>
    <w:p w:rsidR="00940CAF" w:rsidRDefault="00940CAF" w:rsidP="00940CAF">
      <w:r>
        <w:t xml:space="preserve">The profitability ratios of any business are able to show the business cost and expenses in relation to the earning of the business (Robinson </w:t>
      </w:r>
      <w:r>
        <w:rPr>
          <w:i/>
        </w:rPr>
        <w:t>et al.,</w:t>
      </w:r>
      <w:r>
        <w:t xml:space="preserve"> 2008). The business is able to become profitable when the ratios show the higher values. When compared to the previous year or the industry average or the competitors, higher the value of this ratios the more profitable the business becomes. </w:t>
      </w:r>
    </w:p>
    <w:p w:rsidR="00940CAF" w:rsidRDefault="00940CAF" w:rsidP="00940CAF"/>
    <w:p w:rsidR="00940CAF" w:rsidRDefault="00940CAF" w:rsidP="00940CAF"/>
    <w:p w:rsidR="00940CAF" w:rsidRDefault="00940CAF" w:rsidP="00940CAF">
      <w:pPr>
        <w:pStyle w:val="Heading3"/>
      </w:pPr>
      <w:bookmarkStart w:id="7" w:name="_Toc502257779"/>
      <w:r>
        <w:t>Gross profit margin:</w:t>
      </w:r>
      <w:bookmarkEnd w:id="7"/>
    </w:p>
    <w:p w:rsidR="00940CAF" w:rsidRDefault="00940CAF" w:rsidP="00940CAF">
      <w:r>
        <w:t xml:space="preserve">The gross profit margin of the business is arrived at by deducting the cost of goods sold from the revenue figure and then dividing it by the revenue figure. This ratio shows the proportion of money is left from the revenue of business when the good selling costs are subtracted from revenue. At the time of comparison the higher ratio is a good sign. The ratio also shows how efficient the business operation is and how much the business is able to pay the expenses of the business operation (Higgins, 2012). The change in the revenue figure of the change in the expense figure changes the ratio for any business. Higher revenue can earned through better pricing mechanisms or with efficient operation the cost can be reduced and both of them would impact the ratio positively. The same is true in negative sense. </w:t>
      </w:r>
    </w:p>
    <w:p w:rsidR="00940CAF" w:rsidRDefault="00940CAF" w:rsidP="00940CAF"/>
    <w:p w:rsidR="00940CAF" w:rsidRDefault="00940CAF" w:rsidP="00940CAF"/>
    <w:tbl>
      <w:tblPr>
        <w:tblW w:w="8580" w:type="dxa"/>
        <w:tblInd w:w="89" w:type="dxa"/>
        <w:tblLook w:val="04A0" w:firstRow="1" w:lastRow="0" w:firstColumn="1" w:lastColumn="0" w:noHBand="0" w:noVBand="1"/>
      </w:tblPr>
      <w:tblGrid>
        <w:gridCol w:w="3500"/>
        <w:gridCol w:w="1100"/>
        <w:gridCol w:w="1090"/>
        <w:gridCol w:w="1140"/>
        <w:gridCol w:w="1090"/>
        <w:gridCol w:w="1090"/>
      </w:tblGrid>
      <w:tr w:rsidR="00940CAF" w:rsidTr="00C92856">
        <w:trPr>
          <w:trHeight w:val="300"/>
        </w:trPr>
        <w:tc>
          <w:tcPr>
            <w:tcW w:w="3500" w:type="dxa"/>
            <w:tcBorders>
              <w:top w:val="single" w:sz="4" w:space="0" w:color="auto"/>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lastRenderedPageBreak/>
              <w:t> </w:t>
            </w:r>
          </w:p>
        </w:tc>
        <w:tc>
          <w:tcPr>
            <w:tcW w:w="110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c>
          <w:tcPr>
            <w:tcW w:w="9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c>
          <w:tcPr>
            <w:tcW w:w="11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c>
          <w:tcPr>
            <w:tcW w:w="96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c>
          <w:tcPr>
            <w:tcW w:w="9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 </w:t>
            </w:r>
          </w:p>
        </w:tc>
        <w:tc>
          <w:tcPr>
            <w:tcW w:w="1100"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2012</w:t>
            </w:r>
          </w:p>
        </w:tc>
        <w:tc>
          <w:tcPr>
            <w:tcW w:w="940"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2013</w:t>
            </w:r>
          </w:p>
        </w:tc>
        <w:tc>
          <w:tcPr>
            <w:tcW w:w="1140"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2014</w:t>
            </w:r>
          </w:p>
        </w:tc>
        <w:tc>
          <w:tcPr>
            <w:tcW w:w="960"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2015</w:t>
            </w:r>
          </w:p>
        </w:tc>
        <w:tc>
          <w:tcPr>
            <w:tcW w:w="940"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2016</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 xml:space="preserve">Gross profit </w:t>
            </w:r>
          </w:p>
        </w:tc>
        <w:tc>
          <w:tcPr>
            <w:tcW w:w="110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274</w:t>
            </w:r>
          </w:p>
        </w:tc>
        <w:tc>
          <w:tcPr>
            <w:tcW w:w="9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651</w:t>
            </w:r>
          </w:p>
        </w:tc>
        <w:tc>
          <w:tcPr>
            <w:tcW w:w="11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975</w:t>
            </w:r>
          </w:p>
        </w:tc>
        <w:tc>
          <w:tcPr>
            <w:tcW w:w="96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1264</w:t>
            </w:r>
          </w:p>
        </w:tc>
        <w:tc>
          <w:tcPr>
            <w:tcW w:w="9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1473</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Total revenue earned</w:t>
            </w:r>
          </w:p>
        </w:tc>
        <w:tc>
          <w:tcPr>
            <w:tcW w:w="110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10827</w:t>
            </w:r>
          </w:p>
        </w:tc>
        <w:tc>
          <w:tcPr>
            <w:tcW w:w="9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11,421</w:t>
            </w:r>
          </w:p>
        </w:tc>
        <w:tc>
          <w:tcPr>
            <w:tcW w:w="11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11,719</w:t>
            </w:r>
          </w:p>
        </w:tc>
        <w:tc>
          <w:tcPr>
            <w:tcW w:w="96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11,333</w:t>
            </w:r>
          </w:p>
        </w:tc>
        <w:tc>
          <w:tcPr>
            <w:tcW w:w="9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11,443</w:t>
            </w:r>
          </w:p>
        </w:tc>
      </w:tr>
    </w:tbl>
    <w:p w:rsidR="00940CAF" w:rsidRDefault="00940CAF" w:rsidP="00940CAF"/>
    <w:p w:rsidR="00940CAF" w:rsidRDefault="00940CAF" w:rsidP="00940CAF"/>
    <w:tbl>
      <w:tblPr>
        <w:tblW w:w="8580" w:type="dxa"/>
        <w:tblInd w:w="89" w:type="dxa"/>
        <w:tblLook w:val="04A0" w:firstRow="1" w:lastRow="0" w:firstColumn="1" w:lastColumn="0" w:noHBand="0" w:noVBand="1"/>
      </w:tblPr>
      <w:tblGrid>
        <w:gridCol w:w="3500"/>
        <w:gridCol w:w="1100"/>
        <w:gridCol w:w="940"/>
        <w:gridCol w:w="1140"/>
        <w:gridCol w:w="960"/>
        <w:gridCol w:w="940"/>
      </w:tblGrid>
      <w:tr w:rsidR="00940CAF" w:rsidTr="00C92856">
        <w:trPr>
          <w:trHeight w:val="990"/>
        </w:trPr>
        <w:tc>
          <w:tcPr>
            <w:tcW w:w="3500" w:type="dxa"/>
            <w:tcBorders>
              <w:top w:val="single" w:sz="4" w:space="0" w:color="auto"/>
              <w:left w:val="single" w:sz="4" w:space="0" w:color="auto"/>
              <w:bottom w:val="single" w:sz="4" w:space="0" w:color="auto"/>
              <w:right w:val="single" w:sz="4" w:space="0" w:color="auto"/>
            </w:tcBorders>
            <w:vAlign w:val="bottom"/>
            <w:hideMark/>
          </w:tcPr>
          <w:p w:rsidR="00940CAF" w:rsidRDefault="00940CAF" w:rsidP="00C92856">
            <w:pPr>
              <w:spacing w:after="0" w:line="240" w:lineRule="auto"/>
              <w:rPr>
                <w:rFonts w:eastAsia="Times New Roman" w:cs="Times New Roman"/>
                <w:b/>
                <w:bCs/>
                <w:i/>
                <w:iCs/>
                <w:color w:val="000000"/>
                <w:szCs w:val="24"/>
                <w:lang w:val="en-US"/>
              </w:rPr>
            </w:pPr>
            <w:r>
              <w:rPr>
                <w:rFonts w:eastAsia="Times New Roman" w:cs="Times New Roman"/>
                <w:b/>
                <w:bCs/>
                <w:i/>
                <w:iCs/>
                <w:color w:val="000000"/>
                <w:szCs w:val="24"/>
                <w:lang w:val="en-US"/>
              </w:rPr>
              <w:t>Gross profit margin</w:t>
            </w:r>
            <w:r>
              <w:rPr>
                <w:rFonts w:eastAsia="Times New Roman" w:cs="Times New Roman"/>
                <w:color w:val="000000"/>
                <w:szCs w:val="24"/>
                <w:lang w:val="en-US"/>
              </w:rPr>
              <w:t xml:space="preserve"> ([Gross profit /Net sales]*100) </w:t>
            </w:r>
          </w:p>
        </w:tc>
        <w:tc>
          <w:tcPr>
            <w:tcW w:w="110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3%</w:t>
            </w:r>
          </w:p>
        </w:tc>
        <w:tc>
          <w:tcPr>
            <w:tcW w:w="9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6%</w:t>
            </w:r>
          </w:p>
        </w:tc>
        <w:tc>
          <w:tcPr>
            <w:tcW w:w="11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8%</w:t>
            </w:r>
          </w:p>
        </w:tc>
        <w:tc>
          <w:tcPr>
            <w:tcW w:w="96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11%</w:t>
            </w:r>
          </w:p>
        </w:tc>
        <w:tc>
          <w:tcPr>
            <w:tcW w:w="9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13%</w:t>
            </w:r>
          </w:p>
        </w:tc>
      </w:tr>
    </w:tbl>
    <w:p w:rsidR="00940CAF" w:rsidRDefault="00940CAF" w:rsidP="00940CAF"/>
    <w:p w:rsidR="00940CAF" w:rsidRDefault="00940CAF" w:rsidP="00940CAF">
      <w:r>
        <w:t xml:space="preserve">The calculation of the gross profit margin takes in to account the </w:t>
      </w:r>
    </w:p>
    <w:p w:rsidR="00940CAF" w:rsidRDefault="00940CAF" w:rsidP="00940CAF">
      <w:pPr>
        <w:pStyle w:val="Heading3"/>
      </w:pPr>
      <w:bookmarkStart w:id="8" w:name="_Toc502257780"/>
      <w:r>
        <w:t>Net Profit margin</w:t>
      </w:r>
      <w:bookmarkEnd w:id="8"/>
    </w:p>
    <w:tbl>
      <w:tblPr>
        <w:tblW w:w="8716" w:type="dxa"/>
        <w:tblInd w:w="89" w:type="dxa"/>
        <w:tblLook w:val="04A0" w:firstRow="1" w:lastRow="0" w:firstColumn="1" w:lastColumn="0" w:noHBand="0" w:noVBand="1"/>
      </w:tblPr>
      <w:tblGrid>
        <w:gridCol w:w="3500"/>
        <w:gridCol w:w="1100"/>
        <w:gridCol w:w="1090"/>
        <w:gridCol w:w="1140"/>
        <w:gridCol w:w="1090"/>
        <w:gridCol w:w="1090"/>
      </w:tblGrid>
      <w:tr w:rsidR="00940CAF" w:rsidTr="00C92856">
        <w:trPr>
          <w:trHeight w:val="300"/>
        </w:trPr>
        <w:tc>
          <w:tcPr>
            <w:tcW w:w="3500" w:type="dxa"/>
            <w:tcBorders>
              <w:top w:val="single" w:sz="4" w:space="0" w:color="auto"/>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 </w:t>
            </w:r>
          </w:p>
        </w:tc>
        <w:tc>
          <w:tcPr>
            <w:tcW w:w="110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c>
          <w:tcPr>
            <w:tcW w:w="992"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c>
          <w:tcPr>
            <w:tcW w:w="11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c>
          <w:tcPr>
            <w:tcW w:w="992"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c>
          <w:tcPr>
            <w:tcW w:w="992"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 </w:t>
            </w:r>
          </w:p>
        </w:tc>
        <w:tc>
          <w:tcPr>
            <w:tcW w:w="1100"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2012</w:t>
            </w:r>
          </w:p>
        </w:tc>
        <w:tc>
          <w:tcPr>
            <w:tcW w:w="992"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2013</w:t>
            </w:r>
          </w:p>
        </w:tc>
        <w:tc>
          <w:tcPr>
            <w:tcW w:w="1140"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2014</w:t>
            </w:r>
          </w:p>
        </w:tc>
        <w:tc>
          <w:tcPr>
            <w:tcW w:w="992"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2015</w:t>
            </w:r>
          </w:p>
        </w:tc>
        <w:tc>
          <w:tcPr>
            <w:tcW w:w="992"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2016</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Total revenue earned</w:t>
            </w:r>
          </w:p>
        </w:tc>
        <w:tc>
          <w:tcPr>
            <w:tcW w:w="110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10827</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11,421</w:t>
            </w:r>
          </w:p>
        </w:tc>
        <w:tc>
          <w:tcPr>
            <w:tcW w:w="11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11,719</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11,333</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11,443</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Net profit/PBT(profit before tax)</w:t>
            </w:r>
          </w:p>
        </w:tc>
        <w:tc>
          <w:tcPr>
            <w:tcW w:w="110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-139</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300</w:t>
            </w:r>
          </w:p>
        </w:tc>
        <w:tc>
          <w:tcPr>
            <w:tcW w:w="11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859</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2,628</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1,566</w:t>
            </w:r>
          </w:p>
        </w:tc>
      </w:tr>
    </w:tbl>
    <w:p w:rsidR="00940CAF" w:rsidRDefault="00940CAF" w:rsidP="00940CAF"/>
    <w:tbl>
      <w:tblPr>
        <w:tblW w:w="8580" w:type="dxa"/>
        <w:tblInd w:w="89" w:type="dxa"/>
        <w:tblLook w:val="04A0" w:firstRow="1" w:lastRow="0" w:firstColumn="1" w:lastColumn="0" w:noHBand="0" w:noVBand="1"/>
      </w:tblPr>
      <w:tblGrid>
        <w:gridCol w:w="3484"/>
        <w:gridCol w:w="1100"/>
        <w:gridCol w:w="940"/>
        <w:gridCol w:w="1140"/>
        <w:gridCol w:w="960"/>
        <w:gridCol w:w="956"/>
      </w:tblGrid>
      <w:tr w:rsidR="00940CAF" w:rsidTr="00C92856">
        <w:trPr>
          <w:trHeight w:val="600"/>
        </w:trPr>
        <w:tc>
          <w:tcPr>
            <w:tcW w:w="3500" w:type="dxa"/>
            <w:tcBorders>
              <w:top w:val="single" w:sz="4" w:space="0" w:color="auto"/>
              <w:left w:val="single" w:sz="4" w:space="0" w:color="auto"/>
              <w:bottom w:val="single" w:sz="4" w:space="0" w:color="auto"/>
              <w:right w:val="single" w:sz="4" w:space="0" w:color="auto"/>
            </w:tcBorders>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b/>
                <w:bCs/>
                <w:color w:val="000000"/>
                <w:lang w:val="en-US"/>
              </w:rPr>
              <w:t>Net Profit margin</w:t>
            </w:r>
            <w:r>
              <w:rPr>
                <w:rFonts w:eastAsia="Times New Roman" w:cs="Times New Roman"/>
                <w:color w:val="000000"/>
                <w:lang w:val="en-US"/>
              </w:rPr>
              <w:t xml:space="preserve"> (Operating profit or EBIT/Net sales): </w:t>
            </w:r>
          </w:p>
        </w:tc>
        <w:tc>
          <w:tcPr>
            <w:tcW w:w="110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-1.28%</w:t>
            </w:r>
          </w:p>
        </w:tc>
        <w:tc>
          <w:tcPr>
            <w:tcW w:w="9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2.63%</w:t>
            </w:r>
          </w:p>
        </w:tc>
        <w:tc>
          <w:tcPr>
            <w:tcW w:w="11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7.33%</w:t>
            </w:r>
          </w:p>
        </w:tc>
        <w:tc>
          <w:tcPr>
            <w:tcW w:w="96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23.19%</w:t>
            </w:r>
          </w:p>
        </w:tc>
        <w:tc>
          <w:tcPr>
            <w:tcW w:w="9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13.69%</w:t>
            </w:r>
          </w:p>
        </w:tc>
      </w:tr>
    </w:tbl>
    <w:p w:rsidR="00940CAF" w:rsidRDefault="00940CAF" w:rsidP="00940CAF"/>
    <w:p w:rsidR="00940CAF" w:rsidRDefault="00940CAF" w:rsidP="00940CAF">
      <w:r>
        <w:t xml:space="preserve">This is the ratio of net profit and the business revenue figure. The most common expression of this type of ratio is in the form of percentage and gives the indication about how efficient the business is to convert the sales revenue into profit (Higgins, 2012). When the net profit is above the 10% market it is in general sense considered as favourable for the business.  The comparison of this ratio for the BA over its 5 year period of operation shows huge flocculation. The ratio is negative </w:t>
      </w:r>
      <w:r>
        <w:rPr>
          <w:rFonts w:eastAsia="Times New Roman" w:cs="Times New Roman"/>
          <w:color w:val="000000"/>
          <w:lang w:val="en-US"/>
        </w:rPr>
        <w:t xml:space="preserve">1.28% </w:t>
      </w:r>
      <w:r>
        <w:t xml:space="preserve">in the 2012. Here the organisation suffers a loss in its operation. The organisation improves in gradual basis from that situation. The 10% mark was crossed by the business in the 2015. The profitability margin is 3 times compared to the 2014’s operation but in the very next year the figure dropped to 13.69% mark. The table also shows that the revenue figure of the business in these years did not changed much but the profitability figure were </w:t>
      </w:r>
      <w:r>
        <w:lastRenderedPageBreak/>
        <w:t xml:space="preserve">impacted (Robinson </w:t>
      </w:r>
      <w:r>
        <w:rPr>
          <w:i/>
        </w:rPr>
        <w:t>et al.,</w:t>
      </w:r>
      <w:r>
        <w:t xml:space="preserve"> 2008). That means the business was able to improve the efficiency over the years which resulted in better profitability</w:t>
      </w:r>
    </w:p>
    <w:p w:rsidR="00940CAF" w:rsidRDefault="00940CAF" w:rsidP="00940CAF"/>
    <w:p w:rsidR="00940CAF" w:rsidRDefault="00940CAF" w:rsidP="00940CAF">
      <w:pPr>
        <w:pStyle w:val="Heading2"/>
      </w:pPr>
      <w:bookmarkStart w:id="9" w:name="_Toc502257781"/>
      <w:r>
        <w:t>Liquidity ratios:</w:t>
      </w:r>
      <w:bookmarkEnd w:id="9"/>
    </w:p>
    <w:p w:rsidR="00940CAF" w:rsidRDefault="00940CAF" w:rsidP="00940CAF">
      <w:r>
        <w:t xml:space="preserve">This is one of the important ratios of the business to actually understand the ability of the business to meet its obligations in the business (Han and Chen, 2007). This ratio provides the perspective of solvency position and the flow of cash in the business. </w:t>
      </w:r>
    </w:p>
    <w:p w:rsidR="00940CAF" w:rsidRDefault="00940CAF" w:rsidP="00940CAF"/>
    <w:p w:rsidR="00940CAF" w:rsidRDefault="00940CAF" w:rsidP="00940CAF"/>
    <w:p w:rsidR="00940CAF" w:rsidRDefault="00940CAF" w:rsidP="00940CAF">
      <w:pPr>
        <w:pStyle w:val="Heading3"/>
      </w:pPr>
      <w:bookmarkStart w:id="10" w:name="_Toc502257782"/>
      <w:r>
        <w:t>Current Ratio:</w:t>
      </w:r>
      <w:bookmarkEnd w:id="10"/>
    </w:p>
    <w:p w:rsidR="00940CAF" w:rsidRDefault="00940CAF" w:rsidP="00940CAF"/>
    <w:tbl>
      <w:tblPr>
        <w:tblW w:w="8716" w:type="dxa"/>
        <w:tblInd w:w="89" w:type="dxa"/>
        <w:tblLook w:val="04A0" w:firstRow="1" w:lastRow="0" w:firstColumn="1" w:lastColumn="0" w:noHBand="0" w:noVBand="1"/>
      </w:tblPr>
      <w:tblGrid>
        <w:gridCol w:w="3500"/>
        <w:gridCol w:w="1100"/>
        <w:gridCol w:w="1090"/>
        <w:gridCol w:w="1140"/>
        <w:gridCol w:w="1090"/>
        <w:gridCol w:w="1090"/>
      </w:tblGrid>
      <w:tr w:rsidR="00940CAF" w:rsidTr="00C92856">
        <w:trPr>
          <w:trHeight w:val="300"/>
        </w:trPr>
        <w:tc>
          <w:tcPr>
            <w:tcW w:w="3500" w:type="dxa"/>
            <w:tcBorders>
              <w:top w:val="single" w:sz="4" w:space="0" w:color="auto"/>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 </w:t>
            </w:r>
          </w:p>
        </w:tc>
        <w:tc>
          <w:tcPr>
            <w:tcW w:w="110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£,million</w:t>
            </w:r>
          </w:p>
        </w:tc>
        <w:tc>
          <w:tcPr>
            <w:tcW w:w="992"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£,million</w:t>
            </w:r>
          </w:p>
        </w:tc>
        <w:tc>
          <w:tcPr>
            <w:tcW w:w="11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£,million</w:t>
            </w:r>
          </w:p>
        </w:tc>
        <w:tc>
          <w:tcPr>
            <w:tcW w:w="992"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£,million</w:t>
            </w:r>
          </w:p>
        </w:tc>
        <w:tc>
          <w:tcPr>
            <w:tcW w:w="992"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£,million</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 </w:t>
            </w:r>
          </w:p>
        </w:tc>
        <w:tc>
          <w:tcPr>
            <w:tcW w:w="1100"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2012</w:t>
            </w:r>
          </w:p>
        </w:tc>
        <w:tc>
          <w:tcPr>
            <w:tcW w:w="992"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2013</w:t>
            </w:r>
          </w:p>
        </w:tc>
        <w:tc>
          <w:tcPr>
            <w:tcW w:w="1140"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2014</w:t>
            </w:r>
          </w:p>
        </w:tc>
        <w:tc>
          <w:tcPr>
            <w:tcW w:w="992"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2015</w:t>
            </w:r>
          </w:p>
        </w:tc>
        <w:tc>
          <w:tcPr>
            <w:tcW w:w="992"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2016</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Current asset</w:t>
            </w:r>
          </w:p>
        </w:tc>
        <w:tc>
          <w:tcPr>
            <w:tcW w:w="1100" w:type="dxa"/>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2,634</w:t>
            </w:r>
          </w:p>
        </w:tc>
        <w:tc>
          <w:tcPr>
            <w:tcW w:w="992"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2,915</w:t>
            </w:r>
          </w:p>
        </w:tc>
        <w:tc>
          <w:tcPr>
            <w:tcW w:w="11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3,583</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3400</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4071</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Current liability</w:t>
            </w:r>
          </w:p>
        </w:tc>
        <w:tc>
          <w:tcPr>
            <w:tcW w:w="110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4,398</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4,627</w:t>
            </w:r>
          </w:p>
        </w:tc>
        <w:tc>
          <w:tcPr>
            <w:tcW w:w="11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5,502</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5700</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5334</w:t>
            </w:r>
          </w:p>
        </w:tc>
      </w:tr>
    </w:tbl>
    <w:p w:rsidR="00940CAF" w:rsidRDefault="00940CAF" w:rsidP="00940CAF"/>
    <w:tbl>
      <w:tblPr>
        <w:tblW w:w="9019" w:type="dxa"/>
        <w:tblInd w:w="89" w:type="dxa"/>
        <w:tblLook w:val="04A0" w:firstRow="1" w:lastRow="0" w:firstColumn="1" w:lastColumn="0" w:noHBand="0" w:noVBand="1"/>
      </w:tblPr>
      <w:tblGrid>
        <w:gridCol w:w="3500"/>
        <w:gridCol w:w="1100"/>
        <w:gridCol w:w="940"/>
        <w:gridCol w:w="1140"/>
        <w:gridCol w:w="960"/>
        <w:gridCol w:w="1379"/>
      </w:tblGrid>
      <w:tr w:rsidR="00940CAF" w:rsidTr="00C92856">
        <w:trPr>
          <w:trHeight w:val="600"/>
        </w:trPr>
        <w:tc>
          <w:tcPr>
            <w:tcW w:w="3500" w:type="dxa"/>
            <w:tcBorders>
              <w:top w:val="single" w:sz="4" w:space="0" w:color="auto"/>
              <w:left w:val="single" w:sz="4" w:space="0" w:color="auto"/>
              <w:bottom w:val="single" w:sz="4" w:space="0" w:color="auto"/>
              <w:right w:val="single" w:sz="4" w:space="0" w:color="auto"/>
            </w:tcBorders>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b/>
                <w:bCs/>
                <w:color w:val="000000"/>
                <w:lang w:val="en-US"/>
              </w:rPr>
              <w:t>Current Ratio</w:t>
            </w:r>
            <w:r>
              <w:rPr>
                <w:rFonts w:eastAsia="Times New Roman" w:cs="Times New Roman"/>
                <w:color w:val="000000"/>
                <w:lang w:val="en-US"/>
              </w:rPr>
              <w:t xml:space="preserve"> ([Current asset/Current liability]*100): </w:t>
            </w:r>
          </w:p>
        </w:tc>
        <w:tc>
          <w:tcPr>
            <w:tcW w:w="110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0.60</w:t>
            </w:r>
          </w:p>
        </w:tc>
        <w:tc>
          <w:tcPr>
            <w:tcW w:w="9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0.63</w:t>
            </w:r>
          </w:p>
        </w:tc>
        <w:tc>
          <w:tcPr>
            <w:tcW w:w="11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0.65</w:t>
            </w:r>
          </w:p>
        </w:tc>
        <w:tc>
          <w:tcPr>
            <w:tcW w:w="96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0.60</w:t>
            </w:r>
          </w:p>
        </w:tc>
        <w:tc>
          <w:tcPr>
            <w:tcW w:w="1379"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0.76</w:t>
            </w:r>
          </w:p>
        </w:tc>
      </w:tr>
    </w:tbl>
    <w:p w:rsidR="00940CAF" w:rsidRDefault="00940CAF" w:rsidP="00940CAF"/>
    <w:p w:rsidR="00940CAF" w:rsidRDefault="00940CAF" w:rsidP="00940CAF">
      <w:r>
        <w:t xml:space="preserve">This is the ratio between the current asset of the business and the current liability. Current assets and liability is the assets liability position of the business in shorter term. The ratio can be under or above the number 1.  When the ratio is below 1, the liability of the business is greater than the current asset. Greater than 1 ratio shows the better asset position compared to current liability and here the business would be able to pay out its obligations (Healy and </w:t>
      </w:r>
      <w:proofErr w:type="spellStart"/>
      <w:r>
        <w:t>Palepu</w:t>
      </w:r>
      <w:proofErr w:type="spellEnd"/>
      <w:r>
        <w:t>, 2012). The current ratio of the BA is showing somewhat upward trend over the last five years of operation. There is no significant change in the ratio but the ratio of 2016 is showing most favourable position in recent year. The ratio of the business is below 1 and that means it would be difficult for BA to meet its short term obligation. The businesses have to arrange the fund from somewhere else to meet this obligation.</w:t>
      </w:r>
    </w:p>
    <w:p w:rsidR="00940CAF" w:rsidRDefault="00940CAF" w:rsidP="00940CAF"/>
    <w:p w:rsidR="00940CAF" w:rsidRDefault="00940CAF" w:rsidP="00940CAF">
      <w:pPr>
        <w:pStyle w:val="Heading3"/>
      </w:pPr>
      <w:bookmarkStart w:id="11" w:name="_Toc502257783"/>
      <w:r>
        <w:t>Quick Ratio:</w:t>
      </w:r>
      <w:bookmarkEnd w:id="11"/>
    </w:p>
    <w:tbl>
      <w:tblPr>
        <w:tblW w:w="8580" w:type="dxa"/>
        <w:tblInd w:w="89" w:type="dxa"/>
        <w:tblLook w:val="04A0" w:firstRow="1" w:lastRow="0" w:firstColumn="1" w:lastColumn="0" w:noHBand="0" w:noVBand="1"/>
      </w:tblPr>
      <w:tblGrid>
        <w:gridCol w:w="3500"/>
        <w:gridCol w:w="1100"/>
        <w:gridCol w:w="1090"/>
        <w:gridCol w:w="1140"/>
        <w:gridCol w:w="1090"/>
        <w:gridCol w:w="1090"/>
      </w:tblGrid>
      <w:tr w:rsidR="00940CAF" w:rsidTr="004802FE">
        <w:trPr>
          <w:trHeight w:val="300"/>
        </w:trPr>
        <w:tc>
          <w:tcPr>
            <w:tcW w:w="3500" w:type="dxa"/>
            <w:tcBorders>
              <w:top w:val="single" w:sz="4" w:space="0" w:color="auto"/>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 </w:t>
            </w:r>
          </w:p>
        </w:tc>
        <w:tc>
          <w:tcPr>
            <w:tcW w:w="1100" w:type="dxa"/>
            <w:tcBorders>
              <w:top w:val="single" w:sz="4" w:space="0" w:color="auto"/>
              <w:bottom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£,million</w:t>
            </w:r>
          </w:p>
        </w:tc>
        <w:tc>
          <w:tcPr>
            <w:tcW w:w="940" w:type="dxa"/>
            <w:tcBorders>
              <w:top w:val="single" w:sz="4" w:space="0" w:color="auto"/>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£,million</w:t>
            </w:r>
          </w:p>
        </w:tc>
        <w:tc>
          <w:tcPr>
            <w:tcW w:w="11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£,million</w:t>
            </w:r>
          </w:p>
        </w:tc>
        <w:tc>
          <w:tcPr>
            <w:tcW w:w="96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£,million</w:t>
            </w:r>
          </w:p>
        </w:tc>
        <w:tc>
          <w:tcPr>
            <w:tcW w:w="9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£,million</w:t>
            </w:r>
          </w:p>
        </w:tc>
      </w:tr>
      <w:tr w:rsidR="00940CAF" w:rsidTr="004802FE">
        <w:trPr>
          <w:trHeight w:val="300"/>
        </w:trPr>
        <w:tc>
          <w:tcPr>
            <w:tcW w:w="3500" w:type="dxa"/>
            <w:tcBorders>
              <w:top w:val="single" w:sz="4" w:space="0" w:color="auto"/>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Current asset</w:t>
            </w:r>
          </w:p>
        </w:tc>
        <w:tc>
          <w:tcPr>
            <w:tcW w:w="1100" w:type="dxa"/>
            <w:tcBorders>
              <w:top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2,634</w:t>
            </w:r>
          </w:p>
        </w:tc>
        <w:tc>
          <w:tcPr>
            <w:tcW w:w="940" w:type="dxa"/>
            <w:tcBorders>
              <w:top w:val="single" w:sz="4" w:space="0" w:color="auto"/>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2,915</w:t>
            </w:r>
          </w:p>
        </w:tc>
        <w:tc>
          <w:tcPr>
            <w:tcW w:w="11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3,583</w:t>
            </w:r>
          </w:p>
        </w:tc>
        <w:tc>
          <w:tcPr>
            <w:tcW w:w="96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3400</w:t>
            </w:r>
          </w:p>
        </w:tc>
        <w:tc>
          <w:tcPr>
            <w:tcW w:w="9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4071</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Current liability</w:t>
            </w:r>
          </w:p>
        </w:tc>
        <w:tc>
          <w:tcPr>
            <w:tcW w:w="110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4,398</w:t>
            </w:r>
          </w:p>
        </w:tc>
        <w:tc>
          <w:tcPr>
            <w:tcW w:w="9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4,627</w:t>
            </w:r>
          </w:p>
        </w:tc>
        <w:tc>
          <w:tcPr>
            <w:tcW w:w="11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5,502</w:t>
            </w:r>
          </w:p>
        </w:tc>
        <w:tc>
          <w:tcPr>
            <w:tcW w:w="96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5700</w:t>
            </w:r>
          </w:p>
        </w:tc>
        <w:tc>
          <w:tcPr>
            <w:tcW w:w="9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5334</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Average Inventory holding</w:t>
            </w:r>
          </w:p>
        </w:tc>
        <w:tc>
          <w:tcPr>
            <w:tcW w:w="110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117</w:t>
            </w:r>
          </w:p>
        </w:tc>
        <w:tc>
          <w:tcPr>
            <w:tcW w:w="9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533</w:t>
            </w:r>
          </w:p>
        </w:tc>
        <w:tc>
          <w:tcPr>
            <w:tcW w:w="11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531</w:t>
            </w:r>
          </w:p>
        </w:tc>
        <w:tc>
          <w:tcPr>
            <w:tcW w:w="96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139</w:t>
            </w:r>
          </w:p>
        </w:tc>
        <w:tc>
          <w:tcPr>
            <w:tcW w:w="9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133</w:t>
            </w:r>
          </w:p>
        </w:tc>
      </w:tr>
    </w:tbl>
    <w:p w:rsidR="00940CAF" w:rsidRDefault="00940CAF" w:rsidP="00940CAF"/>
    <w:tbl>
      <w:tblPr>
        <w:tblW w:w="9109" w:type="dxa"/>
        <w:tblInd w:w="89" w:type="dxa"/>
        <w:tblLook w:val="04A0" w:firstRow="1" w:lastRow="0" w:firstColumn="1" w:lastColumn="0" w:noHBand="0" w:noVBand="1"/>
      </w:tblPr>
      <w:tblGrid>
        <w:gridCol w:w="3500"/>
        <w:gridCol w:w="1100"/>
        <w:gridCol w:w="940"/>
        <w:gridCol w:w="1140"/>
        <w:gridCol w:w="960"/>
        <w:gridCol w:w="1469"/>
      </w:tblGrid>
      <w:tr w:rsidR="00940CAF" w:rsidTr="00C92856">
        <w:trPr>
          <w:trHeight w:val="615"/>
        </w:trPr>
        <w:tc>
          <w:tcPr>
            <w:tcW w:w="3500" w:type="dxa"/>
            <w:tcBorders>
              <w:top w:val="single" w:sz="4" w:space="0" w:color="auto"/>
              <w:left w:val="single" w:sz="4" w:space="0" w:color="auto"/>
              <w:bottom w:val="single" w:sz="4" w:space="0" w:color="auto"/>
              <w:right w:val="single" w:sz="4" w:space="0" w:color="auto"/>
            </w:tcBorders>
            <w:vAlign w:val="bottom"/>
            <w:hideMark/>
          </w:tcPr>
          <w:p w:rsidR="00940CAF" w:rsidRDefault="00940CAF" w:rsidP="00C92856">
            <w:pPr>
              <w:spacing w:after="0" w:line="240" w:lineRule="auto"/>
              <w:rPr>
                <w:rFonts w:eastAsia="Times New Roman" w:cs="Times New Roman"/>
                <w:b/>
                <w:bCs/>
                <w:color w:val="000000"/>
                <w:szCs w:val="24"/>
                <w:lang w:val="en-US"/>
              </w:rPr>
            </w:pPr>
            <w:r>
              <w:rPr>
                <w:rFonts w:eastAsia="Times New Roman" w:cs="Times New Roman"/>
                <w:b/>
                <w:bCs/>
                <w:color w:val="000000"/>
                <w:szCs w:val="24"/>
                <w:lang w:val="en-US"/>
              </w:rPr>
              <w:t>Quick Ratio</w:t>
            </w:r>
            <w:r>
              <w:rPr>
                <w:rFonts w:eastAsia="Times New Roman" w:cs="Times New Roman"/>
                <w:color w:val="000000"/>
                <w:szCs w:val="24"/>
                <w:lang w:val="en-US"/>
              </w:rPr>
              <w:t xml:space="preserve"> ([Current asset-Inventories]/ Current liability*100) </w:t>
            </w:r>
          </w:p>
        </w:tc>
        <w:tc>
          <w:tcPr>
            <w:tcW w:w="110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0.57</w:t>
            </w:r>
          </w:p>
        </w:tc>
        <w:tc>
          <w:tcPr>
            <w:tcW w:w="9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0.51</w:t>
            </w:r>
          </w:p>
        </w:tc>
        <w:tc>
          <w:tcPr>
            <w:tcW w:w="11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0.55</w:t>
            </w:r>
          </w:p>
        </w:tc>
        <w:tc>
          <w:tcPr>
            <w:tcW w:w="96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0.57</w:t>
            </w:r>
          </w:p>
        </w:tc>
        <w:tc>
          <w:tcPr>
            <w:tcW w:w="1469"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0.74</w:t>
            </w:r>
          </w:p>
        </w:tc>
      </w:tr>
    </w:tbl>
    <w:p w:rsidR="00940CAF" w:rsidRDefault="00940CAF" w:rsidP="00940CAF"/>
    <w:p w:rsidR="00940CAF" w:rsidRDefault="00940CAF" w:rsidP="00940CAF">
      <w:r>
        <w:t xml:space="preserve">Quick ratio is calculated the same way as current ratio but here the inventory position is subtracted from the current asset position. This approach provides the perspective of more liquid position of current asset in the business. The current asset is considered by the 90 days remittance period but the quick asset can be liquidated much faster (Penman and Penman, 2007). The quick ration of the business also follows the same trend of the current ratio. But the significant improvement can be seen in the year 2016. There the business has quick ratio is almost similar to the current ratio. So over the year BA is able to reduce the inventory position of the business and that helped in that quick asset position. </w:t>
      </w:r>
    </w:p>
    <w:p w:rsidR="00940CAF" w:rsidRDefault="00940CAF" w:rsidP="00940CAF"/>
    <w:p w:rsidR="00940CAF" w:rsidRDefault="00940CAF" w:rsidP="00940CAF">
      <w:pPr>
        <w:pStyle w:val="Heading2"/>
      </w:pPr>
      <w:bookmarkStart w:id="12" w:name="_Toc502257784"/>
      <w:r>
        <w:t>Efficiency ratio:</w:t>
      </w:r>
      <w:bookmarkEnd w:id="12"/>
    </w:p>
    <w:p w:rsidR="00940CAF" w:rsidRDefault="00940CAF" w:rsidP="00940CAF">
      <w:r>
        <w:t xml:space="preserve">This ratio of the business shows the efficient management of the business liability and asset for the positive outcome (Healy and </w:t>
      </w:r>
      <w:proofErr w:type="spellStart"/>
      <w:r>
        <w:t>Palepu</w:t>
      </w:r>
      <w:proofErr w:type="spellEnd"/>
      <w:r>
        <w:t>, 2012). The main perspective of the efficiency ratio is the efficient use of the asset for generating income in the business.</w:t>
      </w:r>
    </w:p>
    <w:p w:rsidR="00940CAF" w:rsidRDefault="00940CAF" w:rsidP="00940CAF"/>
    <w:p w:rsidR="004802FE" w:rsidRDefault="004802FE" w:rsidP="00940CAF"/>
    <w:p w:rsidR="004802FE" w:rsidRDefault="004802FE" w:rsidP="00940CAF"/>
    <w:p w:rsidR="004802FE" w:rsidRDefault="004802FE" w:rsidP="00940CAF"/>
    <w:p w:rsidR="00940CAF" w:rsidRDefault="00940CAF" w:rsidP="00940CAF">
      <w:pPr>
        <w:pStyle w:val="Heading3"/>
        <w:rPr>
          <w:rFonts w:eastAsia="Times New Roman"/>
          <w:lang w:val="en-US"/>
        </w:rPr>
      </w:pPr>
      <w:bookmarkStart w:id="13" w:name="_Toc502257785"/>
      <w:r>
        <w:rPr>
          <w:rFonts w:eastAsia="Times New Roman"/>
          <w:lang w:val="en-US"/>
        </w:rPr>
        <w:lastRenderedPageBreak/>
        <w:t>Return on capital employed:</w:t>
      </w:r>
      <w:bookmarkEnd w:id="13"/>
    </w:p>
    <w:p w:rsidR="00940CAF" w:rsidRDefault="00940CAF" w:rsidP="00940CAF">
      <w:pPr>
        <w:rPr>
          <w:lang w:val="en-US"/>
        </w:rPr>
      </w:pPr>
    </w:p>
    <w:tbl>
      <w:tblPr>
        <w:tblW w:w="9109" w:type="dxa"/>
        <w:tblInd w:w="89" w:type="dxa"/>
        <w:tblLook w:val="04A0" w:firstRow="1" w:lastRow="0" w:firstColumn="1" w:lastColumn="0" w:noHBand="0" w:noVBand="1"/>
      </w:tblPr>
      <w:tblGrid>
        <w:gridCol w:w="3500"/>
        <w:gridCol w:w="1100"/>
        <w:gridCol w:w="1059"/>
        <w:gridCol w:w="52"/>
        <w:gridCol w:w="1088"/>
        <w:gridCol w:w="52"/>
        <w:gridCol w:w="989"/>
        <w:gridCol w:w="101"/>
        <w:gridCol w:w="1313"/>
      </w:tblGrid>
      <w:tr w:rsidR="00940CAF" w:rsidTr="00C92856">
        <w:trPr>
          <w:trHeight w:val="300"/>
        </w:trPr>
        <w:tc>
          <w:tcPr>
            <w:tcW w:w="3500" w:type="dxa"/>
            <w:tcBorders>
              <w:top w:val="single" w:sz="4" w:space="0" w:color="auto"/>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 </w:t>
            </w:r>
          </w:p>
        </w:tc>
        <w:tc>
          <w:tcPr>
            <w:tcW w:w="110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c>
          <w:tcPr>
            <w:tcW w:w="1039" w:type="dxa"/>
            <w:gridSpan w:val="2"/>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c>
          <w:tcPr>
            <w:tcW w:w="1140" w:type="dxa"/>
            <w:gridSpan w:val="2"/>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c>
          <w:tcPr>
            <w:tcW w:w="1017" w:type="dxa"/>
            <w:gridSpan w:val="2"/>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c>
          <w:tcPr>
            <w:tcW w:w="1313"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r>
      <w:tr w:rsidR="00940CAF" w:rsidTr="00C92856">
        <w:trPr>
          <w:trHeight w:val="300"/>
        </w:trPr>
        <w:tc>
          <w:tcPr>
            <w:tcW w:w="3500" w:type="dxa"/>
            <w:tcBorders>
              <w:top w:val="single" w:sz="4" w:space="0" w:color="auto"/>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Capital Employed</w:t>
            </w:r>
          </w:p>
        </w:tc>
        <w:tc>
          <w:tcPr>
            <w:tcW w:w="110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3,416</w:t>
            </w:r>
          </w:p>
        </w:tc>
        <w:tc>
          <w:tcPr>
            <w:tcW w:w="987"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4,024</w:t>
            </w:r>
          </w:p>
        </w:tc>
        <w:tc>
          <w:tcPr>
            <w:tcW w:w="1140" w:type="dxa"/>
            <w:gridSpan w:val="2"/>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5,113</w:t>
            </w:r>
          </w:p>
        </w:tc>
        <w:tc>
          <w:tcPr>
            <w:tcW w:w="979" w:type="dxa"/>
            <w:gridSpan w:val="2"/>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6,580</w:t>
            </w:r>
          </w:p>
        </w:tc>
        <w:tc>
          <w:tcPr>
            <w:tcW w:w="1403" w:type="dxa"/>
            <w:gridSpan w:val="2"/>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6,105</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EBIT</w:t>
            </w:r>
          </w:p>
        </w:tc>
        <w:tc>
          <w:tcPr>
            <w:tcW w:w="110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-139</w:t>
            </w:r>
          </w:p>
        </w:tc>
        <w:tc>
          <w:tcPr>
            <w:tcW w:w="987"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300</w:t>
            </w:r>
          </w:p>
        </w:tc>
        <w:tc>
          <w:tcPr>
            <w:tcW w:w="1140" w:type="dxa"/>
            <w:gridSpan w:val="2"/>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859</w:t>
            </w:r>
          </w:p>
        </w:tc>
        <w:tc>
          <w:tcPr>
            <w:tcW w:w="979" w:type="dxa"/>
            <w:gridSpan w:val="2"/>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2628</w:t>
            </w:r>
          </w:p>
        </w:tc>
        <w:tc>
          <w:tcPr>
            <w:tcW w:w="1403" w:type="dxa"/>
            <w:gridSpan w:val="2"/>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1566</w:t>
            </w:r>
          </w:p>
        </w:tc>
      </w:tr>
    </w:tbl>
    <w:p w:rsidR="00940CAF" w:rsidRDefault="00940CAF" w:rsidP="00940CAF"/>
    <w:tbl>
      <w:tblPr>
        <w:tblW w:w="9109" w:type="dxa"/>
        <w:tblInd w:w="89" w:type="dxa"/>
        <w:tblLook w:val="04A0" w:firstRow="1" w:lastRow="0" w:firstColumn="1" w:lastColumn="0" w:noHBand="0" w:noVBand="1"/>
      </w:tblPr>
      <w:tblGrid>
        <w:gridCol w:w="3500"/>
        <w:gridCol w:w="1100"/>
        <w:gridCol w:w="940"/>
        <w:gridCol w:w="1140"/>
        <w:gridCol w:w="960"/>
        <w:gridCol w:w="1469"/>
      </w:tblGrid>
      <w:tr w:rsidR="00940CAF" w:rsidTr="00C92856">
        <w:trPr>
          <w:trHeight w:val="945"/>
        </w:trPr>
        <w:tc>
          <w:tcPr>
            <w:tcW w:w="3500" w:type="dxa"/>
            <w:tcBorders>
              <w:top w:val="single" w:sz="4" w:space="0" w:color="auto"/>
              <w:left w:val="single" w:sz="4" w:space="0" w:color="auto"/>
              <w:bottom w:val="single" w:sz="4" w:space="0" w:color="auto"/>
              <w:right w:val="single" w:sz="4" w:space="0" w:color="auto"/>
            </w:tcBorders>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Return on capital employed(ROCE)[EBIT/capital employed]</w:t>
            </w:r>
          </w:p>
        </w:tc>
        <w:tc>
          <w:tcPr>
            <w:tcW w:w="110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ascii="Calibri" w:eastAsia="Times New Roman" w:hAnsi="Calibri" w:cs="Times New Roman"/>
                <w:color w:val="000000"/>
                <w:lang w:val="en-US"/>
              </w:rPr>
            </w:pPr>
            <w:r>
              <w:rPr>
                <w:rFonts w:ascii="Calibri" w:eastAsia="Times New Roman" w:hAnsi="Calibri" w:cs="Times New Roman"/>
                <w:color w:val="000000"/>
                <w:lang w:val="en-US"/>
              </w:rPr>
              <w:t>-0.01</w:t>
            </w:r>
          </w:p>
        </w:tc>
        <w:tc>
          <w:tcPr>
            <w:tcW w:w="9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ascii="Calibri" w:eastAsia="Times New Roman" w:hAnsi="Calibri" w:cs="Times New Roman"/>
                <w:color w:val="000000"/>
                <w:lang w:val="en-US"/>
              </w:rPr>
            </w:pPr>
            <w:r>
              <w:rPr>
                <w:rFonts w:ascii="Calibri" w:eastAsia="Times New Roman" w:hAnsi="Calibri" w:cs="Times New Roman"/>
                <w:color w:val="000000"/>
                <w:lang w:val="en-US"/>
              </w:rPr>
              <w:t>0.03</w:t>
            </w:r>
          </w:p>
        </w:tc>
        <w:tc>
          <w:tcPr>
            <w:tcW w:w="11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ascii="Calibri" w:eastAsia="Times New Roman" w:hAnsi="Calibri" w:cs="Times New Roman"/>
                <w:color w:val="000000"/>
                <w:lang w:val="en-US"/>
              </w:rPr>
            </w:pPr>
            <w:r>
              <w:rPr>
                <w:rFonts w:ascii="Calibri" w:eastAsia="Times New Roman" w:hAnsi="Calibri" w:cs="Times New Roman"/>
                <w:color w:val="000000"/>
                <w:lang w:val="en-US"/>
              </w:rPr>
              <w:t>0.06</w:t>
            </w:r>
          </w:p>
        </w:tc>
        <w:tc>
          <w:tcPr>
            <w:tcW w:w="96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ascii="Calibri" w:eastAsia="Times New Roman" w:hAnsi="Calibri" w:cs="Times New Roman"/>
                <w:color w:val="000000"/>
                <w:lang w:val="en-US"/>
              </w:rPr>
            </w:pPr>
            <w:r>
              <w:rPr>
                <w:rFonts w:ascii="Calibri" w:eastAsia="Times New Roman" w:hAnsi="Calibri" w:cs="Times New Roman"/>
                <w:color w:val="000000"/>
                <w:lang w:val="en-US"/>
              </w:rPr>
              <w:t>0.17</w:t>
            </w:r>
          </w:p>
        </w:tc>
        <w:tc>
          <w:tcPr>
            <w:tcW w:w="1469"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ascii="Calibri" w:eastAsia="Times New Roman" w:hAnsi="Calibri" w:cs="Times New Roman"/>
                <w:color w:val="000000"/>
                <w:lang w:val="en-US"/>
              </w:rPr>
            </w:pPr>
            <w:r>
              <w:rPr>
                <w:rFonts w:ascii="Calibri" w:eastAsia="Times New Roman" w:hAnsi="Calibri" w:cs="Times New Roman"/>
                <w:color w:val="000000"/>
                <w:lang w:val="en-US"/>
              </w:rPr>
              <w:t>0.10</w:t>
            </w:r>
          </w:p>
        </w:tc>
      </w:tr>
    </w:tbl>
    <w:p w:rsidR="00940CAF" w:rsidRDefault="00940CAF" w:rsidP="00940CAF"/>
    <w:p w:rsidR="00940CAF" w:rsidRDefault="00940CAF" w:rsidP="00940CAF">
      <w:r>
        <w:t xml:space="preserve">The calculation of this ratio is done by dividing the </w:t>
      </w:r>
      <w:r w:rsidR="00037236">
        <w:t>earnings</w:t>
      </w:r>
      <w:r>
        <w:t xml:space="preserve"> before interest and tax with the total employed capital. EBIT is the profitability measure of the business and comparing it with the capital employed provides the perspective of how the employed capital is able to make profit for the businesses. EBIT is also the measure of profitability at the operating level and from that perspective the ratio shows how the business employs its capital to earn positively from its operation (Penman and Penman, 2007). For BA the ratio in the 2012 is negative. Over the years it gradually improved and in 2015 crossed0.10 mark. In the ROCE the capital employed figure covers the all the liability including the debt. BA operates in the capital intensive airlines industry. Here low level of ROCE figure is visible as the liability figure is high for the industry. </w:t>
      </w:r>
    </w:p>
    <w:p w:rsidR="00940CAF" w:rsidRDefault="00940CAF" w:rsidP="00940CAF"/>
    <w:p w:rsidR="00940CAF" w:rsidRDefault="00940CAF" w:rsidP="00940CAF">
      <w:pPr>
        <w:pStyle w:val="Heading3"/>
      </w:pPr>
      <w:bookmarkStart w:id="14" w:name="_Toc502257786"/>
      <w:r>
        <w:t>Total asset turnover ratio:</w:t>
      </w:r>
      <w:bookmarkEnd w:id="14"/>
    </w:p>
    <w:p w:rsidR="00940CAF" w:rsidRDefault="00940CAF" w:rsidP="00940CAF"/>
    <w:tbl>
      <w:tblPr>
        <w:tblW w:w="8716" w:type="dxa"/>
        <w:tblInd w:w="89" w:type="dxa"/>
        <w:tblLook w:val="04A0" w:firstRow="1" w:lastRow="0" w:firstColumn="1" w:lastColumn="0" w:noHBand="0" w:noVBand="1"/>
      </w:tblPr>
      <w:tblGrid>
        <w:gridCol w:w="3500"/>
        <w:gridCol w:w="1100"/>
        <w:gridCol w:w="1090"/>
        <w:gridCol w:w="1140"/>
        <w:gridCol w:w="1090"/>
        <w:gridCol w:w="1090"/>
      </w:tblGrid>
      <w:tr w:rsidR="00940CAF" w:rsidTr="00C92856">
        <w:trPr>
          <w:trHeight w:val="300"/>
        </w:trPr>
        <w:tc>
          <w:tcPr>
            <w:tcW w:w="3500" w:type="dxa"/>
            <w:tcBorders>
              <w:top w:val="single" w:sz="4" w:space="0" w:color="auto"/>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 </w:t>
            </w:r>
          </w:p>
        </w:tc>
        <w:tc>
          <w:tcPr>
            <w:tcW w:w="110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c>
          <w:tcPr>
            <w:tcW w:w="992"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c>
          <w:tcPr>
            <w:tcW w:w="11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c>
          <w:tcPr>
            <w:tcW w:w="992"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c>
          <w:tcPr>
            <w:tcW w:w="992"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£,million</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 </w:t>
            </w:r>
          </w:p>
        </w:tc>
        <w:tc>
          <w:tcPr>
            <w:tcW w:w="1100"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2012</w:t>
            </w:r>
          </w:p>
        </w:tc>
        <w:tc>
          <w:tcPr>
            <w:tcW w:w="992"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2013</w:t>
            </w:r>
          </w:p>
        </w:tc>
        <w:tc>
          <w:tcPr>
            <w:tcW w:w="1140"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2014</w:t>
            </w:r>
          </w:p>
        </w:tc>
        <w:tc>
          <w:tcPr>
            <w:tcW w:w="992"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2015</w:t>
            </w:r>
          </w:p>
        </w:tc>
        <w:tc>
          <w:tcPr>
            <w:tcW w:w="992" w:type="dxa"/>
            <w:tcBorders>
              <w:top w:val="nil"/>
              <w:left w:val="nil"/>
              <w:bottom w:val="single" w:sz="4" w:space="0" w:color="auto"/>
              <w:right w:val="single" w:sz="4" w:space="0" w:color="auto"/>
            </w:tcBorders>
            <w:shd w:val="clear" w:color="auto" w:fill="EEECE1"/>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2016</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Total revenue earned</w:t>
            </w:r>
          </w:p>
        </w:tc>
        <w:tc>
          <w:tcPr>
            <w:tcW w:w="110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10827</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11,421</w:t>
            </w:r>
          </w:p>
        </w:tc>
        <w:tc>
          <w:tcPr>
            <w:tcW w:w="11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11,719</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11,333</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11,443</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lang w:val="en-US"/>
              </w:rPr>
            </w:pPr>
            <w:r>
              <w:rPr>
                <w:rFonts w:eastAsia="Times New Roman" w:cs="Times New Roman"/>
                <w:color w:val="000000"/>
                <w:lang w:val="en-US"/>
              </w:rPr>
              <w:t>Total average asset</w:t>
            </w:r>
          </w:p>
        </w:tc>
        <w:tc>
          <w:tcPr>
            <w:tcW w:w="110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11837</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11,921</w:t>
            </w:r>
          </w:p>
        </w:tc>
        <w:tc>
          <w:tcPr>
            <w:tcW w:w="11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13,426</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15376</w:t>
            </w:r>
          </w:p>
        </w:tc>
        <w:tc>
          <w:tcPr>
            <w:tcW w:w="992"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lang w:val="en-US"/>
              </w:rPr>
            </w:pPr>
            <w:r>
              <w:rPr>
                <w:rFonts w:eastAsia="Times New Roman" w:cs="Times New Roman"/>
                <w:color w:val="000000"/>
                <w:lang w:val="en-US"/>
              </w:rPr>
              <w:t>16471</w:t>
            </w:r>
          </w:p>
        </w:tc>
      </w:tr>
    </w:tbl>
    <w:p w:rsidR="00940CAF" w:rsidRDefault="00940CAF" w:rsidP="00940CAF"/>
    <w:tbl>
      <w:tblPr>
        <w:tblW w:w="9019" w:type="dxa"/>
        <w:tblInd w:w="89" w:type="dxa"/>
        <w:tblLook w:val="04A0" w:firstRow="1" w:lastRow="0" w:firstColumn="1" w:lastColumn="0" w:noHBand="0" w:noVBand="1"/>
      </w:tblPr>
      <w:tblGrid>
        <w:gridCol w:w="3500"/>
        <w:gridCol w:w="1100"/>
        <w:gridCol w:w="940"/>
        <w:gridCol w:w="1140"/>
        <w:gridCol w:w="960"/>
        <w:gridCol w:w="1379"/>
      </w:tblGrid>
      <w:tr w:rsidR="00940CAF" w:rsidTr="00C92856">
        <w:trPr>
          <w:trHeight w:val="630"/>
        </w:trPr>
        <w:tc>
          <w:tcPr>
            <w:tcW w:w="3500" w:type="dxa"/>
            <w:tcBorders>
              <w:top w:val="single" w:sz="4" w:space="0" w:color="auto"/>
              <w:left w:val="single" w:sz="4" w:space="0" w:color="auto"/>
              <w:bottom w:val="single" w:sz="4" w:space="0" w:color="auto"/>
              <w:right w:val="single" w:sz="4" w:space="0" w:color="auto"/>
            </w:tcBorders>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Total asset turnover ratio(net sales or revenue/Total average asset)</w:t>
            </w:r>
          </w:p>
        </w:tc>
        <w:tc>
          <w:tcPr>
            <w:tcW w:w="110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0.91</w:t>
            </w:r>
          </w:p>
        </w:tc>
        <w:tc>
          <w:tcPr>
            <w:tcW w:w="9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0.96</w:t>
            </w:r>
          </w:p>
        </w:tc>
        <w:tc>
          <w:tcPr>
            <w:tcW w:w="11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0.87</w:t>
            </w:r>
          </w:p>
        </w:tc>
        <w:tc>
          <w:tcPr>
            <w:tcW w:w="96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0.74</w:t>
            </w:r>
          </w:p>
        </w:tc>
        <w:tc>
          <w:tcPr>
            <w:tcW w:w="1379"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0.69</w:t>
            </w:r>
          </w:p>
        </w:tc>
      </w:tr>
    </w:tbl>
    <w:p w:rsidR="00940CAF" w:rsidRDefault="00940CAF" w:rsidP="00940CAF"/>
    <w:p w:rsidR="00940CAF" w:rsidRDefault="00940CAF" w:rsidP="00940CAF">
      <w:r>
        <w:lastRenderedPageBreak/>
        <w:t>The ratio of asset turnover is arrived at by dividing the total sales revenue figure of the business with the total asset position of the business. This is the measure of the total asset management for efficient generation of the sale revenue in the business. This is the measure of efficient employment of the asset class of the business for generation maximum sale revenue. The favourable ration must be higher in value. The ratio also depends on the industrial sectors. In some industries the level of asset required for the business is low but the revenue figure is impressive, there the highest ratio can be witness (</w:t>
      </w:r>
      <w:proofErr w:type="spellStart"/>
      <w:r>
        <w:t>Subramanyam</w:t>
      </w:r>
      <w:proofErr w:type="spellEnd"/>
      <w:r>
        <w:t xml:space="preserve"> and Wild, 2009). . In case of the airlines industry the requirements for the asset class is quite high. This is a capital intensive industry. In case of BA the scenario is showing a trend of diminishing asset turnover ratio. In year 2012 the ratios were close to 1 that means single unit price of were able to produce single unit prices of revenue from the business. But over the years the ration came up to 0.69. This is the result of increasing asset class in the business but at the same time the revenue of the business did not improve.  </w:t>
      </w:r>
    </w:p>
    <w:p w:rsidR="00940CAF" w:rsidRDefault="00940CAF" w:rsidP="00940CAF"/>
    <w:p w:rsidR="00940CAF" w:rsidRDefault="00940CAF" w:rsidP="00940CAF">
      <w:pPr>
        <w:pStyle w:val="Heading3"/>
      </w:pPr>
      <w:bookmarkStart w:id="15" w:name="_Toc502257787"/>
      <w:r>
        <w:t>Gearing Ratio</w:t>
      </w:r>
      <w:bookmarkEnd w:id="15"/>
    </w:p>
    <w:p w:rsidR="00940CAF" w:rsidRDefault="00940CAF" w:rsidP="00940CAF"/>
    <w:tbl>
      <w:tblPr>
        <w:tblW w:w="9010" w:type="dxa"/>
        <w:tblInd w:w="89" w:type="dxa"/>
        <w:tblLook w:val="04A0" w:firstRow="1" w:lastRow="0" w:firstColumn="1" w:lastColumn="0" w:noHBand="0" w:noVBand="1"/>
      </w:tblPr>
      <w:tblGrid>
        <w:gridCol w:w="3500"/>
        <w:gridCol w:w="1100"/>
        <w:gridCol w:w="1090"/>
        <w:gridCol w:w="1140"/>
        <w:gridCol w:w="1090"/>
        <w:gridCol w:w="1090"/>
      </w:tblGrid>
      <w:tr w:rsidR="00940CAF" w:rsidTr="00C92856">
        <w:trPr>
          <w:trHeight w:val="300"/>
        </w:trPr>
        <w:tc>
          <w:tcPr>
            <w:tcW w:w="3500" w:type="dxa"/>
            <w:tcBorders>
              <w:top w:val="single" w:sz="4" w:space="0" w:color="auto"/>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 </w:t>
            </w:r>
          </w:p>
        </w:tc>
        <w:tc>
          <w:tcPr>
            <w:tcW w:w="110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£,million</w:t>
            </w:r>
          </w:p>
        </w:tc>
        <w:tc>
          <w:tcPr>
            <w:tcW w:w="109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£,million</w:t>
            </w:r>
          </w:p>
        </w:tc>
        <w:tc>
          <w:tcPr>
            <w:tcW w:w="11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£,million</w:t>
            </w:r>
          </w:p>
        </w:tc>
        <w:tc>
          <w:tcPr>
            <w:tcW w:w="109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£,million</w:t>
            </w:r>
          </w:p>
        </w:tc>
        <w:tc>
          <w:tcPr>
            <w:tcW w:w="109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£,million</w:t>
            </w:r>
          </w:p>
        </w:tc>
      </w:tr>
      <w:tr w:rsidR="00940CAF" w:rsidTr="00C92856">
        <w:trPr>
          <w:trHeight w:val="300"/>
        </w:trPr>
        <w:tc>
          <w:tcPr>
            <w:tcW w:w="3500" w:type="dxa"/>
            <w:tcBorders>
              <w:top w:val="single" w:sz="4" w:space="0" w:color="auto"/>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share capital</w:t>
            </w:r>
          </w:p>
        </w:tc>
        <w:tc>
          <w:tcPr>
            <w:tcW w:w="110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290</w:t>
            </w:r>
          </w:p>
        </w:tc>
        <w:tc>
          <w:tcPr>
            <w:tcW w:w="109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290</w:t>
            </w:r>
          </w:p>
        </w:tc>
        <w:tc>
          <w:tcPr>
            <w:tcW w:w="114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290</w:t>
            </w:r>
          </w:p>
        </w:tc>
        <w:tc>
          <w:tcPr>
            <w:tcW w:w="109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290</w:t>
            </w:r>
          </w:p>
        </w:tc>
        <w:tc>
          <w:tcPr>
            <w:tcW w:w="1090"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290</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Retained earning</w:t>
            </w:r>
          </w:p>
        </w:tc>
        <w:tc>
          <w:tcPr>
            <w:tcW w:w="110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-100</w:t>
            </w:r>
          </w:p>
        </w:tc>
        <w:tc>
          <w:tcPr>
            <w:tcW w:w="109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281</w:t>
            </w:r>
          </w:p>
        </w:tc>
        <w:tc>
          <w:tcPr>
            <w:tcW w:w="11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702</w:t>
            </w:r>
          </w:p>
        </w:tc>
        <w:tc>
          <w:tcPr>
            <w:tcW w:w="109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2,508</w:t>
            </w:r>
          </w:p>
        </w:tc>
        <w:tc>
          <w:tcPr>
            <w:tcW w:w="109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1345</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long term liabilities</w:t>
            </w:r>
          </w:p>
        </w:tc>
        <w:tc>
          <w:tcPr>
            <w:tcW w:w="110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3226</w:t>
            </w:r>
          </w:p>
        </w:tc>
        <w:tc>
          <w:tcPr>
            <w:tcW w:w="109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3,453</w:t>
            </w:r>
          </w:p>
        </w:tc>
        <w:tc>
          <w:tcPr>
            <w:tcW w:w="11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4,121</w:t>
            </w:r>
          </w:p>
        </w:tc>
        <w:tc>
          <w:tcPr>
            <w:tcW w:w="109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3782</w:t>
            </w:r>
          </w:p>
        </w:tc>
        <w:tc>
          <w:tcPr>
            <w:tcW w:w="109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4470</w:t>
            </w:r>
          </w:p>
        </w:tc>
      </w:tr>
      <w:tr w:rsidR="00940CAF" w:rsidTr="00C92856">
        <w:trPr>
          <w:trHeight w:val="300"/>
        </w:trPr>
        <w:tc>
          <w:tcPr>
            <w:tcW w:w="3500" w:type="dxa"/>
            <w:tcBorders>
              <w:top w:val="nil"/>
              <w:left w:val="single" w:sz="4" w:space="0" w:color="auto"/>
              <w:bottom w:val="single" w:sz="4" w:space="0" w:color="auto"/>
              <w:right w:val="single" w:sz="4" w:space="0" w:color="auto"/>
            </w:tcBorders>
            <w:noWrap/>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capital employed</w:t>
            </w:r>
          </w:p>
        </w:tc>
        <w:tc>
          <w:tcPr>
            <w:tcW w:w="110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3,416</w:t>
            </w:r>
          </w:p>
        </w:tc>
        <w:tc>
          <w:tcPr>
            <w:tcW w:w="109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4,024</w:t>
            </w:r>
          </w:p>
        </w:tc>
        <w:tc>
          <w:tcPr>
            <w:tcW w:w="114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5,113</w:t>
            </w:r>
          </w:p>
        </w:tc>
        <w:tc>
          <w:tcPr>
            <w:tcW w:w="109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6,580</w:t>
            </w:r>
          </w:p>
        </w:tc>
        <w:tc>
          <w:tcPr>
            <w:tcW w:w="1090" w:type="dxa"/>
            <w:tcBorders>
              <w:top w:val="nil"/>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6,105</w:t>
            </w:r>
          </w:p>
        </w:tc>
      </w:tr>
    </w:tbl>
    <w:p w:rsidR="00940CAF" w:rsidRDefault="00940CAF" w:rsidP="00940CAF"/>
    <w:tbl>
      <w:tblPr>
        <w:tblW w:w="9019" w:type="dxa"/>
        <w:tblInd w:w="89" w:type="dxa"/>
        <w:tblLook w:val="04A0" w:firstRow="1" w:lastRow="0" w:firstColumn="1" w:lastColumn="0" w:noHBand="0" w:noVBand="1"/>
      </w:tblPr>
      <w:tblGrid>
        <w:gridCol w:w="3079"/>
        <w:gridCol w:w="1236"/>
        <w:gridCol w:w="1116"/>
        <w:gridCol w:w="1356"/>
        <w:gridCol w:w="1116"/>
        <w:gridCol w:w="1116"/>
      </w:tblGrid>
      <w:tr w:rsidR="00940CAF" w:rsidTr="00C92856">
        <w:trPr>
          <w:trHeight w:val="1260"/>
        </w:trPr>
        <w:tc>
          <w:tcPr>
            <w:tcW w:w="3529" w:type="dxa"/>
            <w:tcBorders>
              <w:top w:val="single" w:sz="4" w:space="0" w:color="auto"/>
              <w:left w:val="single" w:sz="4" w:space="0" w:color="auto"/>
              <w:bottom w:val="single" w:sz="4" w:space="0" w:color="auto"/>
              <w:right w:val="single" w:sz="4" w:space="0" w:color="auto"/>
            </w:tcBorders>
            <w:vAlign w:val="bottom"/>
            <w:hideMark/>
          </w:tcPr>
          <w:p w:rsidR="00940CAF" w:rsidRDefault="00940CAF" w:rsidP="00C92856">
            <w:pPr>
              <w:spacing w:after="0" w:line="240" w:lineRule="auto"/>
              <w:rPr>
                <w:rFonts w:eastAsia="Times New Roman" w:cs="Times New Roman"/>
                <w:color w:val="000000"/>
                <w:szCs w:val="24"/>
                <w:lang w:val="en-US"/>
              </w:rPr>
            </w:pPr>
            <w:r>
              <w:rPr>
                <w:rFonts w:eastAsia="Times New Roman" w:cs="Times New Roman"/>
                <w:color w:val="000000"/>
                <w:szCs w:val="24"/>
                <w:lang w:val="en-US"/>
              </w:rPr>
              <w:t>Gearing Ratio(long term liabilities/capital employed),capital employed=Share capital + retained earnings + long-term liabilities</w:t>
            </w:r>
          </w:p>
        </w:tc>
        <w:tc>
          <w:tcPr>
            <w:tcW w:w="786"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0.9443794</w:t>
            </w:r>
          </w:p>
        </w:tc>
        <w:tc>
          <w:tcPr>
            <w:tcW w:w="1116"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0.858101</w:t>
            </w:r>
          </w:p>
        </w:tc>
        <w:tc>
          <w:tcPr>
            <w:tcW w:w="1356"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0.80598474</w:t>
            </w:r>
          </w:p>
        </w:tc>
        <w:tc>
          <w:tcPr>
            <w:tcW w:w="1116"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0.574772</w:t>
            </w:r>
          </w:p>
        </w:tc>
        <w:tc>
          <w:tcPr>
            <w:tcW w:w="1116" w:type="dxa"/>
            <w:tcBorders>
              <w:top w:val="single" w:sz="4" w:space="0" w:color="auto"/>
              <w:left w:val="nil"/>
              <w:bottom w:val="single" w:sz="4" w:space="0" w:color="auto"/>
              <w:right w:val="single" w:sz="4" w:space="0" w:color="auto"/>
            </w:tcBorders>
            <w:noWrap/>
            <w:vAlign w:val="bottom"/>
            <w:hideMark/>
          </w:tcPr>
          <w:p w:rsidR="00940CAF" w:rsidRDefault="00940CAF" w:rsidP="00C92856">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0.732187</w:t>
            </w:r>
          </w:p>
        </w:tc>
      </w:tr>
    </w:tbl>
    <w:p w:rsidR="00940CAF" w:rsidRDefault="00940CAF" w:rsidP="00940CAF"/>
    <w:p w:rsidR="00940CAF" w:rsidRDefault="00940CAF" w:rsidP="00940CAF">
      <w:r>
        <w:t xml:space="preserve">The gearing ratio is the positional aspect of the companies borrowed fund to the total equity position. This ratio is useful for the businesses to understand the financial risk of the business (Han and Chen, 2007). When business takes a loan, at that time it is obelised to pay the debt in </w:t>
      </w:r>
      <w:r>
        <w:lastRenderedPageBreak/>
        <w:t xml:space="preserve">due time and inability to pay that can meet sever consequences. So the debt when cannot be backed by the other financial positions can become risk and may lead to bankruptcy. When the ratio is on the higher side it is unfavourable for the businesses. In some industry the portion of debt is high because of the high capital requirement of the business. High level of leverage or the debt position of the business is risk particularly at the time of bad economic situation. At that time the revenue of the business suffers and meeting the debt obligation becomes difficult. In case of BA the gearing ratio of the business is showing a downward movement. In the 2012 the ratio was highest at 0.94 and then gradually decreased. It was lowest in the year 2015 and then again increases to 0.73. This shows that over the years the business was able to reduce the debt position in the business. On the other hand previous ratios show that the business asset position also increased over the five year period (Subramanian and Wild, 2009). So it can be understand that the financing of the new asset class was not done through the debt instrument and that made the business less leverages. So BA was able to reduce the risk factor of the business. </w:t>
      </w:r>
    </w:p>
    <w:p w:rsidR="008332C3" w:rsidRDefault="0048463D" w:rsidP="006209EB">
      <w:pPr>
        <w:pStyle w:val="Heading1"/>
      </w:pPr>
      <w:bookmarkStart w:id="16" w:name="_Toc502257788"/>
      <w:r>
        <w:t>Explanation of the changes in ratios over years</w:t>
      </w:r>
      <w:bookmarkEnd w:id="16"/>
    </w:p>
    <w:tbl>
      <w:tblPr>
        <w:tblW w:w="8580" w:type="dxa"/>
        <w:tblInd w:w="89" w:type="dxa"/>
        <w:tblLook w:val="04A0" w:firstRow="1" w:lastRow="0" w:firstColumn="1" w:lastColumn="0" w:noHBand="0" w:noVBand="1"/>
      </w:tblPr>
      <w:tblGrid>
        <w:gridCol w:w="3500"/>
        <w:gridCol w:w="1100"/>
        <w:gridCol w:w="940"/>
        <w:gridCol w:w="1140"/>
        <w:gridCol w:w="960"/>
        <w:gridCol w:w="940"/>
      </w:tblGrid>
      <w:tr w:rsidR="000A2B77" w:rsidRPr="00CB0466" w:rsidTr="00B43DC0">
        <w:trPr>
          <w:trHeight w:val="990"/>
        </w:trPr>
        <w:tc>
          <w:tcPr>
            <w:tcW w:w="3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A2B77" w:rsidRPr="00CB0466" w:rsidRDefault="000A2B77" w:rsidP="00B43DC0">
            <w:pPr>
              <w:spacing w:after="0" w:line="240" w:lineRule="auto"/>
              <w:rPr>
                <w:rFonts w:eastAsia="Times New Roman" w:cs="Times New Roman"/>
                <w:b/>
                <w:bCs/>
                <w:i/>
                <w:iCs/>
                <w:color w:val="000000"/>
                <w:szCs w:val="24"/>
                <w:lang w:val="en-US"/>
              </w:rPr>
            </w:pPr>
            <w:r w:rsidRPr="00CB0466">
              <w:rPr>
                <w:rFonts w:eastAsia="Times New Roman" w:cs="Times New Roman"/>
                <w:b/>
                <w:bCs/>
                <w:i/>
                <w:iCs/>
                <w:color w:val="000000"/>
                <w:szCs w:val="24"/>
                <w:lang w:val="en-US"/>
              </w:rPr>
              <w:t>Gross profit margin</w:t>
            </w:r>
            <w:r w:rsidRPr="00CB0466">
              <w:rPr>
                <w:rFonts w:eastAsia="Times New Roman" w:cs="Times New Roman"/>
                <w:color w:val="000000"/>
                <w:szCs w:val="24"/>
                <w:lang w:val="en-US"/>
              </w:rPr>
              <w:t xml:space="preserve"> ([Gross profit /Net sales]*100)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0A2B77" w:rsidRPr="00CB0466" w:rsidRDefault="000A2B77" w:rsidP="00B43DC0">
            <w:pPr>
              <w:spacing w:after="0" w:line="240" w:lineRule="auto"/>
              <w:jc w:val="right"/>
              <w:rPr>
                <w:rFonts w:eastAsia="Times New Roman" w:cs="Times New Roman"/>
                <w:color w:val="000000"/>
                <w:szCs w:val="24"/>
                <w:lang w:val="en-US"/>
              </w:rPr>
            </w:pPr>
            <w:r w:rsidRPr="00CB0466">
              <w:rPr>
                <w:rFonts w:eastAsia="Times New Roman" w:cs="Times New Roman"/>
                <w:color w:val="000000"/>
                <w:szCs w:val="24"/>
                <w:lang w:val="en-US"/>
              </w:rPr>
              <w:t>3%</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0A2B77" w:rsidRPr="00CB0466" w:rsidRDefault="000A2B77" w:rsidP="00B43DC0">
            <w:pPr>
              <w:spacing w:after="0" w:line="240" w:lineRule="auto"/>
              <w:jc w:val="right"/>
              <w:rPr>
                <w:rFonts w:eastAsia="Times New Roman" w:cs="Times New Roman"/>
                <w:color w:val="000000"/>
                <w:szCs w:val="24"/>
                <w:lang w:val="en-US"/>
              </w:rPr>
            </w:pPr>
            <w:r w:rsidRPr="00CB0466">
              <w:rPr>
                <w:rFonts w:eastAsia="Times New Roman" w:cs="Times New Roman"/>
                <w:color w:val="000000"/>
                <w:szCs w:val="24"/>
                <w:lang w:val="en-US"/>
              </w:rPr>
              <w:t>6%</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0A2B77" w:rsidRPr="00CB0466" w:rsidRDefault="000A2B77" w:rsidP="00B43DC0">
            <w:pPr>
              <w:spacing w:after="0" w:line="240" w:lineRule="auto"/>
              <w:jc w:val="right"/>
              <w:rPr>
                <w:rFonts w:eastAsia="Times New Roman" w:cs="Times New Roman"/>
                <w:color w:val="000000"/>
                <w:szCs w:val="24"/>
                <w:lang w:val="en-US"/>
              </w:rPr>
            </w:pPr>
            <w:r w:rsidRPr="00CB0466">
              <w:rPr>
                <w:rFonts w:eastAsia="Times New Roman" w:cs="Times New Roman"/>
                <w:color w:val="000000"/>
                <w:szCs w:val="24"/>
                <w:lang w:val="en-US"/>
              </w:rPr>
              <w:t>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A2B77" w:rsidRPr="00CB0466" w:rsidRDefault="000A2B77" w:rsidP="00B43DC0">
            <w:pPr>
              <w:spacing w:after="0" w:line="240" w:lineRule="auto"/>
              <w:jc w:val="right"/>
              <w:rPr>
                <w:rFonts w:eastAsia="Times New Roman" w:cs="Times New Roman"/>
                <w:color w:val="000000"/>
                <w:szCs w:val="24"/>
                <w:lang w:val="en-US"/>
              </w:rPr>
            </w:pPr>
            <w:r w:rsidRPr="00CB0466">
              <w:rPr>
                <w:rFonts w:eastAsia="Times New Roman" w:cs="Times New Roman"/>
                <w:color w:val="000000"/>
                <w:szCs w:val="24"/>
                <w:lang w:val="en-US"/>
              </w:rPr>
              <w:t>11%</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0A2B77" w:rsidRPr="00CB0466" w:rsidRDefault="000A2B77" w:rsidP="00B43DC0">
            <w:pPr>
              <w:spacing w:after="0" w:line="240" w:lineRule="auto"/>
              <w:jc w:val="right"/>
              <w:rPr>
                <w:rFonts w:eastAsia="Times New Roman" w:cs="Times New Roman"/>
                <w:color w:val="000000"/>
                <w:szCs w:val="24"/>
                <w:lang w:val="en-US"/>
              </w:rPr>
            </w:pPr>
            <w:r w:rsidRPr="00CB0466">
              <w:rPr>
                <w:rFonts w:eastAsia="Times New Roman" w:cs="Times New Roman"/>
                <w:color w:val="000000"/>
                <w:szCs w:val="24"/>
                <w:lang w:val="en-US"/>
              </w:rPr>
              <w:t>13%</w:t>
            </w:r>
          </w:p>
        </w:tc>
      </w:tr>
    </w:tbl>
    <w:p w:rsidR="006209EB" w:rsidRDefault="006209EB" w:rsidP="006209EB"/>
    <w:p w:rsidR="006817D5" w:rsidRDefault="006817D5" w:rsidP="006817D5">
      <w:r>
        <w:rPr>
          <w:b/>
          <w:i/>
        </w:rPr>
        <w:t>The gross profit margin of the British air ways is showing a rapid change (or growth)</w:t>
      </w:r>
      <w:r>
        <w:t xml:space="preserve"> year over year as the business has shown </w:t>
      </w:r>
      <w:r>
        <w:rPr>
          <w:b/>
          <w:i/>
        </w:rPr>
        <w:t>the efficiency of controlling the cost directly associated</w:t>
      </w:r>
      <w:r>
        <w:t xml:space="preserve"> with the service produce and delivered by the service. In 2015 a slight down fall is observed in the revenue earned by the business but inspire of that the cost controlling efficiency has helped the business to maintain the growth of gross profit.</w:t>
      </w:r>
    </w:p>
    <w:tbl>
      <w:tblPr>
        <w:tblW w:w="8580" w:type="dxa"/>
        <w:tblInd w:w="89" w:type="dxa"/>
        <w:tblLook w:val="04A0" w:firstRow="1" w:lastRow="0" w:firstColumn="1" w:lastColumn="0" w:noHBand="0" w:noVBand="1"/>
      </w:tblPr>
      <w:tblGrid>
        <w:gridCol w:w="3484"/>
        <w:gridCol w:w="1100"/>
        <w:gridCol w:w="940"/>
        <w:gridCol w:w="1140"/>
        <w:gridCol w:w="960"/>
        <w:gridCol w:w="956"/>
      </w:tblGrid>
      <w:tr w:rsidR="006817D5" w:rsidRPr="00807FC3" w:rsidTr="006817D5">
        <w:trPr>
          <w:trHeight w:val="600"/>
        </w:trPr>
        <w:tc>
          <w:tcPr>
            <w:tcW w:w="34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817D5" w:rsidRPr="00807FC3" w:rsidRDefault="006817D5" w:rsidP="00B43DC0">
            <w:pPr>
              <w:spacing w:after="0" w:line="240" w:lineRule="auto"/>
              <w:rPr>
                <w:rFonts w:eastAsia="Times New Roman" w:cs="Times New Roman"/>
                <w:color w:val="000000"/>
                <w:lang w:val="en-US"/>
              </w:rPr>
            </w:pPr>
            <w:r w:rsidRPr="00807FC3">
              <w:rPr>
                <w:rFonts w:eastAsia="Times New Roman" w:cs="Times New Roman"/>
                <w:b/>
                <w:bCs/>
                <w:color w:val="000000"/>
                <w:lang w:val="en-US"/>
              </w:rPr>
              <w:t>Net Profit margin</w:t>
            </w:r>
            <w:r>
              <w:rPr>
                <w:rFonts w:eastAsia="Times New Roman" w:cs="Times New Roman"/>
                <w:color w:val="000000"/>
                <w:lang w:val="en-US"/>
              </w:rPr>
              <w:t xml:space="preserve"> (Net</w:t>
            </w:r>
            <w:r w:rsidRPr="00807FC3">
              <w:rPr>
                <w:rFonts w:eastAsia="Times New Roman" w:cs="Times New Roman"/>
                <w:color w:val="000000"/>
                <w:lang w:val="en-US"/>
              </w:rPr>
              <w:t xml:space="preserve"> profit /Net sales):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6817D5" w:rsidRPr="00807FC3" w:rsidRDefault="006817D5" w:rsidP="00B43DC0">
            <w:pPr>
              <w:spacing w:after="0" w:line="240" w:lineRule="auto"/>
              <w:jc w:val="right"/>
              <w:rPr>
                <w:rFonts w:eastAsia="Times New Roman" w:cs="Times New Roman"/>
                <w:color w:val="000000"/>
                <w:lang w:val="en-US"/>
              </w:rPr>
            </w:pPr>
            <w:r w:rsidRPr="00807FC3">
              <w:rPr>
                <w:rFonts w:eastAsia="Times New Roman" w:cs="Times New Roman"/>
                <w:color w:val="000000"/>
                <w:lang w:val="en-US"/>
              </w:rPr>
              <w:t>-1.28%</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6817D5" w:rsidRPr="00807FC3" w:rsidRDefault="006817D5" w:rsidP="00B43DC0">
            <w:pPr>
              <w:spacing w:after="0" w:line="240" w:lineRule="auto"/>
              <w:jc w:val="right"/>
              <w:rPr>
                <w:rFonts w:eastAsia="Times New Roman" w:cs="Times New Roman"/>
                <w:color w:val="000000"/>
                <w:lang w:val="en-US"/>
              </w:rPr>
            </w:pPr>
            <w:r w:rsidRPr="00807FC3">
              <w:rPr>
                <w:rFonts w:eastAsia="Times New Roman" w:cs="Times New Roman"/>
                <w:color w:val="000000"/>
                <w:lang w:val="en-US"/>
              </w:rPr>
              <w:t>2.63%</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6817D5" w:rsidRPr="00807FC3" w:rsidRDefault="006817D5" w:rsidP="00B43DC0">
            <w:pPr>
              <w:spacing w:after="0" w:line="240" w:lineRule="auto"/>
              <w:jc w:val="right"/>
              <w:rPr>
                <w:rFonts w:eastAsia="Times New Roman" w:cs="Times New Roman"/>
                <w:color w:val="000000"/>
                <w:lang w:val="en-US"/>
              </w:rPr>
            </w:pPr>
            <w:r w:rsidRPr="00807FC3">
              <w:rPr>
                <w:rFonts w:eastAsia="Times New Roman" w:cs="Times New Roman"/>
                <w:color w:val="000000"/>
                <w:lang w:val="en-US"/>
              </w:rPr>
              <w:t>7.33%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6817D5" w:rsidRPr="00807FC3" w:rsidRDefault="006817D5" w:rsidP="00B43DC0">
            <w:pPr>
              <w:spacing w:after="0" w:line="240" w:lineRule="auto"/>
              <w:jc w:val="right"/>
              <w:rPr>
                <w:rFonts w:eastAsia="Times New Roman" w:cs="Times New Roman"/>
                <w:color w:val="000000"/>
                <w:lang w:val="en-US"/>
              </w:rPr>
            </w:pPr>
            <w:r w:rsidRPr="00807FC3">
              <w:rPr>
                <w:rFonts w:eastAsia="Times New Roman" w:cs="Times New Roman"/>
                <w:color w:val="000000"/>
                <w:lang w:val="en-US"/>
              </w:rPr>
              <w:t>23.19%</w:t>
            </w:r>
          </w:p>
        </w:tc>
        <w:tc>
          <w:tcPr>
            <w:tcW w:w="956" w:type="dxa"/>
            <w:tcBorders>
              <w:top w:val="single" w:sz="4" w:space="0" w:color="auto"/>
              <w:left w:val="nil"/>
              <w:bottom w:val="single" w:sz="4" w:space="0" w:color="auto"/>
              <w:right w:val="single" w:sz="4" w:space="0" w:color="auto"/>
            </w:tcBorders>
            <w:shd w:val="clear" w:color="auto" w:fill="auto"/>
            <w:noWrap/>
            <w:vAlign w:val="bottom"/>
            <w:hideMark/>
          </w:tcPr>
          <w:p w:rsidR="006817D5" w:rsidRPr="00807FC3" w:rsidRDefault="006817D5" w:rsidP="00B43DC0">
            <w:pPr>
              <w:spacing w:after="0" w:line="240" w:lineRule="auto"/>
              <w:jc w:val="right"/>
              <w:rPr>
                <w:rFonts w:eastAsia="Times New Roman" w:cs="Times New Roman"/>
                <w:color w:val="000000"/>
                <w:lang w:val="en-US"/>
              </w:rPr>
            </w:pPr>
            <w:r w:rsidRPr="00807FC3">
              <w:rPr>
                <w:rFonts w:eastAsia="Times New Roman" w:cs="Times New Roman"/>
                <w:color w:val="000000"/>
                <w:lang w:val="en-US"/>
              </w:rPr>
              <w:t>13.69%</w:t>
            </w:r>
          </w:p>
        </w:tc>
      </w:tr>
    </w:tbl>
    <w:p w:rsidR="006817D5" w:rsidRDefault="006817D5" w:rsidP="006817D5">
      <w:r>
        <w:rPr>
          <w:b/>
        </w:rPr>
        <w:t>So far as the change of the net profit margin is concerned</w:t>
      </w:r>
      <w:r>
        <w:t>, the business saw a negative ratio in 2012 due to net loss registered by the business. But from 2013 the positive changes as registered by  the business up to 2015 is present as the business has managed to register a positive net profit for those years. During those years the business has well managed the operating expenses of the organization</w:t>
      </w:r>
      <w:r>
        <w:rPr>
          <w:b/>
          <w:i/>
        </w:rPr>
        <w:t xml:space="preserve">. But in 2016 it can be seen that the net profit margin </w:t>
      </w:r>
      <w:r>
        <w:rPr>
          <w:b/>
          <w:i/>
        </w:rPr>
        <w:lastRenderedPageBreak/>
        <w:t>ratio of the organization has shown a declining trend. The underlying reason can be identified as the increase in operating expense in 2016</w:t>
      </w:r>
      <w:r>
        <w:t>.</w:t>
      </w:r>
    </w:p>
    <w:p w:rsidR="006817D5" w:rsidRDefault="006817D5" w:rsidP="006817D5">
      <w:r>
        <w:t xml:space="preserve">The organization British Airways has the objective to be the most admired airline of the Britain and also in the global context. As a part of the fulfilment of the objective the business has undertaken the project of buying the most expensive modern aircraft of the world. The organization has started to acquire the Airbus A380s and Boeing 787s from 2013 onwards as a result of which it has become difficult for the organization for controlling the operating expenses as the business is using the latest technologies for adding the most modern equipments on those modern flights so that a memorable service and comfort can be delivered to the onboard passengers. As a result o this though the business has managed to control the direct expenses but is facing difficulties in controlling the operational expenses as the operational expense is either enhancing or maintaining at the same volume as the organization is busy in acquiring new fleets that shares a large chunk of the operational expenses in the form of maintenance </w:t>
      </w:r>
    </w:p>
    <w:tbl>
      <w:tblPr>
        <w:tblW w:w="9019" w:type="dxa"/>
        <w:tblInd w:w="89" w:type="dxa"/>
        <w:tblLook w:val="04A0" w:firstRow="1" w:lastRow="0" w:firstColumn="1" w:lastColumn="0" w:noHBand="0" w:noVBand="1"/>
      </w:tblPr>
      <w:tblGrid>
        <w:gridCol w:w="3500"/>
        <w:gridCol w:w="1100"/>
        <w:gridCol w:w="940"/>
        <w:gridCol w:w="1140"/>
        <w:gridCol w:w="960"/>
        <w:gridCol w:w="1379"/>
      </w:tblGrid>
      <w:tr w:rsidR="007D5BC6" w:rsidRPr="00D854B1" w:rsidTr="00B43DC0">
        <w:trPr>
          <w:trHeight w:val="600"/>
        </w:trPr>
        <w:tc>
          <w:tcPr>
            <w:tcW w:w="3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D5BC6" w:rsidRPr="00D854B1" w:rsidRDefault="007D5BC6" w:rsidP="00B43DC0">
            <w:pPr>
              <w:spacing w:after="0" w:line="240" w:lineRule="auto"/>
              <w:rPr>
                <w:rFonts w:eastAsia="Times New Roman" w:cs="Times New Roman"/>
                <w:color w:val="000000"/>
                <w:lang w:val="en-US"/>
              </w:rPr>
            </w:pPr>
            <w:r w:rsidRPr="00D854B1">
              <w:rPr>
                <w:rFonts w:eastAsia="Times New Roman" w:cs="Times New Roman"/>
                <w:b/>
                <w:bCs/>
                <w:color w:val="000000"/>
                <w:lang w:val="en-US"/>
              </w:rPr>
              <w:t>Current Ratio</w:t>
            </w:r>
            <w:r w:rsidRPr="00D854B1">
              <w:rPr>
                <w:rFonts w:eastAsia="Times New Roman" w:cs="Times New Roman"/>
                <w:color w:val="000000"/>
                <w:lang w:val="en-US"/>
              </w:rPr>
              <w:t xml:space="preserve"> ([Current asset/Current liability]*100):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7D5BC6" w:rsidRPr="00D854B1" w:rsidRDefault="007D5BC6" w:rsidP="00B43DC0">
            <w:pPr>
              <w:spacing w:after="0" w:line="240" w:lineRule="auto"/>
              <w:jc w:val="right"/>
              <w:rPr>
                <w:rFonts w:eastAsia="Times New Roman" w:cs="Times New Roman"/>
                <w:color w:val="000000"/>
                <w:lang w:val="en-US"/>
              </w:rPr>
            </w:pPr>
            <w:r w:rsidRPr="00D854B1">
              <w:rPr>
                <w:rFonts w:eastAsia="Times New Roman" w:cs="Times New Roman"/>
                <w:color w:val="000000"/>
                <w:lang w:val="en-US"/>
              </w:rPr>
              <w:t>0.60</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7D5BC6" w:rsidRPr="00D854B1" w:rsidRDefault="007D5BC6" w:rsidP="00B43DC0">
            <w:pPr>
              <w:spacing w:after="0" w:line="240" w:lineRule="auto"/>
              <w:jc w:val="right"/>
              <w:rPr>
                <w:rFonts w:eastAsia="Times New Roman" w:cs="Times New Roman"/>
                <w:color w:val="000000"/>
                <w:lang w:val="en-US"/>
              </w:rPr>
            </w:pPr>
            <w:r w:rsidRPr="00D854B1">
              <w:rPr>
                <w:rFonts w:eastAsia="Times New Roman" w:cs="Times New Roman"/>
                <w:color w:val="000000"/>
                <w:lang w:val="en-US"/>
              </w:rPr>
              <w:t>0.63</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7D5BC6" w:rsidRPr="00D854B1" w:rsidRDefault="007D5BC6" w:rsidP="00B43DC0">
            <w:pPr>
              <w:spacing w:after="0" w:line="240" w:lineRule="auto"/>
              <w:jc w:val="right"/>
              <w:rPr>
                <w:rFonts w:eastAsia="Times New Roman" w:cs="Times New Roman"/>
                <w:color w:val="000000"/>
                <w:lang w:val="en-US"/>
              </w:rPr>
            </w:pPr>
            <w:r w:rsidRPr="00D854B1">
              <w:rPr>
                <w:rFonts w:eastAsia="Times New Roman" w:cs="Times New Roman"/>
                <w:color w:val="000000"/>
                <w:lang w:val="en-US"/>
              </w:rPr>
              <w:t>0.65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D5BC6" w:rsidRPr="00D854B1" w:rsidRDefault="007D5BC6" w:rsidP="00B43DC0">
            <w:pPr>
              <w:spacing w:after="0" w:line="240" w:lineRule="auto"/>
              <w:jc w:val="right"/>
              <w:rPr>
                <w:rFonts w:eastAsia="Times New Roman" w:cs="Times New Roman"/>
                <w:color w:val="000000"/>
                <w:lang w:val="en-US"/>
              </w:rPr>
            </w:pPr>
            <w:r w:rsidRPr="00D854B1">
              <w:rPr>
                <w:rFonts w:eastAsia="Times New Roman" w:cs="Times New Roman"/>
                <w:color w:val="000000"/>
                <w:lang w:val="en-US"/>
              </w:rPr>
              <w:t>0.60</w:t>
            </w:r>
          </w:p>
        </w:tc>
        <w:tc>
          <w:tcPr>
            <w:tcW w:w="1379" w:type="dxa"/>
            <w:tcBorders>
              <w:top w:val="single" w:sz="4" w:space="0" w:color="auto"/>
              <w:left w:val="nil"/>
              <w:bottom w:val="single" w:sz="4" w:space="0" w:color="auto"/>
              <w:right w:val="single" w:sz="4" w:space="0" w:color="auto"/>
            </w:tcBorders>
            <w:shd w:val="clear" w:color="auto" w:fill="auto"/>
            <w:noWrap/>
            <w:vAlign w:val="bottom"/>
            <w:hideMark/>
          </w:tcPr>
          <w:p w:rsidR="007D5BC6" w:rsidRPr="00D854B1" w:rsidRDefault="007D5BC6" w:rsidP="00B43DC0">
            <w:pPr>
              <w:spacing w:after="0" w:line="240" w:lineRule="auto"/>
              <w:jc w:val="right"/>
              <w:rPr>
                <w:rFonts w:eastAsia="Times New Roman" w:cs="Times New Roman"/>
                <w:color w:val="000000"/>
                <w:lang w:val="en-US"/>
              </w:rPr>
            </w:pPr>
            <w:r w:rsidRPr="00D854B1">
              <w:rPr>
                <w:rFonts w:eastAsia="Times New Roman" w:cs="Times New Roman"/>
                <w:color w:val="000000"/>
                <w:lang w:val="en-US"/>
              </w:rPr>
              <w:t>0.76</w:t>
            </w:r>
          </w:p>
        </w:tc>
      </w:tr>
    </w:tbl>
    <w:p w:rsidR="006209EB" w:rsidRDefault="006209EB" w:rsidP="006209EB"/>
    <w:p w:rsidR="007D5BC6" w:rsidRDefault="007D5BC6" w:rsidP="007D5BC6">
      <w:r>
        <w:rPr>
          <w:b/>
          <w:i/>
        </w:rPr>
        <w:t>Looking at the current ratio it can be seen that the ratio</w:t>
      </w:r>
      <w:r>
        <w:t xml:space="preserve"> is almost stable over years and staying around “.60”.Looking at the ratio it can be seen during the last 5 years period of the study the current asset and the current liabilities of the business has changed(increased or decreased) following g the same trend. The underlying reason can be identified as the increase of both current assets and current liabilities of the business in the years of study as during those years the business bought several modern aircrafts which helped the business to earn a lot of revenue or liquid cash so the balance sheet of the business has registered a growth in current asset; but at the same time in the maintenance cost as well as the continuous technological up gradation cost and the expansion of the business through the addition of new international  flying route to the business has added to the current liabilities in the form of short term loans, As a result of this a stagnancy in the current ratio of the organization can be observed.</w:t>
      </w:r>
    </w:p>
    <w:p w:rsidR="004802FE" w:rsidRDefault="004802FE" w:rsidP="007D5BC6"/>
    <w:tbl>
      <w:tblPr>
        <w:tblW w:w="9109" w:type="dxa"/>
        <w:tblInd w:w="89" w:type="dxa"/>
        <w:tblLook w:val="04A0" w:firstRow="1" w:lastRow="0" w:firstColumn="1" w:lastColumn="0" w:noHBand="0" w:noVBand="1"/>
      </w:tblPr>
      <w:tblGrid>
        <w:gridCol w:w="3500"/>
        <w:gridCol w:w="1100"/>
        <w:gridCol w:w="940"/>
        <w:gridCol w:w="1140"/>
        <w:gridCol w:w="960"/>
        <w:gridCol w:w="1469"/>
      </w:tblGrid>
      <w:tr w:rsidR="007D5BC6" w:rsidRPr="00272B5D" w:rsidTr="00B43DC0">
        <w:trPr>
          <w:trHeight w:val="615"/>
        </w:trPr>
        <w:tc>
          <w:tcPr>
            <w:tcW w:w="3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D5BC6" w:rsidRPr="00272B5D" w:rsidRDefault="007D5BC6" w:rsidP="00B43DC0">
            <w:pPr>
              <w:spacing w:after="0" w:line="240" w:lineRule="auto"/>
              <w:rPr>
                <w:rFonts w:eastAsia="Times New Roman" w:cs="Times New Roman"/>
                <w:b/>
                <w:bCs/>
                <w:color w:val="000000"/>
                <w:szCs w:val="24"/>
                <w:lang w:val="en-US"/>
              </w:rPr>
            </w:pPr>
            <w:r w:rsidRPr="00272B5D">
              <w:rPr>
                <w:rFonts w:eastAsia="Times New Roman" w:cs="Times New Roman"/>
                <w:b/>
                <w:bCs/>
                <w:color w:val="000000"/>
                <w:szCs w:val="24"/>
                <w:lang w:val="en-US"/>
              </w:rPr>
              <w:lastRenderedPageBreak/>
              <w:t>Quick Ratio</w:t>
            </w:r>
            <w:r w:rsidRPr="00272B5D">
              <w:rPr>
                <w:rFonts w:eastAsia="Times New Roman" w:cs="Times New Roman"/>
                <w:color w:val="000000"/>
                <w:szCs w:val="24"/>
                <w:lang w:val="en-US"/>
              </w:rPr>
              <w:t xml:space="preserve"> ([Current asset-Inventories]/ Current liability*100) </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7D5BC6" w:rsidRPr="00272B5D" w:rsidRDefault="007D5BC6" w:rsidP="00B43DC0">
            <w:pPr>
              <w:spacing w:after="0" w:line="240" w:lineRule="auto"/>
              <w:jc w:val="right"/>
              <w:rPr>
                <w:rFonts w:eastAsia="Times New Roman" w:cs="Times New Roman"/>
                <w:color w:val="000000"/>
                <w:szCs w:val="24"/>
                <w:lang w:val="en-US"/>
              </w:rPr>
            </w:pPr>
            <w:r w:rsidRPr="00272B5D">
              <w:rPr>
                <w:rFonts w:eastAsia="Times New Roman" w:cs="Times New Roman"/>
                <w:color w:val="000000"/>
                <w:szCs w:val="24"/>
                <w:lang w:val="en-US"/>
              </w:rPr>
              <w:t>0.57</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7D5BC6" w:rsidRPr="00272B5D" w:rsidRDefault="007D5BC6" w:rsidP="00B43DC0">
            <w:pPr>
              <w:spacing w:after="0" w:line="240" w:lineRule="auto"/>
              <w:jc w:val="right"/>
              <w:rPr>
                <w:rFonts w:eastAsia="Times New Roman" w:cs="Times New Roman"/>
                <w:color w:val="000000"/>
                <w:szCs w:val="24"/>
                <w:lang w:val="en-US"/>
              </w:rPr>
            </w:pPr>
            <w:r w:rsidRPr="00272B5D">
              <w:rPr>
                <w:rFonts w:eastAsia="Times New Roman" w:cs="Times New Roman"/>
                <w:color w:val="000000"/>
                <w:szCs w:val="24"/>
                <w:lang w:val="en-US"/>
              </w:rPr>
              <w:t>0.51</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7D5BC6" w:rsidRPr="00272B5D" w:rsidRDefault="007D5BC6" w:rsidP="00B43DC0">
            <w:pPr>
              <w:spacing w:after="0" w:line="240" w:lineRule="auto"/>
              <w:jc w:val="right"/>
              <w:rPr>
                <w:rFonts w:eastAsia="Times New Roman" w:cs="Times New Roman"/>
                <w:color w:val="000000"/>
                <w:szCs w:val="24"/>
                <w:lang w:val="en-US"/>
              </w:rPr>
            </w:pPr>
            <w:r w:rsidRPr="00272B5D">
              <w:rPr>
                <w:rFonts w:eastAsia="Times New Roman" w:cs="Times New Roman"/>
                <w:color w:val="000000"/>
                <w:szCs w:val="24"/>
                <w:lang w:val="en-US"/>
              </w:rPr>
              <w:t>0.55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D5BC6" w:rsidRPr="00272B5D" w:rsidRDefault="007D5BC6" w:rsidP="00B43DC0">
            <w:pPr>
              <w:spacing w:after="0" w:line="240" w:lineRule="auto"/>
              <w:jc w:val="right"/>
              <w:rPr>
                <w:rFonts w:eastAsia="Times New Roman" w:cs="Times New Roman"/>
                <w:color w:val="000000"/>
                <w:szCs w:val="24"/>
                <w:lang w:val="en-US"/>
              </w:rPr>
            </w:pPr>
            <w:r w:rsidRPr="00272B5D">
              <w:rPr>
                <w:rFonts w:eastAsia="Times New Roman" w:cs="Times New Roman"/>
                <w:color w:val="000000"/>
                <w:szCs w:val="24"/>
                <w:lang w:val="en-US"/>
              </w:rPr>
              <w:t>0.57</w:t>
            </w:r>
          </w:p>
        </w:tc>
        <w:tc>
          <w:tcPr>
            <w:tcW w:w="1469" w:type="dxa"/>
            <w:tcBorders>
              <w:top w:val="single" w:sz="4" w:space="0" w:color="auto"/>
              <w:left w:val="nil"/>
              <w:bottom w:val="single" w:sz="4" w:space="0" w:color="auto"/>
              <w:right w:val="single" w:sz="4" w:space="0" w:color="auto"/>
            </w:tcBorders>
            <w:shd w:val="clear" w:color="auto" w:fill="auto"/>
            <w:noWrap/>
            <w:vAlign w:val="bottom"/>
            <w:hideMark/>
          </w:tcPr>
          <w:p w:rsidR="007D5BC6" w:rsidRPr="00272B5D" w:rsidRDefault="007D5BC6" w:rsidP="00B43DC0">
            <w:pPr>
              <w:spacing w:after="0" w:line="240" w:lineRule="auto"/>
              <w:jc w:val="right"/>
              <w:rPr>
                <w:rFonts w:eastAsia="Times New Roman" w:cs="Times New Roman"/>
                <w:color w:val="000000"/>
                <w:szCs w:val="24"/>
                <w:lang w:val="en-US"/>
              </w:rPr>
            </w:pPr>
            <w:r w:rsidRPr="00272B5D">
              <w:rPr>
                <w:rFonts w:eastAsia="Times New Roman" w:cs="Times New Roman"/>
                <w:color w:val="000000"/>
                <w:szCs w:val="24"/>
                <w:lang w:val="en-US"/>
              </w:rPr>
              <w:t>0.74</w:t>
            </w:r>
          </w:p>
        </w:tc>
      </w:tr>
    </w:tbl>
    <w:p w:rsidR="007D5BC6" w:rsidRDefault="007D5BC6" w:rsidP="006209EB"/>
    <w:p w:rsidR="007D5BC6" w:rsidRDefault="007D5BC6" w:rsidP="007D5BC6">
      <w:r>
        <w:rPr>
          <w:b/>
          <w:i/>
        </w:rPr>
        <w:t>The quick ratio has almost registered the same trend over years and remains stable over years</w:t>
      </w:r>
      <w:r>
        <w:t xml:space="preserve"> around “0.57” as the average inventory holding which is deducted from the current asset for calculating the quick asset that can be most quickly converted in to the liquid cash format has remained more or less same except the years of 2013 and 2014 in which the ratio has declined to “0.51” and “0.55” respectively as on those years the average inventory holding of the organization took a sudden spike which led to the erosion of the quick asset in relation to the growing current liability of the organization. The underlying cause of sudden increase in inventory holding can be defined as the under utilisation of the technical equipments purchased by the business as the business requires some time for making the necessary infrastructural up gradation for putting those equipments in to operation for the purpose of the revenue generation.</w:t>
      </w:r>
    </w:p>
    <w:p w:rsidR="007D5BC6" w:rsidRDefault="007D5BC6" w:rsidP="007D5BC6">
      <w:r>
        <w:t>But as both the current ratio as well as quick ratio of the organization is less than “1” therefore it will be necessary for the organization to take some initiatives for controlling the operational costs as well as the minimization of the inventory holding cost by putting those inventories quickly in to operation by making the required changes in the inventory.</w:t>
      </w:r>
    </w:p>
    <w:tbl>
      <w:tblPr>
        <w:tblW w:w="9109" w:type="dxa"/>
        <w:tblInd w:w="89" w:type="dxa"/>
        <w:tblLook w:val="04A0" w:firstRow="1" w:lastRow="0" w:firstColumn="1" w:lastColumn="0" w:noHBand="0" w:noVBand="1"/>
      </w:tblPr>
      <w:tblGrid>
        <w:gridCol w:w="3500"/>
        <w:gridCol w:w="1100"/>
        <w:gridCol w:w="940"/>
        <w:gridCol w:w="1140"/>
        <w:gridCol w:w="960"/>
        <w:gridCol w:w="1469"/>
      </w:tblGrid>
      <w:tr w:rsidR="000F3602" w:rsidRPr="005A4CA5" w:rsidTr="00B43DC0">
        <w:trPr>
          <w:trHeight w:val="945"/>
        </w:trPr>
        <w:tc>
          <w:tcPr>
            <w:tcW w:w="3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F3602" w:rsidRPr="005A4CA5" w:rsidRDefault="000F3602" w:rsidP="00B43DC0">
            <w:pPr>
              <w:spacing w:after="0" w:line="240" w:lineRule="auto"/>
              <w:rPr>
                <w:rFonts w:eastAsia="Times New Roman" w:cs="Times New Roman"/>
                <w:color w:val="000000"/>
                <w:szCs w:val="24"/>
                <w:lang w:val="en-US"/>
              </w:rPr>
            </w:pPr>
            <w:r w:rsidRPr="005A4CA5">
              <w:rPr>
                <w:rFonts w:eastAsia="Times New Roman" w:cs="Times New Roman"/>
                <w:color w:val="000000"/>
                <w:szCs w:val="24"/>
                <w:lang w:val="en-US"/>
              </w:rPr>
              <w:t>Return on capital employed(ROCE)[EBIT/capital employed]</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0F3602" w:rsidRPr="005A4CA5" w:rsidRDefault="000F3602" w:rsidP="00B43DC0">
            <w:pPr>
              <w:spacing w:after="0" w:line="240" w:lineRule="auto"/>
              <w:jc w:val="right"/>
              <w:rPr>
                <w:rFonts w:ascii="Calibri" w:eastAsia="Times New Roman" w:hAnsi="Calibri" w:cs="Times New Roman"/>
                <w:color w:val="000000"/>
                <w:lang w:val="en-US"/>
              </w:rPr>
            </w:pPr>
            <w:r w:rsidRPr="005A4CA5">
              <w:rPr>
                <w:rFonts w:ascii="Calibri" w:eastAsia="Times New Roman" w:hAnsi="Calibri" w:cs="Times New Roman"/>
                <w:color w:val="000000"/>
                <w:lang w:val="en-US"/>
              </w:rPr>
              <w:t>-0.01</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0F3602" w:rsidRPr="005A4CA5" w:rsidRDefault="000F3602" w:rsidP="00B43DC0">
            <w:pPr>
              <w:spacing w:after="0" w:line="240" w:lineRule="auto"/>
              <w:jc w:val="right"/>
              <w:rPr>
                <w:rFonts w:ascii="Calibri" w:eastAsia="Times New Roman" w:hAnsi="Calibri" w:cs="Times New Roman"/>
                <w:color w:val="000000"/>
                <w:lang w:val="en-US"/>
              </w:rPr>
            </w:pPr>
            <w:r w:rsidRPr="005A4CA5">
              <w:rPr>
                <w:rFonts w:ascii="Calibri" w:eastAsia="Times New Roman" w:hAnsi="Calibri" w:cs="Times New Roman"/>
                <w:color w:val="000000"/>
                <w:lang w:val="en-US"/>
              </w:rPr>
              <w:t>0.03</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0F3602" w:rsidRPr="005A4CA5" w:rsidRDefault="000F3602" w:rsidP="00B43DC0">
            <w:pPr>
              <w:spacing w:after="0" w:line="240" w:lineRule="auto"/>
              <w:jc w:val="right"/>
              <w:rPr>
                <w:rFonts w:ascii="Calibri" w:eastAsia="Times New Roman" w:hAnsi="Calibri" w:cs="Times New Roman"/>
                <w:color w:val="000000"/>
                <w:lang w:val="en-US"/>
              </w:rPr>
            </w:pPr>
            <w:r w:rsidRPr="005A4CA5">
              <w:rPr>
                <w:rFonts w:ascii="Calibri" w:eastAsia="Times New Roman" w:hAnsi="Calibri" w:cs="Times New Roman"/>
                <w:color w:val="000000"/>
                <w:lang w:val="en-US"/>
              </w:rPr>
              <w:t>0.06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F3602" w:rsidRPr="005A4CA5" w:rsidRDefault="000F3602" w:rsidP="00B43DC0">
            <w:pPr>
              <w:spacing w:after="0" w:line="240" w:lineRule="auto"/>
              <w:jc w:val="right"/>
              <w:rPr>
                <w:rFonts w:ascii="Calibri" w:eastAsia="Times New Roman" w:hAnsi="Calibri" w:cs="Times New Roman"/>
                <w:color w:val="000000"/>
                <w:lang w:val="en-US"/>
              </w:rPr>
            </w:pPr>
            <w:r w:rsidRPr="005A4CA5">
              <w:rPr>
                <w:rFonts w:ascii="Calibri" w:eastAsia="Times New Roman" w:hAnsi="Calibri" w:cs="Times New Roman"/>
                <w:color w:val="000000"/>
                <w:lang w:val="en-US"/>
              </w:rPr>
              <w:t>0.17</w:t>
            </w:r>
          </w:p>
        </w:tc>
        <w:tc>
          <w:tcPr>
            <w:tcW w:w="1469" w:type="dxa"/>
            <w:tcBorders>
              <w:top w:val="single" w:sz="4" w:space="0" w:color="auto"/>
              <w:left w:val="nil"/>
              <w:bottom w:val="single" w:sz="4" w:space="0" w:color="auto"/>
              <w:right w:val="single" w:sz="4" w:space="0" w:color="auto"/>
            </w:tcBorders>
            <w:shd w:val="clear" w:color="auto" w:fill="auto"/>
            <w:noWrap/>
            <w:vAlign w:val="bottom"/>
            <w:hideMark/>
          </w:tcPr>
          <w:p w:rsidR="000F3602" w:rsidRPr="005A4CA5" w:rsidRDefault="000F3602" w:rsidP="00B43DC0">
            <w:pPr>
              <w:spacing w:after="0" w:line="240" w:lineRule="auto"/>
              <w:jc w:val="right"/>
              <w:rPr>
                <w:rFonts w:ascii="Calibri" w:eastAsia="Times New Roman" w:hAnsi="Calibri" w:cs="Times New Roman"/>
                <w:color w:val="000000"/>
                <w:lang w:val="en-US"/>
              </w:rPr>
            </w:pPr>
            <w:r w:rsidRPr="005A4CA5">
              <w:rPr>
                <w:rFonts w:ascii="Calibri" w:eastAsia="Times New Roman" w:hAnsi="Calibri" w:cs="Times New Roman"/>
                <w:color w:val="000000"/>
                <w:lang w:val="en-US"/>
              </w:rPr>
              <w:t>0.10</w:t>
            </w:r>
          </w:p>
        </w:tc>
      </w:tr>
    </w:tbl>
    <w:p w:rsidR="007D5BC6" w:rsidRDefault="007D5BC6" w:rsidP="006209EB"/>
    <w:p w:rsidR="000F3602" w:rsidRDefault="000F3602" w:rsidP="000F3602">
      <w:r>
        <w:rPr>
          <w:b/>
          <w:i/>
        </w:rPr>
        <w:t>The ratio of Return on capital employed (ROCE)</w:t>
      </w:r>
      <w:r>
        <w:t xml:space="preserve"> of the business will also registered a positive change as the earning of the organization before paying the interest rate and tax is growing over years due to the investments made by the business in buying the modern aircrafts that are capable of delivering one of the best on board service to the flight passengers</w:t>
      </w:r>
    </w:p>
    <w:tbl>
      <w:tblPr>
        <w:tblW w:w="9019" w:type="dxa"/>
        <w:tblInd w:w="89" w:type="dxa"/>
        <w:tblLook w:val="04A0" w:firstRow="1" w:lastRow="0" w:firstColumn="1" w:lastColumn="0" w:noHBand="0" w:noVBand="1"/>
      </w:tblPr>
      <w:tblGrid>
        <w:gridCol w:w="3500"/>
        <w:gridCol w:w="1100"/>
        <w:gridCol w:w="940"/>
        <w:gridCol w:w="1140"/>
        <w:gridCol w:w="960"/>
        <w:gridCol w:w="1379"/>
      </w:tblGrid>
      <w:tr w:rsidR="000F3602" w:rsidRPr="005069E2" w:rsidTr="00B43DC0">
        <w:trPr>
          <w:trHeight w:val="630"/>
        </w:trPr>
        <w:tc>
          <w:tcPr>
            <w:tcW w:w="35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F3602" w:rsidRPr="005069E2" w:rsidRDefault="000F3602" w:rsidP="00B43DC0">
            <w:pPr>
              <w:spacing w:after="0" w:line="240" w:lineRule="auto"/>
              <w:rPr>
                <w:rFonts w:eastAsia="Times New Roman" w:cs="Times New Roman"/>
                <w:color w:val="000000"/>
                <w:szCs w:val="24"/>
                <w:lang w:val="en-US"/>
              </w:rPr>
            </w:pPr>
            <w:r w:rsidRPr="005069E2">
              <w:rPr>
                <w:rFonts w:eastAsia="Times New Roman" w:cs="Times New Roman"/>
                <w:color w:val="000000"/>
                <w:szCs w:val="24"/>
                <w:lang w:val="en-US"/>
              </w:rPr>
              <w:t>Total asset turnover ratio(net sales or revenue/Total average asset)</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0F3602" w:rsidRPr="005069E2" w:rsidRDefault="000F3602" w:rsidP="00B43DC0">
            <w:pPr>
              <w:spacing w:after="0" w:line="240" w:lineRule="auto"/>
              <w:jc w:val="right"/>
              <w:rPr>
                <w:rFonts w:eastAsia="Times New Roman" w:cs="Times New Roman"/>
                <w:color w:val="000000"/>
                <w:szCs w:val="24"/>
                <w:lang w:val="en-US"/>
              </w:rPr>
            </w:pPr>
            <w:r w:rsidRPr="005069E2">
              <w:rPr>
                <w:rFonts w:eastAsia="Times New Roman" w:cs="Times New Roman"/>
                <w:color w:val="000000"/>
                <w:szCs w:val="24"/>
                <w:lang w:val="en-US"/>
              </w:rPr>
              <w:t>0.91</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0F3602" w:rsidRPr="005069E2" w:rsidRDefault="000F3602" w:rsidP="00B43DC0">
            <w:pPr>
              <w:spacing w:after="0" w:line="240" w:lineRule="auto"/>
              <w:jc w:val="right"/>
              <w:rPr>
                <w:rFonts w:eastAsia="Times New Roman" w:cs="Times New Roman"/>
                <w:color w:val="000000"/>
                <w:szCs w:val="24"/>
                <w:lang w:val="en-US"/>
              </w:rPr>
            </w:pPr>
            <w:r w:rsidRPr="005069E2">
              <w:rPr>
                <w:rFonts w:eastAsia="Times New Roman" w:cs="Times New Roman"/>
                <w:color w:val="000000"/>
                <w:szCs w:val="24"/>
                <w:lang w:val="en-US"/>
              </w:rPr>
              <w:t>0.96</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0F3602" w:rsidRPr="005069E2" w:rsidRDefault="000F3602" w:rsidP="00B43DC0">
            <w:pPr>
              <w:spacing w:after="0" w:line="240" w:lineRule="auto"/>
              <w:jc w:val="right"/>
              <w:rPr>
                <w:rFonts w:eastAsia="Times New Roman" w:cs="Times New Roman"/>
                <w:color w:val="000000"/>
                <w:szCs w:val="24"/>
                <w:lang w:val="en-US"/>
              </w:rPr>
            </w:pPr>
            <w:r w:rsidRPr="005069E2">
              <w:rPr>
                <w:rFonts w:eastAsia="Times New Roman" w:cs="Times New Roman"/>
                <w:color w:val="000000"/>
                <w:szCs w:val="24"/>
                <w:lang w:val="en-US"/>
              </w:rPr>
              <w:t>0.87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F3602" w:rsidRPr="005069E2" w:rsidRDefault="000F3602" w:rsidP="00B43DC0">
            <w:pPr>
              <w:spacing w:after="0" w:line="240" w:lineRule="auto"/>
              <w:jc w:val="right"/>
              <w:rPr>
                <w:rFonts w:eastAsia="Times New Roman" w:cs="Times New Roman"/>
                <w:color w:val="000000"/>
                <w:szCs w:val="24"/>
                <w:lang w:val="en-US"/>
              </w:rPr>
            </w:pPr>
            <w:r w:rsidRPr="005069E2">
              <w:rPr>
                <w:rFonts w:eastAsia="Times New Roman" w:cs="Times New Roman"/>
                <w:color w:val="000000"/>
                <w:szCs w:val="24"/>
                <w:lang w:val="en-US"/>
              </w:rPr>
              <w:t>0.74</w:t>
            </w:r>
          </w:p>
        </w:tc>
        <w:tc>
          <w:tcPr>
            <w:tcW w:w="1379" w:type="dxa"/>
            <w:tcBorders>
              <w:top w:val="single" w:sz="4" w:space="0" w:color="auto"/>
              <w:left w:val="nil"/>
              <w:bottom w:val="single" w:sz="4" w:space="0" w:color="auto"/>
              <w:right w:val="single" w:sz="4" w:space="0" w:color="auto"/>
            </w:tcBorders>
            <w:shd w:val="clear" w:color="auto" w:fill="auto"/>
            <w:noWrap/>
            <w:vAlign w:val="bottom"/>
            <w:hideMark/>
          </w:tcPr>
          <w:p w:rsidR="000F3602" w:rsidRPr="005069E2" w:rsidRDefault="000F3602" w:rsidP="00B43DC0">
            <w:pPr>
              <w:spacing w:after="0" w:line="240" w:lineRule="auto"/>
              <w:jc w:val="right"/>
              <w:rPr>
                <w:rFonts w:eastAsia="Times New Roman" w:cs="Times New Roman"/>
                <w:color w:val="000000"/>
                <w:szCs w:val="24"/>
                <w:lang w:val="en-US"/>
              </w:rPr>
            </w:pPr>
            <w:r w:rsidRPr="005069E2">
              <w:rPr>
                <w:rFonts w:eastAsia="Times New Roman" w:cs="Times New Roman"/>
                <w:color w:val="000000"/>
                <w:szCs w:val="24"/>
                <w:lang w:val="en-US"/>
              </w:rPr>
              <w:t>0.69</w:t>
            </w:r>
          </w:p>
        </w:tc>
      </w:tr>
    </w:tbl>
    <w:p w:rsidR="000F3602" w:rsidRDefault="000F3602" w:rsidP="006209EB"/>
    <w:p w:rsidR="000F3602" w:rsidRDefault="000F3602" w:rsidP="000F3602">
      <w:r>
        <w:rPr>
          <w:b/>
          <w:i/>
        </w:rPr>
        <w:lastRenderedPageBreak/>
        <w:t xml:space="preserve">But the assets turnover ratio has registered a gradual declining trend during the period of the study </w:t>
      </w:r>
      <w:r>
        <w:t>as the proportion of</w:t>
      </w:r>
      <w:r>
        <w:rPr>
          <w:b/>
          <w:i/>
        </w:rPr>
        <w:t xml:space="preserve"> </w:t>
      </w:r>
      <w:r>
        <w:t>EBIT earned over years has declined over years with the growing volume of the asset investment in the form fleet purchase. Therefore the business should take some initiatives for quick utilization of the asset purchased for the purpose of business generation.</w:t>
      </w:r>
    </w:p>
    <w:tbl>
      <w:tblPr>
        <w:tblW w:w="9019" w:type="dxa"/>
        <w:tblInd w:w="89" w:type="dxa"/>
        <w:tblLook w:val="04A0" w:firstRow="1" w:lastRow="0" w:firstColumn="1" w:lastColumn="0" w:noHBand="0" w:noVBand="1"/>
      </w:tblPr>
      <w:tblGrid>
        <w:gridCol w:w="3079"/>
        <w:gridCol w:w="1236"/>
        <w:gridCol w:w="1116"/>
        <w:gridCol w:w="1356"/>
        <w:gridCol w:w="1116"/>
        <w:gridCol w:w="1116"/>
      </w:tblGrid>
      <w:tr w:rsidR="005443E7" w:rsidRPr="00065998" w:rsidTr="00B43DC0">
        <w:trPr>
          <w:trHeight w:val="1260"/>
        </w:trPr>
        <w:tc>
          <w:tcPr>
            <w:tcW w:w="307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443E7" w:rsidRPr="00065998" w:rsidRDefault="005443E7" w:rsidP="00B43DC0">
            <w:pPr>
              <w:spacing w:after="0" w:line="240" w:lineRule="auto"/>
              <w:rPr>
                <w:rFonts w:eastAsia="Times New Roman" w:cs="Times New Roman"/>
                <w:color w:val="000000"/>
                <w:szCs w:val="24"/>
                <w:lang w:val="en-US"/>
              </w:rPr>
            </w:pPr>
            <w:r w:rsidRPr="00065998">
              <w:rPr>
                <w:rFonts w:eastAsia="Times New Roman" w:cs="Times New Roman"/>
                <w:color w:val="000000"/>
                <w:szCs w:val="24"/>
                <w:lang w:val="en-US"/>
              </w:rPr>
              <w:t>Gearing Ratio(long term liabilities/capital employed),capital employed=Share capital + retained earnings + long-term liabilities</w:t>
            </w:r>
          </w:p>
        </w:tc>
        <w:tc>
          <w:tcPr>
            <w:tcW w:w="1236" w:type="dxa"/>
            <w:tcBorders>
              <w:top w:val="single" w:sz="4" w:space="0" w:color="auto"/>
              <w:left w:val="nil"/>
              <w:bottom w:val="single" w:sz="4" w:space="0" w:color="auto"/>
              <w:right w:val="single" w:sz="4" w:space="0" w:color="auto"/>
            </w:tcBorders>
            <w:shd w:val="clear" w:color="auto" w:fill="auto"/>
            <w:noWrap/>
            <w:hideMark/>
          </w:tcPr>
          <w:p w:rsidR="005443E7" w:rsidRPr="00817CE9" w:rsidRDefault="005443E7" w:rsidP="00B43DC0">
            <w:r w:rsidRPr="00817CE9">
              <w:t>94%</w:t>
            </w:r>
          </w:p>
        </w:tc>
        <w:tc>
          <w:tcPr>
            <w:tcW w:w="1116" w:type="dxa"/>
            <w:tcBorders>
              <w:top w:val="single" w:sz="4" w:space="0" w:color="auto"/>
              <w:left w:val="nil"/>
              <w:bottom w:val="single" w:sz="4" w:space="0" w:color="auto"/>
              <w:right w:val="single" w:sz="4" w:space="0" w:color="auto"/>
            </w:tcBorders>
            <w:shd w:val="clear" w:color="auto" w:fill="auto"/>
            <w:noWrap/>
            <w:hideMark/>
          </w:tcPr>
          <w:p w:rsidR="005443E7" w:rsidRPr="00817CE9" w:rsidRDefault="005443E7" w:rsidP="00B43DC0">
            <w:r w:rsidRPr="00817CE9">
              <w:t>86%</w:t>
            </w:r>
          </w:p>
        </w:tc>
        <w:tc>
          <w:tcPr>
            <w:tcW w:w="1356" w:type="dxa"/>
            <w:tcBorders>
              <w:top w:val="single" w:sz="4" w:space="0" w:color="auto"/>
              <w:left w:val="nil"/>
              <w:bottom w:val="single" w:sz="4" w:space="0" w:color="auto"/>
              <w:right w:val="single" w:sz="4" w:space="0" w:color="auto"/>
            </w:tcBorders>
            <w:shd w:val="clear" w:color="auto" w:fill="auto"/>
            <w:noWrap/>
            <w:hideMark/>
          </w:tcPr>
          <w:p w:rsidR="005443E7" w:rsidRPr="00817CE9" w:rsidRDefault="005443E7" w:rsidP="00B43DC0">
            <w:r w:rsidRPr="00817CE9">
              <w:t>81%</w:t>
            </w:r>
          </w:p>
        </w:tc>
        <w:tc>
          <w:tcPr>
            <w:tcW w:w="1116" w:type="dxa"/>
            <w:tcBorders>
              <w:top w:val="single" w:sz="4" w:space="0" w:color="auto"/>
              <w:left w:val="nil"/>
              <w:bottom w:val="single" w:sz="4" w:space="0" w:color="auto"/>
              <w:right w:val="single" w:sz="4" w:space="0" w:color="auto"/>
            </w:tcBorders>
            <w:shd w:val="clear" w:color="auto" w:fill="auto"/>
            <w:noWrap/>
            <w:hideMark/>
          </w:tcPr>
          <w:p w:rsidR="005443E7" w:rsidRPr="00817CE9" w:rsidRDefault="005443E7" w:rsidP="00B43DC0">
            <w:r w:rsidRPr="00817CE9">
              <w:t>57%</w:t>
            </w:r>
          </w:p>
        </w:tc>
        <w:tc>
          <w:tcPr>
            <w:tcW w:w="1116" w:type="dxa"/>
            <w:tcBorders>
              <w:top w:val="single" w:sz="4" w:space="0" w:color="auto"/>
              <w:left w:val="nil"/>
              <w:bottom w:val="single" w:sz="4" w:space="0" w:color="auto"/>
              <w:right w:val="single" w:sz="4" w:space="0" w:color="auto"/>
            </w:tcBorders>
            <w:shd w:val="clear" w:color="auto" w:fill="auto"/>
            <w:noWrap/>
            <w:hideMark/>
          </w:tcPr>
          <w:p w:rsidR="005443E7" w:rsidRDefault="005443E7" w:rsidP="00B43DC0">
            <w:r w:rsidRPr="00817CE9">
              <w:t>73%</w:t>
            </w:r>
          </w:p>
        </w:tc>
      </w:tr>
    </w:tbl>
    <w:p w:rsidR="000F3602" w:rsidRDefault="000F3602" w:rsidP="006209EB"/>
    <w:p w:rsidR="005443E7" w:rsidRDefault="005443E7" w:rsidP="005443E7">
      <w:r>
        <w:rPr>
          <w:b/>
          <w:i/>
        </w:rPr>
        <w:t>The gearing ratio defines that to</w:t>
      </w:r>
      <w:r>
        <w:t xml:space="preserve"> what extent the business is dependent over the long term liabilities for financing the required investments of the organization. The businesses here have registered a declining trend in the gearing ratio which means that the business has decided to reduce their dependency over the long term liabilities. But as the lowest ever gearing ratio attained by the business is above 50 %</w:t>
      </w:r>
      <w:r w:rsidR="004802FE">
        <w:t>( 57%, 2015</w:t>
      </w:r>
      <w:r>
        <w:t xml:space="preserve">), the business is still in the </w:t>
      </w:r>
      <w:r w:rsidR="00037236">
        <w:t>segment</w:t>
      </w:r>
      <w:r>
        <w:t xml:space="preserve"> of high gearing</w:t>
      </w:r>
      <w:r w:rsidR="004802FE">
        <w:t>.</w:t>
      </w:r>
    </w:p>
    <w:p w:rsidR="004802FE" w:rsidRDefault="004802FE" w:rsidP="005443E7"/>
    <w:p w:rsidR="004802FE" w:rsidRDefault="004802FE" w:rsidP="005443E7"/>
    <w:p w:rsidR="004802FE" w:rsidRDefault="004802FE" w:rsidP="005443E7"/>
    <w:p w:rsidR="004802FE" w:rsidRDefault="004802FE" w:rsidP="005443E7"/>
    <w:p w:rsidR="004802FE" w:rsidRDefault="004802FE" w:rsidP="005443E7"/>
    <w:p w:rsidR="004802FE" w:rsidRDefault="004802FE" w:rsidP="005443E7"/>
    <w:p w:rsidR="004802FE" w:rsidRDefault="004802FE" w:rsidP="005443E7"/>
    <w:p w:rsidR="006209EB" w:rsidRDefault="006209EB" w:rsidP="006209EB">
      <w:pPr>
        <w:pStyle w:val="Heading1"/>
      </w:pPr>
      <w:bookmarkStart w:id="17" w:name="_Toc502257789"/>
      <w:r>
        <w:lastRenderedPageBreak/>
        <w:t>Comparison of the financial performance of British airways with Virgin Atlantic airways</w:t>
      </w:r>
      <w:bookmarkEnd w:id="17"/>
    </w:p>
    <w:p w:rsidR="00F02DE9" w:rsidRPr="00F02DE9" w:rsidRDefault="00F02DE9" w:rsidP="00F02DE9">
      <w:pPr>
        <w:rPr>
          <w:b/>
          <w:i/>
          <w:u w:val="single"/>
        </w:rPr>
      </w:pPr>
      <w:r w:rsidRPr="00F02DE9">
        <w:rPr>
          <w:b/>
          <w:i/>
          <w:u w:val="single"/>
        </w:rPr>
        <w:t>Ratio analysis –British airways</w:t>
      </w:r>
    </w:p>
    <w:tbl>
      <w:tblPr>
        <w:tblW w:w="8987" w:type="dxa"/>
        <w:tblInd w:w="89" w:type="dxa"/>
        <w:tblLook w:val="04A0" w:firstRow="1" w:lastRow="0" w:firstColumn="1" w:lastColumn="0" w:noHBand="0" w:noVBand="1"/>
      </w:tblPr>
      <w:tblGrid>
        <w:gridCol w:w="3333"/>
        <w:gridCol w:w="1177"/>
        <w:gridCol w:w="1090"/>
        <w:gridCol w:w="1291"/>
        <w:gridCol w:w="1090"/>
        <w:gridCol w:w="1090"/>
      </w:tblGrid>
      <w:tr w:rsidR="00A45B21" w:rsidRPr="00A45B21" w:rsidTr="004802FE">
        <w:trPr>
          <w:trHeight w:val="272"/>
        </w:trPr>
        <w:tc>
          <w:tcPr>
            <w:tcW w:w="33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Balance sheet item</w:t>
            </w:r>
          </w:p>
        </w:tc>
        <w:tc>
          <w:tcPr>
            <w:tcW w:w="1177" w:type="dxa"/>
            <w:tcBorders>
              <w:top w:val="single" w:sz="4" w:space="0" w:color="auto"/>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£,million</w:t>
            </w:r>
          </w:p>
        </w:tc>
        <w:tc>
          <w:tcPr>
            <w:tcW w:w="1062" w:type="dxa"/>
            <w:tcBorders>
              <w:top w:val="single" w:sz="4" w:space="0" w:color="auto"/>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£,million</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£,million</w:t>
            </w:r>
          </w:p>
        </w:tc>
        <w:tc>
          <w:tcPr>
            <w:tcW w:w="1062" w:type="dxa"/>
            <w:tcBorders>
              <w:top w:val="single" w:sz="4" w:space="0" w:color="auto"/>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£,million</w:t>
            </w:r>
          </w:p>
        </w:tc>
        <w:tc>
          <w:tcPr>
            <w:tcW w:w="1062" w:type="dxa"/>
            <w:tcBorders>
              <w:top w:val="single" w:sz="4" w:space="0" w:color="auto"/>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£,million</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177" w:type="dxa"/>
            <w:tcBorders>
              <w:top w:val="nil"/>
              <w:left w:val="nil"/>
              <w:bottom w:val="single" w:sz="4" w:space="0" w:color="auto"/>
              <w:right w:val="single" w:sz="4" w:space="0" w:color="auto"/>
            </w:tcBorders>
            <w:shd w:val="clear" w:color="000000" w:fill="EEECE1"/>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2012</w:t>
            </w:r>
          </w:p>
        </w:tc>
        <w:tc>
          <w:tcPr>
            <w:tcW w:w="1062" w:type="dxa"/>
            <w:tcBorders>
              <w:top w:val="nil"/>
              <w:left w:val="nil"/>
              <w:bottom w:val="single" w:sz="4" w:space="0" w:color="auto"/>
              <w:right w:val="single" w:sz="4" w:space="0" w:color="auto"/>
            </w:tcBorders>
            <w:shd w:val="clear" w:color="000000" w:fill="EEECE1"/>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2013</w:t>
            </w:r>
          </w:p>
        </w:tc>
        <w:tc>
          <w:tcPr>
            <w:tcW w:w="1291" w:type="dxa"/>
            <w:tcBorders>
              <w:top w:val="nil"/>
              <w:left w:val="nil"/>
              <w:bottom w:val="single" w:sz="4" w:space="0" w:color="auto"/>
              <w:right w:val="single" w:sz="4" w:space="0" w:color="auto"/>
            </w:tcBorders>
            <w:shd w:val="clear" w:color="000000" w:fill="EEECE1"/>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2014</w:t>
            </w:r>
          </w:p>
        </w:tc>
        <w:tc>
          <w:tcPr>
            <w:tcW w:w="1062" w:type="dxa"/>
            <w:tcBorders>
              <w:top w:val="nil"/>
              <w:left w:val="nil"/>
              <w:bottom w:val="single" w:sz="4" w:space="0" w:color="auto"/>
              <w:right w:val="single" w:sz="4" w:space="0" w:color="auto"/>
            </w:tcBorders>
            <w:shd w:val="clear" w:color="000000" w:fill="EEECE1"/>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2015</w:t>
            </w:r>
          </w:p>
        </w:tc>
        <w:tc>
          <w:tcPr>
            <w:tcW w:w="1062" w:type="dxa"/>
            <w:tcBorders>
              <w:top w:val="nil"/>
              <w:left w:val="nil"/>
              <w:bottom w:val="single" w:sz="4" w:space="0" w:color="auto"/>
              <w:right w:val="single" w:sz="4" w:space="0" w:color="auto"/>
            </w:tcBorders>
            <w:shd w:val="clear" w:color="000000" w:fill="EEECE1"/>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2016</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xml:space="preserve">Gross profit </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274</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651</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975</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1264</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1473</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Total revenue earned</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10827</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11,421</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11,719</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11,333</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11,443</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Net profit/PBT(profit before tax)</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-139</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300</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859</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2,628</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1,566</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Current asset</w:t>
            </w:r>
          </w:p>
        </w:tc>
        <w:tc>
          <w:tcPr>
            <w:tcW w:w="1177" w:type="dxa"/>
            <w:tcBorders>
              <w:top w:val="nil"/>
              <w:left w:val="nil"/>
              <w:bottom w:val="nil"/>
              <w:right w:val="nil"/>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2,634</w:t>
            </w:r>
          </w:p>
        </w:tc>
        <w:tc>
          <w:tcPr>
            <w:tcW w:w="1062" w:type="dxa"/>
            <w:tcBorders>
              <w:top w:val="nil"/>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2,915</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3,583</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3400</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4071</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Current liability</w:t>
            </w:r>
          </w:p>
        </w:tc>
        <w:tc>
          <w:tcPr>
            <w:tcW w:w="1177" w:type="dxa"/>
            <w:tcBorders>
              <w:top w:val="single" w:sz="4" w:space="0" w:color="auto"/>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4,398</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4,627</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5,502</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5700</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5334</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Average Inventory holding</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117</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533</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531</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139</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133</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share capital</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290</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290</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290</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290</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290</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xml:space="preserve">Retained </w:t>
            </w:r>
            <w:r w:rsidR="00B46C18" w:rsidRPr="00A45B21">
              <w:rPr>
                <w:rFonts w:eastAsia="Times New Roman" w:cs="Times New Roman"/>
                <w:color w:val="000000"/>
                <w:szCs w:val="24"/>
                <w:lang w:val="en-US"/>
              </w:rPr>
              <w:t>earning</w:t>
            </w:r>
            <w:r w:rsidR="00B46C18">
              <w:rPr>
                <w:rFonts w:eastAsia="Times New Roman" w:cs="Times New Roman"/>
                <w:color w:val="000000"/>
                <w:szCs w:val="24"/>
                <w:lang w:val="en-US"/>
              </w:rPr>
              <w:t>s</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-100</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281</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702</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2,508</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1345</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long term liabilities</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3226</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3,453</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4,121</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3782</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4470</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capital employed</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3,416</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4,024</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5,113</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6,580</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6,105</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Total average asset</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11837</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11,921</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13,426</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15376</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16471</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EBIT</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-139</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300</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859</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2628</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1566</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177" w:type="dxa"/>
            <w:tcBorders>
              <w:top w:val="nil"/>
              <w:left w:val="nil"/>
              <w:bottom w:val="single" w:sz="4" w:space="0" w:color="auto"/>
              <w:right w:val="single" w:sz="4" w:space="0" w:color="auto"/>
            </w:tcBorders>
            <w:shd w:val="clear" w:color="000000" w:fill="EEECE1"/>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2012</w:t>
            </w:r>
          </w:p>
        </w:tc>
        <w:tc>
          <w:tcPr>
            <w:tcW w:w="1062" w:type="dxa"/>
            <w:tcBorders>
              <w:top w:val="nil"/>
              <w:left w:val="nil"/>
              <w:bottom w:val="single" w:sz="4" w:space="0" w:color="auto"/>
              <w:right w:val="single" w:sz="4" w:space="0" w:color="auto"/>
            </w:tcBorders>
            <w:shd w:val="clear" w:color="000000" w:fill="EEECE1"/>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2013</w:t>
            </w:r>
          </w:p>
        </w:tc>
        <w:tc>
          <w:tcPr>
            <w:tcW w:w="1291" w:type="dxa"/>
            <w:tcBorders>
              <w:top w:val="nil"/>
              <w:left w:val="nil"/>
              <w:bottom w:val="single" w:sz="4" w:space="0" w:color="auto"/>
              <w:right w:val="single" w:sz="4" w:space="0" w:color="auto"/>
            </w:tcBorders>
            <w:shd w:val="clear" w:color="000000" w:fill="EEECE1"/>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2014</w:t>
            </w:r>
          </w:p>
        </w:tc>
        <w:tc>
          <w:tcPr>
            <w:tcW w:w="1062" w:type="dxa"/>
            <w:tcBorders>
              <w:top w:val="nil"/>
              <w:left w:val="nil"/>
              <w:bottom w:val="single" w:sz="4" w:space="0" w:color="auto"/>
              <w:right w:val="single" w:sz="4" w:space="0" w:color="auto"/>
            </w:tcBorders>
            <w:shd w:val="clear" w:color="000000" w:fill="EEECE1"/>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2015</w:t>
            </w:r>
          </w:p>
        </w:tc>
        <w:tc>
          <w:tcPr>
            <w:tcW w:w="1062" w:type="dxa"/>
            <w:tcBorders>
              <w:top w:val="nil"/>
              <w:left w:val="nil"/>
              <w:bottom w:val="single" w:sz="4" w:space="0" w:color="auto"/>
              <w:right w:val="single" w:sz="4" w:space="0" w:color="auto"/>
            </w:tcBorders>
            <w:shd w:val="clear" w:color="000000" w:fill="EEECE1"/>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2016</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000000" w:fill="FFFF00"/>
            <w:noWrap/>
            <w:vAlign w:val="bottom"/>
            <w:hideMark/>
          </w:tcPr>
          <w:p w:rsidR="00A45B21" w:rsidRPr="00A45B21" w:rsidRDefault="001B62B9"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Profitability</w:t>
            </w:r>
            <w:r w:rsidR="00A45B21" w:rsidRPr="00A45B21">
              <w:rPr>
                <w:rFonts w:eastAsia="Times New Roman" w:cs="Times New Roman"/>
                <w:color w:val="000000"/>
                <w:szCs w:val="24"/>
                <w:lang w:val="en-US"/>
              </w:rPr>
              <w:t xml:space="preserve"> Ratios</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r>
      <w:tr w:rsidR="00A45B21" w:rsidRPr="00A45B21" w:rsidTr="004802FE">
        <w:trPr>
          <w:trHeight w:val="897"/>
        </w:trPr>
        <w:tc>
          <w:tcPr>
            <w:tcW w:w="3333" w:type="dxa"/>
            <w:tcBorders>
              <w:top w:val="nil"/>
              <w:left w:val="single" w:sz="4" w:space="0" w:color="auto"/>
              <w:bottom w:val="single" w:sz="4" w:space="0" w:color="auto"/>
              <w:right w:val="single" w:sz="4" w:space="0" w:color="auto"/>
            </w:tcBorders>
            <w:shd w:val="clear" w:color="auto" w:fill="auto"/>
            <w:vAlign w:val="bottom"/>
            <w:hideMark/>
          </w:tcPr>
          <w:p w:rsidR="00A45B21" w:rsidRPr="00A45B21" w:rsidRDefault="00A45B21" w:rsidP="00A45B21">
            <w:pPr>
              <w:spacing w:after="0" w:line="240" w:lineRule="auto"/>
              <w:rPr>
                <w:rFonts w:eastAsia="Times New Roman" w:cs="Times New Roman"/>
                <w:b/>
                <w:bCs/>
                <w:i/>
                <w:iCs/>
                <w:color w:val="000000"/>
                <w:szCs w:val="24"/>
                <w:lang w:val="en-US"/>
              </w:rPr>
            </w:pPr>
            <w:r w:rsidRPr="00A45B21">
              <w:rPr>
                <w:rFonts w:eastAsia="Times New Roman" w:cs="Times New Roman"/>
                <w:b/>
                <w:bCs/>
                <w:i/>
                <w:iCs/>
                <w:color w:val="000000"/>
                <w:szCs w:val="24"/>
                <w:lang w:val="en-US"/>
              </w:rPr>
              <w:t>Gross profit margin</w:t>
            </w:r>
            <w:r w:rsidRPr="00A45B21">
              <w:rPr>
                <w:rFonts w:eastAsia="Times New Roman" w:cs="Times New Roman"/>
                <w:color w:val="000000"/>
                <w:szCs w:val="24"/>
                <w:lang w:val="en-US"/>
              </w:rPr>
              <w:t xml:space="preserve"> ([Gross profit /Net sales]*100) </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3%</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6%</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8%</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11%</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13%</w:t>
            </w:r>
          </w:p>
        </w:tc>
      </w:tr>
      <w:tr w:rsidR="00A45B21" w:rsidRPr="00A45B21" w:rsidTr="004802FE">
        <w:trPr>
          <w:trHeight w:val="544"/>
        </w:trPr>
        <w:tc>
          <w:tcPr>
            <w:tcW w:w="3333" w:type="dxa"/>
            <w:tcBorders>
              <w:top w:val="nil"/>
              <w:left w:val="single" w:sz="4" w:space="0" w:color="auto"/>
              <w:bottom w:val="single" w:sz="4" w:space="0" w:color="auto"/>
              <w:right w:val="single" w:sz="4" w:space="0" w:color="auto"/>
            </w:tcBorders>
            <w:shd w:val="clear" w:color="auto" w:fill="auto"/>
            <w:vAlign w:val="bottom"/>
            <w:hideMark/>
          </w:tcPr>
          <w:p w:rsidR="00A45B21" w:rsidRPr="00A45B21" w:rsidRDefault="00A45B21" w:rsidP="004A3BA5">
            <w:pPr>
              <w:spacing w:after="0" w:line="240" w:lineRule="auto"/>
              <w:rPr>
                <w:rFonts w:eastAsia="Times New Roman" w:cs="Times New Roman"/>
                <w:color w:val="000000"/>
                <w:szCs w:val="24"/>
                <w:lang w:val="en-US"/>
              </w:rPr>
            </w:pPr>
            <w:r w:rsidRPr="00A45B21">
              <w:rPr>
                <w:rFonts w:eastAsia="Times New Roman" w:cs="Times New Roman"/>
                <w:b/>
                <w:bCs/>
                <w:color w:val="000000"/>
                <w:szCs w:val="24"/>
                <w:lang w:val="en-US"/>
              </w:rPr>
              <w:t>Net Profit margin</w:t>
            </w:r>
            <w:r w:rsidRPr="00A45B21">
              <w:rPr>
                <w:rFonts w:eastAsia="Times New Roman" w:cs="Times New Roman"/>
                <w:color w:val="000000"/>
                <w:szCs w:val="24"/>
                <w:lang w:val="en-US"/>
              </w:rPr>
              <w:t xml:space="preserve"> (</w:t>
            </w:r>
            <w:r w:rsidR="004A3BA5">
              <w:rPr>
                <w:rFonts w:eastAsia="Times New Roman" w:cs="Times New Roman"/>
                <w:color w:val="000000"/>
                <w:szCs w:val="24"/>
                <w:lang w:val="en-US"/>
              </w:rPr>
              <w:t>Net</w:t>
            </w:r>
            <w:r w:rsidRPr="00A45B21">
              <w:rPr>
                <w:rFonts w:eastAsia="Times New Roman" w:cs="Times New Roman"/>
                <w:color w:val="000000"/>
                <w:szCs w:val="24"/>
                <w:lang w:val="en-US"/>
              </w:rPr>
              <w:t xml:space="preserve"> profit /Net sales): </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-1.28%</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2.63%</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7.33%</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23.19%</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13.69%</w:t>
            </w:r>
          </w:p>
        </w:tc>
      </w:tr>
      <w:tr w:rsidR="00A45B21" w:rsidRPr="00A45B21" w:rsidTr="004802FE">
        <w:trPr>
          <w:trHeight w:val="272"/>
        </w:trPr>
        <w:tc>
          <w:tcPr>
            <w:tcW w:w="3333" w:type="dxa"/>
            <w:tcBorders>
              <w:top w:val="nil"/>
              <w:left w:val="single" w:sz="4" w:space="0" w:color="auto"/>
              <w:bottom w:val="single" w:sz="4" w:space="0" w:color="auto"/>
              <w:right w:val="single" w:sz="4" w:space="0" w:color="auto"/>
            </w:tcBorders>
            <w:shd w:val="clear" w:color="000000" w:fill="FFFF00"/>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Liquidity ratio</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062" w:type="dxa"/>
            <w:tcBorders>
              <w:top w:val="nil"/>
              <w:left w:val="nil"/>
              <w:bottom w:val="single" w:sz="4" w:space="0" w:color="auto"/>
              <w:right w:val="single" w:sz="4" w:space="0" w:color="auto"/>
            </w:tcBorders>
            <w:shd w:val="clear" w:color="auto" w:fill="auto"/>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r>
      <w:tr w:rsidR="00A45B21" w:rsidRPr="00A45B21" w:rsidTr="004802FE">
        <w:trPr>
          <w:trHeight w:val="544"/>
        </w:trPr>
        <w:tc>
          <w:tcPr>
            <w:tcW w:w="3333" w:type="dxa"/>
            <w:tcBorders>
              <w:top w:val="nil"/>
              <w:left w:val="single" w:sz="4" w:space="0" w:color="auto"/>
              <w:bottom w:val="single" w:sz="4" w:space="0" w:color="auto"/>
              <w:right w:val="single" w:sz="4" w:space="0" w:color="auto"/>
            </w:tcBorders>
            <w:shd w:val="clear" w:color="auto" w:fill="auto"/>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b/>
                <w:bCs/>
                <w:color w:val="000000"/>
                <w:szCs w:val="24"/>
                <w:lang w:val="en-US"/>
              </w:rPr>
              <w:t>Current Ratio</w:t>
            </w:r>
            <w:r w:rsidRPr="00A45B21">
              <w:rPr>
                <w:rFonts w:eastAsia="Times New Roman" w:cs="Times New Roman"/>
                <w:color w:val="000000"/>
                <w:szCs w:val="24"/>
                <w:lang w:val="en-US"/>
              </w:rPr>
              <w:t xml:space="preserve"> ([Current asset/Current liability]*100): </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0.60</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0.63</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0.65</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0.60</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0.76</w:t>
            </w:r>
          </w:p>
        </w:tc>
      </w:tr>
      <w:tr w:rsidR="00A45B21" w:rsidRPr="00A45B21" w:rsidTr="004802FE">
        <w:trPr>
          <w:trHeight w:val="557"/>
        </w:trPr>
        <w:tc>
          <w:tcPr>
            <w:tcW w:w="3333" w:type="dxa"/>
            <w:tcBorders>
              <w:top w:val="nil"/>
              <w:left w:val="single" w:sz="4" w:space="0" w:color="auto"/>
              <w:bottom w:val="single" w:sz="4" w:space="0" w:color="auto"/>
              <w:right w:val="single" w:sz="4" w:space="0" w:color="auto"/>
            </w:tcBorders>
            <w:shd w:val="clear" w:color="auto" w:fill="auto"/>
            <w:vAlign w:val="bottom"/>
            <w:hideMark/>
          </w:tcPr>
          <w:p w:rsidR="00A45B21" w:rsidRPr="00A45B21" w:rsidRDefault="00A45B21" w:rsidP="00A45B21">
            <w:pPr>
              <w:spacing w:after="0" w:line="240" w:lineRule="auto"/>
              <w:rPr>
                <w:rFonts w:eastAsia="Times New Roman" w:cs="Times New Roman"/>
                <w:b/>
                <w:bCs/>
                <w:color w:val="000000"/>
                <w:szCs w:val="24"/>
                <w:lang w:val="en-US"/>
              </w:rPr>
            </w:pPr>
            <w:r w:rsidRPr="00A45B21">
              <w:rPr>
                <w:rFonts w:eastAsia="Times New Roman" w:cs="Times New Roman"/>
                <w:b/>
                <w:bCs/>
                <w:color w:val="000000"/>
                <w:szCs w:val="24"/>
                <w:lang w:val="en-US"/>
              </w:rPr>
              <w:t>Quick Ratio</w:t>
            </w:r>
            <w:r w:rsidRPr="00A45B21">
              <w:rPr>
                <w:rFonts w:eastAsia="Times New Roman" w:cs="Times New Roman"/>
                <w:color w:val="000000"/>
                <w:szCs w:val="24"/>
                <w:lang w:val="en-US"/>
              </w:rPr>
              <w:t xml:space="preserve"> ([Current asset-Inventories]/ Current liability*100) </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0.57</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0.51</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0.55</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0.57</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0.74</w:t>
            </w:r>
          </w:p>
        </w:tc>
      </w:tr>
      <w:tr w:rsidR="00A45B21" w:rsidRPr="00A45B21" w:rsidTr="004802FE">
        <w:trPr>
          <w:trHeight w:val="285"/>
        </w:trPr>
        <w:tc>
          <w:tcPr>
            <w:tcW w:w="3333" w:type="dxa"/>
            <w:tcBorders>
              <w:top w:val="nil"/>
              <w:left w:val="single" w:sz="4" w:space="0" w:color="auto"/>
              <w:bottom w:val="single" w:sz="4" w:space="0" w:color="auto"/>
              <w:right w:val="single" w:sz="4" w:space="0" w:color="auto"/>
            </w:tcBorders>
            <w:shd w:val="clear" w:color="000000" w:fill="FFFF00"/>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Efficiency ratio</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r>
      <w:tr w:rsidR="00A45B21" w:rsidRPr="00A45B21" w:rsidTr="004802FE">
        <w:trPr>
          <w:trHeight w:val="857"/>
        </w:trPr>
        <w:tc>
          <w:tcPr>
            <w:tcW w:w="3333" w:type="dxa"/>
            <w:tcBorders>
              <w:top w:val="nil"/>
              <w:left w:val="single" w:sz="4" w:space="0" w:color="auto"/>
              <w:bottom w:val="single" w:sz="4" w:space="0" w:color="auto"/>
              <w:right w:val="single" w:sz="4" w:space="0" w:color="auto"/>
            </w:tcBorders>
            <w:shd w:val="clear" w:color="auto" w:fill="auto"/>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xml:space="preserve">Return on capital employed(ROCE)[EBIT/capital </w:t>
            </w:r>
            <w:r w:rsidRPr="00B46C18">
              <w:rPr>
                <w:rFonts w:eastAsia="Times New Roman" w:cs="Times New Roman"/>
                <w:color w:val="000000"/>
                <w:szCs w:val="24"/>
                <w:lang w:val="en-US"/>
              </w:rPr>
              <w:t>employed</w:t>
            </w:r>
            <w:r w:rsidRPr="00A45B21">
              <w:rPr>
                <w:rFonts w:eastAsia="Times New Roman" w:cs="Times New Roman"/>
                <w:color w:val="000000"/>
                <w:szCs w:val="24"/>
                <w:lang w:val="en-US"/>
              </w:rPr>
              <w:t>]</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-0.01</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0.03</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0.06</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0.17</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0.10</w:t>
            </w:r>
          </w:p>
        </w:tc>
      </w:tr>
      <w:tr w:rsidR="00A45B21" w:rsidRPr="00A45B21" w:rsidTr="004802FE">
        <w:trPr>
          <w:trHeight w:val="571"/>
        </w:trPr>
        <w:tc>
          <w:tcPr>
            <w:tcW w:w="3333" w:type="dxa"/>
            <w:tcBorders>
              <w:top w:val="nil"/>
              <w:left w:val="single" w:sz="4" w:space="0" w:color="auto"/>
              <w:bottom w:val="single" w:sz="4" w:space="0" w:color="auto"/>
              <w:right w:val="single" w:sz="4" w:space="0" w:color="auto"/>
            </w:tcBorders>
            <w:shd w:val="clear" w:color="auto" w:fill="auto"/>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xml:space="preserve">Total asset </w:t>
            </w:r>
            <w:r w:rsidR="00B46C18" w:rsidRPr="00A45B21">
              <w:rPr>
                <w:rFonts w:eastAsia="Times New Roman" w:cs="Times New Roman"/>
                <w:color w:val="000000"/>
                <w:szCs w:val="24"/>
                <w:lang w:val="en-US"/>
              </w:rPr>
              <w:t>turnover</w:t>
            </w:r>
            <w:r w:rsidR="00B46C18">
              <w:rPr>
                <w:rFonts w:eastAsia="Times New Roman" w:cs="Times New Roman"/>
                <w:color w:val="000000"/>
                <w:szCs w:val="24"/>
                <w:lang w:val="en-US"/>
              </w:rPr>
              <w:t xml:space="preserve"> </w:t>
            </w:r>
            <w:r w:rsidRPr="00A45B21">
              <w:rPr>
                <w:rFonts w:eastAsia="Times New Roman" w:cs="Times New Roman"/>
                <w:color w:val="000000"/>
                <w:szCs w:val="24"/>
                <w:lang w:val="en-US"/>
              </w:rPr>
              <w:t xml:space="preserve"> ratio(net sales or revenue/Total average asset)</w:t>
            </w:r>
            <w:r w:rsidR="001D15D2">
              <w:t xml:space="preserve"> </w:t>
            </w:r>
            <w:r w:rsidR="001D15D2" w:rsidRPr="001D15D2">
              <w:rPr>
                <w:rFonts w:eastAsia="Times New Roman" w:cs="Times New Roman"/>
                <w:color w:val="000000"/>
                <w:szCs w:val="24"/>
                <w:lang w:val="en-US"/>
              </w:rPr>
              <w:t>(Finance.yahoo.com, 2017)</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0.91</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0.96</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0.87</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0.74</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jc w:val="right"/>
              <w:rPr>
                <w:rFonts w:eastAsia="Times New Roman" w:cs="Times New Roman"/>
                <w:color w:val="000000"/>
                <w:szCs w:val="24"/>
                <w:lang w:val="en-US"/>
              </w:rPr>
            </w:pPr>
            <w:r w:rsidRPr="00A45B21">
              <w:rPr>
                <w:rFonts w:eastAsia="Times New Roman" w:cs="Times New Roman"/>
                <w:color w:val="000000"/>
                <w:szCs w:val="24"/>
                <w:lang w:val="en-US"/>
              </w:rPr>
              <w:t>0.69</w:t>
            </w:r>
          </w:p>
        </w:tc>
      </w:tr>
      <w:tr w:rsidR="00A45B21" w:rsidRPr="00A45B21" w:rsidTr="004802FE">
        <w:trPr>
          <w:trHeight w:val="285"/>
        </w:trPr>
        <w:tc>
          <w:tcPr>
            <w:tcW w:w="3333" w:type="dxa"/>
            <w:tcBorders>
              <w:top w:val="nil"/>
              <w:left w:val="single" w:sz="4" w:space="0" w:color="auto"/>
              <w:bottom w:val="single" w:sz="4" w:space="0" w:color="auto"/>
              <w:right w:val="single" w:sz="4" w:space="0" w:color="auto"/>
            </w:tcBorders>
            <w:shd w:val="clear" w:color="000000" w:fill="FFFF00"/>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Gearing Ratio</w:t>
            </w:r>
          </w:p>
        </w:tc>
        <w:tc>
          <w:tcPr>
            <w:tcW w:w="1177"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291"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c>
          <w:tcPr>
            <w:tcW w:w="1062" w:type="dxa"/>
            <w:tcBorders>
              <w:top w:val="nil"/>
              <w:left w:val="nil"/>
              <w:bottom w:val="single" w:sz="4" w:space="0" w:color="auto"/>
              <w:right w:val="single" w:sz="4" w:space="0" w:color="auto"/>
            </w:tcBorders>
            <w:shd w:val="clear" w:color="auto" w:fill="auto"/>
            <w:noWrap/>
            <w:vAlign w:val="bottom"/>
            <w:hideMark/>
          </w:tcPr>
          <w:p w:rsidR="00A45B21" w:rsidRPr="00A45B21" w:rsidRDefault="00A45B21"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t> </w:t>
            </w:r>
          </w:p>
        </w:tc>
      </w:tr>
      <w:tr w:rsidR="00286276" w:rsidRPr="00A45B21" w:rsidTr="004802FE">
        <w:trPr>
          <w:trHeight w:val="1142"/>
        </w:trPr>
        <w:tc>
          <w:tcPr>
            <w:tcW w:w="3333" w:type="dxa"/>
            <w:tcBorders>
              <w:top w:val="nil"/>
              <w:left w:val="single" w:sz="4" w:space="0" w:color="auto"/>
              <w:bottom w:val="single" w:sz="4" w:space="0" w:color="auto"/>
              <w:right w:val="single" w:sz="4" w:space="0" w:color="auto"/>
            </w:tcBorders>
            <w:shd w:val="clear" w:color="auto" w:fill="auto"/>
            <w:vAlign w:val="bottom"/>
            <w:hideMark/>
          </w:tcPr>
          <w:p w:rsidR="00286276" w:rsidRPr="00A45B21" w:rsidRDefault="00286276" w:rsidP="00A45B21">
            <w:pPr>
              <w:spacing w:after="0" w:line="240" w:lineRule="auto"/>
              <w:rPr>
                <w:rFonts w:eastAsia="Times New Roman" w:cs="Times New Roman"/>
                <w:color w:val="000000"/>
                <w:szCs w:val="24"/>
                <w:lang w:val="en-US"/>
              </w:rPr>
            </w:pPr>
            <w:r w:rsidRPr="00A45B21">
              <w:rPr>
                <w:rFonts w:eastAsia="Times New Roman" w:cs="Times New Roman"/>
                <w:color w:val="000000"/>
                <w:szCs w:val="24"/>
                <w:lang w:val="en-US"/>
              </w:rPr>
              <w:lastRenderedPageBreak/>
              <w:t>Gearing Ratio(long term liabilities/capital employed),capital employed=Share capital + retained earnings + long-term liabilities</w:t>
            </w:r>
          </w:p>
        </w:tc>
        <w:tc>
          <w:tcPr>
            <w:tcW w:w="1177" w:type="dxa"/>
            <w:tcBorders>
              <w:top w:val="nil"/>
              <w:left w:val="nil"/>
              <w:bottom w:val="single" w:sz="4" w:space="0" w:color="auto"/>
              <w:right w:val="single" w:sz="4" w:space="0" w:color="auto"/>
            </w:tcBorders>
            <w:shd w:val="clear" w:color="auto" w:fill="auto"/>
            <w:noWrap/>
            <w:vAlign w:val="bottom"/>
            <w:hideMark/>
          </w:tcPr>
          <w:p w:rsidR="00286276" w:rsidRDefault="00286276">
            <w:pPr>
              <w:jc w:val="right"/>
              <w:rPr>
                <w:rFonts w:ascii="Calibri" w:hAnsi="Calibri"/>
                <w:color w:val="000000"/>
              </w:rPr>
            </w:pPr>
            <w:r>
              <w:rPr>
                <w:rFonts w:ascii="Calibri" w:hAnsi="Calibri"/>
                <w:color w:val="000000"/>
                <w:sz w:val="22"/>
              </w:rPr>
              <w:t>94%</w:t>
            </w:r>
          </w:p>
        </w:tc>
        <w:tc>
          <w:tcPr>
            <w:tcW w:w="1062" w:type="dxa"/>
            <w:tcBorders>
              <w:top w:val="nil"/>
              <w:left w:val="nil"/>
              <w:bottom w:val="single" w:sz="4" w:space="0" w:color="auto"/>
              <w:right w:val="single" w:sz="4" w:space="0" w:color="auto"/>
            </w:tcBorders>
            <w:shd w:val="clear" w:color="auto" w:fill="auto"/>
            <w:noWrap/>
            <w:vAlign w:val="bottom"/>
            <w:hideMark/>
          </w:tcPr>
          <w:p w:rsidR="00286276" w:rsidRDefault="00286276">
            <w:pPr>
              <w:jc w:val="right"/>
              <w:rPr>
                <w:rFonts w:ascii="Calibri" w:hAnsi="Calibri"/>
                <w:color w:val="000000"/>
              </w:rPr>
            </w:pPr>
            <w:r>
              <w:rPr>
                <w:rFonts w:ascii="Calibri" w:hAnsi="Calibri"/>
                <w:color w:val="000000"/>
                <w:sz w:val="22"/>
              </w:rPr>
              <w:t>86%</w:t>
            </w:r>
          </w:p>
        </w:tc>
        <w:tc>
          <w:tcPr>
            <w:tcW w:w="1291" w:type="dxa"/>
            <w:tcBorders>
              <w:top w:val="nil"/>
              <w:left w:val="nil"/>
              <w:bottom w:val="single" w:sz="4" w:space="0" w:color="auto"/>
              <w:right w:val="single" w:sz="4" w:space="0" w:color="auto"/>
            </w:tcBorders>
            <w:shd w:val="clear" w:color="auto" w:fill="auto"/>
            <w:noWrap/>
            <w:vAlign w:val="bottom"/>
            <w:hideMark/>
          </w:tcPr>
          <w:p w:rsidR="00286276" w:rsidRDefault="00286276">
            <w:pPr>
              <w:jc w:val="right"/>
              <w:rPr>
                <w:rFonts w:ascii="Calibri" w:hAnsi="Calibri"/>
                <w:color w:val="000000"/>
              </w:rPr>
            </w:pPr>
            <w:r>
              <w:rPr>
                <w:rFonts w:ascii="Calibri" w:hAnsi="Calibri"/>
                <w:color w:val="000000"/>
                <w:sz w:val="22"/>
              </w:rPr>
              <w:t>81%</w:t>
            </w:r>
          </w:p>
        </w:tc>
        <w:tc>
          <w:tcPr>
            <w:tcW w:w="1062" w:type="dxa"/>
            <w:tcBorders>
              <w:top w:val="nil"/>
              <w:left w:val="nil"/>
              <w:bottom w:val="single" w:sz="4" w:space="0" w:color="auto"/>
              <w:right w:val="single" w:sz="4" w:space="0" w:color="auto"/>
            </w:tcBorders>
            <w:shd w:val="clear" w:color="auto" w:fill="auto"/>
            <w:noWrap/>
            <w:vAlign w:val="bottom"/>
            <w:hideMark/>
          </w:tcPr>
          <w:p w:rsidR="00286276" w:rsidRDefault="00286276">
            <w:pPr>
              <w:jc w:val="right"/>
              <w:rPr>
                <w:rFonts w:ascii="Calibri" w:hAnsi="Calibri"/>
                <w:color w:val="000000"/>
              </w:rPr>
            </w:pPr>
            <w:r>
              <w:rPr>
                <w:rFonts w:ascii="Calibri" w:hAnsi="Calibri"/>
                <w:color w:val="000000"/>
                <w:sz w:val="22"/>
              </w:rPr>
              <w:t>57%</w:t>
            </w:r>
          </w:p>
        </w:tc>
        <w:tc>
          <w:tcPr>
            <w:tcW w:w="1062" w:type="dxa"/>
            <w:tcBorders>
              <w:top w:val="nil"/>
              <w:left w:val="nil"/>
              <w:bottom w:val="single" w:sz="4" w:space="0" w:color="auto"/>
              <w:right w:val="single" w:sz="4" w:space="0" w:color="auto"/>
            </w:tcBorders>
            <w:shd w:val="clear" w:color="auto" w:fill="auto"/>
            <w:noWrap/>
            <w:vAlign w:val="bottom"/>
            <w:hideMark/>
          </w:tcPr>
          <w:p w:rsidR="00286276" w:rsidRDefault="00286276">
            <w:pPr>
              <w:jc w:val="right"/>
              <w:rPr>
                <w:rFonts w:ascii="Calibri" w:hAnsi="Calibri"/>
                <w:color w:val="000000"/>
              </w:rPr>
            </w:pPr>
            <w:r>
              <w:rPr>
                <w:rFonts w:ascii="Calibri" w:hAnsi="Calibri"/>
                <w:color w:val="000000"/>
                <w:sz w:val="22"/>
              </w:rPr>
              <w:t>73%</w:t>
            </w:r>
          </w:p>
        </w:tc>
      </w:tr>
    </w:tbl>
    <w:p w:rsidR="00A45B21" w:rsidRDefault="00A45B21" w:rsidP="006209EB">
      <w:pPr>
        <w:pStyle w:val="Heading1"/>
      </w:pPr>
    </w:p>
    <w:p w:rsidR="00F02DE9" w:rsidRPr="00F02DE9" w:rsidRDefault="00F02DE9" w:rsidP="00F02DE9">
      <w:pPr>
        <w:rPr>
          <w:b/>
          <w:i/>
          <w:u w:val="single"/>
        </w:rPr>
      </w:pPr>
      <w:r w:rsidRPr="00F02DE9">
        <w:rPr>
          <w:b/>
          <w:i/>
          <w:u w:val="single"/>
        </w:rPr>
        <w:t>Ratio analysis –</w:t>
      </w:r>
      <w:r>
        <w:rPr>
          <w:b/>
          <w:i/>
          <w:u w:val="single"/>
        </w:rPr>
        <w:t>Virgin Atlantics</w:t>
      </w:r>
    </w:p>
    <w:tbl>
      <w:tblPr>
        <w:tblW w:w="9414" w:type="dxa"/>
        <w:tblInd w:w="89" w:type="dxa"/>
        <w:tblLook w:val="04A0" w:firstRow="1" w:lastRow="0" w:firstColumn="1" w:lastColumn="0" w:noHBand="0" w:noVBand="1"/>
      </w:tblPr>
      <w:tblGrid>
        <w:gridCol w:w="3500"/>
        <w:gridCol w:w="1236"/>
        <w:gridCol w:w="1090"/>
        <w:gridCol w:w="1356"/>
        <w:gridCol w:w="1116"/>
        <w:gridCol w:w="1116"/>
      </w:tblGrid>
      <w:tr w:rsidR="00B46C18" w:rsidRPr="00F02DE9" w:rsidTr="00286276">
        <w:trPr>
          <w:trHeight w:val="300"/>
        </w:trPr>
        <w:tc>
          <w:tcPr>
            <w:tcW w:w="3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Ba</w:t>
            </w:r>
            <w:r w:rsidR="00F02DE9" w:rsidRPr="00F02DE9">
              <w:rPr>
                <w:rFonts w:eastAsia="Times New Roman" w:cs="Times New Roman"/>
                <w:color w:val="000000"/>
                <w:szCs w:val="24"/>
                <w:lang w:val="en-US"/>
              </w:rPr>
              <w:t>lance sheet items</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£,million</w:t>
            </w:r>
          </w:p>
        </w:tc>
        <w:tc>
          <w:tcPr>
            <w:tcW w:w="1090" w:type="dxa"/>
            <w:tcBorders>
              <w:top w:val="single" w:sz="4" w:space="0" w:color="auto"/>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£,million</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£,million</w:t>
            </w:r>
          </w:p>
        </w:tc>
        <w:tc>
          <w:tcPr>
            <w:tcW w:w="1116" w:type="dxa"/>
            <w:tcBorders>
              <w:top w:val="single" w:sz="4" w:space="0" w:color="auto"/>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£,million</w:t>
            </w:r>
          </w:p>
        </w:tc>
        <w:tc>
          <w:tcPr>
            <w:tcW w:w="1116" w:type="dxa"/>
            <w:tcBorders>
              <w:top w:val="single" w:sz="4" w:space="0" w:color="auto"/>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£,million</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236" w:type="dxa"/>
            <w:tcBorders>
              <w:top w:val="nil"/>
              <w:left w:val="nil"/>
              <w:bottom w:val="single" w:sz="4" w:space="0" w:color="auto"/>
              <w:right w:val="single" w:sz="4" w:space="0" w:color="auto"/>
            </w:tcBorders>
            <w:shd w:val="clear" w:color="000000" w:fill="EEECE1"/>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2012</w:t>
            </w:r>
          </w:p>
        </w:tc>
        <w:tc>
          <w:tcPr>
            <w:tcW w:w="1090" w:type="dxa"/>
            <w:tcBorders>
              <w:top w:val="nil"/>
              <w:left w:val="nil"/>
              <w:bottom w:val="single" w:sz="4" w:space="0" w:color="auto"/>
              <w:right w:val="single" w:sz="4" w:space="0" w:color="auto"/>
            </w:tcBorders>
            <w:shd w:val="clear" w:color="000000" w:fill="EEECE1"/>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2013</w:t>
            </w:r>
          </w:p>
        </w:tc>
        <w:tc>
          <w:tcPr>
            <w:tcW w:w="1356" w:type="dxa"/>
            <w:tcBorders>
              <w:top w:val="nil"/>
              <w:left w:val="nil"/>
              <w:bottom w:val="single" w:sz="4" w:space="0" w:color="auto"/>
              <w:right w:val="single" w:sz="4" w:space="0" w:color="auto"/>
            </w:tcBorders>
            <w:shd w:val="clear" w:color="000000" w:fill="EEECE1"/>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2014</w:t>
            </w:r>
          </w:p>
        </w:tc>
        <w:tc>
          <w:tcPr>
            <w:tcW w:w="1116" w:type="dxa"/>
            <w:tcBorders>
              <w:top w:val="nil"/>
              <w:left w:val="nil"/>
              <w:bottom w:val="single" w:sz="4" w:space="0" w:color="auto"/>
              <w:right w:val="single" w:sz="4" w:space="0" w:color="auto"/>
            </w:tcBorders>
            <w:shd w:val="clear" w:color="000000" w:fill="EEECE1"/>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2015</w:t>
            </w:r>
          </w:p>
        </w:tc>
        <w:tc>
          <w:tcPr>
            <w:tcW w:w="1116" w:type="dxa"/>
            <w:tcBorders>
              <w:top w:val="nil"/>
              <w:left w:val="nil"/>
              <w:bottom w:val="single" w:sz="4" w:space="0" w:color="auto"/>
              <w:right w:val="single" w:sz="4" w:space="0" w:color="auto"/>
            </w:tcBorders>
            <w:shd w:val="clear" w:color="000000" w:fill="EEECE1"/>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2016</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xml:space="preserve">Gross profit </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66.9</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341</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381</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200.9</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153</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Total revenue earned</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3913</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2,570</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2,927</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2,781.9</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2,689.9</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Net profit/PBT(profit before tax)</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27.2</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-5.1</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17.6</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875</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231.6</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Current asset</w:t>
            </w:r>
          </w:p>
        </w:tc>
        <w:tc>
          <w:tcPr>
            <w:tcW w:w="1236" w:type="dxa"/>
            <w:tcBorders>
              <w:top w:val="nil"/>
              <w:left w:val="nil"/>
              <w:bottom w:val="nil"/>
              <w:right w:val="nil"/>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1,032</w:t>
            </w:r>
          </w:p>
        </w:tc>
        <w:tc>
          <w:tcPr>
            <w:tcW w:w="1090" w:type="dxa"/>
            <w:tcBorders>
              <w:top w:val="nil"/>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775.1</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719</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970.1</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895.7</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Current liability</w:t>
            </w:r>
          </w:p>
        </w:tc>
        <w:tc>
          <w:tcPr>
            <w:tcW w:w="1236" w:type="dxa"/>
            <w:tcBorders>
              <w:top w:val="single" w:sz="4" w:space="0" w:color="auto"/>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1,592</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160.30</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346.30</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1371.5</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1123.8</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Average Inventory holding</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14.9</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43.7</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43</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38.8</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30.2</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share capital</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633.3</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0.30</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150</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150</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150</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Retained earning</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22.8</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-0.40</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14.90</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80.1</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186.4</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long term liabilities</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16.4</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30</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24</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363.5</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462.8</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capital employed</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672.50</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30.30</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189.20</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593.60</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799.20</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Total average asset</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3995.2</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2,812</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196</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1697.6</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1771.6</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EBIT</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385.2</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-1.6</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10</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30.8</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szCs w:val="24"/>
                <w:lang w:val="en-US"/>
              </w:rPr>
            </w:pPr>
            <w:r w:rsidRPr="00F02DE9">
              <w:rPr>
                <w:rFonts w:eastAsia="Times New Roman" w:cs="Times New Roman"/>
                <w:szCs w:val="24"/>
                <w:lang w:val="en-US"/>
              </w:rPr>
              <w:t>22</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FF0000"/>
                <w:szCs w:val="24"/>
                <w:lang w:val="en-US"/>
              </w:rPr>
            </w:pPr>
            <w:r w:rsidRPr="00F02DE9">
              <w:rPr>
                <w:rFonts w:eastAsia="Times New Roman" w:cs="Times New Roman"/>
                <w:color w:val="FF0000"/>
                <w:szCs w:val="24"/>
                <w:lang w:val="en-US"/>
              </w:rPr>
              <w:t> </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FF0000"/>
                <w:szCs w:val="24"/>
                <w:lang w:val="en-US"/>
              </w:rPr>
            </w:pPr>
            <w:r w:rsidRPr="00F02DE9">
              <w:rPr>
                <w:rFonts w:eastAsia="Times New Roman" w:cs="Times New Roman"/>
                <w:color w:val="FF0000"/>
                <w:szCs w:val="24"/>
                <w:lang w:val="en-US"/>
              </w:rPr>
              <w:t> </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236" w:type="dxa"/>
            <w:tcBorders>
              <w:top w:val="nil"/>
              <w:left w:val="nil"/>
              <w:bottom w:val="single" w:sz="4" w:space="0" w:color="auto"/>
              <w:right w:val="single" w:sz="4" w:space="0" w:color="auto"/>
            </w:tcBorders>
            <w:shd w:val="clear" w:color="000000" w:fill="EEECE1"/>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2012</w:t>
            </w:r>
          </w:p>
        </w:tc>
        <w:tc>
          <w:tcPr>
            <w:tcW w:w="1090" w:type="dxa"/>
            <w:tcBorders>
              <w:top w:val="nil"/>
              <w:left w:val="nil"/>
              <w:bottom w:val="single" w:sz="4" w:space="0" w:color="auto"/>
              <w:right w:val="single" w:sz="4" w:space="0" w:color="auto"/>
            </w:tcBorders>
            <w:shd w:val="clear" w:color="000000" w:fill="EEECE1"/>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2013</w:t>
            </w:r>
          </w:p>
        </w:tc>
        <w:tc>
          <w:tcPr>
            <w:tcW w:w="1356" w:type="dxa"/>
            <w:tcBorders>
              <w:top w:val="nil"/>
              <w:left w:val="nil"/>
              <w:bottom w:val="single" w:sz="4" w:space="0" w:color="auto"/>
              <w:right w:val="single" w:sz="4" w:space="0" w:color="auto"/>
            </w:tcBorders>
            <w:shd w:val="clear" w:color="000000" w:fill="EEECE1"/>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2014</w:t>
            </w:r>
          </w:p>
        </w:tc>
        <w:tc>
          <w:tcPr>
            <w:tcW w:w="1116" w:type="dxa"/>
            <w:tcBorders>
              <w:top w:val="nil"/>
              <w:left w:val="nil"/>
              <w:bottom w:val="single" w:sz="4" w:space="0" w:color="auto"/>
              <w:right w:val="single" w:sz="4" w:space="0" w:color="auto"/>
            </w:tcBorders>
            <w:shd w:val="clear" w:color="000000" w:fill="EEECE1"/>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2015</w:t>
            </w:r>
          </w:p>
        </w:tc>
        <w:tc>
          <w:tcPr>
            <w:tcW w:w="1116" w:type="dxa"/>
            <w:tcBorders>
              <w:top w:val="nil"/>
              <w:left w:val="nil"/>
              <w:bottom w:val="single" w:sz="4" w:space="0" w:color="auto"/>
              <w:right w:val="single" w:sz="4" w:space="0" w:color="auto"/>
            </w:tcBorders>
            <w:shd w:val="clear" w:color="000000" w:fill="EEECE1"/>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2016</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000000" w:fill="FFFF00"/>
            <w:noWrap/>
            <w:vAlign w:val="bottom"/>
            <w:hideMark/>
          </w:tcPr>
          <w:p w:rsidR="00B46C18" w:rsidRPr="00F02DE9" w:rsidRDefault="00F02DE9"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Profitability</w:t>
            </w:r>
            <w:r w:rsidR="00B46C18" w:rsidRPr="00F02DE9">
              <w:rPr>
                <w:rFonts w:eastAsia="Times New Roman" w:cs="Times New Roman"/>
                <w:color w:val="000000"/>
                <w:szCs w:val="24"/>
                <w:lang w:val="en-US"/>
              </w:rPr>
              <w:t xml:space="preserve"> Ratios</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r>
      <w:tr w:rsidR="00B46C18" w:rsidRPr="00F02DE9" w:rsidTr="00286276">
        <w:trPr>
          <w:trHeight w:val="990"/>
        </w:trPr>
        <w:tc>
          <w:tcPr>
            <w:tcW w:w="3500" w:type="dxa"/>
            <w:tcBorders>
              <w:top w:val="nil"/>
              <w:left w:val="single" w:sz="4" w:space="0" w:color="auto"/>
              <w:bottom w:val="single" w:sz="4" w:space="0" w:color="auto"/>
              <w:right w:val="single" w:sz="4" w:space="0" w:color="auto"/>
            </w:tcBorders>
            <w:shd w:val="clear" w:color="auto" w:fill="auto"/>
            <w:vAlign w:val="bottom"/>
            <w:hideMark/>
          </w:tcPr>
          <w:p w:rsidR="00B46C18" w:rsidRPr="00F02DE9" w:rsidRDefault="00B46C18" w:rsidP="00B46C18">
            <w:pPr>
              <w:spacing w:after="0" w:line="240" w:lineRule="auto"/>
              <w:rPr>
                <w:rFonts w:eastAsia="Times New Roman" w:cs="Times New Roman"/>
                <w:b/>
                <w:bCs/>
                <w:i/>
                <w:iCs/>
                <w:color w:val="000000"/>
                <w:szCs w:val="24"/>
                <w:lang w:val="en-US"/>
              </w:rPr>
            </w:pPr>
            <w:r w:rsidRPr="00F02DE9">
              <w:rPr>
                <w:rFonts w:eastAsia="Times New Roman" w:cs="Times New Roman"/>
                <w:b/>
                <w:bCs/>
                <w:i/>
                <w:iCs/>
                <w:color w:val="000000"/>
                <w:szCs w:val="24"/>
                <w:lang w:val="en-US"/>
              </w:rPr>
              <w:t>Gross profit margin</w:t>
            </w:r>
            <w:r w:rsidRPr="00F02DE9">
              <w:rPr>
                <w:rFonts w:eastAsia="Times New Roman" w:cs="Times New Roman"/>
                <w:color w:val="000000"/>
                <w:szCs w:val="24"/>
                <w:lang w:val="en-US"/>
              </w:rPr>
              <w:t xml:space="preserve"> ([Gross profit /Net sales]*100) </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2%</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13%</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13%</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7%</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6%</w:t>
            </w:r>
          </w:p>
        </w:tc>
      </w:tr>
      <w:tr w:rsidR="00B46C18" w:rsidRPr="00F02DE9" w:rsidTr="00286276">
        <w:trPr>
          <w:trHeight w:val="600"/>
        </w:trPr>
        <w:tc>
          <w:tcPr>
            <w:tcW w:w="3500" w:type="dxa"/>
            <w:tcBorders>
              <w:top w:val="nil"/>
              <w:left w:val="single" w:sz="4" w:space="0" w:color="auto"/>
              <w:bottom w:val="single" w:sz="4" w:space="0" w:color="auto"/>
              <w:right w:val="single" w:sz="4" w:space="0" w:color="auto"/>
            </w:tcBorders>
            <w:shd w:val="clear" w:color="auto" w:fill="auto"/>
            <w:vAlign w:val="bottom"/>
            <w:hideMark/>
          </w:tcPr>
          <w:p w:rsidR="00B46C18" w:rsidRPr="00F02DE9" w:rsidRDefault="004A3BA5" w:rsidP="004A3BA5">
            <w:pPr>
              <w:spacing w:after="0" w:line="240" w:lineRule="auto"/>
              <w:rPr>
                <w:rFonts w:eastAsia="Times New Roman" w:cs="Times New Roman"/>
                <w:color w:val="000000"/>
                <w:szCs w:val="24"/>
                <w:lang w:val="en-US"/>
              </w:rPr>
            </w:pPr>
            <w:r>
              <w:rPr>
                <w:rFonts w:eastAsia="Times New Roman" w:cs="Times New Roman"/>
                <w:b/>
                <w:bCs/>
                <w:color w:val="000000"/>
                <w:szCs w:val="24"/>
                <w:lang w:val="en-US"/>
              </w:rPr>
              <w:t>Net</w:t>
            </w:r>
            <w:r w:rsidR="00B46C18" w:rsidRPr="00F02DE9">
              <w:rPr>
                <w:rFonts w:eastAsia="Times New Roman" w:cs="Times New Roman"/>
                <w:b/>
                <w:bCs/>
                <w:color w:val="000000"/>
                <w:szCs w:val="24"/>
                <w:lang w:val="en-US"/>
              </w:rPr>
              <w:t xml:space="preserve"> Profit margin</w:t>
            </w:r>
            <w:r w:rsidR="00B46C18" w:rsidRPr="00F02DE9">
              <w:rPr>
                <w:rFonts w:eastAsia="Times New Roman" w:cs="Times New Roman"/>
                <w:color w:val="000000"/>
                <w:szCs w:val="24"/>
                <w:lang w:val="en-US"/>
              </w:rPr>
              <w:t xml:space="preserve"> (</w:t>
            </w:r>
            <w:r>
              <w:rPr>
                <w:rFonts w:eastAsia="Times New Roman" w:cs="Times New Roman"/>
                <w:color w:val="000000"/>
                <w:szCs w:val="24"/>
                <w:lang w:val="en-US"/>
              </w:rPr>
              <w:t>Net</w:t>
            </w:r>
            <w:r w:rsidR="00B46C18" w:rsidRPr="00F02DE9">
              <w:rPr>
                <w:rFonts w:eastAsia="Times New Roman" w:cs="Times New Roman"/>
                <w:color w:val="000000"/>
                <w:szCs w:val="24"/>
                <w:lang w:val="en-US"/>
              </w:rPr>
              <w:t xml:space="preserve"> profit /Net sales): </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0.70%</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-0.20%</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0.60%</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7.22%</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5.70%</w:t>
            </w:r>
          </w:p>
        </w:tc>
      </w:tr>
      <w:tr w:rsidR="00B46C18" w:rsidRPr="00F02DE9" w:rsidTr="00286276">
        <w:trPr>
          <w:trHeight w:val="300"/>
        </w:trPr>
        <w:tc>
          <w:tcPr>
            <w:tcW w:w="3500" w:type="dxa"/>
            <w:tcBorders>
              <w:top w:val="nil"/>
              <w:left w:val="single" w:sz="4" w:space="0" w:color="auto"/>
              <w:bottom w:val="single" w:sz="4" w:space="0" w:color="auto"/>
              <w:right w:val="single" w:sz="4" w:space="0" w:color="auto"/>
            </w:tcBorders>
            <w:shd w:val="clear" w:color="000000" w:fill="FFFF00"/>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Liquidity ratio</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116" w:type="dxa"/>
            <w:tcBorders>
              <w:top w:val="nil"/>
              <w:left w:val="nil"/>
              <w:bottom w:val="single" w:sz="4" w:space="0" w:color="auto"/>
              <w:right w:val="single" w:sz="4" w:space="0" w:color="auto"/>
            </w:tcBorders>
            <w:shd w:val="clear" w:color="auto" w:fill="auto"/>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r>
      <w:tr w:rsidR="00B46C18" w:rsidRPr="00F02DE9" w:rsidTr="00286276">
        <w:trPr>
          <w:trHeight w:val="600"/>
        </w:trPr>
        <w:tc>
          <w:tcPr>
            <w:tcW w:w="3500" w:type="dxa"/>
            <w:tcBorders>
              <w:top w:val="nil"/>
              <w:left w:val="single" w:sz="4" w:space="0" w:color="auto"/>
              <w:bottom w:val="single" w:sz="4" w:space="0" w:color="auto"/>
              <w:right w:val="single" w:sz="4" w:space="0" w:color="auto"/>
            </w:tcBorders>
            <w:shd w:val="clear" w:color="auto" w:fill="auto"/>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b/>
                <w:bCs/>
                <w:color w:val="000000"/>
                <w:szCs w:val="24"/>
                <w:lang w:val="en-US"/>
              </w:rPr>
              <w:t>Current Ratio</w:t>
            </w:r>
            <w:r w:rsidRPr="00F02DE9">
              <w:rPr>
                <w:rFonts w:eastAsia="Times New Roman" w:cs="Times New Roman"/>
                <w:color w:val="000000"/>
                <w:szCs w:val="24"/>
                <w:lang w:val="en-US"/>
              </w:rPr>
              <w:t xml:space="preserve"> ([Current asset/Current liability]*100): </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0.65</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4.84</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2.08</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0.71</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0.80</w:t>
            </w:r>
          </w:p>
        </w:tc>
      </w:tr>
      <w:tr w:rsidR="00B46C18" w:rsidRPr="00F02DE9" w:rsidTr="00286276">
        <w:trPr>
          <w:trHeight w:val="615"/>
        </w:trPr>
        <w:tc>
          <w:tcPr>
            <w:tcW w:w="3500" w:type="dxa"/>
            <w:tcBorders>
              <w:top w:val="nil"/>
              <w:left w:val="single" w:sz="4" w:space="0" w:color="auto"/>
              <w:bottom w:val="single" w:sz="4" w:space="0" w:color="auto"/>
              <w:right w:val="single" w:sz="4" w:space="0" w:color="auto"/>
            </w:tcBorders>
            <w:shd w:val="clear" w:color="auto" w:fill="auto"/>
            <w:vAlign w:val="bottom"/>
            <w:hideMark/>
          </w:tcPr>
          <w:p w:rsidR="00B46C18" w:rsidRPr="00F02DE9" w:rsidRDefault="00B46C18" w:rsidP="00B46C18">
            <w:pPr>
              <w:spacing w:after="0" w:line="240" w:lineRule="auto"/>
              <w:rPr>
                <w:rFonts w:eastAsia="Times New Roman" w:cs="Times New Roman"/>
                <w:b/>
                <w:bCs/>
                <w:color w:val="000000"/>
                <w:szCs w:val="24"/>
                <w:lang w:val="en-US"/>
              </w:rPr>
            </w:pPr>
            <w:r w:rsidRPr="00F02DE9">
              <w:rPr>
                <w:rFonts w:eastAsia="Times New Roman" w:cs="Times New Roman"/>
                <w:b/>
                <w:bCs/>
                <w:color w:val="000000"/>
                <w:szCs w:val="24"/>
                <w:lang w:val="en-US"/>
              </w:rPr>
              <w:t>Quick Ratio</w:t>
            </w:r>
            <w:r w:rsidRPr="00F02DE9">
              <w:rPr>
                <w:rFonts w:eastAsia="Times New Roman" w:cs="Times New Roman"/>
                <w:color w:val="000000"/>
                <w:szCs w:val="24"/>
                <w:lang w:val="en-US"/>
              </w:rPr>
              <w:t xml:space="preserve"> ([Current asset-Inventories]/ Current liability*100) </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0.64</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4.56</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1.95</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0.68</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0.77</w:t>
            </w:r>
          </w:p>
        </w:tc>
      </w:tr>
      <w:tr w:rsidR="00B46C18" w:rsidRPr="00F02DE9" w:rsidTr="00286276">
        <w:trPr>
          <w:trHeight w:val="315"/>
        </w:trPr>
        <w:tc>
          <w:tcPr>
            <w:tcW w:w="3500" w:type="dxa"/>
            <w:tcBorders>
              <w:top w:val="nil"/>
              <w:left w:val="single" w:sz="4" w:space="0" w:color="auto"/>
              <w:bottom w:val="single" w:sz="4" w:space="0" w:color="auto"/>
              <w:right w:val="single" w:sz="4" w:space="0" w:color="auto"/>
            </w:tcBorders>
            <w:shd w:val="clear" w:color="000000" w:fill="FFFF00"/>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Efficiency ratio</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r>
      <w:tr w:rsidR="00B46C18" w:rsidRPr="00F02DE9" w:rsidTr="00286276">
        <w:trPr>
          <w:trHeight w:val="945"/>
        </w:trPr>
        <w:tc>
          <w:tcPr>
            <w:tcW w:w="3500" w:type="dxa"/>
            <w:tcBorders>
              <w:top w:val="nil"/>
              <w:left w:val="single" w:sz="4" w:space="0" w:color="auto"/>
              <w:bottom w:val="single" w:sz="4" w:space="0" w:color="auto"/>
              <w:right w:val="single" w:sz="4" w:space="0" w:color="auto"/>
            </w:tcBorders>
            <w:shd w:val="clear" w:color="auto" w:fill="auto"/>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lastRenderedPageBreak/>
              <w:t>Return on capital employed(ROCE)[EBIT/capital employed]</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0.10</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0.00</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0.05</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0.02</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0.01</w:t>
            </w:r>
          </w:p>
        </w:tc>
      </w:tr>
      <w:tr w:rsidR="00B46C18" w:rsidRPr="00F02DE9" w:rsidTr="00286276">
        <w:trPr>
          <w:trHeight w:val="630"/>
        </w:trPr>
        <w:tc>
          <w:tcPr>
            <w:tcW w:w="3500" w:type="dxa"/>
            <w:tcBorders>
              <w:top w:val="nil"/>
              <w:left w:val="single" w:sz="4" w:space="0" w:color="auto"/>
              <w:bottom w:val="single" w:sz="4" w:space="0" w:color="auto"/>
              <w:right w:val="single" w:sz="4" w:space="0" w:color="auto"/>
            </w:tcBorders>
            <w:shd w:val="clear" w:color="auto" w:fill="auto"/>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xml:space="preserve">Total asset </w:t>
            </w:r>
            <w:r w:rsidR="004A3BA5" w:rsidRPr="00F02DE9">
              <w:rPr>
                <w:rFonts w:eastAsia="Times New Roman" w:cs="Times New Roman"/>
                <w:color w:val="000000"/>
                <w:szCs w:val="24"/>
                <w:lang w:val="en-US"/>
              </w:rPr>
              <w:t>turnover</w:t>
            </w:r>
            <w:r w:rsidRPr="00F02DE9">
              <w:rPr>
                <w:rFonts w:eastAsia="Times New Roman" w:cs="Times New Roman"/>
                <w:color w:val="000000"/>
                <w:szCs w:val="24"/>
                <w:lang w:val="en-US"/>
              </w:rPr>
              <w:t xml:space="preserve"> ratio(net sales or revenue/Total average asset)</w:t>
            </w:r>
            <w:r w:rsidR="00CF02F5">
              <w:t xml:space="preserve"> </w:t>
            </w:r>
            <w:r w:rsidR="00CF02F5" w:rsidRPr="00CF02F5">
              <w:rPr>
                <w:rFonts w:eastAsia="Times New Roman" w:cs="Times New Roman"/>
                <w:color w:val="000000"/>
                <w:szCs w:val="24"/>
                <w:lang w:val="en-US"/>
              </w:rPr>
              <w:t>(Finance.yahoo.com, 2017)</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0.98</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0.91</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14.93</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1.64</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jc w:val="right"/>
              <w:rPr>
                <w:rFonts w:eastAsia="Times New Roman" w:cs="Times New Roman"/>
                <w:color w:val="000000"/>
                <w:szCs w:val="24"/>
                <w:lang w:val="en-US"/>
              </w:rPr>
            </w:pPr>
            <w:r w:rsidRPr="00F02DE9">
              <w:rPr>
                <w:rFonts w:eastAsia="Times New Roman" w:cs="Times New Roman"/>
                <w:color w:val="000000"/>
                <w:szCs w:val="24"/>
                <w:lang w:val="en-US"/>
              </w:rPr>
              <w:t>1.52</w:t>
            </w:r>
          </w:p>
        </w:tc>
      </w:tr>
      <w:tr w:rsidR="00B46C18" w:rsidRPr="00F02DE9" w:rsidTr="00286276">
        <w:trPr>
          <w:trHeight w:val="315"/>
        </w:trPr>
        <w:tc>
          <w:tcPr>
            <w:tcW w:w="3500" w:type="dxa"/>
            <w:tcBorders>
              <w:top w:val="nil"/>
              <w:left w:val="single" w:sz="4" w:space="0" w:color="auto"/>
              <w:bottom w:val="single" w:sz="4" w:space="0" w:color="auto"/>
              <w:right w:val="single" w:sz="4" w:space="0" w:color="auto"/>
            </w:tcBorders>
            <w:shd w:val="clear" w:color="000000" w:fill="FFFF00"/>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Gearing Ratio</w:t>
            </w:r>
          </w:p>
        </w:tc>
        <w:tc>
          <w:tcPr>
            <w:tcW w:w="123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090"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35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c>
          <w:tcPr>
            <w:tcW w:w="1116" w:type="dxa"/>
            <w:tcBorders>
              <w:top w:val="nil"/>
              <w:left w:val="nil"/>
              <w:bottom w:val="single" w:sz="4" w:space="0" w:color="auto"/>
              <w:right w:val="single" w:sz="4" w:space="0" w:color="auto"/>
            </w:tcBorders>
            <w:shd w:val="clear" w:color="auto" w:fill="auto"/>
            <w:noWrap/>
            <w:vAlign w:val="bottom"/>
            <w:hideMark/>
          </w:tcPr>
          <w:p w:rsidR="00B46C18" w:rsidRPr="00F02DE9" w:rsidRDefault="00B46C18"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 </w:t>
            </w:r>
          </w:p>
        </w:tc>
      </w:tr>
      <w:tr w:rsidR="00286276" w:rsidRPr="00F02DE9" w:rsidTr="00286276">
        <w:trPr>
          <w:trHeight w:val="1260"/>
        </w:trPr>
        <w:tc>
          <w:tcPr>
            <w:tcW w:w="3500" w:type="dxa"/>
            <w:tcBorders>
              <w:top w:val="nil"/>
              <w:left w:val="single" w:sz="4" w:space="0" w:color="auto"/>
              <w:bottom w:val="single" w:sz="4" w:space="0" w:color="auto"/>
              <w:right w:val="single" w:sz="4" w:space="0" w:color="auto"/>
            </w:tcBorders>
            <w:shd w:val="clear" w:color="auto" w:fill="auto"/>
            <w:vAlign w:val="bottom"/>
            <w:hideMark/>
          </w:tcPr>
          <w:p w:rsidR="00286276" w:rsidRPr="00F02DE9" w:rsidRDefault="00286276" w:rsidP="00B46C18">
            <w:pPr>
              <w:spacing w:after="0" w:line="240" w:lineRule="auto"/>
              <w:rPr>
                <w:rFonts w:eastAsia="Times New Roman" w:cs="Times New Roman"/>
                <w:color w:val="000000"/>
                <w:szCs w:val="24"/>
                <w:lang w:val="en-US"/>
              </w:rPr>
            </w:pPr>
            <w:r w:rsidRPr="00F02DE9">
              <w:rPr>
                <w:rFonts w:eastAsia="Times New Roman" w:cs="Times New Roman"/>
                <w:color w:val="000000"/>
                <w:szCs w:val="24"/>
                <w:lang w:val="en-US"/>
              </w:rPr>
              <w:t>Gearing Ratio(long term liabilities/capital employed),capital employed=Share capital + retained earnings + long-term liabilities</w:t>
            </w:r>
          </w:p>
        </w:tc>
        <w:tc>
          <w:tcPr>
            <w:tcW w:w="1236" w:type="dxa"/>
            <w:tcBorders>
              <w:top w:val="nil"/>
              <w:left w:val="nil"/>
              <w:bottom w:val="single" w:sz="4" w:space="0" w:color="auto"/>
              <w:right w:val="single" w:sz="4" w:space="0" w:color="auto"/>
            </w:tcBorders>
            <w:shd w:val="clear" w:color="auto" w:fill="auto"/>
            <w:noWrap/>
            <w:vAlign w:val="bottom"/>
            <w:hideMark/>
          </w:tcPr>
          <w:p w:rsidR="00286276" w:rsidRDefault="00286276">
            <w:pPr>
              <w:jc w:val="right"/>
              <w:rPr>
                <w:rFonts w:ascii="Calibri" w:hAnsi="Calibri"/>
                <w:color w:val="000000"/>
              </w:rPr>
            </w:pPr>
            <w:r>
              <w:rPr>
                <w:rFonts w:ascii="Calibri" w:hAnsi="Calibri"/>
                <w:color w:val="000000"/>
                <w:sz w:val="22"/>
              </w:rPr>
              <w:t>2%</w:t>
            </w:r>
          </w:p>
        </w:tc>
        <w:tc>
          <w:tcPr>
            <w:tcW w:w="1090" w:type="dxa"/>
            <w:tcBorders>
              <w:top w:val="nil"/>
              <w:left w:val="nil"/>
              <w:bottom w:val="single" w:sz="4" w:space="0" w:color="auto"/>
              <w:right w:val="single" w:sz="4" w:space="0" w:color="auto"/>
            </w:tcBorders>
            <w:shd w:val="clear" w:color="auto" w:fill="auto"/>
            <w:noWrap/>
            <w:vAlign w:val="bottom"/>
            <w:hideMark/>
          </w:tcPr>
          <w:p w:rsidR="00286276" w:rsidRDefault="00286276">
            <w:pPr>
              <w:jc w:val="right"/>
              <w:rPr>
                <w:rFonts w:ascii="Calibri" w:hAnsi="Calibri"/>
                <w:color w:val="000000"/>
              </w:rPr>
            </w:pPr>
            <w:r>
              <w:rPr>
                <w:rFonts w:ascii="Calibri" w:hAnsi="Calibri"/>
                <w:color w:val="000000"/>
                <w:sz w:val="22"/>
              </w:rPr>
              <w:t>100%</w:t>
            </w:r>
          </w:p>
        </w:tc>
        <w:tc>
          <w:tcPr>
            <w:tcW w:w="1356" w:type="dxa"/>
            <w:tcBorders>
              <w:top w:val="nil"/>
              <w:left w:val="nil"/>
              <w:bottom w:val="single" w:sz="4" w:space="0" w:color="auto"/>
              <w:right w:val="single" w:sz="4" w:space="0" w:color="auto"/>
            </w:tcBorders>
            <w:shd w:val="clear" w:color="auto" w:fill="auto"/>
            <w:noWrap/>
            <w:vAlign w:val="bottom"/>
            <w:hideMark/>
          </w:tcPr>
          <w:p w:rsidR="00286276" w:rsidRDefault="00286276">
            <w:pPr>
              <w:jc w:val="right"/>
              <w:rPr>
                <w:rFonts w:ascii="Calibri" w:hAnsi="Calibri"/>
                <w:color w:val="000000"/>
              </w:rPr>
            </w:pPr>
            <w:r>
              <w:rPr>
                <w:rFonts w:ascii="Calibri" w:hAnsi="Calibri"/>
                <w:color w:val="000000"/>
                <w:sz w:val="22"/>
              </w:rPr>
              <w:t>13%</w:t>
            </w:r>
          </w:p>
        </w:tc>
        <w:tc>
          <w:tcPr>
            <w:tcW w:w="1116" w:type="dxa"/>
            <w:tcBorders>
              <w:top w:val="nil"/>
              <w:left w:val="nil"/>
              <w:bottom w:val="single" w:sz="4" w:space="0" w:color="auto"/>
              <w:right w:val="single" w:sz="4" w:space="0" w:color="auto"/>
            </w:tcBorders>
            <w:shd w:val="clear" w:color="auto" w:fill="auto"/>
            <w:noWrap/>
            <w:vAlign w:val="bottom"/>
            <w:hideMark/>
          </w:tcPr>
          <w:p w:rsidR="00286276" w:rsidRDefault="00286276">
            <w:pPr>
              <w:jc w:val="right"/>
              <w:rPr>
                <w:rFonts w:ascii="Calibri" w:hAnsi="Calibri"/>
                <w:color w:val="000000"/>
              </w:rPr>
            </w:pPr>
            <w:r>
              <w:rPr>
                <w:rFonts w:ascii="Calibri" w:hAnsi="Calibri"/>
                <w:color w:val="000000"/>
                <w:sz w:val="22"/>
              </w:rPr>
              <w:t>61%</w:t>
            </w:r>
          </w:p>
        </w:tc>
        <w:tc>
          <w:tcPr>
            <w:tcW w:w="1116" w:type="dxa"/>
            <w:tcBorders>
              <w:top w:val="nil"/>
              <w:left w:val="nil"/>
              <w:bottom w:val="single" w:sz="4" w:space="0" w:color="auto"/>
              <w:right w:val="single" w:sz="4" w:space="0" w:color="auto"/>
            </w:tcBorders>
            <w:shd w:val="clear" w:color="auto" w:fill="auto"/>
            <w:noWrap/>
            <w:vAlign w:val="bottom"/>
            <w:hideMark/>
          </w:tcPr>
          <w:p w:rsidR="00286276" w:rsidRDefault="00286276">
            <w:pPr>
              <w:jc w:val="right"/>
              <w:rPr>
                <w:rFonts w:ascii="Calibri" w:hAnsi="Calibri"/>
                <w:color w:val="000000"/>
              </w:rPr>
            </w:pPr>
            <w:r>
              <w:rPr>
                <w:rFonts w:ascii="Calibri" w:hAnsi="Calibri"/>
                <w:color w:val="000000"/>
                <w:sz w:val="22"/>
              </w:rPr>
              <w:t>58%</w:t>
            </w:r>
          </w:p>
        </w:tc>
      </w:tr>
    </w:tbl>
    <w:p w:rsidR="00A45B21" w:rsidRDefault="00A45B21" w:rsidP="006209EB">
      <w:pPr>
        <w:pStyle w:val="Heading1"/>
      </w:pPr>
    </w:p>
    <w:tbl>
      <w:tblPr>
        <w:tblW w:w="6300" w:type="dxa"/>
        <w:tblInd w:w="103" w:type="dxa"/>
        <w:tblLook w:val="04A0" w:firstRow="1" w:lastRow="0" w:firstColumn="1" w:lastColumn="0" w:noHBand="0" w:noVBand="1"/>
      </w:tblPr>
      <w:tblGrid>
        <w:gridCol w:w="2325"/>
        <w:gridCol w:w="795"/>
        <w:gridCol w:w="795"/>
        <w:gridCol w:w="795"/>
        <w:gridCol w:w="795"/>
        <w:gridCol w:w="795"/>
      </w:tblGrid>
      <w:tr w:rsidR="00715190" w:rsidRPr="00715190" w:rsidTr="00715190">
        <w:trPr>
          <w:trHeight w:val="300"/>
        </w:trPr>
        <w:tc>
          <w:tcPr>
            <w:tcW w:w="630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15190" w:rsidRPr="00715190" w:rsidRDefault="00715190" w:rsidP="00715190">
            <w:pPr>
              <w:spacing w:after="0" w:line="240" w:lineRule="auto"/>
              <w:jc w:val="center"/>
              <w:rPr>
                <w:rFonts w:eastAsia="Times New Roman" w:cs="Times New Roman"/>
                <w:b/>
                <w:bCs/>
                <w:color w:val="000000"/>
                <w:lang w:val="en-US"/>
              </w:rPr>
            </w:pPr>
            <w:r w:rsidRPr="00715190">
              <w:rPr>
                <w:rFonts w:eastAsia="Times New Roman" w:cs="Times New Roman"/>
                <w:b/>
                <w:bCs/>
                <w:color w:val="000000"/>
                <w:lang w:val="en-US"/>
              </w:rPr>
              <w:t xml:space="preserve">Gross profit margin </w:t>
            </w:r>
          </w:p>
        </w:tc>
      </w:tr>
      <w:tr w:rsidR="00715190" w:rsidRPr="00715190" w:rsidTr="00715190">
        <w:trPr>
          <w:trHeight w:val="300"/>
        </w:trPr>
        <w:tc>
          <w:tcPr>
            <w:tcW w:w="2325" w:type="dxa"/>
            <w:tcBorders>
              <w:top w:val="nil"/>
              <w:left w:val="single" w:sz="4" w:space="0" w:color="auto"/>
              <w:bottom w:val="single" w:sz="4" w:space="0" w:color="auto"/>
              <w:right w:val="nil"/>
            </w:tcBorders>
            <w:shd w:val="clear" w:color="auto" w:fill="auto"/>
            <w:noWrap/>
            <w:vAlign w:val="bottom"/>
            <w:hideMark/>
          </w:tcPr>
          <w:p w:rsidR="00715190" w:rsidRPr="00715190" w:rsidRDefault="00715190" w:rsidP="00715190">
            <w:pPr>
              <w:spacing w:after="0" w:line="240" w:lineRule="auto"/>
              <w:jc w:val="center"/>
              <w:rPr>
                <w:rFonts w:eastAsia="Times New Roman" w:cs="Times New Roman"/>
                <w:b/>
                <w:bCs/>
                <w:color w:val="000000"/>
                <w:lang w:val="en-US"/>
              </w:rPr>
            </w:pPr>
            <w:r w:rsidRPr="00715190">
              <w:rPr>
                <w:rFonts w:eastAsia="Times New Roman" w:cs="Times New Roman"/>
                <w:b/>
                <w:bCs/>
                <w:color w:val="000000"/>
                <w:lang w:val="en-US"/>
              </w:rPr>
              <w:t> </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715190" w:rsidRPr="00715190" w:rsidRDefault="00715190" w:rsidP="00715190">
            <w:pPr>
              <w:spacing w:after="0" w:line="240" w:lineRule="auto"/>
              <w:jc w:val="center"/>
              <w:rPr>
                <w:rFonts w:eastAsia="Times New Roman" w:cs="Times New Roman"/>
                <w:b/>
                <w:bCs/>
                <w:color w:val="000000"/>
                <w:lang w:val="en-US"/>
              </w:rPr>
            </w:pPr>
            <w:r w:rsidRPr="00715190">
              <w:rPr>
                <w:rFonts w:eastAsia="Times New Roman" w:cs="Times New Roman"/>
                <w:b/>
                <w:bCs/>
                <w:color w:val="000000"/>
                <w:lang w:val="en-US"/>
              </w:rPr>
              <w:t>2012</w:t>
            </w:r>
          </w:p>
        </w:tc>
        <w:tc>
          <w:tcPr>
            <w:tcW w:w="795" w:type="dxa"/>
            <w:tcBorders>
              <w:top w:val="nil"/>
              <w:left w:val="nil"/>
              <w:bottom w:val="single" w:sz="4" w:space="0" w:color="auto"/>
              <w:right w:val="single" w:sz="4" w:space="0" w:color="auto"/>
            </w:tcBorders>
            <w:shd w:val="clear" w:color="auto" w:fill="auto"/>
            <w:noWrap/>
            <w:vAlign w:val="bottom"/>
            <w:hideMark/>
          </w:tcPr>
          <w:p w:rsidR="00715190" w:rsidRPr="00715190" w:rsidRDefault="00715190" w:rsidP="00715190">
            <w:pPr>
              <w:spacing w:after="0" w:line="240" w:lineRule="auto"/>
              <w:jc w:val="center"/>
              <w:rPr>
                <w:rFonts w:eastAsia="Times New Roman" w:cs="Times New Roman"/>
                <w:b/>
                <w:bCs/>
                <w:color w:val="000000"/>
                <w:lang w:val="en-US"/>
              </w:rPr>
            </w:pPr>
            <w:r w:rsidRPr="00715190">
              <w:rPr>
                <w:rFonts w:eastAsia="Times New Roman" w:cs="Times New Roman"/>
                <w:b/>
                <w:bCs/>
                <w:color w:val="000000"/>
                <w:lang w:val="en-US"/>
              </w:rPr>
              <w:t>2013</w:t>
            </w:r>
          </w:p>
        </w:tc>
        <w:tc>
          <w:tcPr>
            <w:tcW w:w="795" w:type="dxa"/>
            <w:tcBorders>
              <w:top w:val="nil"/>
              <w:left w:val="nil"/>
              <w:bottom w:val="single" w:sz="4" w:space="0" w:color="auto"/>
              <w:right w:val="single" w:sz="4" w:space="0" w:color="auto"/>
            </w:tcBorders>
            <w:shd w:val="clear" w:color="auto" w:fill="auto"/>
            <w:noWrap/>
            <w:vAlign w:val="bottom"/>
            <w:hideMark/>
          </w:tcPr>
          <w:p w:rsidR="00715190" w:rsidRPr="00715190" w:rsidRDefault="00715190" w:rsidP="00715190">
            <w:pPr>
              <w:spacing w:after="0" w:line="240" w:lineRule="auto"/>
              <w:jc w:val="center"/>
              <w:rPr>
                <w:rFonts w:eastAsia="Times New Roman" w:cs="Times New Roman"/>
                <w:b/>
                <w:bCs/>
                <w:color w:val="000000"/>
                <w:lang w:val="en-US"/>
              </w:rPr>
            </w:pPr>
            <w:r w:rsidRPr="00715190">
              <w:rPr>
                <w:rFonts w:eastAsia="Times New Roman" w:cs="Times New Roman"/>
                <w:b/>
                <w:bCs/>
                <w:color w:val="000000"/>
                <w:lang w:val="en-US"/>
              </w:rPr>
              <w:t>2014</w:t>
            </w:r>
          </w:p>
        </w:tc>
        <w:tc>
          <w:tcPr>
            <w:tcW w:w="795" w:type="dxa"/>
            <w:tcBorders>
              <w:top w:val="nil"/>
              <w:left w:val="nil"/>
              <w:bottom w:val="single" w:sz="4" w:space="0" w:color="auto"/>
              <w:right w:val="single" w:sz="4" w:space="0" w:color="auto"/>
            </w:tcBorders>
            <w:shd w:val="clear" w:color="auto" w:fill="auto"/>
            <w:noWrap/>
            <w:vAlign w:val="bottom"/>
            <w:hideMark/>
          </w:tcPr>
          <w:p w:rsidR="00715190" w:rsidRPr="00715190" w:rsidRDefault="00715190" w:rsidP="00715190">
            <w:pPr>
              <w:spacing w:after="0" w:line="240" w:lineRule="auto"/>
              <w:jc w:val="center"/>
              <w:rPr>
                <w:rFonts w:eastAsia="Times New Roman" w:cs="Times New Roman"/>
                <w:b/>
                <w:bCs/>
                <w:color w:val="000000"/>
                <w:lang w:val="en-US"/>
              </w:rPr>
            </w:pPr>
            <w:r w:rsidRPr="00715190">
              <w:rPr>
                <w:rFonts w:eastAsia="Times New Roman" w:cs="Times New Roman"/>
                <w:b/>
                <w:bCs/>
                <w:color w:val="000000"/>
                <w:lang w:val="en-US"/>
              </w:rPr>
              <w:t>2015</w:t>
            </w:r>
          </w:p>
        </w:tc>
        <w:tc>
          <w:tcPr>
            <w:tcW w:w="795" w:type="dxa"/>
            <w:tcBorders>
              <w:top w:val="nil"/>
              <w:left w:val="nil"/>
              <w:bottom w:val="single" w:sz="4" w:space="0" w:color="auto"/>
              <w:right w:val="single" w:sz="4" w:space="0" w:color="auto"/>
            </w:tcBorders>
            <w:shd w:val="clear" w:color="auto" w:fill="auto"/>
            <w:noWrap/>
            <w:vAlign w:val="bottom"/>
            <w:hideMark/>
          </w:tcPr>
          <w:p w:rsidR="00715190" w:rsidRPr="00715190" w:rsidRDefault="00715190" w:rsidP="00715190">
            <w:pPr>
              <w:spacing w:after="0" w:line="240" w:lineRule="auto"/>
              <w:jc w:val="center"/>
              <w:rPr>
                <w:rFonts w:eastAsia="Times New Roman" w:cs="Times New Roman"/>
                <w:b/>
                <w:bCs/>
                <w:color w:val="000000"/>
                <w:lang w:val="en-US"/>
              </w:rPr>
            </w:pPr>
            <w:r w:rsidRPr="00715190">
              <w:rPr>
                <w:rFonts w:eastAsia="Times New Roman" w:cs="Times New Roman"/>
                <w:b/>
                <w:bCs/>
                <w:color w:val="000000"/>
                <w:lang w:val="en-US"/>
              </w:rPr>
              <w:t>2016</w:t>
            </w:r>
          </w:p>
        </w:tc>
      </w:tr>
      <w:tr w:rsidR="00715190" w:rsidRPr="00715190" w:rsidTr="00715190">
        <w:trPr>
          <w:trHeight w:val="600"/>
        </w:trPr>
        <w:tc>
          <w:tcPr>
            <w:tcW w:w="2325" w:type="dxa"/>
            <w:tcBorders>
              <w:top w:val="nil"/>
              <w:left w:val="single" w:sz="4" w:space="0" w:color="auto"/>
              <w:bottom w:val="single" w:sz="4" w:space="0" w:color="auto"/>
              <w:right w:val="single" w:sz="4" w:space="0" w:color="auto"/>
            </w:tcBorders>
            <w:shd w:val="clear" w:color="auto" w:fill="auto"/>
            <w:vAlign w:val="bottom"/>
            <w:hideMark/>
          </w:tcPr>
          <w:p w:rsidR="00715190" w:rsidRPr="00715190" w:rsidRDefault="00715190" w:rsidP="00715190">
            <w:pPr>
              <w:spacing w:after="0" w:line="240" w:lineRule="auto"/>
              <w:jc w:val="left"/>
              <w:rPr>
                <w:rFonts w:eastAsia="Times New Roman" w:cs="Times New Roman"/>
                <w:color w:val="000000"/>
                <w:lang w:val="en-US"/>
              </w:rPr>
            </w:pPr>
            <w:r w:rsidRPr="00715190">
              <w:rPr>
                <w:rFonts w:eastAsia="Times New Roman" w:cs="Times New Roman"/>
                <w:color w:val="000000"/>
                <w:lang w:val="en-US"/>
              </w:rPr>
              <w:t>British airways(BA)</w:t>
            </w:r>
          </w:p>
        </w:tc>
        <w:tc>
          <w:tcPr>
            <w:tcW w:w="795" w:type="dxa"/>
            <w:tcBorders>
              <w:top w:val="nil"/>
              <w:left w:val="nil"/>
              <w:bottom w:val="single" w:sz="4" w:space="0" w:color="auto"/>
              <w:right w:val="single" w:sz="4" w:space="0" w:color="auto"/>
            </w:tcBorders>
            <w:shd w:val="clear" w:color="auto" w:fill="auto"/>
            <w:noWrap/>
            <w:vAlign w:val="bottom"/>
            <w:hideMark/>
          </w:tcPr>
          <w:p w:rsidR="00715190" w:rsidRPr="00715190" w:rsidRDefault="00715190" w:rsidP="00715190">
            <w:pPr>
              <w:spacing w:after="0" w:line="240" w:lineRule="auto"/>
              <w:jc w:val="right"/>
              <w:rPr>
                <w:rFonts w:eastAsia="Times New Roman" w:cs="Times New Roman"/>
                <w:color w:val="000000"/>
                <w:lang w:val="en-US"/>
              </w:rPr>
            </w:pPr>
            <w:r w:rsidRPr="00715190">
              <w:rPr>
                <w:rFonts w:eastAsia="Times New Roman" w:cs="Times New Roman"/>
                <w:color w:val="000000"/>
                <w:lang w:val="en-US"/>
              </w:rPr>
              <w:t>3%</w:t>
            </w:r>
          </w:p>
        </w:tc>
        <w:tc>
          <w:tcPr>
            <w:tcW w:w="795" w:type="dxa"/>
            <w:tcBorders>
              <w:top w:val="nil"/>
              <w:left w:val="nil"/>
              <w:bottom w:val="single" w:sz="4" w:space="0" w:color="auto"/>
              <w:right w:val="single" w:sz="4" w:space="0" w:color="auto"/>
            </w:tcBorders>
            <w:shd w:val="clear" w:color="auto" w:fill="auto"/>
            <w:noWrap/>
            <w:vAlign w:val="bottom"/>
            <w:hideMark/>
          </w:tcPr>
          <w:p w:rsidR="00715190" w:rsidRPr="00715190" w:rsidRDefault="00715190" w:rsidP="00715190">
            <w:pPr>
              <w:spacing w:after="0" w:line="240" w:lineRule="auto"/>
              <w:jc w:val="right"/>
              <w:rPr>
                <w:rFonts w:eastAsia="Times New Roman" w:cs="Times New Roman"/>
                <w:color w:val="000000"/>
                <w:lang w:val="en-US"/>
              </w:rPr>
            </w:pPr>
            <w:r w:rsidRPr="00715190">
              <w:rPr>
                <w:rFonts w:eastAsia="Times New Roman" w:cs="Times New Roman"/>
                <w:color w:val="000000"/>
                <w:lang w:val="en-US"/>
              </w:rPr>
              <w:t>6%</w:t>
            </w:r>
          </w:p>
        </w:tc>
        <w:tc>
          <w:tcPr>
            <w:tcW w:w="795" w:type="dxa"/>
            <w:tcBorders>
              <w:top w:val="nil"/>
              <w:left w:val="nil"/>
              <w:bottom w:val="single" w:sz="4" w:space="0" w:color="auto"/>
              <w:right w:val="single" w:sz="4" w:space="0" w:color="auto"/>
            </w:tcBorders>
            <w:shd w:val="clear" w:color="auto" w:fill="auto"/>
            <w:noWrap/>
            <w:vAlign w:val="bottom"/>
            <w:hideMark/>
          </w:tcPr>
          <w:p w:rsidR="00715190" w:rsidRPr="00715190" w:rsidRDefault="00715190" w:rsidP="00715190">
            <w:pPr>
              <w:spacing w:after="0" w:line="240" w:lineRule="auto"/>
              <w:jc w:val="right"/>
              <w:rPr>
                <w:rFonts w:eastAsia="Times New Roman" w:cs="Times New Roman"/>
                <w:color w:val="000000"/>
                <w:lang w:val="en-US"/>
              </w:rPr>
            </w:pPr>
            <w:r w:rsidRPr="00715190">
              <w:rPr>
                <w:rFonts w:eastAsia="Times New Roman" w:cs="Times New Roman"/>
                <w:color w:val="000000"/>
                <w:lang w:val="en-US"/>
              </w:rPr>
              <w:t>8%</w:t>
            </w:r>
          </w:p>
        </w:tc>
        <w:tc>
          <w:tcPr>
            <w:tcW w:w="795" w:type="dxa"/>
            <w:tcBorders>
              <w:top w:val="nil"/>
              <w:left w:val="nil"/>
              <w:bottom w:val="single" w:sz="4" w:space="0" w:color="auto"/>
              <w:right w:val="single" w:sz="4" w:space="0" w:color="auto"/>
            </w:tcBorders>
            <w:shd w:val="clear" w:color="auto" w:fill="auto"/>
            <w:noWrap/>
            <w:vAlign w:val="bottom"/>
            <w:hideMark/>
          </w:tcPr>
          <w:p w:rsidR="00715190" w:rsidRPr="00715190" w:rsidRDefault="00715190" w:rsidP="00715190">
            <w:pPr>
              <w:spacing w:after="0" w:line="240" w:lineRule="auto"/>
              <w:jc w:val="right"/>
              <w:rPr>
                <w:rFonts w:eastAsia="Times New Roman" w:cs="Times New Roman"/>
                <w:color w:val="000000"/>
                <w:lang w:val="en-US"/>
              </w:rPr>
            </w:pPr>
            <w:r w:rsidRPr="00715190">
              <w:rPr>
                <w:rFonts w:eastAsia="Times New Roman" w:cs="Times New Roman"/>
                <w:color w:val="000000"/>
                <w:lang w:val="en-US"/>
              </w:rPr>
              <w:t>11%</w:t>
            </w:r>
          </w:p>
        </w:tc>
        <w:tc>
          <w:tcPr>
            <w:tcW w:w="795" w:type="dxa"/>
            <w:tcBorders>
              <w:top w:val="nil"/>
              <w:left w:val="nil"/>
              <w:bottom w:val="single" w:sz="4" w:space="0" w:color="auto"/>
              <w:right w:val="single" w:sz="4" w:space="0" w:color="auto"/>
            </w:tcBorders>
            <w:shd w:val="clear" w:color="auto" w:fill="auto"/>
            <w:noWrap/>
            <w:vAlign w:val="bottom"/>
            <w:hideMark/>
          </w:tcPr>
          <w:p w:rsidR="00715190" w:rsidRPr="00715190" w:rsidRDefault="00715190" w:rsidP="00715190">
            <w:pPr>
              <w:spacing w:after="0" w:line="240" w:lineRule="auto"/>
              <w:jc w:val="right"/>
              <w:rPr>
                <w:rFonts w:eastAsia="Times New Roman" w:cs="Times New Roman"/>
                <w:color w:val="000000"/>
                <w:lang w:val="en-US"/>
              </w:rPr>
            </w:pPr>
            <w:r w:rsidRPr="00715190">
              <w:rPr>
                <w:rFonts w:eastAsia="Times New Roman" w:cs="Times New Roman"/>
                <w:color w:val="000000"/>
                <w:lang w:val="en-US"/>
              </w:rPr>
              <w:t>13%</w:t>
            </w:r>
          </w:p>
        </w:tc>
      </w:tr>
      <w:tr w:rsidR="00715190" w:rsidRPr="00715190" w:rsidTr="00715190">
        <w:trPr>
          <w:trHeight w:val="600"/>
        </w:trPr>
        <w:tc>
          <w:tcPr>
            <w:tcW w:w="2325" w:type="dxa"/>
            <w:tcBorders>
              <w:top w:val="nil"/>
              <w:left w:val="single" w:sz="4" w:space="0" w:color="auto"/>
              <w:bottom w:val="single" w:sz="4" w:space="0" w:color="auto"/>
              <w:right w:val="single" w:sz="4" w:space="0" w:color="auto"/>
            </w:tcBorders>
            <w:shd w:val="clear" w:color="auto" w:fill="auto"/>
            <w:vAlign w:val="bottom"/>
            <w:hideMark/>
          </w:tcPr>
          <w:p w:rsidR="00715190" w:rsidRPr="00715190" w:rsidRDefault="00715190" w:rsidP="00715190">
            <w:pPr>
              <w:spacing w:after="0" w:line="240" w:lineRule="auto"/>
              <w:jc w:val="left"/>
              <w:rPr>
                <w:rFonts w:eastAsia="Times New Roman" w:cs="Times New Roman"/>
                <w:color w:val="000000"/>
                <w:lang w:val="en-US"/>
              </w:rPr>
            </w:pPr>
            <w:r w:rsidRPr="00715190">
              <w:rPr>
                <w:rFonts w:eastAsia="Times New Roman" w:cs="Times New Roman"/>
                <w:color w:val="000000"/>
              </w:rPr>
              <w:t>Virgin Atlantics(VA)</w:t>
            </w:r>
          </w:p>
        </w:tc>
        <w:tc>
          <w:tcPr>
            <w:tcW w:w="795" w:type="dxa"/>
            <w:tcBorders>
              <w:top w:val="nil"/>
              <w:left w:val="nil"/>
              <w:bottom w:val="single" w:sz="4" w:space="0" w:color="auto"/>
              <w:right w:val="single" w:sz="4" w:space="0" w:color="auto"/>
            </w:tcBorders>
            <w:shd w:val="clear" w:color="auto" w:fill="auto"/>
            <w:noWrap/>
            <w:vAlign w:val="bottom"/>
            <w:hideMark/>
          </w:tcPr>
          <w:p w:rsidR="00715190" w:rsidRPr="00715190" w:rsidRDefault="00715190" w:rsidP="00715190">
            <w:pPr>
              <w:spacing w:after="0" w:line="240" w:lineRule="auto"/>
              <w:jc w:val="right"/>
              <w:rPr>
                <w:rFonts w:eastAsia="Times New Roman" w:cs="Times New Roman"/>
                <w:color w:val="000000"/>
                <w:lang w:val="en-US"/>
              </w:rPr>
            </w:pPr>
            <w:r w:rsidRPr="00715190">
              <w:rPr>
                <w:rFonts w:eastAsia="Times New Roman" w:cs="Times New Roman"/>
                <w:color w:val="000000"/>
                <w:lang w:val="en-US"/>
              </w:rPr>
              <w:t>2%</w:t>
            </w:r>
          </w:p>
        </w:tc>
        <w:tc>
          <w:tcPr>
            <w:tcW w:w="795" w:type="dxa"/>
            <w:tcBorders>
              <w:top w:val="nil"/>
              <w:left w:val="nil"/>
              <w:bottom w:val="single" w:sz="4" w:space="0" w:color="auto"/>
              <w:right w:val="single" w:sz="4" w:space="0" w:color="auto"/>
            </w:tcBorders>
            <w:shd w:val="clear" w:color="auto" w:fill="auto"/>
            <w:noWrap/>
            <w:vAlign w:val="bottom"/>
            <w:hideMark/>
          </w:tcPr>
          <w:p w:rsidR="00715190" w:rsidRPr="00715190" w:rsidRDefault="00715190" w:rsidP="00715190">
            <w:pPr>
              <w:spacing w:after="0" w:line="240" w:lineRule="auto"/>
              <w:jc w:val="right"/>
              <w:rPr>
                <w:rFonts w:eastAsia="Times New Roman" w:cs="Times New Roman"/>
                <w:color w:val="000000"/>
                <w:lang w:val="en-US"/>
              </w:rPr>
            </w:pPr>
            <w:r w:rsidRPr="00715190">
              <w:rPr>
                <w:rFonts w:eastAsia="Times New Roman" w:cs="Times New Roman"/>
                <w:color w:val="000000"/>
                <w:lang w:val="en-US"/>
              </w:rPr>
              <w:t>13%</w:t>
            </w:r>
          </w:p>
        </w:tc>
        <w:tc>
          <w:tcPr>
            <w:tcW w:w="795" w:type="dxa"/>
            <w:tcBorders>
              <w:top w:val="nil"/>
              <w:left w:val="nil"/>
              <w:bottom w:val="single" w:sz="4" w:space="0" w:color="auto"/>
              <w:right w:val="single" w:sz="4" w:space="0" w:color="auto"/>
            </w:tcBorders>
            <w:shd w:val="clear" w:color="auto" w:fill="auto"/>
            <w:noWrap/>
            <w:vAlign w:val="bottom"/>
            <w:hideMark/>
          </w:tcPr>
          <w:p w:rsidR="00715190" w:rsidRPr="00715190" w:rsidRDefault="00715190" w:rsidP="00715190">
            <w:pPr>
              <w:spacing w:after="0" w:line="240" w:lineRule="auto"/>
              <w:jc w:val="right"/>
              <w:rPr>
                <w:rFonts w:eastAsia="Times New Roman" w:cs="Times New Roman"/>
                <w:color w:val="000000"/>
                <w:lang w:val="en-US"/>
              </w:rPr>
            </w:pPr>
            <w:r w:rsidRPr="00715190">
              <w:rPr>
                <w:rFonts w:eastAsia="Times New Roman" w:cs="Times New Roman"/>
                <w:color w:val="000000"/>
                <w:lang w:val="en-US"/>
              </w:rPr>
              <w:t>13%</w:t>
            </w:r>
          </w:p>
        </w:tc>
        <w:tc>
          <w:tcPr>
            <w:tcW w:w="795" w:type="dxa"/>
            <w:tcBorders>
              <w:top w:val="nil"/>
              <w:left w:val="nil"/>
              <w:bottom w:val="single" w:sz="4" w:space="0" w:color="auto"/>
              <w:right w:val="single" w:sz="4" w:space="0" w:color="auto"/>
            </w:tcBorders>
            <w:shd w:val="clear" w:color="auto" w:fill="auto"/>
            <w:noWrap/>
            <w:vAlign w:val="bottom"/>
            <w:hideMark/>
          </w:tcPr>
          <w:p w:rsidR="00715190" w:rsidRPr="00715190" w:rsidRDefault="00715190" w:rsidP="00715190">
            <w:pPr>
              <w:spacing w:after="0" w:line="240" w:lineRule="auto"/>
              <w:jc w:val="right"/>
              <w:rPr>
                <w:rFonts w:eastAsia="Times New Roman" w:cs="Times New Roman"/>
                <w:color w:val="000000"/>
                <w:lang w:val="en-US"/>
              </w:rPr>
            </w:pPr>
            <w:r w:rsidRPr="00715190">
              <w:rPr>
                <w:rFonts w:eastAsia="Times New Roman" w:cs="Times New Roman"/>
                <w:color w:val="000000"/>
                <w:lang w:val="en-US"/>
              </w:rPr>
              <w:t>7%</w:t>
            </w:r>
          </w:p>
        </w:tc>
        <w:tc>
          <w:tcPr>
            <w:tcW w:w="795" w:type="dxa"/>
            <w:tcBorders>
              <w:top w:val="nil"/>
              <w:left w:val="nil"/>
              <w:bottom w:val="single" w:sz="4" w:space="0" w:color="auto"/>
              <w:right w:val="single" w:sz="4" w:space="0" w:color="auto"/>
            </w:tcBorders>
            <w:shd w:val="clear" w:color="auto" w:fill="auto"/>
            <w:noWrap/>
            <w:vAlign w:val="bottom"/>
            <w:hideMark/>
          </w:tcPr>
          <w:p w:rsidR="00715190" w:rsidRPr="00715190" w:rsidRDefault="00715190" w:rsidP="00715190">
            <w:pPr>
              <w:spacing w:after="0" w:line="240" w:lineRule="auto"/>
              <w:jc w:val="right"/>
              <w:rPr>
                <w:rFonts w:eastAsia="Times New Roman" w:cs="Times New Roman"/>
                <w:color w:val="000000"/>
                <w:lang w:val="en-US"/>
              </w:rPr>
            </w:pPr>
            <w:r w:rsidRPr="00715190">
              <w:rPr>
                <w:rFonts w:eastAsia="Times New Roman" w:cs="Times New Roman"/>
                <w:color w:val="000000"/>
                <w:lang w:val="en-US"/>
              </w:rPr>
              <w:t>6%</w:t>
            </w:r>
          </w:p>
        </w:tc>
      </w:tr>
    </w:tbl>
    <w:p w:rsidR="00715190" w:rsidRDefault="00715190" w:rsidP="00715190"/>
    <w:p w:rsidR="00715190" w:rsidRPr="00715190" w:rsidRDefault="00715190" w:rsidP="00715190">
      <w:r w:rsidRPr="00715190">
        <w:rPr>
          <w:noProof/>
          <w:lang w:val="en-IN" w:eastAsia="en-IN" w:bidi="hi-IN"/>
        </w:rPr>
        <w:drawing>
          <wp:inline distT="0" distB="0" distL="0" distR="0">
            <wp:extent cx="4572000" cy="33147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A45B21" w:rsidRDefault="00A45B21" w:rsidP="006209EB">
      <w:pPr>
        <w:pStyle w:val="Heading1"/>
      </w:pPr>
    </w:p>
    <w:p w:rsidR="00A45B21" w:rsidRDefault="008D58C5" w:rsidP="008D58C5">
      <w:r>
        <w:t xml:space="preserve">The gross profit margin ratio reveals the </w:t>
      </w:r>
      <w:r w:rsidR="00EE09E3">
        <w:t>fact that the profit earning pattern of VA is more erratic compared to that of BA, and from 2015 onwards British airways has</w:t>
      </w:r>
      <w:r w:rsidR="00E00D2D">
        <w:t xml:space="preserve"> left behind its main competitor </w:t>
      </w:r>
      <w:r w:rsidR="00EE09E3">
        <w:t>Virgin</w:t>
      </w:r>
      <w:r w:rsidR="00E00D2D">
        <w:t xml:space="preserve"> </w:t>
      </w:r>
      <w:r w:rsidR="00EE09E3">
        <w:t xml:space="preserve">Atlantic </w:t>
      </w:r>
      <w:r w:rsidR="00E00D2D">
        <w:t xml:space="preserve">in terms </w:t>
      </w:r>
      <w:r w:rsidR="00EE09E3">
        <w:t>of gross profit generation out of revenue earned and thus proving the efficiency of BA over VA</w:t>
      </w:r>
    </w:p>
    <w:tbl>
      <w:tblPr>
        <w:tblW w:w="6300" w:type="dxa"/>
        <w:tblInd w:w="103" w:type="dxa"/>
        <w:tblLook w:val="04A0" w:firstRow="1" w:lastRow="0" w:firstColumn="1" w:lastColumn="0" w:noHBand="0" w:noVBand="1"/>
      </w:tblPr>
      <w:tblGrid>
        <w:gridCol w:w="2349"/>
        <w:gridCol w:w="791"/>
        <w:gridCol w:w="790"/>
        <w:gridCol w:w="790"/>
        <w:gridCol w:w="790"/>
        <w:gridCol w:w="790"/>
      </w:tblGrid>
      <w:tr w:rsidR="00DC2A0B" w:rsidRPr="00DC2A0B" w:rsidTr="00DC2A0B">
        <w:trPr>
          <w:trHeight w:val="300"/>
        </w:trPr>
        <w:tc>
          <w:tcPr>
            <w:tcW w:w="630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C2A0B" w:rsidRPr="00DC2A0B" w:rsidRDefault="00DC2A0B" w:rsidP="00DC2A0B">
            <w:pPr>
              <w:spacing w:after="0" w:line="240" w:lineRule="auto"/>
              <w:jc w:val="center"/>
              <w:rPr>
                <w:rFonts w:eastAsia="Times New Roman" w:cs="Times New Roman"/>
                <w:b/>
                <w:bCs/>
                <w:color w:val="000000"/>
                <w:lang w:val="en-US"/>
              </w:rPr>
            </w:pPr>
            <w:r w:rsidRPr="00DC2A0B">
              <w:rPr>
                <w:rFonts w:eastAsia="Times New Roman" w:cs="Times New Roman"/>
                <w:b/>
                <w:bCs/>
                <w:color w:val="000000"/>
                <w:lang w:val="en-US"/>
              </w:rPr>
              <w:t>Net Profit margin</w:t>
            </w:r>
          </w:p>
        </w:tc>
      </w:tr>
      <w:tr w:rsidR="00DC2A0B" w:rsidRPr="00DC2A0B" w:rsidTr="00DC2A0B">
        <w:trPr>
          <w:trHeight w:val="300"/>
        </w:trPr>
        <w:tc>
          <w:tcPr>
            <w:tcW w:w="2349" w:type="dxa"/>
            <w:tcBorders>
              <w:top w:val="nil"/>
              <w:left w:val="single" w:sz="4" w:space="0" w:color="auto"/>
              <w:bottom w:val="single" w:sz="4" w:space="0" w:color="auto"/>
              <w:right w:val="nil"/>
            </w:tcBorders>
            <w:shd w:val="clear" w:color="auto" w:fill="auto"/>
            <w:noWrap/>
            <w:vAlign w:val="bottom"/>
            <w:hideMark/>
          </w:tcPr>
          <w:p w:rsidR="00DC2A0B" w:rsidRPr="00DC2A0B" w:rsidRDefault="00DC2A0B" w:rsidP="00DC2A0B">
            <w:pPr>
              <w:spacing w:after="0" w:line="240" w:lineRule="auto"/>
              <w:jc w:val="center"/>
              <w:rPr>
                <w:rFonts w:eastAsia="Times New Roman" w:cs="Times New Roman"/>
                <w:b/>
                <w:bCs/>
                <w:color w:val="000000"/>
                <w:lang w:val="en-US"/>
              </w:rPr>
            </w:pPr>
            <w:r w:rsidRPr="00DC2A0B">
              <w:rPr>
                <w:rFonts w:eastAsia="Times New Roman" w:cs="Times New Roman"/>
                <w:b/>
                <w:bCs/>
                <w:color w:val="000000"/>
                <w:lang w:val="en-US"/>
              </w:rPr>
              <w:t> </w:t>
            </w:r>
          </w:p>
        </w:tc>
        <w:tc>
          <w:tcPr>
            <w:tcW w:w="791" w:type="dxa"/>
            <w:tcBorders>
              <w:top w:val="nil"/>
              <w:left w:val="single" w:sz="4" w:space="0" w:color="auto"/>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center"/>
              <w:rPr>
                <w:rFonts w:eastAsia="Times New Roman" w:cs="Times New Roman"/>
                <w:b/>
                <w:bCs/>
                <w:color w:val="000000"/>
                <w:lang w:val="en-US"/>
              </w:rPr>
            </w:pPr>
            <w:r w:rsidRPr="00DC2A0B">
              <w:rPr>
                <w:rFonts w:eastAsia="Times New Roman" w:cs="Times New Roman"/>
                <w:b/>
                <w:bCs/>
                <w:color w:val="000000"/>
                <w:lang w:val="en-US"/>
              </w:rPr>
              <w:t>2012</w:t>
            </w:r>
          </w:p>
        </w:tc>
        <w:tc>
          <w:tcPr>
            <w:tcW w:w="790" w:type="dxa"/>
            <w:tcBorders>
              <w:top w:val="nil"/>
              <w:left w:val="nil"/>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center"/>
              <w:rPr>
                <w:rFonts w:eastAsia="Times New Roman" w:cs="Times New Roman"/>
                <w:b/>
                <w:bCs/>
                <w:color w:val="000000"/>
                <w:lang w:val="en-US"/>
              </w:rPr>
            </w:pPr>
            <w:r w:rsidRPr="00DC2A0B">
              <w:rPr>
                <w:rFonts w:eastAsia="Times New Roman" w:cs="Times New Roman"/>
                <w:b/>
                <w:bCs/>
                <w:color w:val="000000"/>
                <w:lang w:val="en-US"/>
              </w:rPr>
              <w:t>2013</w:t>
            </w:r>
          </w:p>
        </w:tc>
        <w:tc>
          <w:tcPr>
            <w:tcW w:w="790" w:type="dxa"/>
            <w:tcBorders>
              <w:top w:val="nil"/>
              <w:left w:val="nil"/>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center"/>
              <w:rPr>
                <w:rFonts w:eastAsia="Times New Roman" w:cs="Times New Roman"/>
                <w:b/>
                <w:bCs/>
                <w:color w:val="000000"/>
                <w:lang w:val="en-US"/>
              </w:rPr>
            </w:pPr>
            <w:r w:rsidRPr="00DC2A0B">
              <w:rPr>
                <w:rFonts w:eastAsia="Times New Roman" w:cs="Times New Roman"/>
                <w:b/>
                <w:bCs/>
                <w:color w:val="000000"/>
                <w:lang w:val="en-US"/>
              </w:rPr>
              <w:t>2014</w:t>
            </w:r>
          </w:p>
        </w:tc>
        <w:tc>
          <w:tcPr>
            <w:tcW w:w="790" w:type="dxa"/>
            <w:tcBorders>
              <w:top w:val="nil"/>
              <w:left w:val="nil"/>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center"/>
              <w:rPr>
                <w:rFonts w:eastAsia="Times New Roman" w:cs="Times New Roman"/>
                <w:b/>
                <w:bCs/>
                <w:color w:val="000000"/>
                <w:lang w:val="en-US"/>
              </w:rPr>
            </w:pPr>
            <w:r w:rsidRPr="00DC2A0B">
              <w:rPr>
                <w:rFonts w:eastAsia="Times New Roman" w:cs="Times New Roman"/>
                <w:b/>
                <w:bCs/>
                <w:color w:val="000000"/>
                <w:lang w:val="en-US"/>
              </w:rPr>
              <w:t>2015</w:t>
            </w:r>
          </w:p>
        </w:tc>
        <w:tc>
          <w:tcPr>
            <w:tcW w:w="790" w:type="dxa"/>
            <w:tcBorders>
              <w:top w:val="nil"/>
              <w:left w:val="nil"/>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center"/>
              <w:rPr>
                <w:rFonts w:eastAsia="Times New Roman" w:cs="Times New Roman"/>
                <w:b/>
                <w:bCs/>
                <w:color w:val="000000"/>
                <w:lang w:val="en-US"/>
              </w:rPr>
            </w:pPr>
            <w:r w:rsidRPr="00DC2A0B">
              <w:rPr>
                <w:rFonts w:eastAsia="Times New Roman" w:cs="Times New Roman"/>
                <w:b/>
                <w:bCs/>
                <w:color w:val="000000"/>
                <w:lang w:val="en-US"/>
              </w:rPr>
              <w:t>2016</w:t>
            </w:r>
          </w:p>
        </w:tc>
      </w:tr>
      <w:tr w:rsidR="00DC2A0B" w:rsidRPr="00DC2A0B" w:rsidTr="00DC2A0B">
        <w:trPr>
          <w:trHeight w:val="300"/>
        </w:trPr>
        <w:tc>
          <w:tcPr>
            <w:tcW w:w="2349" w:type="dxa"/>
            <w:tcBorders>
              <w:top w:val="nil"/>
              <w:left w:val="single" w:sz="4" w:space="0" w:color="auto"/>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left"/>
              <w:rPr>
                <w:rFonts w:eastAsia="Times New Roman" w:cs="Times New Roman"/>
                <w:color w:val="000000"/>
                <w:lang w:val="en-US"/>
              </w:rPr>
            </w:pPr>
            <w:r w:rsidRPr="00DC2A0B">
              <w:rPr>
                <w:rFonts w:eastAsia="Times New Roman" w:cs="Times New Roman"/>
                <w:color w:val="000000"/>
                <w:lang w:val="en-US"/>
              </w:rPr>
              <w:t>British airways</w:t>
            </w:r>
            <w:r w:rsidR="00B66A4F" w:rsidRPr="00B66A4F">
              <w:rPr>
                <w:rFonts w:eastAsia="Times New Roman" w:cs="Times New Roman"/>
                <w:color w:val="000000"/>
                <w:lang w:val="en-US"/>
              </w:rPr>
              <w:t>(BA)</w:t>
            </w:r>
          </w:p>
        </w:tc>
        <w:tc>
          <w:tcPr>
            <w:tcW w:w="791" w:type="dxa"/>
            <w:tcBorders>
              <w:top w:val="nil"/>
              <w:left w:val="nil"/>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right"/>
              <w:rPr>
                <w:rFonts w:eastAsia="Times New Roman" w:cs="Times New Roman"/>
                <w:color w:val="000000"/>
                <w:lang w:val="en-US"/>
              </w:rPr>
            </w:pPr>
            <w:r w:rsidRPr="00DC2A0B">
              <w:rPr>
                <w:rFonts w:eastAsia="Times New Roman" w:cs="Times New Roman"/>
                <w:color w:val="000000"/>
                <w:lang w:val="en-US"/>
              </w:rPr>
              <w:t>-1%</w:t>
            </w:r>
          </w:p>
        </w:tc>
        <w:tc>
          <w:tcPr>
            <w:tcW w:w="790" w:type="dxa"/>
            <w:tcBorders>
              <w:top w:val="nil"/>
              <w:left w:val="nil"/>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right"/>
              <w:rPr>
                <w:rFonts w:eastAsia="Times New Roman" w:cs="Times New Roman"/>
                <w:color w:val="000000"/>
                <w:lang w:val="en-US"/>
              </w:rPr>
            </w:pPr>
            <w:r w:rsidRPr="00DC2A0B">
              <w:rPr>
                <w:rFonts w:eastAsia="Times New Roman" w:cs="Times New Roman"/>
                <w:color w:val="000000"/>
                <w:lang w:val="en-US"/>
              </w:rPr>
              <w:t>3%</w:t>
            </w:r>
          </w:p>
        </w:tc>
        <w:tc>
          <w:tcPr>
            <w:tcW w:w="790" w:type="dxa"/>
            <w:tcBorders>
              <w:top w:val="nil"/>
              <w:left w:val="nil"/>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right"/>
              <w:rPr>
                <w:rFonts w:eastAsia="Times New Roman" w:cs="Times New Roman"/>
                <w:color w:val="000000"/>
                <w:lang w:val="en-US"/>
              </w:rPr>
            </w:pPr>
            <w:r w:rsidRPr="00DC2A0B">
              <w:rPr>
                <w:rFonts w:eastAsia="Times New Roman" w:cs="Times New Roman"/>
                <w:color w:val="000000"/>
                <w:lang w:val="en-US"/>
              </w:rPr>
              <w:t>7%</w:t>
            </w:r>
          </w:p>
        </w:tc>
        <w:tc>
          <w:tcPr>
            <w:tcW w:w="790" w:type="dxa"/>
            <w:tcBorders>
              <w:top w:val="nil"/>
              <w:left w:val="nil"/>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right"/>
              <w:rPr>
                <w:rFonts w:eastAsia="Times New Roman" w:cs="Times New Roman"/>
                <w:color w:val="000000"/>
                <w:lang w:val="en-US"/>
              </w:rPr>
            </w:pPr>
            <w:r w:rsidRPr="00DC2A0B">
              <w:rPr>
                <w:rFonts w:eastAsia="Times New Roman" w:cs="Times New Roman"/>
                <w:color w:val="000000"/>
                <w:lang w:val="en-US"/>
              </w:rPr>
              <w:t>23%</w:t>
            </w:r>
          </w:p>
        </w:tc>
        <w:tc>
          <w:tcPr>
            <w:tcW w:w="790" w:type="dxa"/>
            <w:tcBorders>
              <w:top w:val="nil"/>
              <w:left w:val="nil"/>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right"/>
              <w:rPr>
                <w:rFonts w:eastAsia="Times New Roman" w:cs="Times New Roman"/>
                <w:color w:val="000000"/>
                <w:lang w:val="en-US"/>
              </w:rPr>
            </w:pPr>
            <w:r w:rsidRPr="00DC2A0B">
              <w:rPr>
                <w:rFonts w:eastAsia="Times New Roman" w:cs="Times New Roman"/>
                <w:color w:val="000000"/>
                <w:lang w:val="en-US"/>
              </w:rPr>
              <w:t>14%</w:t>
            </w:r>
          </w:p>
        </w:tc>
      </w:tr>
      <w:tr w:rsidR="00DC2A0B" w:rsidRPr="00DC2A0B" w:rsidTr="00DC2A0B">
        <w:trPr>
          <w:trHeight w:val="300"/>
        </w:trPr>
        <w:tc>
          <w:tcPr>
            <w:tcW w:w="2349" w:type="dxa"/>
            <w:tcBorders>
              <w:top w:val="nil"/>
              <w:left w:val="single" w:sz="4" w:space="0" w:color="auto"/>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left"/>
              <w:rPr>
                <w:rFonts w:eastAsia="Times New Roman" w:cs="Times New Roman"/>
                <w:color w:val="000000"/>
                <w:lang w:val="en-US"/>
              </w:rPr>
            </w:pPr>
            <w:r w:rsidRPr="00DC2A0B">
              <w:rPr>
                <w:rFonts w:eastAsia="Times New Roman" w:cs="Times New Roman"/>
                <w:color w:val="000000"/>
              </w:rPr>
              <w:t>Virgin Atlantics</w:t>
            </w:r>
            <w:r w:rsidR="00B66A4F" w:rsidRPr="00B66A4F">
              <w:rPr>
                <w:rFonts w:eastAsia="Times New Roman" w:cs="Times New Roman"/>
                <w:color w:val="000000"/>
              </w:rPr>
              <w:t>(VA)</w:t>
            </w:r>
          </w:p>
        </w:tc>
        <w:tc>
          <w:tcPr>
            <w:tcW w:w="791" w:type="dxa"/>
            <w:tcBorders>
              <w:top w:val="nil"/>
              <w:left w:val="nil"/>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right"/>
              <w:rPr>
                <w:rFonts w:eastAsia="Times New Roman" w:cs="Times New Roman"/>
                <w:color w:val="000000"/>
                <w:lang w:val="en-US"/>
              </w:rPr>
            </w:pPr>
            <w:r w:rsidRPr="00DC2A0B">
              <w:rPr>
                <w:rFonts w:eastAsia="Times New Roman" w:cs="Times New Roman"/>
                <w:color w:val="000000"/>
                <w:lang w:val="en-US"/>
              </w:rPr>
              <w:t>1%</w:t>
            </w:r>
          </w:p>
        </w:tc>
        <w:tc>
          <w:tcPr>
            <w:tcW w:w="790" w:type="dxa"/>
            <w:tcBorders>
              <w:top w:val="nil"/>
              <w:left w:val="nil"/>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right"/>
              <w:rPr>
                <w:rFonts w:eastAsia="Times New Roman" w:cs="Times New Roman"/>
                <w:color w:val="000000"/>
                <w:lang w:val="en-US"/>
              </w:rPr>
            </w:pPr>
            <w:r w:rsidRPr="00DC2A0B">
              <w:rPr>
                <w:rFonts w:eastAsia="Times New Roman" w:cs="Times New Roman"/>
                <w:color w:val="000000"/>
                <w:lang w:val="en-US"/>
              </w:rPr>
              <w:t>0%</w:t>
            </w:r>
          </w:p>
        </w:tc>
        <w:tc>
          <w:tcPr>
            <w:tcW w:w="790" w:type="dxa"/>
            <w:tcBorders>
              <w:top w:val="nil"/>
              <w:left w:val="nil"/>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right"/>
              <w:rPr>
                <w:rFonts w:eastAsia="Times New Roman" w:cs="Times New Roman"/>
                <w:color w:val="000000"/>
                <w:lang w:val="en-US"/>
              </w:rPr>
            </w:pPr>
            <w:r w:rsidRPr="00DC2A0B">
              <w:rPr>
                <w:rFonts w:eastAsia="Times New Roman" w:cs="Times New Roman"/>
                <w:color w:val="000000"/>
                <w:lang w:val="en-US"/>
              </w:rPr>
              <w:t>1%</w:t>
            </w:r>
          </w:p>
        </w:tc>
        <w:tc>
          <w:tcPr>
            <w:tcW w:w="790" w:type="dxa"/>
            <w:tcBorders>
              <w:top w:val="nil"/>
              <w:left w:val="nil"/>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right"/>
              <w:rPr>
                <w:rFonts w:eastAsia="Times New Roman" w:cs="Times New Roman"/>
                <w:color w:val="000000"/>
                <w:lang w:val="en-US"/>
              </w:rPr>
            </w:pPr>
            <w:r w:rsidRPr="00DC2A0B">
              <w:rPr>
                <w:rFonts w:eastAsia="Times New Roman" w:cs="Times New Roman"/>
                <w:color w:val="000000"/>
                <w:lang w:val="en-US"/>
              </w:rPr>
              <w:t>7%</w:t>
            </w:r>
          </w:p>
        </w:tc>
        <w:tc>
          <w:tcPr>
            <w:tcW w:w="790" w:type="dxa"/>
            <w:tcBorders>
              <w:top w:val="nil"/>
              <w:left w:val="nil"/>
              <w:bottom w:val="single" w:sz="4" w:space="0" w:color="auto"/>
              <w:right w:val="single" w:sz="4" w:space="0" w:color="auto"/>
            </w:tcBorders>
            <w:shd w:val="clear" w:color="auto" w:fill="auto"/>
            <w:noWrap/>
            <w:vAlign w:val="bottom"/>
            <w:hideMark/>
          </w:tcPr>
          <w:p w:rsidR="00DC2A0B" w:rsidRPr="00DC2A0B" w:rsidRDefault="00DC2A0B" w:rsidP="00DC2A0B">
            <w:pPr>
              <w:spacing w:after="0" w:line="240" w:lineRule="auto"/>
              <w:jc w:val="right"/>
              <w:rPr>
                <w:rFonts w:eastAsia="Times New Roman" w:cs="Times New Roman"/>
                <w:color w:val="000000"/>
                <w:lang w:val="en-US"/>
              </w:rPr>
            </w:pPr>
            <w:r w:rsidRPr="00DC2A0B">
              <w:rPr>
                <w:rFonts w:eastAsia="Times New Roman" w:cs="Times New Roman"/>
                <w:color w:val="000000"/>
                <w:lang w:val="en-US"/>
              </w:rPr>
              <w:t>6%</w:t>
            </w:r>
          </w:p>
        </w:tc>
      </w:tr>
    </w:tbl>
    <w:p w:rsidR="00A45B21" w:rsidRDefault="00B66A4F" w:rsidP="006209EB">
      <w:pPr>
        <w:pStyle w:val="Heading1"/>
      </w:pPr>
      <w:r w:rsidRPr="00B66A4F">
        <w:rPr>
          <w:noProof/>
          <w:lang w:val="en-IN" w:eastAsia="en-IN" w:bidi="hi-IN"/>
        </w:rPr>
        <w:drawing>
          <wp:inline distT="0" distB="0" distL="0" distR="0">
            <wp:extent cx="4595818" cy="3329792"/>
            <wp:effectExtent l="19050" t="19050" r="14282" b="23008"/>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4595495" cy="3329558"/>
                    </a:xfrm>
                    <a:prstGeom prst="rect">
                      <a:avLst/>
                    </a:prstGeom>
                    <a:noFill/>
                    <a:ln w="9525">
                      <a:solidFill>
                        <a:schemeClr val="accent1"/>
                      </a:solidFill>
                      <a:miter lim="800000"/>
                      <a:headEnd/>
                      <a:tailEnd/>
                    </a:ln>
                  </pic:spPr>
                </pic:pic>
              </a:graphicData>
            </a:graphic>
          </wp:inline>
        </w:drawing>
      </w:r>
    </w:p>
    <w:p w:rsidR="006169CA" w:rsidRDefault="006169CA" w:rsidP="006169CA"/>
    <w:p w:rsidR="006169CA" w:rsidRDefault="006169CA" w:rsidP="006169CA"/>
    <w:p w:rsidR="00A45B21" w:rsidRDefault="00BD53CC" w:rsidP="006169CA">
      <w:r>
        <w:t xml:space="preserve">The net profit margin ratio also showing that the financial performance of BA is much better </w:t>
      </w:r>
      <w:r w:rsidR="006169CA">
        <w:t>than</w:t>
      </w:r>
      <w:r>
        <w:t xml:space="preserve"> that of VA from </w:t>
      </w:r>
      <w:r w:rsidR="006169CA">
        <w:t>2013 onwards up to the period of 2016.</w:t>
      </w:r>
    </w:p>
    <w:tbl>
      <w:tblPr>
        <w:tblW w:w="6300" w:type="dxa"/>
        <w:tblInd w:w="103" w:type="dxa"/>
        <w:tblLook w:val="04A0" w:firstRow="1" w:lastRow="0" w:firstColumn="1" w:lastColumn="0" w:noHBand="0" w:noVBand="1"/>
      </w:tblPr>
      <w:tblGrid>
        <w:gridCol w:w="1530"/>
        <w:gridCol w:w="1116"/>
        <w:gridCol w:w="1116"/>
        <w:gridCol w:w="1116"/>
        <w:gridCol w:w="1116"/>
        <w:gridCol w:w="1116"/>
      </w:tblGrid>
      <w:tr w:rsidR="008C6091" w:rsidRPr="008C6091" w:rsidTr="008C6091">
        <w:trPr>
          <w:trHeight w:val="300"/>
        </w:trPr>
        <w:tc>
          <w:tcPr>
            <w:tcW w:w="630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C6091" w:rsidRPr="008C6091" w:rsidRDefault="008C6091" w:rsidP="008C6091">
            <w:pPr>
              <w:spacing w:after="0" w:line="240" w:lineRule="auto"/>
              <w:jc w:val="center"/>
              <w:rPr>
                <w:rFonts w:eastAsia="Times New Roman" w:cs="Times New Roman"/>
                <w:b/>
                <w:bCs/>
                <w:color w:val="000000"/>
                <w:lang w:val="en-US"/>
              </w:rPr>
            </w:pPr>
            <w:r w:rsidRPr="008C6091">
              <w:rPr>
                <w:rFonts w:eastAsia="Times New Roman" w:cs="Times New Roman"/>
                <w:b/>
                <w:bCs/>
                <w:color w:val="000000"/>
                <w:lang w:val="en-US"/>
              </w:rPr>
              <w:t>Current Ratio</w:t>
            </w:r>
          </w:p>
        </w:tc>
      </w:tr>
      <w:tr w:rsidR="008C6091" w:rsidRPr="008C6091" w:rsidTr="008C6091">
        <w:trPr>
          <w:trHeight w:val="300"/>
        </w:trPr>
        <w:tc>
          <w:tcPr>
            <w:tcW w:w="1530" w:type="dxa"/>
            <w:tcBorders>
              <w:top w:val="nil"/>
              <w:left w:val="single" w:sz="4" w:space="0" w:color="auto"/>
              <w:bottom w:val="single" w:sz="4" w:space="0" w:color="auto"/>
              <w:right w:val="nil"/>
            </w:tcBorders>
            <w:shd w:val="clear" w:color="auto" w:fill="auto"/>
            <w:noWrap/>
            <w:vAlign w:val="bottom"/>
            <w:hideMark/>
          </w:tcPr>
          <w:p w:rsidR="008C6091" w:rsidRPr="008C6091" w:rsidRDefault="008C6091" w:rsidP="008C6091">
            <w:pPr>
              <w:spacing w:after="0" w:line="240" w:lineRule="auto"/>
              <w:jc w:val="center"/>
              <w:rPr>
                <w:rFonts w:eastAsia="Times New Roman" w:cs="Times New Roman"/>
                <w:b/>
                <w:bCs/>
                <w:color w:val="000000"/>
                <w:lang w:val="en-US"/>
              </w:rPr>
            </w:pPr>
            <w:r w:rsidRPr="008C6091">
              <w:rPr>
                <w:rFonts w:eastAsia="Times New Roman" w:cs="Times New Roman"/>
                <w:b/>
                <w:bCs/>
                <w:color w:val="000000"/>
                <w:lang w:val="en-US"/>
              </w:rPr>
              <w:t> </w:t>
            </w:r>
          </w:p>
        </w:tc>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center"/>
              <w:rPr>
                <w:rFonts w:eastAsia="Times New Roman" w:cs="Times New Roman"/>
                <w:b/>
                <w:bCs/>
                <w:color w:val="000000"/>
                <w:lang w:val="en-US"/>
              </w:rPr>
            </w:pPr>
            <w:r w:rsidRPr="008C6091">
              <w:rPr>
                <w:rFonts w:eastAsia="Times New Roman" w:cs="Times New Roman"/>
                <w:b/>
                <w:bCs/>
                <w:color w:val="000000"/>
                <w:lang w:val="en-US"/>
              </w:rPr>
              <w:t>2012</w:t>
            </w:r>
          </w:p>
        </w:tc>
        <w:tc>
          <w:tcPr>
            <w:tcW w:w="954" w:type="dxa"/>
            <w:tcBorders>
              <w:top w:val="nil"/>
              <w:left w:val="nil"/>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center"/>
              <w:rPr>
                <w:rFonts w:eastAsia="Times New Roman" w:cs="Times New Roman"/>
                <w:b/>
                <w:bCs/>
                <w:color w:val="000000"/>
                <w:lang w:val="en-US"/>
              </w:rPr>
            </w:pPr>
            <w:r w:rsidRPr="008C6091">
              <w:rPr>
                <w:rFonts w:eastAsia="Times New Roman" w:cs="Times New Roman"/>
                <w:b/>
                <w:bCs/>
                <w:color w:val="000000"/>
                <w:lang w:val="en-US"/>
              </w:rPr>
              <w:t>2013</w:t>
            </w:r>
          </w:p>
        </w:tc>
        <w:tc>
          <w:tcPr>
            <w:tcW w:w="954" w:type="dxa"/>
            <w:tcBorders>
              <w:top w:val="nil"/>
              <w:left w:val="nil"/>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center"/>
              <w:rPr>
                <w:rFonts w:eastAsia="Times New Roman" w:cs="Times New Roman"/>
                <w:b/>
                <w:bCs/>
                <w:color w:val="000000"/>
                <w:lang w:val="en-US"/>
              </w:rPr>
            </w:pPr>
            <w:r w:rsidRPr="008C6091">
              <w:rPr>
                <w:rFonts w:eastAsia="Times New Roman" w:cs="Times New Roman"/>
                <w:b/>
                <w:bCs/>
                <w:color w:val="000000"/>
                <w:lang w:val="en-US"/>
              </w:rPr>
              <w:t>2014</w:t>
            </w:r>
          </w:p>
        </w:tc>
        <w:tc>
          <w:tcPr>
            <w:tcW w:w="954" w:type="dxa"/>
            <w:tcBorders>
              <w:top w:val="nil"/>
              <w:left w:val="nil"/>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center"/>
              <w:rPr>
                <w:rFonts w:eastAsia="Times New Roman" w:cs="Times New Roman"/>
                <w:b/>
                <w:bCs/>
                <w:color w:val="000000"/>
                <w:lang w:val="en-US"/>
              </w:rPr>
            </w:pPr>
            <w:r w:rsidRPr="008C6091">
              <w:rPr>
                <w:rFonts w:eastAsia="Times New Roman" w:cs="Times New Roman"/>
                <w:b/>
                <w:bCs/>
                <w:color w:val="000000"/>
                <w:lang w:val="en-US"/>
              </w:rPr>
              <w:t>2015</w:t>
            </w:r>
          </w:p>
        </w:tc>
        <w:tc>
          <w:tcPr>
            <w:tcW w:w="954" w:type="dxa"/>
            <w:tcBorders>
              <w:top w:val="nil"/>
              <w:left w:val="nil"/>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center"/>
              <w:rPr>
                <w:rFonts w:eastAsia="Times New Roman" w:cs="Times New Roman"/>
                <w:b/>
                <w:bCs/>
                <w:color w:val="000000"/>
                <w:lang w:val="en-US"/>
              </w:rPr>
            </w:pPr>
            <w:r w:rsidRPr="008C6091">
              <w:rPr>
                <w:rFonts w:eastAsia="Times New Roman" w:cs="Times New Roman"/>
                <w:b/>
                <w:bCs/>
                <w:color w:val="000000"/>
                <w:lang w:val="en-US"/>
              </w:rPr>
              <w:t>2016</w:t>
            </w:r>
          </w:p>
        </w:tc>
      </w:tr>
      <w:tr w:rsidR="008C6091" w:rsidRPr="008C6091" w:rsidTr="008C6091">
        <w:trPr>
          <w:trHeight w:val="300"/>
        </w:trPr>
        <w:tc>
          <w:tcPr>
            <w:tcW w:w="1530" w:type="dxa"/>
            <w:tcBorders>
              <w:top w:val="nil"/>
              <w:left w:val="single" w:sz="4" w:space="0" w:color="auto"/>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left"/>
              <w:rPr>
                <w:rFonts w:eastAsia="Times New Roman" w:cs="Times New Roman"/>
                <w:color w:val="000000"/>
                <w:lang w:val="en-US"/>
              </w:rPr>
            </w:pPr>
            <w:r w:rsidRPr="008C6091">
              <w:rPr>
                <w:rFonts w:eastAsia="Times New Roman" w:cs="Times New Roman"/>
                <w:color w:val="000000"/>
                <w:lang w:val="en-US"/>
              </w:rPr>
              <w:t xml:space="preserve">British </w:t>
            </w:r>
            <w:r w:rsidRPr="008C6091">
              <w:rPr>
                <w:rFonts w:eastAsia="Times New Roman" w:cs="Times New Roman"/>
                <w:color w:val="000000"/>
                <w:lang w:val="en-US"/>
              </w:rPr>
              <w:lastRenderedPageBreak/>
              <w:t>airways</w:t>
            </w:r>
          </w:p>
        </w:tc>
        <w:tc>
          <w:tcPr>
            <w:tcW w:w="954" w:type="dxa"/>
            <w:tcBorders>
              <w:top w:val="nil"/>
              <w:left w:val="nil"/>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right"/>
              <w:rPr>
                <w:rFonts w:eastAsia="Times New Roman" w:cs="Times New Roman"/>
                <w:color w:val="000000"/>
                <w:lang w:val="en-US"/>
              </w:rPr>
            </w:pPr>
            <w:r w:rsidRPr="008C6091">
              <w:rPr>
                <w:rFonts w:eastAsia="Times New Roman" w:cs="Times New Roman"/>
                <w:color w:val="000000"/>
                <w:lang w:val="en-US"/>
              </w:rPr>
              <w:lastRenderedPageBreak/>
              <w:t>0.598909</w:t>
            </w:r>
          </w:p>
        </w:tc>
        <w:tc>
          <w:tcPr>
            <w:tcW w:w="954" w:type="dxa"/>
            <w:tcBorders>
              <w:top w:val="nil"/>
              <w:left w:val="nil"/>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right"/>
              <w:rPr>
                <w:rFonts w:eastAsia="Times New Roman" w:cs="Times New Roman"/>
                <w:color w:val="000000"/>
                <w:lang w:val="en-US"/>
              </w:rPr>
            </w:pPr>
            <w:r w:rsidRPr="008C6091">
              <w:rPr>
                <w:rFonts w:eastAsia="Times New Roman" w:cs="Times New Roman"/>
                <w:color w:val="000000"/>
                <w:lang w:val="en-US"/>
              </w:rPr>
              <w:t>0.629998</w:t>
            </w:r>
          </w:p>
        </w:tc>
        <w:tc>
          <w:tcPr>
            <w:tcW w:w="954" w:type="dxa"/>
            <w:tcBorders>
              <w:top w:val="nil"/>
              <w:left w:val="nil"/>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right"/>
              <w:rPr>
                <w:rFonts w:eastAsia="Times New Roman" w:cs="Times New Roman"/>
                <w:color w:val="000000"/>
                <w:lang w:val="en-US"/>
              </w:rPr>
            </w:pPr>
            <w:r w:rsidRPr="008C6091">
              <w:rPr>
                <w:rFonts w:eastAsia="Times New Roman" w:cs="Times New Roman"/>
                <w:color w:val="000000"/>
                <w:lang w:val="en-US"/>
              </w:rPr>
              <w:t>0.651218</w:t>
            </w:r>
          </w:p>
        </w:tc>
        <w:tc>
          <w:tcPr>
            <w:tcW w:w="954" w:type="dxa"/>
            <w:tcBorders>
              <w:top w:val="nil"/>
              <w:left w:val="nil"/>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right"/>
              <w:rPr>
                <w:rFonts w:eastAsia="Times New Roman" w:cs="Times New Roman"/>
                <w:color w:val="000000"/>
                <w:lang w:val="en-US"/>
              </w:rPr>
            </w:pPr>
            <w:r w:rsidRPr="008C6091">
              <w:rPr>
                <w:rFonts w:eastAsia="Times New Roman" w:cs="Times New Roman"/>
                <w:color w:val="000000"/>
                <w:lang w:val="en-US"/>
              </w:rPr>
              <w:t>0.596491</w:t>
            </w:r>
          </w:p>
        </w:tc>
        <w:tc>
          <w:tcPr>
            <w:tcW w:w="954" w:type="dxa"/>
            <w:tcBorders>
              <w:top w:val="nil"/>
              <w:left w:val="nil"/>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right"/>
              <w:rPr>
                <w:rFonts w:eastAsia="Times New Roman" w:cs="Times New Roman"/>
                <w:color w:val="000000"/>
                <w:lang w:val="en-US"/>
              </w:rPr>
            </w:pPr>
            <w:r w:rsidRPr="008C6091">
              <w:rPr>
                <w:rFonts w:eastAsia="Times New Roman" w:cs="Times New Roman"/>
                <w:color w:val="000000"/>
                <w:lang w:val="en-US"/>
              </w:rPr>
              <w:t>0.763217</w:t>
            </w:r>
          </w:p>
        </w:tc>
      </w:tr>
      <w:tr w:rsidR="008C6091" w:rsidRPr="008C6091" w:rsidTr="008C6091">
        <w:trPr>
          <w:trHeight w:val="300"/>
        </w:trPr>
        <w:tc>
          <w:tcPr>
            <w:tcW w:w="1530" w:type="dxa"/>
            <w:tcBorders>
              <w:top w:val="nil"/>
              <w:left w:val="single" w:sz="4" w:space="0" w:color="auto"/>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left"/>
              <w:rPr>
                <w:rFonts w:eastAsia="Times New Roman" w:cs="Times New Roman"/>
                <w:color w:val="000000"/>
                <w:lang w:val="en-US"/>
              </w:rPr>
            </w:pPr>
            <w:r w:rsidRPr="008C6091">
              <w:rPr>
                <w:rFonts w:eastAsia="Times New Roman" w:cs="Times New Roman"/>
                <w:color w:val="000000"/>
              </w:rPr>
              <w:lastRenderedPageBreak/>
              <w:t>Virgin Atlantics</w:t>
            </w:r>
          </w:p>
        </w:tc>
        <w:tc>
          <w:tcPr>
            <w:tcW w:w="954" w:type="dxa"/>
            <w:tcBorders>
              <w:top w:val="nil"/>
              <w:left w:val="nil"/>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right"/>
              <w:rPr>
                <w:rFonts w:eastAsia="Times New Roman" w:cs="Times New Roman"/>
                <w:color w:val="000000"/>
                <w:lang w:val="en-US"/>
              </w:rPr>
            </w:pPr>
            <w:r w:rsidRPr="008C6091">
              <w:rPr>
                <w:rFonts w:eastAsia="Times New Roman" w:cs="Times New Roman"/>
                <w:color w:val="000000"/>
                <w:lang w:val="en-US"/>
              </w:rPr>
              <w:t>0.648404</w:t>
            </w:r>
          </w:p>
        </w:tc>
        <w:tc>
          <w:tcPr>
            <w:tcW w:w="954" w:type="dxa"/>
            <w:tcBorders>
              <w:top w:val="nil"/>
              <w:left w:val="nil"/>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right"/>
              <w:rPr>
                <w:rFonts w:eastAsia="Times New Roman" w:cs="Times New Roman"/>
                <w:color w:val="000000"/>
                <w:lang w:val="en-US"/>
              </w:rPr>
            </w:pPr>
            <w:r w:rsidRPr="008C6091">
              <w:rPr>
                <w:rFonts w:eastAsia="Times New Roman" w:cs="Times New Roman"/>
                <w:color w:val="000000"/>
                <w:lang w:val="en-US"/>
              </w:rPr>
              <w:t>4.835309</w:t>
            </w:r>
          </w:p>
        </w:tc>
        <w:tc>
          <w:tcPr>
            <w:tcW w:w="954" w:type="dxa"/>
            <w:tcBorders>
              <w:top w:val="nil"/>
              <w:left w:val="nil"/>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right"/>
              <w:rPr>
                <w:rFonts w:eastAsia="Times New Roman" w:cs="Times New Roman"/>
                <w:color w:val="000000"/>
                <w:lang w:val="en-US"/>
              </w:rPr>
            </w:pPr>
            <w:r w:rsidRPr="008C6091">
              <w:rPr>
                <w:rFonts w:eastAsia="Times New Roman" w:cs="Times New Roman"/>
                <w:color w:val="000000"/>
                <w:lang w:val="en-US"/>
              </w:rPr>
              <w:t>2.076234</w:t>
            </w:r>
          </w:p>
        </w:tc>
        <w:tc>
          <w:tcPr>
            <w:tcW w:w="954" w:type="dxa"/>
            <w:tcBorders>
              <w:top w:val="nil"/>
              <w:left w:val="nil"/>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right"/>
              <w:rPr>
                <w:rFonts w:eastAsia="Times New Roman" w:cs="Times New Roman"/>
                <w:color w:val="000000"/>
                <w:lang w:val="en-US"/>
              </w:rPr>
            </w:pPr>
            <w:r w:rsidRPr="008C6091">
              <w:rPr>
                <w:rFonts w:eastAsia="Times New Roman" w:cs="Times New Roman"/>
                <w:color w:val="000000"/>
                <w:lang w:val="en-US"/>
              </w:rPr>
              <w:t>0.707328</w:t>
            </w:r>
          </w:p>
        </w:tc>
        <w:tc>
          <w:tcPr>
            <w:tcW w:w="954" w:type="dxa"/>
            <w:tcBorders>
              <w:top w:val="nil"/>
              <w:left w:val="nil"/>
              <w:bottom w:val="single" w:sz="4" w:space="0" w:color="auto"/>
              <w:right w:val="single" w:sz="4" w:space="0" w:color="auto"/>
            </w:tcBorders>
            <w:shd w:val="clear" w:color="auto" w:fill="auto"/>
            <w:noWrap/>
            <w:vAlign w:val="bottom"/>
            <w:hideMark/>
          </w:tcPr>
          <w:p w:rsidR="008C6091" w:rsidRPr="008C6091" w:rsidRDefault="008C6091" w:rsidP="008C6091">
            <w:pPr>
              <w:spacing w:after="0" w:line="240" w:lineRule="auto"/>
              <w:jc w:val="right"/>
              <w:rPr>
                <w:rFonts w:eastAsia="Times New Roman" w:cs="Times New Roman"/>
                <w:color w:val="000000"/>
                <w:lang w:val="en-US"/>
              </w:rPr>
            </w:pPr>
            <w:r w:rsidRPr="008C6091">
              <w:rPr>
                <w:rFonts w:eastAsia="Times New Roman" w:cs="Times New Roman"/>
                <w:color w:val="000000"/>
                <w:lang w:val="en-US"/>
              </w:rPr>
              <w:t>0.797028</w:t>
            </w:r>
          </w:p>
        </w:tc>
      </w:tr>
    </w:tbl>
    <w:p w:rsidR="006169CA" w:rsidRDefault="006169CA" w:rsidP="006169CA"/>
    <w:p w:rsidR="006169CA" w:rsidRDefault="008C6091" w:rsidP="006169CA">
      <w:r w:rsidRPr="008C6091">
        <w:rPr>
          <w:noProof/>
          <w:lang w:val="en-IN" w:eastAsia="en-IN" w:bidi="hi-IN"/>
        </w:rPr>
        <w:drawing>
          <wp:inline distT="0" distB="0" distL="0" distR="0">
            <wp:extent cx="4595495" cy="3717290"/>
            <wp:effectExtent l="57150" t="19050" r="109855" b="7366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4595495" cy="3717290"/>
                    </a:xfrm>
                    <a:prstGeom prst="rect">
                      <a:avLst/>
                    </a:prstGeom>
                    <a:noFill/>
                    <a:ln w="9525">
                      <a:solidFill>
                        <a:schemeClr val="accent1"/>
                      </a:solidFill>
                      <a:miter lim="800000"/>
                      <a:headEnd/>
                      <a:tailEnd/>
                    </a:ln>
                    <a:effectLst>
                      <a:outerShdw blurRad="50800" dist="38100" dir="2700000" algn="tl" rotWithShape="0">
                        <a:prstClr val="black">
                          <a:alpha val="40000"/>
                        </a:prstClr>
                      </a:outerShdw>
                    </a:effectLst>
                  </pic:spPr>
                </pic:pic>
              </a:graphicData>
            </a:graphic>
          </wp:inline>
        </w:drawing>
      </w:r>
    </w:p>
    <w:p w:rsidR="00737C1E" w:rsidRDefault="00737C1E" w:rsidP="006169CA">
      <w:r>
        <w:t xml:space="preserve">From 2012 to 2014 the current ratio of VA was either equal or better than BA as </w:t>
      </w:r>
      <w:r w:rsidR="00375463">
        <w:t>during</w:t>
      </w:r>
      <w:r>
        <w:t xml:space="preserve"> this </w:t>
      </w:r>
      <w:r w:rsidR="00375463">
        <w:t>time</w:t>
      </w:r>
      <w:r>
        <w:t xml:space="preserve"> the </w:t>
      </w:r>
      <w:r w:rsidR="00375463">
        <w:t>British</w:t>
      </w:r>
      <w:r>
        <w:t xml:space="preserve"> airways were gathering the </w:t>
      </w:r>
      <w:r w:rsidR="007C0C0D">
        <w:t xml:space="preserve">modern fleets by making </w:t>
      </w:r>
      <w:r w:rsidR="00375463">
        <w:t>heavy investment. Once</w:t>
      </w:r>
      <w:r w:rsidR="007C0C0D">
        <w:t xml:space="preserve"> the fleets are being bought and put in to the </w:t>
      </w:r>
      <w:r w:rsidR="007D7B20">
        <w:t>business,</w:t>
      </w:r>
      <w:r w:rsidR="007C0C0D">
        <w:t xml:space="preserve"> BA started to earn huge revenue return a s reflected by the </w:t>
      </w:r>
      <w:r w:rsidR="00375463">
        <w:t xml:space="preserve">current ratios of 2015 and 2016.But with the equal increase in current liability the </w:t>
      </w:r>
      <w:r w:rsidR="00037C00">
        <w:t>overall</w:t>
      </w:r>
      <w:r w:rsidR="00375463">
        <w:t xml:space="preserve"> trend of the current ratio of BA has remained more or less same </w:t>
      </w:r>
      <w:r w:rsidR="00037C00">
        <w:t xml:space="preserve">in 2015 &amp; 2016 with respect to the previous </w:t>
      </w:r>
      <w:r w:rsidR="001F327C">
        <w:t>years</w:t>
      </w:r>
      <w:r w:rsidR="00037C00">
        <w:t>.</w:t>
      </w:r>
      <w:r w:rsidR="007D7B20">
        <w:t xml:space="preserve"> </w:t>
      </w:r>
      <w:r w:rsidR="00037C00">
        <w:t xml:space="preserve">But as BA has drawn much of the </w:t>
      </w:r>
      <w:r w:rsidR="007D7B20">
        <w:t>passengers</w:t>
      </w:r>
      <w:r w:rsidR="00037C00">
        <w:t xml:space="preserve"> of VA so from 2015 onwards the VA </w:t>
      </w:r>
      <w:r w:rsidR="00C44660">
        <w:t xml:space="preserve">realized a </w:t>
      </w:r>
      <w:r w:rsidR="007D7B20">
        <w:t xml:space="preserve">rapid shortage in </w:t>
      </w:r>
      <w:r w:rsidR="001F327C">
        <w:t>revenue</w:t>
      </w:r>
      <w:r w:rsidR="007D7B20">
        <w:t xml:space="preserve"> generation and </w:t>
      </w:r>
      <w:r w:rsidR="001F327C">
        <w:t>the current</w:t>
      </w:r>
      <w:r w:rsidR="007D7B20">
        <w:t xml:space="preserve"> ratio of VA has declined to the level of BA</w:t>
      </w:r>
      <w:r w:rsidR="001F327C">
        <w:t>.</w:t>
      </w:r>
    </w:p>
    <w:tbl>
      <w:tblPr>
        <w:tblW w:w="6300" w:type="dxa"/>
        <w:tblInd w:w="103" w:type="dxa"/>
        <w:tblLook w:val="04A0" w:firstRow="1" w:lastRow="0" w:firstColumn="1" w:lastColumn="0" w:noHBand="0" w:noVBand="1"/>
      </w:tblPr>
      <w:tblGrid>
        <w:gridCol w:w="1530"/>
        <w:gridCol w:w="1116"/>
        <w:gridCol w:w="1116"/>
        <w:gridCol w:w="1116"/>
        <w:gridCol w:w="1116"/>
        <w:gridCol w:w="1116"/>
      </w:tblGrid>
      <w:tr w:rsidR="005566C8" w:rsidRPr="005566C8" w:rsidTr="005566C8">
        <w:trPr>
          <w:trHeight w:val="300"/>
        </w:trPr>
        <w:tc>
          <w:tcPr>
            <w:tcW w:w="630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566C8" w:rsidRPr="005566C8" w:rsidRDefault="005566C8" w:rsidP="005566C8">
            <w:pPr>
              <w:spacing w:after="0" w:line="240" w:lineRule="auto"/>
              <w:jc w:val="center"/>
              <w:rPr>
                <w:rFonts w:eastAsia="Times New Roman" w:cs="Times New Roman"/>
                <w:b/>
                <w:bCs/>
                <w:color w:val="000000"/>
                <w:lang w:val="en-US"/>
              </w:rPr>
            </w:pPr>
            <w:r w:rsidRPr="005566C8">
              <w:rPr>
                <w:rFonts w:eastAsia="Times New Roman" w:cs="Times New Roman"/>
                <w:b/>
                <w:bCs/>
                <w:color w:val="000000"/>
                <w:lang w:val="en-US"/>
              </w:rPr>
              <w:t>Quick Ratio</w:t>
            </w:r>
          </w:p>
        </w:tc>
      </w:tr>
      <w:tr w:rsidR="005566C8" w:rsidRPr="005566C8" w:rsidTr="005566C8">
        <w:trPr>
          <w:trHeight w:val="300"/>
        </w:trPr>
        <w:tc>
          <w:tcPr>
            <w:tcW w:w="1530" w:type="dxa"/>
            <w:tcBorders>
              <w:top w:val="nil"/>
              <w:left w:val="single" w:sz="4" w:space="0" w:color="auto"/>
              <w:bottom w:val="single" w:sz="4" w:space="0" w:color="auto"/>
              <w:right w:val="nil"/>
            </w:tcBorders>
            <w:shd w:val="clear" w:color="auto" w:fill="auto"/>
            <w:noWrap/>
            <w:vAlign w:val="bottom"/>
            <w:hideMark/>
          </w:tcPr>
          <w:p w:rsidR="005566C8" w:rsidRPr="005566C8" w:rsidRDefault="005566C8" w:rsidP="005566C8">
            <w:pPr>
              <w:spacing w:after="0" w:line="240" w:lineRule="auto"/>
              <w:jc w:val="center"/>
              <w:rPr>
                <w:rFonts w:eastAsia="Times New Roman" w:cs="Times New Roman"/>
                <w:b/>
                <w:bCs/>
                <w:color w:val="000000"/>
                <w:lang w:val="en-US"/>
              </w:rPr>
            </w:pPr>
            <w:r w:rsidRPr="005566C8">
              <w:rPr>
                <w:rFonts w:eastAsia="Times New Roman" w:cs="Times New Roman"/>
                <w:b/>
                <w:bCs/>
                <w:color w:val="000000"/>
                <w:lang w:val="en-US"/>
              </w:rPr>
              <w:t> </w:t>
            </w:r>
          </w:p>
        </w:tc>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center"/>
              <w:rPr>
                <w:rFonts w:eastAsia="Times New Roman" w:cs="Times New Roman"/>
                <w:b/>
                <w:bCs/>
                <w:color w:val="000000"/>
                <w:lang w:val="en-US"/>
              </w:rPr>
            </w:pPr>
            <w:r w:rsidRPr="005566C8">
              <w:rPr>
                <w:rFonts w:eastAsia="Times New Roman" w:cs="Times New Roman"/>
                <w:b/>
                <w:bCs/>
                <w:color w:val="000000"/>
                <w:lang w:val="en-US"/>
              </w:rPr>
              <w:t>2012</w:t>
            </w:r>
          </w:p>
        </w:tc>
        <w:tc>
          <w:tcPr>
            <w:tcW w:w="954" w:type="dxa"/>
            <w:tcBorders>
              <w:top w:val="nil"/>
              <w:left w:val="nil"/>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center"/>
              <w:rPr>
                <w:rFonts w:eastAsia="Times New Roman" w:cs="Times New Roman"/>
                <w:b/>
                <w:bCs/>
                <w:color w:val="000000"/>
                <w:lang w:val="en-US"/>
              </w:rPr>
            </w:pPr>
            <w:r w:rsidRPr="005566C8">
              <w:rPr>
                <w:rFonts w:eastAsia="Times New Roman" w:cs="Times New Roman"/>
                <w:b/>
                <w:bCs/>
                <w:color w:val="000000"/>
                <w:lang w:val="en-US"/>
              </w:rPr>
              <w:t>2013</w:t>
            </w:r>
          </w:p>
        </w:tc>
        <w:tc>
          <w:tcPr>
            <w:tcW w:w="954" w:type="dxa"/>
            <w:tcBorders>
              <w:top w:val="nil"/>
              <w:left w:val="nil"/>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center"/>
              <w:rPr>
                <w:rFonts w:eastAsia="Times New Roman" w:cs="Times New Roman"/>
                <w:b/>
                <w:bCs/>
                <w:color w:val="000000"/>
                <w:lang w:val="en-US"/>
              </w:rPr>
            </w:pPr>
            <w:r w:rsidRPr="005566C8">
              <w:rPr>
                <w:rFonts w:eastAsia="Times New Roman" w:cs="Times New Roman"/>
                <w:b/>
                <w:bCs/>
                <w:color w:val="000000"/>
                <w:lang w:val="en-US"/>
              </w:rPr>
              <w:t>2014</w:t>
            </w:r>
          </w:p>
        </w:tc>
        <w:tc>
          <w:tcPr>
            <w:tcW w:w="954" w:type="dxa"/>
            <w:tcBorders>
              <w:top w:val="nil"/>
              <w:left w:val="nil"/>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center"/>
              <w:rPr>
                <w:rFonts w:eastAsia="Times New Roman" w:cs="Times New Roman"/>
                <w:b/>
                <w:bCs/>
                <w:color w:val="000000"/>
                <w:lang w:val="en-US"/>
              </w:rPr>
            </w:pPr>
            <w:r w:rsidRPr="005566C8">
              <w:rPr>
                <w:rFonts w:eastAsia="Times New Roman" w:cs="Times New Roman"/>
                <w:b/>
                <w:bCs/>
                <w:color w:val="000000"/>
                <w:lang w:val="en-US"/>
              </w:rPr>
              <w:t>2015</w:t>
            </w:r>
          </w:p>
        </w:tc>
        <w:tc>
          <w:tcPr>
            <w:tcW w:w="954" w:type="dxa"/>
            <w:tcBorders>
              <w:top w:val="nil"/>
              <w:left w:val="nil"/>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center"/>
              <w:rPr>
                <w:rFonts w:eastAsia="Times New Roman" w:cs="Times New Roman"/>
                <w:b/>
                <w:bCs/>
                <w:color w:val="000000"/>
                <w:lang w:val="en-US"/>
              </w:rPr>
            </w:pPr>
            <w:r w:rsidRPr="005566C8">
              <w:rPr>
                <w:rFonts w:eastAsia="Times New Roman" w:cs="Times New Roman"/>
                <w:b/>
                <w:bCs/>
                <w:color w:val="000000"/>
                <w:lang w:val="en-US"/>
              </w:rPr>
              <w:t>2016</w:t>
            </w:r>
          </w:p>
        </w:tc>
      </w:tr>
      <w:tr w:rsidR="005566C8" w:rsidRPr="005566C8" w:rsidTr="005566C8">
        <w:trPr>
          <w:trHeight w:val="300"/>
        </w:trPr>
        <w:tc>
          <w:tcPr>
            <w:tcW w:w="1530" w:type="dxa"/>
            <w:tcBorders>
              <w:top w:val="nil"/>
              <w:left w:val="single" w:sz="4" w:space="0" w:color="auto"/>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left"/>
              <w:rPr>
                <w:rFonts w:eastAsia="Times New Roman" w:cs="Times New Roman"/>
                <w:color w:val="000000"/>
                <w:lang w:val="en-US"/>
              </w:rPr>
            </w:pPr>
            <w:r w:rsidRPr="005566C8">
              <w:rPr>
                <w:rFonts w:eastAsia="Times New Roman" w:cs="Times New Roman"/>
                <w:color w:val="000000"/>
                <w:lang w:val="en-US"/>
              </w:rPr>
              <w:t>British airways</w:t>
            </w:r>
          </w:p>
        </w:tc>
        <w:tc>
          <w:tcPr>
            <w:tcW w:w="954" w:type="dxa"/>
            <w:tcBorders>
              <w:top w:val="nil"/>
              <w:left w:val="nil"/>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right"/>
              <w:rPr>
                <w:rFonts w:eastAsia="Times New Roman" w:cs="Times New Roman"/>
                <w:color w:val="000000"/>
                <w:lang w:val="en-US"/>
              </w:rPr>
            </w:pPr>
            <w:r w:rsidRPr="005566C8">
              <w:rPr>
                <w:rFonts w:eastAsia="Times New Roman" w:cs="Times New Roman"/>
                <w:color w:val="000000"/>
                <w:lang w:val="en-US"/>
              </w:rPr>
              <w:t>0.572306</w:t>
            </w:r>
          </w:p>
        </w:tc>
        <w:tc>
          <w:tcPr>
            <w:tcW w:w="954" w:type="dxa"/>
            <w:tcBorders>
              <w:top w:val="nil"/>
              <w:left w:val="nil"/>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right"/>
              <w:rPr>
                <w:rFonts w:eastAsia="Times New Roman" w:cs="Times New Roman"/>
                <w:color w:val="000000"/>
                <w:lang w:val="en-US"/>
              </w:rPr>
            </w:pPr>
            <w:r w:rsidRPr="005566C8">
              <w:rPr>
                <w:rFonts w:eastAsia="Times New Roman" w:cs="Times New Roman"/>
                <w:color w:val="000000"/>
                <w:lang w:val="en-US"/>
              </w:rPr>
              <w:t>0.514804</w:t>
            </w:r>
          </w:p>
        </w:tc>
        <w:tc>
          <w:tcPr>
            <w:tcW w:w="954" w:type="dxa"/>
            <w:tcBorders>
              <w:top w:val="nil"/>
              <w:left w:val="nil"/>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right"/>
              <w:rPr>
                <w:rFonts w:eastAsia="Times New Roman" w:cs="Times New Roman"/>
                <w:color w:val="000000"/>
                <w:lang w:val="en-US"/>
              </w:rPr>
            </w:pPr>
            <w:r w:rsidRPr="005566C8">
              <w:rPr>
                <w:rFonts w:eastAsia="Times New Roman" w:cs="Times New Roman"/>
                <w:color w:val="000000"/>
                <w:lang w:val="en-US"/>
              </w:rPr>
              <w:t>0.554707</w:t>
            </w:r>
          </w:p>
        </w:tc>
        <w:tc>
          <w:tcPr>
            <w:tcW w:w="954" w:type="dxa"/>
            <w:tcBorders>
              <w:top w:val="nil"/>
              <w:left w:val="nil"/>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right"/>
              <w:rPr>
                <w:rFonts w:eastAsia="Times New Roman" w:cs="Times New Roman"/>
                <w:color w:val="000000"/>
                <w:lang w:val="en-US"/>
              </w:rPr>
            </w:pPr>
            <w:r w:rsidRPr="005566C8">
              <w:rPr>
                <w:rFonts w:eastAsia="Times New Roman" w:cs="Times New Roman"/>
                <w:color w:val="000000"/>
                <w:lang w:val="en-US"/>
              </w:rPr>
              <w:t>0.572105</w:t>
            </w:r>
          </w:p>
        </w:tc>
        <w:tc>
          <w:tcPr>
            <w:tcW w:w="954" w:type="dxa"/>
            <w:tcBorders>
              <w:top w:val="nil"/>
              <w:left w:val="nil"/>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right"/>
              <w:rPr>
                <w:rFonts w:eastAsia="Times New Roman" w:cs="Times New Roman"/>
                <w:color w:val="000000"/>
                <w:lang w:val="en-US"/>
              </w:rPr>
            </w:pPr>
            <w:r w:rsidRPr="005566C8">
              <w:rPr>
                <w:rFonts w:eastAsia="Times New Roman" w:cs="Times New Roman"/>
                <w:color w:val="000000"/>
                <w:lang w:val="en-US"/>
              </w:rPr>
              <w:t>0.738283</w:t>
            </w:r>
          </w:p>
        </w:tc>
      </w:tr>
      <w:tr w:rsidR="005566C8" w:rsidRPr="005566C8" w:rsidTr="005566C8">
        <w:trPr>
          <w:trHeight w:val="300"/>
        </w:trPr>
        <w:tc>
          <w:tcPr>
            <w:tcW w:w="1530" w:type="dxa"/>
            <w:tcBorders>
              <w:top w:val="nil"/>
              <w:left w:val="single" w:sz="4" w:space="0" w:color="auto"/>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left"/>
              <w:rPr>
                <w:rFonts w:eastAsia="Times New Roman" w:cs="Times New Roman"/>
                <w:color w:val="000000"/>
                <w:lang w:val="en-US"/>
              </w:rPr>
            </w:pPr>
            <w:r w:rsidRPr="005566C8">
              <w:rPr>
                <w:rFonts w:eastAsia="Times New Roman" w:cs="Times New Roman"/>
                <w:color w:val="000000"/>
              </w:rPr>
              <w:t xml:space="preserve">Virgin </w:t>
            </w:r>
            <w:r w:rsidRPr="005566C8">
              <w:rPr>
                <w:rFonts w:eastAsia="Times New Roman" w:cs="Times New Roman"/>
                <w:color w:val="000000"/>
              </w:rPr>
              <w:lastRenderedPageBreak/>
              <w:t>Atlantics</w:t>
            </w:r>
          </w:p>
        </w:tc>
        <w:tc>
          <w:tcPr>
            <w:tcW w:w="954" w:type="dxa"/>
            <w:tcBorders>
              <w:top w:val="nil"/>
              <w:left w:val="nil"/>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right"/>
              <w:rPr>
                <w:rFonts w:eastAsia="Times New Roman" w:cs="Times New Roman"/>
                <w:color w:val="000000"/>
                <w:lang w:val="en-US"/>
              </w:rPr>
            </w:pPr>
            <w:r w:rsidRPr="005566C8">
              <w:rPr>
                <w:rFonts w:eastAsia="Times New Roman" w:cs="Times New Roman"/>
                <w:color w:val="000000"/>
                <w:lang w:val="en-US"/>
              </w:rPr>
              <w:lastRenderedPageBreak/>
              <w:t>0.639042</w:t>
            </w:r>
          </w:p>
        </w:tc>
        <w:tc>
          <w:tcPr>
            <w:tcW w:w="954" w:type="dxa"/>
            <w:tcBorders>
              <w:top w:val="nil"/>
              <w:left w:val="nil"/>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right"/>
              <w:rPr>
                <w:rFonts w:eastAsia="Times New Roman" w:cs="Times New Roman"/>
                <w:color w:val="000000"/>
                <w:lang w:val="en-US"/>
              </w:rPr>
            </w:pPr>
            <w:r w:rsidRPr="005566C8">
              <w:rPr>
                <w:rFonts w:eastAsia="Times New Roman" w:cs="Times New Roman"/>
                <w:color w:val="000000"/>
                <w:lang w:val="en-US"/>
              </w:rPr>
              <w:t>4.562695</w:t>
            </w:r>
          </w:p>
        </w:tc>
        <w:tc>
          <w:tcPr>
            <w:tcW w:w="954" w:type="dxa"/>
            <w:tcBorders>
              <w:top w:val="nil"/>
              <w:left w:val="nil"/>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right"/>
              <w:rPr>
                <w:rFonts w:eastAsia="Times New Roman" w:cs="Times New Roman"/>
                <w:color w:val="000000"/>
                <w:lang w:val="en-US"/>
              </w:rPr>
            </w:pPr>
            <w:r w:rsidRPr="005566C8">
              <w:rPr>
                <w:rFonts w:eastAsia="Times New Roman" w:cs="Times New Roman"/>
                <w:color w:val="000000"/>
                <w:lang w:val="en-US"/>
              </w:rPr>
              <w:t>1.952065</w:t>
            </w:r>
          </w:p>
        </w:tc>
        <w:tc>
          <w:tcPr>
            <w:tcW w:w="954" w:type="dxa"/>
            <w:tcBorders>
              <w:top w:val="nil"/>
              <w:left w:val="nil"/>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right"/>
              <w:rPr>
                <w:rFonts w:eastAsia="Times New Roman" w:cs="Times New Roman"/>
                <w:color w:val="000000"/>
                <w:lang w:val="en-US"/>
              </w:rPr>
            </w:pPr>
            <w:r w:rsidRPr="005566C8">
              <w:rPr>
                <w:rFonts w:eastAsia="Times New Roman" w:cs="Times New Roman"/>
                <w:color w:val="000000"/>
                <w:lang w:val="en-US"/>
              </w:rPr>
              <w:t>0.679038</w:t>
            </w:r>
          </w:p>
        </w:tc>
        <w:tc>
          <w:tcPr>
            <w:tcW w:w="954" w:type="dxa"/>
            <w:tcBorders>
              <w:top w:val="nil"/>
              <w:left w:val="nil"/>
              <w:bottom w:val="single" w:sz="4" w:space="0" w:color="auto"/>
              <w:right w:val="single" w:sz="4" w:space="0" w:color="auto"/>
            </w:tcBorders>
            <w:shd w:val="clear" w:color="auto" w:fill="auto"/>
            <w:noWrap/>
            <w:vAlign w:val="bottom"/>
            <w:hideMark/>
          </w:tcPr>
          <w:p w:rsidR="005566C8" w:rsidRPr="005566C8" w:rsidRDefault="005566C8" w:rsidP="005566C8">
            <w:pPr>
              <w:spacing w:after="0" w:line="240" w:lineRule="auto"/>
              <w:jc w:val="right"/>
              <w:rPr>
                <w:rFonts w:eastAsia="Times New Roman" w:cs="Times New Roman"/>
                <w:color w:val="000000"/>
                <w:lang w:val="en-US"/>
              </w:rPr>
            </w:pPr>
            <w:r w:rsidRPr="005566C8">
              <w:rPr>
                <w:rFonts w:eastAsia="Times New Roman" w:cs="Times New Roman"/>
                <w:color w:val="000000"/>
                <w:lang w:val="en-US"/>
              </w:rPr>
              <w:t>0.770155</w:t>
            </w:r>
          </w:p>
        </w:tc>
      </w:tr>
    </w:tbl>
    <w:p w:rsidR="005566C8" w:rsidRDefault="005566C8" w:rsidP="006169CA"/>
    <w:p w:rsidR="006169CA" w:rsidRDefault="005566C8" w:rsidP="006169CA">
      <w:r w:rsidRPr="005566C8">
        <w:rPr>
          <w:noProof/>
          <w:lang w:val="en-IN" w:eastAsia="en-IN" w:bidi="hi-IN"/>
        </w:rPr>
        <w:drawing>
          <wp:inline distT="0" distB="0" distL="0" distR="0">
            <wp:extent cx="4572000" cy="3886200"/>
            <wp:effectExtent l="19050" t="0" r="19050" b="0"/>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566C8" w:rsidRDefault="005566C8" w:rsidP="006169CA">
      <w:r>
        <w:t xml:space="preserve">The quick ratio is following the same pattern as of </w:t>
      </w:r>
      <w:r w:rsidR="001A63C6">
        <w:t xml:space="preserve">Current ratio for the organizations BA &amp; </w:t>
      </w:r>
      <w:proofErr w:type="gramStart"/>
      <w:r w:rsidR="001A63C6">
        <w:t>VA  and</w:t>
      </w:r>
      <w:proofErr w:type="gramEnd"/>
      <w:r w:rsidR="001A63C6">
        <w:t xml:space="preserve"> showing the similar liquidity condition for both the </w:t>
      </w:r>
      <w:r w:rsidR="00184095">
        <w:t>organizations</w:t>
      </w:r>
    </w:p>
    <w:tbl>
      <w:tblPr>
        <w:tblW w:w="6300" w:type="dxa"/>
        <w:tblInd w:w="103" w:type="dxa"/>
        <w:tblLook w:val="04A0" w:firstRow="1" w:lastRow="0" w:firstColumn="1" w:lastColumn="0" w:noHBand="0" w:noVBand="1"/>
      </w:tblPr>
      <w:tblGrid>
        <w:gridCol w:w="2341"/>
        <w:gridCol w:w="807"/>
        <w:gridCol w:w="788"/>
        <w:gridCol w:w="788"/>
        <w:gridCol w:w="788"/>
        <w:gridCol w:w="788"/>
      </w:tblGrid>
      <w:tr w:rsidR="00184095" w:rsidRPr="00184095" w:rsidTr="00184095">
        <w:trPr>
          <w:trHeight w:val="300"/>
        </w:trPr>
        <w:tc>
          <w:tcPr>
            <w:tcW w:w="630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84095" w:rsidRPr="00184095" w:rsidRDefault="00184095" w:rsidP="00184095">
            <w:pPr>
              <w:spacing w:after="0" w:line="240" w:lineRule="auto"/>
              <w:jc w:val="center"/>
              <w:rPr>
                <w:rFonts w:eastAsia="Times New Roman" w:cs="Times New Roman"/>
                <w:b/>
                <w:bCs/>
                <w:color w:val="000000"/>
                <w:lang w:val="en-US"/>
              </w:rPr>
            </w:pPr>
            <w:r w:rsidRPr="00184095">
              <w:rPr>
                <w:rFonts w:eastAsia="Times New Roman" w:cs="Times New Roman"/>
                <w:b/>
                <w:bCs/>
                <w:color w:val="000000"/>
                <w:lang w:val="en-US"/>
              </w:rPr>
              <w:t>Return on capital employed(ROCE)</w:t>
            </w:r>
          </w:p>
        </w:tc>
      </w:tr>
      <w:tr w:rsidR="00184095" w:rsidRPr="00184095" w:rsidTr="00184095">
        <w:trPr>
          <w:trHeight w:val="300"/>
        </w:trPr>
        <w:tc>
          <w:tcPr>
            <w:tcW w:w="2341" w:type="dxa"/>
            <w:tcBorders>
              <w:top w:val="nil"/>
              <w:left w:val="single" w:sz="4" w:space="0" w:color="auto"/>
              <w:bottom w:val="single" w:sz="4" w:space="0" w:color="auto"/>
              <w:right w:val="nil"/>
            </w:tcBorders>
            <w:shd w:val="clear" w:color="auto" w:fill="auto"/>
            <w:noWrap/>
            <w:vAlign w:val="bottom"/>
            <w:hideMark/>
          </w:tcPr>
          <w:p w:rsidR="00184095" w:rsidRPr="00184095" w:rsidRDefault="00184095" w:rsidP="00184095">
            <w:pPr>
              <w:spacing w:after="0" w:line="240" w:lineRule="auto"/>
              <w:jc w:val="center"/>
              <w:rPr>
                <w:rFonts w:eastAsia="Times New Roman" w:cs="Times New Roman"/>
                <w:b/>
                <w:bCs/>
                <w:color w:val="000000"/>
                <w:lang w:val="en-US"/>
              </w:rPr>
            </w:pPr>
            <w:r w:rsidRPr="00184095">
              <w:rPr>
                <w:rFonts w:eastAsia="Times New Roman" w:cs="Times New Roman"/>
                <w:b/>
                <w:bCs/>
                <w:color w:val="000000"/>
                <w:lang w:val="en-US"/>
              </w:rPr>
              <w:t> </w:t>
            </w:r>
          </w:p>
        </w:tc>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center"/>
              <w:rPr>
                <w:rFonts w:eastAsia="Times New Roman" w:cs="Times New Roman"/>
                <w:b/>
                <w:bCs/>
                <w:color w:val="000000"/>
                <w:lang w:val="en-US"/>
              </w:rPr>
            </w:pPr>
            <w:r w:rsidRPr="00184095">
              <w:rPr>
                <w:rFonts w:eastAsia="Times New Roman" w:cs="Times New Roman"/>
                <w:b/>
                <w:bCs/>
                <w:color w:val="000000"/>
                <w:lang w:val="en-US"/>
              </w:rPr>
              <w:t>2012</w:t>
            </w:r>
          </w:p>
        </w:tc>
        <w:tc>
          <w:tcPr>
            <w:tcW w:w="788" w:type="dxa"/>
            <w:tcBorders>
              <w:top w:val="nil"/>
              <w:left w:val="nil"/>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center"/>
              <w:rPr>
                <w:rFonts w:eastAsia="Times New Roman" w:cs="Times New Roman"/>
                <w:b/>
                <w:bCs/>
                <w:color w:val="000000"/>
                <w:lang w:val="en-US"/>
              </w:rPr>
            </w:pPr>
            <w:r w:rsidRPr="00184095">
              <w:rPr>
                <w:rFonts w:eastAsia="Times New Roman" w:cs="Times New Roman"/>
                <w:b/>
                <w:bCs/>
                <w:color w:val="000000"/>
                <w:lang w:val="en-US"/>
              </w:rPr>
              <w:t>2013</w:t>
            </w:r>
          </w:p>
        </w:tc>
        <w:tc>
          <w:tcPr>
            <w:tcW w:w="788" w:type="dxa"/>
            <w:tcBorders>
              <w:top w:val="nil"/>
              <w:left w:val="nil"/>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center"/>
              <w:rPr>
                <w:rFonts w:eastAsia="Times New Roman" w:cs="Times New Roman"/>
                <w:b/>
                <w:bCs/>
                <w:color w:val="000000"/>
                <w:lang w:val="en-US"/>
              </w:rPr>
            </w:pPr>
            <w:r w:rsidRPr="00184095">
              <w:rPr>
                <w:rFonts w:eastAsia="Times New Roman" w:cs="Times New Roman"/>
                <w:b/>
                <w:bCs/>
                <w:color w:val="000000"/>
                <w:lang w:val="en-US"/>
              </w:rPr>
              <w:t>2014</w:t>
            </w:r>
          </w:p>
        </w:tc>
        <w:tc>
          <w:tcPr>
            <w:tcW w:w="788" w:type="dxa"/>
            <w:tcBorders>
              <w:top w:val="nil"/>
              <w:left w:val="nil"/>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center"/>
              <w:rPr>
                <w:rFonts w:eastAsia="Times New Roman" w:cs="Times New Roman"/>
                <w:b/>
                <w:bCs/>
                <w:color w:val="000000"/>
                <w:lang w:val="en-US"/>
              </w:rPr>
            </w:pPr>
            <w:r w:rsidRPr="00184095">
              <w:rPr>
                <w:rFonts w:eastAsia="Times New Roman" w:cs="Times New Roman"/>
                <w:b/>
                <w:bCs/>
                <w:color w:val="000000"/>
                <w:lang w:val="en-US"/>
              </w:rPr>
              <w:t>2015</w:t>
            </w:r>
          </w:p>
        </w:tc>
        <w:tc>
          <w:tcPr>
            <w:tcW w:w="788" w:type="dxa"/>
            <w:tcBorders>
              <w:top w:val="nil"/>
              <w:left w:val="nil"/>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center"/>
              <w:rPr>
                <w:rFonts w:eastAsia="Times New Roman" w:cs="Times New Roman"/>
                <w:b/>
                <w:bCs/>
                <w:color w:val="000000"/>
                <w:lang w:val="en-US"/>
              </w:rPr>
            </w:pPr>
            <w:r w:rsidRPr="00184095">
              <w:rPr>
                <w:rFonts w:eastAsia="Times New Roman" w:cs="Times New Roman"/>
                <w:b/>
                <w:bCs/>
                <w:color w:val="000000"/>
                <w:lang w:val="en-US"/>
              </w:rPr>
              <w:t>2016</w:t>
            </w:r>
          </w:p>
        </w:tc>
      </w:tr>
      <w:tr w:rsidR="00184095" w:rsidRPr="00184095" w:rsidTr="00184095">
        <w:trPr>
          <w:trHeight w:val="300"/>
        </w:trPr>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left"/>
              <w:rPr>
                <w:rFonts w:eastAsia="Times New Roman" w:cs="Times New Roman"/>
                <w:color w:val="000000"/>
                <w:lang w:val="en-US"/>
              </w:rPr>
            </w:pPr>
            <w:r w:rsidRPr="00184095">
              <w:rPr>
                <w:rFonts w:eastAsia="Times New Roman" w:cs="Times New Roman"/>
                <w:color w:val="000000"/>
                <w:lang w:val="en-US"/>
              </w:rPr>
              <w:t>British airways</w:t>
            </w:r>
          </w:p>
        </w:tc>
        <w:tc>
          <w:tcPr>
            <w:tcW w:w="807" w:type="dxa"/>
            <w:tcBorders>
              <w:top w:val="nil"/>
              <w:left w:val="nil"/>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right"/>
              <w:rPr>
                <w:rFonts w:eastAsia="Times New Roman" w:cs="Times New Roman"/>
                <w:color w:val="000000"/>
                <w:lang w:val="en-US"/>
              </w:rPr>
            </w:pPr>
            <w:r w:rsidRPr="00184095">
              <w:rPr>
                <w:rFonts w:eastAsia="Times New Roman" w:cs="Times New Roman"/>
                <w:color w:val="000000"/>
                <w:lang w:val="en-US"/>
              </w:rPr>
              <w:t>-0.01</w:t>
            </w:r>
          </w:p>
        </w:tc>
        <w:tc>
          <w:tcPr>
            <w:tcW w:w="788" w:type="dxa"/>
            <w:tcBorders>
              <w:top w:val="nil"/>
              <w:left w:val="nil"/>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right"/>
              <w:rPr>
                <w:rFonts w:eastAsia="Times New Roman" w:cs="Times New Roman"/>
                <w:color w:val="000000"/>
                <w:lang w:val="en-US"/>
              </w:rPr>
            </w:pPr>
            <w:r w:rsidRPr="00184095">
              <w:rPr>
                <w:rFonts w:eastAsia="Times New Roman" w:cs="Times New Roman"/>
                <w:color w:val="000000"/>
                <w:lang w:val="en-US"/>
              </w:rPr>
              <w:t>0.03</w:t>
            </w:r>
          </w:p>
        </w:tc>
        <w:tc>
          <w:tcPr>
            <w:tcW w:w="788" w:type="dxa"/>
            <w:tcBorders>
              <w:top w:val="nil"/>
              <w:left w:val="nil"/>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right"/>
              <w:rPr>
                <w:rFonts w:eastAsia="Times New Roman" w:cs="Times New Roman"/>
                <w:color w:val="000000"/>
                <w:lang w:val="en-US"/>
              </w:rPr>
            </w:pPr>
            <w:r w:rsidRPr="00184095">
              <w:rPr>
                <w:rFonts w:eastAsia="Times New Roman" w:cs="Times New Roman"/>
                <w:color w:val="000000"/>
                <w:lang w:val="en-US"/>
              </w:rPr>
              <w:t>0.06</w:t>
            </w:r>
          </w:p>
        </w:tc>
        <w:tc>
          <w:tcPr>
            <w:tcW w:w="788" w:type="dxa"/>
            <w:tcBorders>
              <w:top w:val="nil"/>
              <w:left w:val="nil"/>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right"/>
              <w:rPr>
                <w:rFonts w:eastAsia="Times New Roman" w:cs="Times New Roman"/>
                <w:color w:val="000000"/>
                <w:lang w:val="en-US"/>
              </w:rPr>
            </w:pPr>
            <w:r w:rsidRPr="00184095">
              <w:rPr>
                <w:rFonts w:eastAsia="Times New Roman" w:cs="Times New Roman"/>
                <w:color w:val="000000"/>
                <w:lang w:val="en-US"/>
              </w:rPr>
              <w:t>0.17</w:t>
            </w:r>
          </w:p>
        </w:tc>
        <w:tc>
          <w:tcPr>
            <w:tcW w:w="788" w:type="dxa"/>
            <w:tcBorders>
              <w:top w:val="nil"/>
              <w:left w:val="nil"/>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right"/>
              <w:rPr>
                <w:rFonts w:eastAsia="Times New Roman" w:cs="Times New Roman"/>
                <w:color w:val="000000"/>
                <w:lang w:val="en-US"/>
              </w:rPr>
            </w:pPr>
            <w:r w:rsidRPr="00184095">
              <w:rPr>
                <w:rFonts w:eastAsia="Times New Roman" w:cs="Times New Roman"/>
                <w:color w:val="000000"/>
                <w:lang w:val="en-US"/>
              </w:rPr>
              <w:t>0.10</w:t>
            </w:r>
          </w:p>
        </w:tc>
      </w:tr>
      <w:tr w:rsidR="00184095" w:rsidRPr="00184095" w:rsidTr="00184095">
        <w:trPr>
          <w:trHeight w:val="300"/>
        </w:trPr>
        <w:tc>
          <w:tcPr>
            <w:tcW w:w="2341" w:type="dxa"/>
            <w:tcBorders>
              <w:top w:val="nil"/>
              <w:left w:val="single" w:sz="4" w:space="0" w:color="auto"/>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left"/>
              <w:rPr>
                <w:rFonts w:eastAsia="Times New Roman" w:cs="Times New Roman"/>
                <w:color w:val="000000"/>
                <w:lang w:val="en-US"/>
              </w:rPr>
            </w:pPr>
            <w:r w:rsidRPr="00184095">
              <w:rPr>
                <w:rFonts w:eastAsia="Times New Roman" w:cs="Times New Roman"/>
                <w:color w:val="000000"/>
              </w:rPr>
              <w:t>Virgin Atlantics</w:t>
            </w:r>
          </w:p>
        </w:tc>
        <w:tc>
          <w:tcPr>
            <w:tcW w:w="807" w:type="dxa"/>
            <w:tcBorders>
              <w:top w:val="nil"/>
              <w:left w:val="nil"/>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right"/>
              <w:rPr>
                <w:rFonts w:eastAsia="Times New Roman" w:cs="Times New Roman"/>
                <w:color w:val="000000"/>
                <w:lang w:val="en-US"/>
              </w:rPr>
            </w:pPr>
            <w:r w:rsidRPr="00184095">
              <w:rPr>
                <w:rFonts w:eastAsia="Times New Roman" w:cs="Times New Roman"/>
                <w:color w:val="000000"/>
                <w:lang w:val="en-US"/>
              </w:rPr>
              <w:t>0.10</w:t>
            </w:r>
          </w:p>
        </w:tc>
        <w:tc>
          <w:tcPr>
            <w:tcW w:w="788" w:type="dxa"/>
            <w:tcBorders>
              <w:top w:val="nil"/>
              <w:left w:val="nil"/>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right"/>
              <w:rPr>
                <w:rFonts w:eastAsia="Times New Roman" w:cs="Times New Roman"/>
                <w:color w:val="000000"/>
                <w:lang w:val="en-US"/>
              </w:rPr>
            </w:pPr>
            <w:r w:rsidRPr="00184095">
              <w:rPr>
                <w:rFonts w:eastAsia="Times New Roman" w:cs="Times New Roman"/>
                <w:color w:val="000000"/>
                <w:lang w:val="en-US"/>
              </w:rPr>
              <w:t>0.00</w:t>
            </w:r>
          </w:p>
        </w:tc>
        <w:tc>
          <w:tcPr>
            <w:tcW w:w="788" w:type="dxa"/>
            <w:tcBorders>
              <w:top w:val="nil"/>
              <w:left w:val="nil"/>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right"/>
              <w:rPr>
                <w:rFonts w:eastAsia="Times New Roman" w:cs="Times New Roman"/>
                <w:color w:val="000000"/>
                <w:lang w:val="en-US"/>
              </w:rPr>
            </w:pPr>
            <w:r w:rsidRPr="00184095">
              <w:rPr>
                <w:rFonts w:eastAsia="Times New Roman" w:cs="Times New Roman"/>
                <w:color w:val="000000"/>
                <w:lang w:val="en-US"/>
              </w:rPr>
              <w:t>0.05</w:t>
            </w:r>
          </w:p>
        </w:tc>
        <w:tc>
          <w:tcPr>
            <w:tcW w:w="788" w:type="dxa"/>
            <w:tcBorders>
              <w:top w:val="nil"/>
              <w:left w:val="nil"/>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right"/>
              <w:rPr>
                <w:rFonts w:eastAsia="Times New Roman" w:cs="Times New Roman"/>
                <w:color w:val="000000"/>
                <w:lang w:val="en-US"/>
              </w:rPr>
            </w:pPr>
            <w:r w:rsidRPr="00184095">
              <w:rPr>
                <w:rFonts w:eastAsia="Times New Roman" w:cs="Times New Roman"/>
                <w:color w:val="000000"/>
                <w:lang w:val="en-US"/>
              </w:rPr>
              <w:t>0.02</w:t>
            </w:r>
          </w:p>
        </w:tc>
        <w:tc>
          <w:tcPr>
            <w:tcW w:w="788" w:type="dxa"/>
            <w:tcBorders>
              <w:top w:val="nil"/>
              <w:left w:val="nil"/>
              <w:bottom w:val="single" w:sz="4" w:space="0" w:color="auto"/>
              <w:right w:val="single" w:sz="4" w:space="0" w:color="auto"/>
            </w:tcBorders>
            <w:shd w:val="clear" w:color="auto" w:fill="auto"/>
            <w:noWrap/>
            <w:vAlign w:val="bottom"/>
            <w:hideMark/>
          </w:tcPr>
          <w:p w:rsidR="00184095" w:rsidRPr="00184095" w:rsidRDefault="00184095" w:rsidP="00184095">
            <w:pPr>
              <w:spacing w:after="0" w:line="240" w:lineRule="auto"/>
              <w:jc w:val="right"/>
              <w:rPr>
                <w:rFonts w:eastAsia="Times New Roman" w:cs="Times New Roman"/>
                <w:color w:val="000000"/>
                <w:lang w:val="en-US"/>
              </w:rPr>
            </w:pPr>
            <w:r w:rsidRPr="00184095">
              <w:rPr>
                <w:rFonts w:eastAsia="Times New Roman" w:cs="Times New Roman"/>
                <w:color w:val="000000"/>
                <w:lang w:val="en-US"/>
              </w:rPr>
              <w:t>0.01</w:t>
            </w:r>
          </w:p>
        </w:tc>
      </w:tr>
    </w:tbl>
    <w:p w:rsidR="00184095" w:rsidRDefault="00184095" w:rsidP="006169CA"/>
    <w:p w:rsidR="00C62488" w:rsidRDefault="00C62488" w:rsidP="006169CA">
      <w:r w:rsidRPr="00C62488">
        <w:rPr>
          <w:noProof/>
          <w:lang w:val="en-IN" w:eastAsia="en-IN" w:bidi="hi-IN"/>
        </w:rPr>
        <w:lastRenderedPageBreak/>
        <w:drawing>
          <wp:inline distT="0" distB="0" distL="0" distR="0">
            <wp:extent cx="4572000" cy="4076700"/>
            <wp:effectExtent l="19050" t="0" r="19050" b="0"/>
            <wp:docPr id="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52A59" w:rsidRDefault="00052A59" w:rsidP="006169CA">
      <w:r>
        <w:t xml:space="preserve">The Business performance of BA is much better than that of VA in terms of ROCE as depicted by the </w:t>
      </w:r>
      <w:r w:rsidR="005E3558">
        <w:t>above graphical representation from 2015 onwards</w:t>
      </w:r>
    </w:p>
    <w:tbl>
      <w:tblPr>
        <w:tblW w:w="6300" w:type="dxa"/>
        <w:tblInd w:w="103" w:type="dxa"/>
        <w:tblLook w:val="04A0" w:firstRow="1" w:lastRow="0" w:firstColumn="1" w:lastColumn="0" w:noHBand="0" w:noVBand="1"/>
      </w:tblPr>
      <w:tblGrid>
        <w:gridCol w:w="1530"/>
        <w:gridCol w:w="1116"/>
        <w:gridCol w:w="1116"/>
        <w:gridCol w:w="1116"/>
        <w:gridCol w:w="1116"/>
        <w:gridCol w:w="1116"/>
      </w:tblGrid>
      <w:tr w:rsidR="00052A59" w:rsidRPr="00052A59" w:rsidTr="00052A59">
        <w:trPr>
          <w:trHeight w:val="300"/>
        </w:trPr>
        <w:tc>
          <w:tcPr>
            <w:tcW w:w="630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52A59" w:rsidRPr="00052A59" w:rsidRDefault="00052A59" w:rsidP="00052A59">
            <w:pPr>
              <w:spacing w:after="0" w:line="240" w:lineRule="auto"/>
              <w:jc w:val="center"/>
              <w:rPr>
                <w:rFonts w:eastAsia="Times New Roman" w:cs="Times New Roman"/>
                <w:b/>
                <w:bCs/>
                <w:color w:val="000000"/>
                <w:lang w:val="en-US"/>
              </w:rPr>
            </w:pPr>
            <w:r w:rsidRPr="00052A59">
              <w:rPr>
                <w:rFonts w:eastAsia="Times New Roman" w:cs="Times New Roman"/>
                <w:b/>
                <w:bCs/>
                <w:color w:val="000000"/>
                <w:lang w:val="en-US"/>
              </w:rPr>
              <w:t>Total asset turnover ratio</w:t>
            </w:r>
          </w:p>
        </w:tc>
      </w:tr>
      <w:tr w:rsidR="00052A59" w:rsidRPr="00052A59" w:rsidTr="00052A59">
        <w:trPr>
          <w:trHeight w:val="300"/>
        </w:trPr>
        <w:tc>
          <w:tcPr>
            <w:tcW w:w="1530" w:type="dxa"/>
            <w:tcBorders>
              <w:top w:val="nil"/>
              <w:left w:val="single" w:sz="4" w:space="0" w:color="auto"/>
              <w:bottom w:val="single" w:sz="4" w:space="0" w:color="auto"/>
              <w:right w:val="nil"/>
            </w:tcBorders>
            <w:shd w:val="clear" w:color="auto" w:fill="auto"/>
            <w:noWrap/>
            <w:vAlign w:val="bottom"/>
            <w:hideMark/>
          </w:tcPr>
          <w:p w:rsidR="00052A59" w:rsidRPr="00052A59" w:rsidRDefault="00052A59" w:rsidP="00052A59">
            <w:pPr>
              <w:spacing w:after="0" w:line="240" w:lineRule="auto"/>
              <w:jc w:val="center"/>
              <w:rPr>
                <w:rFonts w:eastAsia="Times New Roman" w:cs="Times New Roman"/>
                <w:b/>
                <w:bCs/>
                <w:color w:val="000000"/>
                <w:lang w:val="en-US"/>
              </w:rPr>
            </w:pPr>
            <w:r w:rsidRPr="00052A59">
              <w:rPr>
                <w:rFonts w:eastAsia="Times New Roman" w:cs="Times New Roman"/>
                <w:b/>
                <w:bCs/>
                <w:color w:val="000000"/>
                <w:lang w:val="en-US"/>
              </w:rPr>
              <w:t> </w:t>
            </w:r>
          </w:p>
        </w:tc>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center"/>
              <w:rPr>
                <w:rFonts w:eastAsia="Times New Roman" w:cs="Times New Roman"/>
                <w:b/>
                <w:bCs/>
                <w:color w:val="000000"/>
                <w:lang w:val="en-US"/>
              </w:rPr>
            </w:pPr>
            <w:r w:rsidRPr="00052A59">
              <w:rPr>
                <w:rFonts w:eastAsia="Times New Roman" w:cs="Times New Roman"/>
                <w:b/>
                <w:bCs/>
                <w:color w:val="000000"/>
                <w:lang w:val="en-US"/>
              </w:rPr>
              <w:t>2012</w:t>
            </w:r>
          </w:p>
        </w:tc>
        <w:tc>
          <w:tcPr>
            <w:tcW w:w="954" w:type="dxa"/>
            <w:tcBorders>
              <w:top w:val="nil"/>
              <w:left w:val="nil"/>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center"/>
              <w:rPr>
                <w:rFonts w:eastAsia="Times New Roman" w:cs="Times New Roman"/>
                <w:b/>
                <w:bCs/>
                <w:color w:val="000000"/>
                <w:lang w:val="en-US"/>
              </w:rPr>
            </w:pPr>
            <w:r w:rsidRPr="00052A59">
              <w:rPr>
                <w:rFonts w:eastAsia="Times New Roman" w:cs="Times New Roman"/>
                <w:b/>
                <w:bCs/>
                <w:color w:val="000000"/>
                <w:lang w:val="en-US"/>
              </w:rPr>
              <w:t>2013</w:t>
            </w:r>
          </w:p>
        </w:tc>
        <w:tc>
          <w:tcPr>
            <w:tcW w:w="954" w:type="dxa"/>
            <w:tcBorders>
              <w:top w:val="nil"/>
              <w:left w:val="nil"/>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center"/>
              <w:rPr>
                <w:rFonts w:eastAsia="Times New Roman" w:cs="Times New Roman"/>
                <w:b/>
                <w:bCs/>
                <w:color w:val="000000"/>
                <w:lang w:val="en-US"/>
              </w:rPr>
            </w:pPr>
            <w:r w:rsidRPr="00052A59">
              <w:rPr>
                <w:rFonts w:eastAsia="Times New Roman" w:cs="Times New Roman"/>
                <w:b/>
                <w:bCs/>
                <w:color w:val="000000"/>
                <w:lang w:val="en-US"/>
              </w:rPr>
              <w:t>2014</w:t>
            </w:r>
          </w:p>
        </w:tc>
        <w:tc>
          <w:tcPr>
            <w:tcW w:w="954" w:type="dxa"/>
            <w:tcBorders>
              <w:top w:val="nil"/>
              <w:left w:val="nil"/>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center"/>
              <w:rPr>
                <w:rFonts w:eastAsia="Times New Roman" w:cs="Times New Roman"/>
                <w:b/>
                <w:bCs/>
                <w:color w:val="000000"/>
                <w:lang w:val="en-US"/>
              </w:rPr>
            </w:pPr>
            <w:r w:rsidRPr="00052A59">
              <w:rPr>
                <w:rFonts w:eastAsia="Times New Roman" w:cs="Times New Roman"/>
                <w:b/>
                <w:bCs/>
                <w:color w:val="000000"/>
                <w:lang w:val="en-US"/>
              </w:rPr>
              <w:t>2015</w:t>
            </w:r>
          </w:p>
        </w:tc>
        <w:tc>
          <w:tcPr>
            <w:tcW w:w="954" w:type="dxa"/>
            <w:tcBorders>
              <w:top w:val="nil"/>
              <w:left w:val="nil"/>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center"/>
              <w:rPr>
                <w:rFonts w:eastAsia="Times New Roman" w:cs="Times New Roman"/>
                <w:b/>
                <w:bCs/>
                <w:color w:val="000000"/>
                <w:lang w:val="en-US"/>
              </w:rPr>
            </w:pPr>
            <w:r w:rsidRPr="00052A59">
              <w:rPr>
                <w:rFonts w:eastAsia="Times New Roman" w:cs="Times New Roman"/>
                <w:b/>
                <w:bCs/>
                <w:color w:val="000000"/>
                <w:lang w:val="en-US"/>
              </w:rPr>
              <w:t>2016</w:t>
            </w:r>
          </w:p>
        </w:tc>
      </w:tr>
      <w:tr w:rsidR="00052A59" w:rsidRPr="00052A59" w:rsidTr="00052A59">
        <w:trPr>
          <w:trHeight w:val="300"/>
        </w:trPr>
        <w:tc>
          <w:tcPr>
            <w:tcW w:w="1530" w:type="dxa"/>
            <w:tcBorders>
              <w:top w:val="nil"/>
              <w:left w:val="single" w:sz="4" w:space="0" w:color="auto"/>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left"/>
              <w:rPr>
                <w:rFonts w:eastAsia="Times New Roman" w:cs="Times New Roman"/>
                <w:color w:val="000000"/>
                <w:lang w:val="en-US"/>
              </w:rPr>
            </w:pPr>
            <w:r w:rsidRPr="00052A59">
              <w:rPr>
                <w:rFonts w:eastAsia="Times New Roman" w:cs="Times New Roman"/>
                <w:color w:val="000000"/>
                <w:lang w:val="en-US"/>
              </w:rPr>
              <w:t>British airways</w:t>
            </w:r>
          </w:p>
        </w:tc>
        <w:tc>
          <w:tcPr>
            <w:tcW w:w="954" w:type="dxa"/>
            <w:tcBorders>
              <w:top w:val="nil"/>
              <w:left w:val="nil"/>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right"/>
              <w:rPr>
                <w:rFonts w:eastAsia="Times New Roman" w:cs="Times New Roman"/>
                <w:color w:val="000000"/>
                <w:lang w:val="en-US"/>
              </w:rPr>
            </w:pPr>
            <w:r w:rsidRPr="00052A59">
              <w:rPr>
                <w:rFonts w:eastAsia="Times New Roman" w:cs="Times New Roman"/>
                <w:color w:val="000000"/>
                <w:lang w:val="en-US"/>
              </w:rPr>
              <w:t>0.914674</w:t>
            </w:r>
          </w:p>
        </w:tc>
        <w:tc>
          <w:tcPr>
            <w:tcW w:w="954" w:type="dxa"/>
            <w:tcBorders>
              <w:top w:val="nil"/>
              <w:left w:val="nil"/>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right"/>
              <w:rPr>
                <w:rFonts w:eastAsia="Times New Roman" w:cs="Times New Roman"/>
                <w:color w:val="000000"/>
                <w:lang w:val="en-US"/>
              </w:rPr>
            </w:pPr>
            <w:r w:rsidRPr="00052A59">
              <w:rPr>
                <w:rFonts w:eastAsia="Times New Roman" w:cs="Times New Roman"/>
                <w:color w:val="000000"/>
                <w:lang w:val="en-US"/>
              </w:rPr>
              <w:t>0.958057</w:t>
            </w:r>
          </w:p>
        </w:tc>
        <w:tc>
          <w:tcPr>
            <w:tcW w:w="954" w:type="dxa"/>
            <w:tcBorders>
              <w:top w:val="nil"/>
              <w:left w:val="nil"/>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right"/>
              <w:rPr>
                <w:rFonts w:eastAsia="Times New Roman" w:cs="Times New Roman"/>
                <w:color w:val="000000"/>
                <w:lang w:val="en-US"/>
              </w:rPr>
            </w:pPr>
            <w:r w:rsidRPr="00052A59">
              <w:rPr>
                <w:rFonts w:eastAsia="Times New Roman" w:cs="Times New Roman"/>
                <w:color w:val="000000"/>
                <w:lang w:val="en-US"/>
              </w:rPr>
              <w:t>0.872859</w:t>
            </w:r>
          </w:p>
        </w:tc>
        <w:tc>
          <w:tcPr>
            <w:tcW w:w="954" w:type="dxa"/>
            <w:tcBorders>
              <w:top w:val="nil"/>
              <w:left w:val="nil"/>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right"/>
              <w:rPr>
                <w:rFonts w:eastAsia="Times New Roman" w:cs="Times New Roman"/>
                <w:color w:val="000000"/>
                <w:lang w:val="en-US"/>
              </w:rPr>
            </w:pPr>
            <w:r w:rsidRPr="00052A59">
              <w:rPr>
                <w:rFonts w:eastAsia="Times New Roman" w:cs="Times New Roman"/>
                <w:color w:val="000000"/>
                <w:lang w:val="en-US"/>
              </w:rPr>
              <w:t>0.737058</w:t>
            </w:r>
          </w:p>
        </w:tc>
        <w:tc>
          <w:tcPr>
            <w:tcW w:w="954" w:type="dxa"/>
            <w:tcBorders>
              <w:top w:val="nil"/>
              <w:left w:val="nil"/>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right"/>
              <w:rPr>
                <w:rFonts w:eastAsia="Times New Roman" w:cs="Times New Roman"/>
                <w:color w:val="000000"/>
                <w:lang w:val="en-US"/>
              </w:rPr>
            </w:pPr>
            <w:r w:rsidRPr="00052A59">
              <w:rPr>
                <w:rFonts w:eastAsia="Times New Roman" w:cs="Times New Roman"/>
                <w:color w:val="000000"/>
                <w:lang w:val="en-US"/>
              </w:rPr>
              <w:t>0.694736</w:t>
            </w:r>
          </w:p>
        </w:tc>
      </w:tr>
      <w:tr w:rsidR="00052A59" w:rsidRPr="00052A59" w:rsidTr="00052A59">
        <w:trPr>
          <w:trHeight w:val="300"/>
        </w:trPr>
        <w:tc>
          <w:tcPr>
            <w:tcW w:w="1530" w:type="dxa"/>
            <w:tcBorders>
              <w:top w:val="nil"/>
              <w:left w:val="single" w:sz="4" w:space="0" w:color="auto"/>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left"/>
              <w:rPr>
                <w:rFonts w:eastAsia="Times New Roman" w:cs="Times New Roman"/>
                <w:color w:val="000000"/>
                <w:lang w:val="en-US"/>
              </w:rPr>
            </w:pPr>
            <w:r w:rsidRPr="00052A59">
              <w:rPr>
                <w:rFonts w:eastAsia="Times New Roman" w:cs="Times New Roman"/>
                <w:color w:val="000000"/>
              </w:rPr>
              <w:t>Virgin Atlantics</w:t>
            </w:r>
          </w:p>
        </w:tc>
        <w:tc>
          <w:tcPr>
            <w:tcW w:w="954" w:type="dxa"/>
            <w:tcBorders>
              <w:top w:val="nil"/>
              <w:left w:val="nil"/>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right"/>
              <w:rPr>
                <w:rFonts w:eastAsia="Times New Roman" w:cs="Times New Roman"/>
                <w:color w:val="000000"/>
                <w:lang w:val="en-US"/>
              </w:rPr>
            </w:pPr>
            <w:r w:rsidRPr="00052A59">
              <w:rPr>
                <w:rFonts w:eastAsia="Times New Roman" w:cs="Times New Roman"/>
                <w:color w:val="000000"/>
                <w:lang w:val="en-US"/>
              </w:rPr>
              <w:t>0.979425</w:t>
            </w:r>
          </w:p>
        </w:tc>
        <w:tc>
          <w:tcPr>
            <w:tcW w:w="954" w:type="dxa"/>
            <w:tcBorders>
              <w:top w:val="nil"/>
              <w:left w:val="nil"/>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right"/>
              <w:rPr>
                <w:rFonts w:eastAsia="Times New Roman" w:cs="Times New Roman"/>
                <w:color w:val="000000"/>
                <w:lang w:val="en-US"/>
              </w:rPr>
            </w:pPr>
            <w:r w:rsidRPr="00052A59">
              <w:rPr>
                <w:rFonts w:eastAsia="Times New Roman" w:cs="Times New Roman"/>
                <w:color w:val="000000"/>
                <w:lang w:val="en-US"/>
              </w:rPr>
              <w:t>0.91394</w:t>
            </w:r>
          </w:p>
        </w:tc>
        <w:tc>
          <w:tcPr>
            <w:tcW w:w="954" w:type="dxa"/>
            <w:tcBorders>
              <w:top w:val="nil"/>
              <w:left w:val="nil"/>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right"/>
              <w:rPr>
                <w:rFonts w:eastAsia="Times New Roman" w:cs="Times New Roman"/>
                <w:color w:val="000000"/>
                <w:lang w:val="en-US"/>
              </w:rPr>
            </w:pPr>
            <w:r w:rsidRPr="00052A59">
              <w:rPr>
                <w:rFonts w:eastAsia="Times New Roman" w:cs="Times New Roman"/>
                <w:color w:val="000000"/>
                <w:lang w:val="en-US"/>
              </w:rPr>
              <w:t>14.93367</w:t>
            </w:r>
          </w:p>
        </w:tc>
        <w:tc>
          <w:tcPr>
            <w:tcW w:w="954" w:type="dxa"/>
            <w:tcBorders>
              <w:top w:val="nil"/>
              <w:left w:val="nil"/>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right"/>
              <w:rPr>
                <w:rFonts w:eastAsia="Times New Roman" w:cs="Times New Roman"/>
                <w:color w:val="000000"/>
                <w:lang w:val="en-US"/>
              </w:rPr>
            </w:pPr>
            <w:r w:rsidRPr="00052A59">
              <w:rPr>
                <w:rFonts w:eastAsia="Times New Roman" w:cs="Times New Roman"/>
                <w:color w:val="000000"/>
                <w:lang w:val="en-US"/>
              </w:rPr>
              <w:t>1.638725</w:t>
            </w:r>
          </w:p>
        </w:tc>
        <w:tc>
          <w:tcPr>
            <w:tcW w:w="954" w:type="dxa"/>
            <w:tcBorders>
              <w:top w:val="nil"/>
              <w:left w:val="nil"/>
              <w:bottom w:val="single" w:sz="4" w:space="0" w:color="auto"/>
              <w:right w:val="single" w:sz="4" w:space="0" w:color="auto"/>
            </w:tcBorders>
            <w:shd w:val="clear" w:color="auto" w:fill="auto"/>
            <w:noWrap/>
            <w:vAlign w:val="bottom"/>
            <w:hideMark/>
          </w:tcPr>
          <w:p w:rsidR="00052A59" w:rsidRPr="00052A59" w:rsidRDefault="00052A59" w:rsidP="00052A59">
            <w:pPr>
              <w:spacing w:after="0" w:line="240" w:lineRule="auto"/>
              <w:jc w:val="right"/>
              <w:rPr>
                <w:rFonts w:eastAsia="Times New Roman" w:cs="Times New Roman"/>
                <w:color w:val="000000"/>
                <w:lang w:val="en-US"/>
              </w:rPr>
            </w:pPr>
            <w:r w:rsidRPr="00052A59">
              <w:rPr>
                <w:rFonts w:eastAsia="Times New Roman" w:cs="Times New Roman"/>
                <w:color w:val="000000"/>
                <w:lang w:val="en-US"/>
              </w:rPr>
              <w:t>1.518345</w:t>
            </w:r>
          </w:p>
        </w:tc>
      </w:tr>
    </w:tbl>
    <w:p w:rsidR="00C62488" w:rsidRDefault="00C62488" w:rsidP="006169CA"/>
    <w:p w:rsidR="00184095" w:rsidRDefault="005E3558" w:rsidP="006169CA">
      <w:r>
        <w:t xml:space="preserve">The asset turnover ratio depicts the similar level of efficiency in asset management for </w:t>
      </w:r>
      <w:r w:rsidR="002D2687">
        <w:t>both the VA &amp; BA</w:t>
      </w:r>
    </w:p>
    <w:tbl>
      <w:tblPr>
        <w:tblW w:w="6302" w:type="dxa"/>
        <w:tblInd w:w="103" w:type="dxa"/>
        <w:tblLook w:val="04A0" w:firstRow="1" w:lastRow="0" w:firstColumn="1" w:lastColumn="0" w:noHBand="0" w:noVBand="1"/>
      </w:tblPr>
      <w:tblGrid>
        <w:gridCol w:w="2320"/>
        <w:gridCol w:w="781"/>
        <w:gridCol w:w="858"/>
        <w:gridCol w:w="781"/>
        <w:gridCol w:w="781"/>
        <w:gridCol w:w="781"/>
      </w:tblGrid>
      <w:tr w:rsidR="002D2687" w:rsidRPr="002D2687" w:rsidTr="002D2687">
        <w:trPr>
          <w:trHeight w:val="300"/>
        </w:trPr>
        <w:tc>
          <w:tcPr>
            <w:tcW w:w="630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D2687" w:rsidRPr="002D2687" w:rsidRDefault="002D2687" w:rsidP="002D2687">
            <w:pPr>
              <w:spacing w:after="0" w:line="240" w:lineRule="auto"/>
              <w:jc w:val="center"/>
              <w:rPr>
                <w:rFonts w:eastAsia="Times New Roman" w:cs="Times New Roman"/>
                <w:b/>
                <w:bCs/>
                <w:color w:val="000000"/>
                <w:lang w:val="en-US"/>
              </w:rPr>
            </w:pPr>
            <w:r w:rsidRPr="002D2687">
              <w:rPr>
                <w:rFonts w:eastAsia="Times New Roman" w:cs="Times New Roman"/>
                <w:b/>
                <w:bCs/>
                <w:color w:val="000000"/>
                <w:lang w:val="en-US"/>
              </w:rPr>
              <w:t>Gearing Ratio</w:t>
            </w:r>
          </w:p>
        </w:tc>
      </w:tr>
      <w:tr w:rsidR="002D2687" w:rsidRPr="002D2687" w:rsidTr="002D2687">
        <w:trPr>
          <w:trHeight w:val="300"/>
        </w:trPr>
        <w:tc>
          <w:tcPr>
            <w:tcW w:w="2320" w:type="dxa"/>
            <w:tcBorders>
              <w:top w:val="nil"/>
              <w:left w:val="single" w:sz="4" w:space="0" w:color="auto"/>
              <w:bottom w:val="single" w:sz="4" w:space="0" w:color="auto"/>
              <w:right w:val="nil"/>
            </w:tcBorders>
            <w:shd w:val="clear" w:color="auto" w:fill="auto"/>
            <w:noWrap/>
            <w:vAlign w:val="bottom"/>
            <w:hideMark/>
          </w:tcPr>
          <w:p w:rsidR="002D2687" w:rsidRPr="002D2687" w:rsidRDefault="002D2687" w:rsidP="002D2687">
            <w:pPr>
              <w:spacing w:after="0" w:line="240" w:lineRule="auto"/>
              <w:jc w:val="center"/>
              <w:rPr>
                <w:rFonts w:eastAsia="Times New Roman" w:cs="Times New Roman"/>
                <w:b/>
                <w:bCs/>
                <w:color w:val="000000"/>
                <w:lang w:val="en-US"/>
              </w:rPr>
            </w:pPr>
            <w:r w:rsidRPr="002D2687">
              <w:rPr>
                <w:rFonts w:eastAsia="Times New Roman" w:cs="Times New Roman"/>
                <w:b/>
                <w:bCs/>
                <w:color w:val="000000"/>
                <w:lang w:val="en-US"/>
              </w:rPr>
              <w:t> </w:t>
            </w:r>
          </w:p>
        </w:tc>
        <w:tc>
          <w:tcPr>
            <w:tcW w:w="781" w:type="dxa"/>
            <w:tcBorders>
              <w:top w:val="nil"/>
              <w:left w:val="single" w:sz="4" w:space="0" w:color="auto"/>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center"/>
              <w:rPr>
                <w:rFonts w:eastAsia="Times New Roman" w:cs="Times New Roman"/>
                <w:b/>
                <w:bCs/>
                <w:color w:val="000000"/>
                <w:lang w:val="en-US"/>
              </w:rPr>
            </w:pPr>
            <w:r w:rsidRPr="002D2687">
              <w:rPr>
                <w:rFonts w:eastAsia="Times New Roman" w:cs="Times New Roman"/>
                <w:b/>
                <w:bCs/>
                <w:color w:val="000000"/>
                <w:lang w:val="en-US"/>
              </w:rPr>
              <w:t>2012</w:t>
            </w:r>
          </w:p>
        </w:tc>
        <w:tc>
          <w:tcPr>
            <w:tcW w:w="858" w:type="dxa"/>
            <w:tcBorders>
              <w:top w:val="nil"/>
              <w:left w:val="nil"/>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center"/>
              <w:rPr>
                <w:rFonts w:eastAsia="Times New Roman" w:cs="Times New Roman"/>
                <w:b/>
                <w:bCs/>
                <w:color w:val="000000"/>
                <w:lang w:val="en-US"/>
              </w:rPr>
            </w:pPr>
            <w:r w:rsidRPr="002D2687">
              <w:rPr>
                <w:rFonts w:eastAsia="Times New Roman" w:cs="Times New Roman"/>
                <w:b/>
                <w:bCs/>
                <w:color w:val="000000"/>
                <w:lang w:val="en-US"/>
              </w:rPr>
              <w:t>2013</w:t>
            </w:r>
          </w:p>
        </w:tc>
        <w:tc>
          <w:tcPr>
            <w:tcW w:w="781" w:type="dxa"/>
            <w:tcBorders>
              <w:top w:val="nil"/>
              <w:left w:val="nil"/>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center"/>
              <w:rPr>
                <w:rFonts w:eastAsia="Times New Roman" w:cs="Times New Roman"/>
                <w:b/>
                <w:bCs/>
                <w:color w:val="000000"/>
                <w:lang w:val="en-US"/>
              </w:rPr>
            </w:pPr>
            <w:r w:rsidRPr="002D2687">
              <w:rPr>
                <w:rFonts w:eastAsia="Times New Roman" w:cs="Times New Roman"/>
                <w:b/>
                <w:bCs/>
                <w:color w:val="000000"/>
                <w:lang w:val="en-US"/>
              </w:rPr>
              <w:t>2014</w:t>
            </w:r>
          </w:p>
        </w:tc>
        <w:tc>
          <w:tcPr>
            <w:tcW w:w="781" w:type="dxa"/>
            <w:tcBorders>
              <w:top w:val="nil"/>
              <w:left w:val="nil"/>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center"/>
              <w:rPr>
                <w:rFonts w:eastAsia="Times New Roman" w:cs="Times New Roman"/>
                <w:b/>
                <w:bCs/>
                <w:color w:val="000000"/>
                <w:lang w:val="en-US"/>
              </w:rPr>
            </w:pPr>
            <w:r w:rsidRPr="002D2687">
              <w:rPr>
                <w:rFonts w:eastAsia="Times New Roman" w:cs="Times New Roman"/>
                <w:b/>
                <w:bCs/>
                <w:color w:val="000000"/>
                <w:lang w:val="en-US"/>
              </w:rPr>
              <w:t>2015</w:t>
            </w:r>
          </w:p>
        </w:tc>
        <w:tc>
          <w:tcPr>
            <w:tcW w:w="781" w:type="dxa"/>
            <w:tcBorders>
              <w:top w:val="nil"/>
              <w:left w:val="nil"/>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center"/>
              <w:rPr>
                <w:rFonts w:eastAsia="Times New Roman" w:cs="Times New Roman"/>
                <w:b/>
                <w:bCs/>
                <w:color w:val="000000"/>
                <w:lang w:val="en-US"/>
              </w:rPr>
            </w:pPr>
            <w:r w:rsidRPr="002D2687">
              <w:rPr>
                <w:rFonts w:eastAsia="Times New Roman" w:cs="Times New Roman"/>
                <w:b/>
                <w:bCs/>
                <w:color w:val="000000"/>
                <w:lang w:val="en-US"/>
              </w:rPr>
              <w:t>2016</w:t>
            </w:r>
          </w:p>
        </w:tc>
      </w:tr>
      <w:tr w:rsidR="002D2687" w:rsidRPr="002D2687" w:rsidTr="002D2687">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left"/>
              <w:rPr>
                <w:rFonts w:eastAsia="Times New Roman" w:cs="Times New Roman"/>
                <w:color w:val="000000"/>
                <w:lang w:val="en-US"/>
              </w:rPr>
            </w:pPr>
            <w:r w:rsidRPr="002D2687">
              <w:rPr>
                <w:rFonts w:eastAsia="Times New Roman" w:cs="Times New Roman"/>
                <w:color w:val="000000"/>
                <w:lang w:val="en-US"/>
              </w:rPr>
              <w:t>British airways</w:t>
            </w:r>
          </w:p>
        </w:tc>
        <w:tc>
          <w:tcPr>
            <w:tcW w:w="781" w:type="dxa"/>
            <w:tcBorders>
              <w:top w:val="nil"/>
              <w:left w:val="nil"/>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right"/>
              <w:rPr>
                <w:rFonts w:eastAsia="Times New Roman" w:cs="Times New Roman"/>
                <w:color w:val="000000"/>
                <w:lang w:val="en-US"/>
              </w:rPr>
            </w:pPr>
            <w:r w:rsidRPr="002D2687">
              <w:rPr>
                <w:rFonts w:eastAsia="Times New Roman" w:cs="Times New Roman"/>
                <w:color w:val="000000"/>
                <w:lang w:val="en-US"/>
              </w:rPr>
              <w:t>94%</w:t>
            </w:r>
          </w:p>
        </w:tc>
        <w:tc>
          <w:tcPr>
            <w:tcW w:w="858" w:type="dxa"/>
            <w:tcBorders>
              <w:top w:val="nil"/>
              <w:left w:val="nil"/>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right"/>
              <w:rPr>
                <w:rFonts w:eastAsia="Times New Roman" w:cs="Times New Roman"/>
                <w:color w:val="000000"/>
                <w:lang w:val="en-US"/>
              </w:rPr>
            </w:pPr>
            <w:r w:rsidRPr="002D2687">
              <w:rPr>
                <w:rFonts w:eastAsia="Times New Roman" w:cs="Times New Roman"/>
                <w:color w:val="000000"/>
                <w:lang w:val="en-US"/>
              </w:rPr>
              <w:t>86%</w:t>
            </w:r>
          </w:p>
        </w:tc>
        <w:tc>
          <w:tcPr>
            <w:tcW w:w="781" w:type="dxa"/>
            <w:tcBorders>
              <w:top w:val="nil"/>
              <w:left w:val="nil"/>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right"/>
              <w:rPr>
                <w:rFonts w:eastAsia="Times New Roman" w:cs="Times New Roman"/>
                <w:color w:val="000000"/>
                <w:lang w:val="en-US"/>
              </w:rPr>
            </w:pPr>
            <w:r w:rsidRPr="002D2687">
              <w:rPr>
                <w:rFonts w:eastAsia="Times New Roman" w:cs="Times New Roman"/>
                <w:color w:val="000000"/>
                <w:lang w:val="en-US"/>
              </w:rPr>
              <w:t>81%</w:t>
            </w:r>
          </w:p>
        </w:tc>
        <w:tc>
          <w:tcPr>
            <w:tcW w:w="781" w:type="dxa"/>
            <w:tcBorders>
              <w:top w:val="nil"/>
              <w:left w:val="nil"/>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right"/>
              <w:rPr>
                <w:rFonts w:eastAsia="Times New Roman" w:cs="Times New Roman"/>
                <w:color w:val="000000"/>
                <w:lang w:val="en-US"/>
              </w:rPr>
            </w:pPr>
            <w:r w:rsidRPr="002D2687">
              <w:rPr>
                <w:rFonts w:eastAsia="Times New Roman" w:cs="Times New Roman"/>
                <w:color w:val="000000"/>
                <w:lang w:val="en-US"/>
              </w:rPr>
              <w:t>57%</w:t>
            </w:r>
          </w:p>
        </w:tc>
        <w:tc>
          <w:tcPr>
            <w:tcW w:w="781" w:type="dxa"/>
            <w:tcBorders>
              <w:top w:val="nil"/>
              <w:left w:val="nil"/>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right"/>
              <w:rPr>
                <w:rFonts w:eastAsia="Times New Roman" w:cs="Times New Roman"/>
                <w:color w:val="000000"/>
                <w:lang w:val="en-US"/>
              </w:rPr>
            </w:pPr>
            <w:r w:rsidRPr="002D2687">
              <w:rPr>
                <w:rFonts w:eastAsia="Times New Roman" w:cs="Times New Roman"/>
                <w:color w:val="000000"/>
                <w:lang w:val="en-US"/>
              </w:rPr>
              <w:t>73%</w:t>
            </w:r>
          </w:p>
        </w:tc>
      </w:tr>
      <w:tr w:rsidR="002D2687" w:rsidRPr="002D2687" w:rsidTr="002D2687">
        <w:trPr>
          <w:trHeight w:val="300"/>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left"/>
              <w:rPr>
                <w:rFonts w:eastAsia="Times New Roman" w:cs="Times New Roman"/>
                <w:color w:val="000000"/>
                <w:lang w:val="en-US"/>
              </w:rPr>
            </w:pPr>
            <w:r w:rsidRPr="002D2687">
              <w:rPr>
                <w:rFonts w:eastAsia="Times New Roman" w:cs="Times New Roman"/>
                <w:color w:val="000000"/>
              </w:rPr>
              <w:t>Virgin Atlantics</w:t>
            </w:r>
          </w:p>
        </w:tc>
        <w:tc>
          <w:tcPr>
            <w:tcW w:w="781" w:type="dxa"/>
            <w:tcBorders>
              <w:top w:val="nil"/>
              <w:left w:val="nil"/>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right"/>
              <w:rPr>
                <w:rFonts w:eastAsia="Times New Roman" w:cs="Times New Roman"/>
                <w:color w:val="000000"/>
                <w:lang w:val="en-US"/>
              </w:rPr>
            </w:pPr>
            <w:r w:rsidRPr="002D2687">
              <w:rPr>
                <w:rFonts w:eastAsia="Times New Roman" w:cs="Times New Roman"/>
                <w:color w:val="000000"/>
                <w:lang w:val="en-US"/>
              </w:rPr>
              <w:t>2%</w:t>
            </w:r>
          </w:p>
        </w:tc>
        <w:tc>
          <w:tcPr>
            <w:tcW w:w="858" w:type="dxa"/>
            <w:tcBorders>
              <w:top w:val="nil"/>
              <w:left w:val="nil"/>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right"/>
              <w:rPr>
                <w:rFonts w:eastAsia="Times New Roman" w:cs="Times New Roman"/>
                <w:color w:val="000000"/>
                <w:lang w:val="en-US"/>
              </w:rPr>
            </w:pPr>
            <w:r w:rsidRPr="002D2687">
              <w:rPr>
                <w:rFonts w:eastAsia="Times New Roman" w:cs="Times New Roman"/>
                <w:color w:val="000000"/>
                <w:lang w:val="en-US"/>
              </w:rPr>
              <w:t>100%</w:t>
            </w:r>
          </w:p>
        </w:tc>
        <w:tc>
          <w:tcPr>
            <w:tcW w:w="781" w:type="dxa"/>
            <w:tcBorders>
              <w:top w:val="nil"/>
              <w:left w:val="nil"/>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right"/>
              <w:rPr>
                <w:rFonts w:eastAsia="Times New Roman" w:cs="Times New Roman"/>
                <w:color w:val="000000"/>
                <w:lang w:val="en-US"/>
              </w:rPr>
            </w:pPr>
            <w:r w:rsidRPr="002D2687">
              <w:rPr>
                <w:rFonts w:eastAsia="Times New Roman" w:cs="Times New Roman"/>
                <w:color w:val="000000"/>
                <w:lang w:val="en-US"/>
              </w:rPr>
              <w:t>13%</w:t>
            </w:r>
          </w:p>
        </w:tc>
        <w:tc>
          <w:tcPr>
            <w:tcW w:w="781" w:type="dxa"/>
            <w:tcBorders>
              <w:top w:val="nil"/>
              <w:left w:val="nil"/>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right"/>
              <w:rPr>
                <w:rFonts w:eastAsia="Times New Roman" w:cs="Times New Roman"/>
                <w:color w:val="000000"/>
                <w:lang w:val="en-US"/>
              </w:rPr>
            </w:pPr>
            <w:r w:rsidRPr="002D2687">
              <w:rPr>
                <w:rFonts w:eastAsia="Times New Roman" w:cs="Times New Roman"/>
                <w:color w:val="000000"/>
                <w:lang w:val="en-US"/>
              </w:rPr>
              <w:t>61%</w:t>
            </w:r>
          </w:p>
        </w:tc>
        <w:tc>
          <w:tcPr>
            <w:tcW w:w="781" w:type="dxa"/>
            <w:tcBorders>
              <w:top w:val="nil"/>
              <w:left w:val="nil"/>
              <w:bottom w:val="single" w:sz="4" w:space="0" w:color="auto"/>
              <w:right w:val="single" w:sz="4" w:space="0" w:color="auto"/>
            </w:tcBorders>
            <w:shd w:val="clear" w:color="auto" w:fill="auto"/>
            <w:noWrap/>
            <w:vAlign w:val="bottom"/>
            <w:hideMark/>
          </w:tcPr>
          <w:p w:rsidR="002D2687" w:rsidRPr="002D2687" w:rsidRDefault="002D2687" w:rsidP="002D2687">
            <w:pPr>
              <w:spacing w:after="0" w:line="240" w:lineRule="auto"/>
              <w:jc w:val="right"/>
              <w:rPr>
                <w:rFonts w:eastAsia="Times New Roman" w:cs="Times New Roman"/>
                <w:color w:val="000000"/>
                <w:lang w:val="en-US"/>
              </w:rPr>
            </w:pPr>
            <w:r w:rsidRPr="002D2687">
              <w:rPr>
                <w:rFonts w:eastAsia="Times New Roman" w:cs="Times New Roman"/>
                <w:color w:val="000000"/>
                <w:lang w:val="en-US"/>
              </w:rPr>
              <w:t>58%</w:t>
            </w:r>
          </w:p>
        </w:tc>
      </w:tr>
    </w:tbl>
    <w:p w:rsidR="002D2687" w:rsidRDefault="002D2687" w:rsidP="006169CA"/>
    <w:p w:rsidR="002D2687" w:rsidRDefault="002D2687" w:rsidP="006169CA">
      <w:r>
        <w:lastRenderedPageBreak/>
        <w:t>The gearing ratio shows that Virgin airlines is more dependent over the long term borrowing for financing their activities in comparison to that of British airlines</w:t>
      </w:r>
    </w:p>
    <w:p w:rsidR="006209EB" w:rsidRDefault="006209EB" w:rsidP="006209EB">
      <w:pPr>
        <w:pStyle w:val="Heading1"/>
      </w:pPr>
      <w:bookmarkStart w:id="18" w:name="_Toc502257790"/>
      <w:r>
        <w:t xml:space="preserve">Future </w:t>
      </w:r>
      <w:r w:rsidR="00F15A08">
        <w:t xml:space="preserve">Performance Projection </w:t>
      </w:r>
      <w:r>
        <w:t>of British airways</w:t>
      </w:r>
      <w:r w:rsidR="00F15A08">
        <w:t xml:space="preserve"> in comparison to Virgin atlantics</w:t>
      </w:r>
      <w:bookmarkEnd w:id="18"/>
    </w:p>
    <w:p w:rsidR="002D2687" w:rsidRDefault="002D2687" w:rsidP="002D2687">
      <w:r>
        <w:t xml:space="preserve">From the above comparison it can concluded that the </w:t>
      </w:r>
      <w:r w:rsidR="00B1150D">
        <w:t xml:space="preserve">British Airways is much ahead of his rival Virgin Atlantic in terms of business performance and expected to continue much better performance </w:t>
      </w:r>
      <w:r w:rsidR="00D54F4A">
        <w:t>compared</w:t>
      </w:r>
      <w:r w:rsidR="00B1150D">
        <w:t xml:space="preserve"> to its main rival </w:t>
      </w:r>
      <w:r w:rsidR="00D54F4A">
        <w:t>virgin</w:t>
      </w:r>
      <w:r w:rsidR="00B1150D">
        <w:t xml:space="preserve"> atlantics as the purchase of modern fleets have given British Airways a sound financial base with strong revenue earning potentials.</w:t>
      </w:r>
    </w:p>
    <w:p w:rsidR="00940CAF" w:rsidRDefault="00940CAF" w:rsidP="00940CAF">
      <w:pPr>
        <w:spacing w:line="276" w:lineRule="auto"/>
        <w:jc w:val="left"/>
      </w:pPr>
    </w:p>
    <w:p w:rsidR="00940CAF" w:rsidRDefault="00940CAF" w:rsidP="00742A8C">
      <w:pPr>
        <w:pStyle w:val="Heading1"/>
      </w:pPr>
      <w:bookmarkStart w:id="19" w:name="_Toc502257791"/>
      <w:r>
        <w:t>Pros and cons of ratio analysis</w:t>
      </w:r>
      <w:bookmarkEnd w:id="19"/>
    </w:p>
    <w:p w:rsidR="00940CAF" w:rsidRDefault="00940CAF" w:rsidP="00940CAF">
      <w:r>
        <w:t>The business financial ratios are calculated to understand the current business financial position. These ratios are useful for the business operation and performance understanding. There are some pros and cons of the financial ratios and those are discussed below.</w:t>
      </w:r>
    </w:p>
    <w:p w:rsidR="00940CAF" w:rsidRPr="004802FE" w:rsidRDefault="00940CAF" w:rsidP="00940CAF">
      <w:pPr>
        <w:rPr>
          <w:b/>
          <w:u w:val="single"/>
        </w:rPr>
      </w:pPr>
      <w:r w:rsidRPr="004802FE">
        <w:rPr>
          <w:b/>
          <w:u w:val="single"/>
        </w:rPr>
        <w:t xml:space="preserve">Pros </w:t>
      </w:r>
    </w:p>
    <w:p w:rsidR="00940CAF" w:rsidRDefault="00940CAF" w:rsidP="00940CAF">
      <w:r>
        <w:rPr>
          <w:b/>
        </w:rPr>
        <w:t>Simplicity</w:t>
      </w:r>
      <w:r>
        <w:t>-One of the strong benefits of the ratios is the simplification process. The financial information present in the balance sheet, profit and loss statement is vast and complicated to make a direct meaning (</w:t>
      </w:r>
      <w:proofErr w:type="spellStart"/>
      <w:r>
        <w:t>Fridson</w:t>
      </w:r>
      <w:proofErr w:type="spellEnd"/>
      <w:r>
        <w:t xml:space="preserve"> and Alvarez, 2011). The financial ratios provide the opportunity to take a quick look at the business financial indicators and quickly understand the current situation.</w:t>
      </w:r>
    </w:p>
    <w:p w:rsidR="00940CAF" w:rsidRDefault="00940CAF" w:rsidP="00940CAF">
      <w:r>
        <w:rPr>
          <w:b/>
        </w:rPr>
        <w:t>Benchmarking-</w:t>
      </w:r>
      <w:r>
        <w:t xml:space="preserve">The process of benchmarking is also a useful approach in the financial ratio analysis. Here the company specific information are compared with the industry benchmarks to understand the current financial health, operational efficiency, liquidity position and so on in comparison with the industry bench marker (De Franco </w:t>
      </w:r>
      <w:r>
        <w:rPr>
          <w:i/>
        </w:rPr>
        <w:t xml:space="preserve">et al., </w:t>
      </w:r>
      <w:r>
        <w:t xml:space="preserve">2011). </w:t>
      </w:r>
    </w:p>
    <w:p w:rsidR="004802FE" w:rsidRDefault="004802FE" w:rsidP="00940CAF">
      <w:pPr>
        <w:rPr>
          <w:b/>
        </w:rPr>
      </w:pPr>
    </w:p>
    <w:p w:rsidR="004802FE" w:rsidRDefault="004802FE" w:rsidP="00940CAF">
      <w:pPr>
        <w:rPr>
          <w:b/>
        </w:rPr>
      </w:pPr>
    </w:p>
    <w:p w:rsidR="00940CAF" w:rsidRDefault="00940CAF" w:rsidP="00940CAF">
      <w:r>
        <w:rPr>
          <w:b/>
        </w:rPr>
        <w:lastRenderedPageBreak/>
        <w:t>Diagnosis ease</w:t>
      </w:r>
      <w:r>
        <w:t xml:space="preserve">- there is lot of information in the business financial statement which that are not quickly understood and some time it is difficult to guess the actual implications of those numbers. The financial ratios are useful here to quickly bring out the necessary information to reach a conclusion about the some business favourable and non favourable business situation. </w:t>
      </w:r>
    </w:p>
    <w:p w:rsidR="00940CAF" w:rsidRDefault="00940CAF" w:rsidP="00940CAF">
      <w:r>
        <w:rPr>
          <w:b/>
        </w:rPr>
        <w:t>Future use-</w:t>
      </w:r>
      <w:r>
        <w:t xml:space="preserve"> the financial ratios are very useful for the future activity of the business. The ratios indicate the current financial health, position and issues. Based on this the management can take decision to improve the state of the business in future. The information is also useful for the business investors who would take a call on the future business investment requirements (</w:t>
      </w:r>
      <w:proofErr w:type="spellStart"/>
      <w:r>
        <w:t>Fridson</w:t>
      </w:r>
      <w:proofErr w:type="spellEnd"/>
      <w:r>
        <w:t xml:space="preserve"> and Alvarez, 2011). This standardised system of ratio analysis helped in the future focused business related decision making. </w:t>
      </w:r>
    </w:p>
    <w:p w:rsidR="00940CAF" w:rsidRPr="004802FE" w:rsidRDefault="00940CAF" w:rsidP="00940CAF">
      <w:pPr>
        <w:rPr>
          <w:b/>
          <w:u w:val="single"/>
        </w:rPr>
      </w:pPr>
      <w:r w:rsidRPr="004802FE">
        <w:rPr>
          <w:b/>
          <w:u w:val="single"/>
        </w:rPr>
        <w:t>Cons</w:t>
      </w:r>
    </w:p>
    <w:p w:rsidR="00940CAF" w:rsidRDefault="00940CAF" w:rsidP="00940CAF">
      <w:r>
        <w:rPr>
          <w:b/>
        </w:rPr>
        <w:t>Myopic-</w:t>
      </w:r>
      <w:r>
        <w:t xml:space="preserve"> the ratios serve the usefulness in the quick perception development about the business and its financial positions. But for the extensive perspective development the ratios are not so useful for the management or the other relevant stakeholder of the business. One the other hand some ratios of the business may look to be favourable in comparison to the industry or competitors, but the current situation of the business may be unsustainable. An effective decision would get limited there and the business may suffer in future. </w:t>
      </w:r>
    </w:p>
    <w:p w:rsidR="00940CAF" w:rsidRDefault="00940CAF" w:rsidP="00940CAF">
      <w:r>
        <w:rPr>
          <w:b/>
        </w:rPr>
        <w:t>Direct perception limitation-</w:t>
      </w:r>
      <w:r>
        <w:t xml:space="preserve"> the ratios do not provide any significant information to the business stakeholders about the current financial health of the business (Chen </w:t>
      </w:r>
      <w:r>
        <w:rPr>
          <w:i/>
        </w:rPr>
        <w:t>et al.,</w:t>
      </w:r>
      <w:r>
        <w:t xml:space="preserve"> 2016). It is when the ratios are compared with the competitors, industry average and the past years of business operation, the actual picture comes to the fore. This is one of the limitations of the ratios.</w:t>
      </w:r>
    </w:p>
    <w:p w:rsidR="00940CAF" w:rsidRDefault="00940CAF" w:rsidP="00940CAF">
      <w:r>
        <w:rPr>
          <w:b/>
        </w:rPr>
        <w:t>Different standards and perspectives</w:t>
      </w:r>
      <w:r>
        <w:t xml:space="preserve">- in the financial information preparation and representation, different standards or the assumptions are taken. Now the comparison among the competitors or the industry average may become difficult because of the different standards and the assumptions taken at the time of financial information preparations (Chen </w:t>
      </w:r>
      <w:r>
        <w:rPr>
          <w:i/>
        </w:rPr>
        <w:t>et al.,</w:t>
      </w:r>
      <w:r>
        <w:t xml:space="preserve"> 2016). On the other hand some time the limitation comes from the consideration of few or large number of ratios. Few ratios would provide superficial understanding and many ratios would confuse the decision maker. </w:t>
      </w:r>
    </w:p>
    <w:p w:rsidR="00940CAF" w:rsidRDefault="00940CAF" w:rsidP="00940CAF">
      <w:r>
        <w:rPr>
          <w:b/>
        </w:rPr>
        <w:lastRenderedPageBreak/>
        <w:t>Accuracy and reliability of financial information</w:t>
      </w:r>
      <w:r>
        <w:t xml:space="preserve">- the financial information recording process can different and many even suffer some qualitative standard. The reliability, accuracy and the timely recoding of the information makes them relevant for the business decision </w:t>
      </w:r>
      <w:proofErr w:type="spellStart"/>
      <w:r>
        <w:t>makin</w:t>
      </w:r>
      <w:proofErr w:type="spellEnd"/>
      <w:r>
        <w:t xml:space="preserve"> (De Franco </w:t>
      </w:r>
      <w:r>
        <w:rPr>
          <w:i/>
        </w:rPr>
        <w:t xml:space="preserve">et al., </w:t>
      </w:r>
      <w:r>
        <w:t xml:space="preserve">2011). Under the quality information issue the financial ratios would not provide the proper guidance in the decision making process. </w:t>
      </w:r>
    </w:p>
    <w:p w:rsidR="00940CAF" w:rsidRDefault="00940CAF"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p>
    <w:p w:rsidR="004802FE" w:rsidRDefault="004802FE" w:rsidP="00940CAF">
      <w:pPr>
        <w:spacing w:line="276" w:lineRule="auto"/>
        <w:jc w:val="left"/>
      </w:pPr>
      <w:bookmarkStart w:id="20" w:name="_GoBack"/>
      <w:bookmarkEnd w:id="20"/>
    </w:p>
    <w:p w:rsidR="00CF02F5" w:rsidRDefault="00CF02F5">
      <w:pPr>
        <w:spacing w:line="276" w:lineRule="auto"/>
        <w:jc w:val="left"/>
        <w:rPr>
          <w:rFonts w:asciiTheme="majorHAnsi" w:eastAsiaTheme="majorEastAsia" w:hAnsiTheme="majorHAnsi" w:cstheme="majorBidi"/>
          <w:b/>
          <w:bCs/>
          <w:color w:val="365F91" w:themeColor="accent1" w:themeShade="BF"/>
          <w:sz w:val="28"/>
          <w:szCs w:val="28"/>
        </w:rPr>
      </w:pPr>
    </w:p>
    <w:p w:rsidR="00B90CBC" w:rsidRDefault="00B90CBC" w:rsidP="00B90CBC">
      <w:pPr>
        <w:pStyle w:val="Heading1"/>
      </w:pPr>
      <w:bookmarkStart w:id="21" w:name="_Toc502257793"/>
      <w:r>
        <w:lastRenderedPageBreak/>
        <w:t>Reference</w:t>
      </w:r>
      <w:bookmarkEnd w:id="21"/>
    </w:p>
    <w:p w:rsidR="00CF02F5" w:rsidRDefault="00CF02F5" w:rsidP="00B90CBC">
      <w:r>
        <w:t>Airways, B. (2009). British Airways. </w:t>
      </w:r>
      <w:r>
        <w:rPr>
          <w:i/>
          <w:iCs/>
        </w:rPr>
        <w:t xml:space="preserve">Britannia Airways, Austrian Airline, Air Seychelles, Air Madagascar, Air Austral, Air France, </w:t>
      </w:r>
      <w:proofErr w:type="spellStart"/>
      <w:r>
        <w:rPr>
          <w:i/>
          <w:iCs/>
        </w:rPr>
        <w:t>Corsairfly</w:t>
      </w:r>
      <w:proofErr w:type="spellEnd"/>
      <w:r>
        <w:t>.</w:t>
      </w:r>
    </w:p>
    <w:p w:rsidR="00CF02F5" w:rsidRDefault="00CF02F5" w:rsidP="00B90CBC">
      <w:r>
        <w:t>Britannica. (2017). </w:t>
      </w:r>
      <w:r>
        <w:rPr>
          <w:i/>
          <w:iCs/>
        </w:rPr>
        <w:t>British Airways PLC | History &amp; Facts</w:t>
      </w:r>
      <w:r>
        <w:t>. [</w:t>
      </w:r>
      <w:proofErr w:type="gramStart"/>
      <w:r>
        <w:t>online</w:t>
      </w:r>
      <w:proofErr w:type="gramEnd"/>
      <w:r>
        <w:t>] Available at: https://www.britannica.com/topic/British-Airways-PLC [Accessed 8 Dec. 2017].</w:t>
      </w:r>
    </w:p>
    <w:p w:rsidR="00CF02F5" w:rsidRDefault="00CF02F5" w:rsidP="00B90CBC">
      <w:proofErr w:type="spellStart"/>
      <w:r>
        <w:t>Britishairways</w:t>
      </w:r>
      <w:proofErr w:type="spellEnd"/>
      <w:r>
        <w:t>. (2009). </w:t>
      </w:r>
      <w:proofErr w:type="gramStart"/>
      <w:r>
        <w:rPr>
          <w:i/>
          <w:iCs/>
        </w:rPr>
        <w:t>Our</w:t>
      </w:r>
      <w:proofErr w:type="gramEnd"/>
      <w:r>
        <w:rPr>
          <w:i/>
          <w:iCs/>
        </w:rPr>
        <w:t xml:space="preserve"> strategy and objectives</w:t>
      </w:r>
      <w:r>
        <w:t>. [</w:t>
      </w:r>
      <w:proofErr w:type="gramStart"/>
      <w:r>
        <w:t>online</w:t>
      </w:r>
      <w:proofErr w:type="gramEnd"/>
      <w:r>
        <w:t>] Available at: https://www.britishairways.com/cms/global/microsites/ba_reports0809/pdfs/Strategy.pdf [Accessed 8 Dec. 2017].</w:t>
      </w:r>
    </w:p>
    <w:p w:rsidR="00CF02F5" w:rsidRDefault="00CF02F5" w:rsidP="00B90CBC">
      <w:proofErr w:type="spellStart"/>
      <w:r>
        <w:t>Britishairways</w:t>
      </w:r>
      <w:proofErr w:type="spellEnd"/>
      <w:r>
        <w:t>. (2017). </w:t>
      </w:r>
      <w:r>
        <w:rPr>
          <w:i/>
          <w:iCs/>
        </w:rPr>
        <w:t>Explore our past | History &amp; Heritage</w:t>
      </w:r>
      <w:r>
        <w:t>. [</w:t>
      </w:r>
      <w:proofErr w:type="gramStart"/>
      <w:r>
        <w:t>online</w:t>
      </w:r>
      <w:proofErr w:type="gramEnd"/>
      <w:r>
        <w:t>] Available at: https://www.britishairways.com/en-gb/information/about-ba/history-and-heritage/explore-our-past [Accessed 8 Dec. 2017].</w:t>
      </w:r>
    </w:p>
    <w:p w:rsidR="00CF02F5" w:rsidRDefault="00CF02F5" w:rsidP="00B90CBC">
      <w:r>
        <w:t xml:space="preserve">Chen, C. W., Collins, D. W., </w:t>
      </w:r>
      <w:proofErr w:type="spellStart"/>
      <w:r>
        <w:t>Kravet</w:t>
      </w:r>
      <w:proofErr w:type="spellEnd"/>
      <w:r>
        <w:t>, T. D., and Mergenthaler, R. (2016). Financial statement comparability and the efficiency of acquisition decisions.</w:t>
      </w:r>
    </w:p>
    <w:p w:rsidR="00CF02F5" w:rsidRDefault="00CF02F5" w:rsidP="00B90CBC">
      <w:r>
        <w:t>De Franco, G., Kothari, S. P., and Verdi, R. S. (2011). The benefits of financial statement comparability. </w:t>
      </w:r>
      <w:r>
        <w:rPr>
          <w:i/>
          <w:iCs/>
        </w:rPr>
        <w:t>Journal of Accounting Research</w:t>
      </w:r>
      <w:r>
        <w:t>, </w:t>
      </w:r>
      <w:r>
        <w:rPr>
          <w:i/>
          <w:iCs/>
        </w:rPr>
        <w:t>49</w:t>
      </w:r>
      <w:r>
        <w:t>(4), 895-931.</w:t>
      </w:r>
    </w:p>
    <w:p w:rsidR="00CF02F5" w:rsidRDefault="00CF02F5" w:rsidP="00CF02F5">
      <w:r>
        <w:rPr>
          <w:rFonts w:cs="Times New Roman"/>
          <w:szCs w:val="24"/>
          <w:shd w:val="clear" w:color="auto" w:fill="FFFFFF"/>
        </w:rPr>
        <w:t>Finance.yahoo.com. (2017). </w:t>
      </w:r>
      <w:proofErr w:type="gramStart"/>
      <w:r>
        <w:rPr>
          <w:i/>
          <w:iCs/>
        </w:rPr>
        <w:t>BA :</w:t>
      </w:r>
      <w:proofErr w:type="gramEnd"/>
      <w:r>
        <w:rPr>
          <w:i/>
          <w:iCs/>
        </w:rPr>
        <w:t xml:space="preserve"> Summary for Boeing Company (The) - Yahoo Finance</w:t>
      </w:r>
      <w:r>
        <w:t>. [</w:t>
      </w:r>
      <w:proofErr w:type="gramStart"/>
      <w:r>
        <w:t>online</w:t>
      </w:r>
      <w:proofErr w:type="gramEnd"/>
      <w:r>
        <w:t>] Available at: https://finance.yahoo.com/quote/BA/ [Accessed 8 Dec. 2017].</w:t>
      </w:r>
    </w:p>
    <w:p w:rsidR="00CF02F5" w:rsidRDefault="00CF02F5" w:rsidP="00CF02F5">
      <w:pPr>
        <w:rPr>
          <w:rFonts w:cs="Times New Roman"/>
          <w:szCs w:val="24"/>
        </w:rPr>
      </w:pPr>
      <w:r>
        <w:rPr>
          <w:rFonts w:cs="Times New Roman"/>
          <w:szCs w:val="24"/>
          <w:shd w:val="clear" w:color="auto" w:fill="FFFFFF"/>
        </w:rPr>
        <w:t>Finance.yahoo.com. (2017). </w:t>
      </w:r>
      <w:r>
        <w:rPr>
          <w:i/>
          <w:iCs/>
        </w:rPr>
        <w:t>Virgin Atlantic profit up, sees more growth this year</w:t>
      </w:r>
      <w:r>
        <w:t>. [</w:t>
      </w:r>
      <w:proofErr w:type="gramStart"/>
      <w:r>
        <w:t>online</w:t>
      </w:r>
      <w:proofErr w:type="gramEnd"/>
      <w:r>
        <w:t>] Available at: https://finance.yahoo.com/news/virgin-atlantic-profit-sees-more-113915836.html [Accessed 8 Dec. 2017].</w:t>
      </w:r>
    </w:p>
    <w:p w:rsidR="00CF02F5" w:rsidRDefault="00CF02F5" w:rsidP="00B90CBC">
      <w:proofErr w:type="spellStart"/>
      <w:r>
        <w:t>Fridson</w:t>
      </w:r>
      <w:proofErr w:type="spellEnd"/>
      <w:r>
        <w:t>, M. S., and Alvarez, F. (2011). </w:t>
      </w:r>
      <w:r>
        <w:rPr>
          <w:i/>
          <w:iCs/>
        </w:rPr>
        <w:t>Financial statement analysis: a practitioner's guide</w:t>
      </w:r>
      <w:r>
        <w:t> (Vol. 597). John Wiley &amp; Sons.</w:t>
      </w:r>
    </w:p>
    <w:p w:rsidR="00CF02F5" w:rsidRDefault="00CF02F5" w:rsidP="00B90CBC">
      <w:r>
        <w:t>Gregory, M. (2010). </w:t>
      </w:r>
      <w:r>
        <w:rPr>
          <w:i/>
          <w:iCs/>
        </w:rPr>
        <w:t xml:space="preserve">Dirty Tricks: British Airways' Secret War </w:t>
      </w:r>
      <w:proofErr w:type="gramStart"/>
      <w:r>
        <w:rPr>
          <w:i/>
          <w:iCs/>
        </w:rPr>
        <w:t>Against</w:t>
      </w:r>
      <w:proofErr w:type="gramEnd"/>
      <w:r>
        <w:rPr>
          <w:i/>
          <w:iCs/>
        </w:rPr>
        <w:t xml:space="preserve"> Virgin Atlantic</w:t>
      </w:r>
      <w:r>
        <w:t>. Random House.</w:t>
      </w:r>
    </w:p>
    <w:p w:rsidR="00CF02F5" w:rsidRDefault="00CF02F5" w:rsidP="00B90CBC">
      <w:r>
        <w:t xml:space="preserve">Grundy, M., and </w:t>
      </w:r>
      <w:proofErr w:type="spellStart"/>
      <w:r>
        <w:t>Moxon</w:t>
      </w:r>
      <w:proofErr w:type="spellEnd"/>
      <w:r>
        <w:t>, R. (2013). The effectiveness of airline crisis management on brand protection: A case study of British Airways. </w:t>
      </w:r>
      <w:r>
        <w:rPr>
          <w:i/>
          <w:iCs/>
        </w:rPr>
        <w:t>Journal of Air Transport Management</w:t>
      </w:r>
      <w:r>
        <w:t>, </w:t>
      </w:r>
      <w:r>
        <w:rPr>
          <w:i/>
          <w:iCs/>
        </w:rPr>
        <w:t>28</w:t>
      </w:r>
      <w:r>
        <w:t>, 55-61.</w:t>
      </w:r>
    </w:p>
    <w:p w:rsidR="00CF02F5" w:rsidRDefault="00CF02F5" w:rsidP="00B90CBC">
      <w:r>
        <w:lastRenderedPageBreak/>
        <w:t xml:space="preserve">Han, S., and Chen, R. C. (2007). Using </w:t>
      </w:r>
      <w:proofErr w:type="spellStart"/>
      <w:r>
        <w:t>svm</w:t>
      </w:r>
      <w:proofErr w:type="spellEnd"/>
      <w:r>
        <w:t xml:space="preserve"> with financial statement analysis for prediction of stocks. </w:t>
      </w:r>
      <w:r>
        <w:rPr>
          <w:i/>
          <w:iCs/>
        </w:rPr>
        <w:t>Communications of the IIMA</w:t>
      </w:r>
      <w:r>
        <w:t>, </w:t>
      </w:r>
      <w:r>
        <w:rPr>
          <w:i/>
          <w:iCs/>
        </w:rPr>
        <w:t>7</w:t>
      </w:r>
      <w:r>
        <w:t>(4), 63.</w:t>
      </w:r>
    </w:p>
    <w:p w:rsidR="00CF02F5" w:rsidRDefault="00CF02F5" w:rsidP="00B90CBC">
      <w:r>
        <w:t xml:space="preserve">Healy, P. M., and </w:t>
      </w:r>
      <w:proofErr w:type="spellStart"/>
      <w:r>
        <w:t>Palepu</w:t>
      </w:r>
      <w:proofErr w:type="spellEnd"/>
      <w:r>
        <w:t>, K. G. (2012). </w:t>
      </w:r>
      <w:r>
        <w:rPr>
          <w:i/>
          <w:iCs/>
        </w:rPr>
        <w:t>Business analysis valuation: Using financial statements</w:t>
      </w:r>
      <w:r>
        <w:t xml:space="preserve">. </w:t>
      </w:r>
      <w:proofErr w:type="spellStart"/>
      <w:r>
        <w:t>Cengage</w:t>
      </w:r>
      <w:proofErr w:type="spellEnd"/>
      <w:r>
        <w:t xml:space="preserve"> Learning.</w:t>
      </w:r>
    </w:p>
    <w:p w:rsidR="00CF02F5" w:rsidRDefault="00CF02F5" w:rsidP="00B90CBC">
      <w:r>
        <w:t>Higgins, R. C. (2012). </w:t>
      </w:r>
      <w:r>
        <w:rPr>
          <w:i/>
          <w:iCs/>
        </w:rPr>
        <w:t>Analysis for financial management</w:t>
      </w:r>
      <w:r>
        <w:t>. McGraw-Hill/Irwin.</w:t>
      </w:r>
    </w:p>
    <w:p w:rsidR="00CF02F5" w:rsidRDefault="00CF02F5" w:rsidP="00B90CBC">
      <w:r>
        <w:t>London Heathrow Guide. (2017). </w:t>
      </w:r>
      <w:r>
        <w:rPr>
          <w:i/>
          <w:iCs/>
        </w:rPr>
        <w:t>Terminal 4 - London Heathrow Guide</w:t>
      </w:r>
      <w:r>
        <w:t>. [</w:t>
      </w:r>
      <w:proofErr w:type="gramStart"/>
      <w:r>
        <w:t>online</w:t>
      </w:r>
      <w:proofErr w:type="gramEnd"/>
      <w:r>
        <w:t>] Available at: http://www.londonheathrowguide.com/terminal-4/ [Accessed 8 Dec. 2017].</w:t>
      </w:r>
    </w:p>
    <w:p w:rsidR="00CF02F5" w:rsidRDefault="00CF02F5" w:rsidP="00B90CBC">
      <w:r>
        <w:t>Penman, S. H., and Penman, S. H. (2007). </w:t>
      </w:r>
      <w:r>
        <w:rPr>
          <w:i/>
          <w:iCs/>
        </w:rPr>
        <w:t>Financial statement analysis and security valuation</w:t>
      </w:r>
      <w:r>
        <w:t> (p. 476). New York: McGraw-Hill.</w:t>
      </w:r>
    </w:p>
    <w:p w:rsidR="00CF02F5" w:rsidRDefault="00CF02F5" w:rsidP="00B90CBC">
      <w:proofErr w:type="spellStart"/>
      <w:r>
        <w:t>Referenceforbusiness</w:t>
      </w:r>
      <w:proofErr w:type="spellEnd"/>
      <w:r>
        <w:t>. (2017). </w:t>
      </w:r>
      <w:r>
        <w:rPr>
          <w:i/>
          <w:iCs/>
        </w:rPr>
        <w:t>British Airways PLC - Company Profile, Information, Business Description, History, Background Information on British Airways PLC</w:t>
      </w:r>
      <w:r>
        <w:t>. [</w:t>
      </w:r>
      <w:proofErr w:type="gramStart"/>
      <w:r>
        <w:t>online</w:t>
      </w:r>
      <w:proofErr w:type="gramEnd"/>
      <w:r>
        <w:t>] Available at: http://www.referenceforbusiness.com/history2/2/British-Airways-PLC.html [Accessed 8 Dec. 2017].</w:t>
      </w:r>
    </w:p>
    <w:p w:rsidR="00CF02F5" w:rsidRDefault="00CF02F5" w:rsidP="00B90CBC">
      <w:r>
        <w:t xml:space="preserve">Robinson, T. R., Hennie van </w:t>
      </w:r>
      <w:proofErr w:type="spellStart"/>
      <w:r>
        <w:t>Greuning</w:t>
      </w:r>
      <w:proofErr w:type="spellEnd"/>
      <w:r>
        <w:t xml:space="preserve">, C. F. A., Henry, E., and </w:t>
      </w:r>
      <w:proofErr w:type="spellStart"/>
      <w:r>
        <w:t>Broihahn</w:t>
      </w:r>
      <w:proofErr w:type="spellEnd"/>
      <w:r>
        <w:t>, M. A. (2008). </w:t>
      </w:r>
      <w:r>
        <w:rPr>
          <w:i/>
          <w:iCs/>
        </w:rPr>
        <w:t>International financial statement analysis</w:t>
      </w:r>
      <w:r>
        <w:t> (Vol. 22). John Wiley &amp; Sons.</w:t>
      </w:r>
    </w:p>
    <w:p w:rsidR="00CF02F5" w:rsidRDefault="00CF02F5" w:rsidP="00B90CBC">
      <w:proofErr w:type="spellStart"/>
      <w:r>
        <w:t>Subramanyam</w:t>
      </w:r>
      <w:proofErr w:type="spellEnd"/>
      <w:r>
        <w:t>, K. R., and Wild, J. J. (2009). </w:t>
      </w:r>
      <w:r>
        <w:rPr>
          <w:i/>
          <w:iCs/>
        </w:rPr>
        <w:t>Financial statement analysis</w:t>
      </w:r>
      <w:r>
        <w:t>. McGraw-Hill.</w:t>
      </w:r>
    </w:p>
    <w:p w:rsidR="00CF02F5" w:rsidRDefault="00CF02F5" w:rsidP="00B90CBC">
      <w:proofErr w:type="spellStart"/>
      <w:r>
        <w:t>Wearden</w:t>
      </w:r>
      <w:proofErr w:type="spellEnd"/>
      <w:r>
        <w:t>, G. (2010). </w:t>
      </w:r>
      <w:r>
        <w:rPr>
          <w:i/>
          <w:iCs/>
        </w:rPr>
        <w:t>British Airways and Iberia: How the merger partners stack up</w:t>
      </w:r>
      <w:r>
        <w:t>. [</w:t>
      </w:r>
      <w:proofErr w:type="gramStart"/>
      <w:r>
        <w:t>online</w:t>
      </w:r>
      <w:proofErr w:type="gramEnd"/>
      <w:r>
        <w:t>] the Guardian. Available at: https://www.theguardian.com/business/2010/apr/08/british-airways-iberia-merger [Accessed 8 Dec. 2017].</w:t>
      </w:r>
    </w:p>
    <w:p w:rsidR="00037236" w:rsidRDefault="00037236" w:rsidP="00B90CBC"/>
    <w:p w:rsidR="00037236" w:rsidRDefault="00037236" w:rsidP="00B90CBC"/>
    <w:p w:rsidR="00037236" w:rsidRDefault="00037236" w:rsidP="00B90CBC"/>
    <w:p w:rsidR="00037236" w:rsidRDefault="00037236" w:rsidP="00B90CBC"/>
    <w:p w:rsidR="00037236" w:rsidRDefault="00037236" w:rsidP="00037236">
      <w:pPr>
        <w:pStyle w:val="Heading1"/>
      </w:pPr>
      <w:bookmarkStart w:id="22" w:name="_Toc502257794"/>
      <w:r>
        <w:lastRenderedPageBreak/>
        <w:t>Appendix</w:t>
      </w:r>
      <w:bookmarkEnd w:id="22"/>
      <w:r>
        <w:t xml:space="preserve"> </w:t>
      </w:r>
    </w:p>
    <w:tbl>
      <w:tblPr>
        <w:tblW w:w="8371" w:type="dxa"/>
        <w:tblInd w:w="93" w:type="dxa"/>
        <w:tblLook w:val="04A0" w:firstRow="1" w:lastRow="0" w:firstColumn="1" w:lastColumn="0" w:noHBand="0" w:noVBand="1"/>
      </w:tblPr>
      <w:tblGrid>
        <w:gridCol w:w="3361"/>
        <w:gridCol w:w="1056"/>
        <w:gridCol w:w="992"/>
        <w:gridCol w:w="1095"/>
        <w:gridCol w:w="992"/>
        <w:gridCol w:w="992"/>
      </w:tblGrid>
      <w:tr w:rsidR="00037236" w:rsidRPr="00EF3033" w:rsidTr="00037236">
        <w:trPr>
          <w:trHeight w:val="277"/>
        </w:trPr>
        <w:tc>
          <w:tcPr>
            <w:tcW w:w="33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Balance sheet item</w:t>
            </w:r>
          </w:p>
        </w:tc>
        <w:tc>
          <w:tcPr>
            <w:tcW w:w="1056" w:type="dxa"/>
            <w:tcBorders>
              <w:top w:val="single" w:sz="4" w:space="0" w:color="auto"/>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£,million</w:t>
            </w:r>
          </w:p>
        </w:tc>
        <w:tc>
          <w:tcPr>
            <w:tcW w:w="953" w:type="dxa"/>
            <w:tcBorders>
              <w:top w:val="single" w:sz="4" w:space="0" w:color="auto"/>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£,million</w:t>
            </w:r>
          </w:p>
        </w:tc>
        <w:tc>
          <w:tcPr>
            <w:tcW w:w="1095" w:type="dxa"/>
            <w:tcBorders>
              <w:top w:val="single" w:sz="4" w:space="0" w:color="auto"/>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£,million</w:t>
            </w:r>
          </w:p>
        </w:tc>
        <w:tc>
          <w:tcPr>
            <w:tcW w:w="953" w:type="dxa"/>
            <w:tcBorders>
              <w:top w:val="single" w:sz="4" w:space="0" w:color="auto"/>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£,million</w:t>
            </w:r>
          </w:p>
        </w:tc>
        <w:tc>
          <w:tcPr>
            <w:tcW w:w="953" w:type="dxa"/>
            <w:tcBorders>
              <w:top w:val="single" w:sz="4" w:space="0" w:color="auto"/>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£,million</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1056" w:type="dxa"/>
            <w:tcBorders>
              <w:top w:val="nil"/>
              <w:left w:val="nil"/>
              <w:bottom w:val="single" w:sz="4" w:space="0" w:color="auto"/>
              <w:right w:val="single" w:sz="4" w:space="0" w:color="auto"/>
            </w:tcBorders>
            <w:shd w:val="clear" w:color="000000" w:fill="EEECE1"/>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2012</w:t>
            </w:r>
          </w:p>
        </w:tc>
        <w:tc>
          <w:tcPr>
            <w:tcW w:w="953" w:type="dxa"/>
            <w:tcBorders>
              <w:top w:val="nil"/>
              <w:left w:val="nil"/>
              <w:bottom w:val="single" w:sz="4" w:space="0" w:color="auto"/>
              <w:right w:val="single" w:sz="4" w:space="0" w:color="auto"/>
            </w:tcBorders>
            <w:shd w:val="clear" w:color="000000" w:fill="EEECE1"/>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2013</w:t>
            </w:r>
          </w:p>
        </w:tc>
        <w:tc>
          <w:tcPr>
            <w:tcW w:w="1095" w:type="dxa"/>
            <w:tcBorders>
              <w:top w:val="nil"/>
              <w:left w:val="nil"/>
              <w:bottom w:val="single" w:sz="4" w:space="0" w:color="auto"/>
              <w:right w:val="single" w:sz="4" w:space="0" w:color="auto"/>
            </w:tcBorders>
            <w:shd w:val="clear" w:color="000000" w:fill="EEECE1"/>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2014</w:t>
            </w:r>
          </w:p>
        </w:tc>
        <w:tc>
          <w:tcPr>
            <w:tcW w:w="953" w:type="dxa"/>
            <w:tcBorders>
              <w:top w:val="nil"/>
              <w:left w:val="nil"/>
              <w:bottom w:val="single" w:sz="4" w:space="0" w:color="auto"/>
              <w:right w:val="single" w:sz="4" w:space="0" w:color="auto"/>
            </w:tcBorders>
            <w:shd w:val="clear" w:color="000000" w:fill="EEECE1"/>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2015</w:t>
            </w:r>
          </w:p>
        </w:tc>
        <w:tc>
          <w:tcPr>
            <w:tcW w:w="953" w:type="dxa"/>
            <w:tcBorders>
              <w:top w:val="nil"/>
              <w:left w:val="nil"/>
              <w:bottom w:val="single" w:sz="4" w:space="0" w:color="auto"/>
              <w:right w:val="single" w:sz="4" w:space="0" w:color="auto"/>
            </w:tcBorders>
            <w:shd w:val="clear" w:color="000000" w:fill="EEECE1"/>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2016</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xml:space="preserve">Gross profit </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274</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651</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975</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1264</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1473</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Total revenue earned</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10827</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11,421</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11,719</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11,333</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11,443</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Net profit/PBT(profit before tax)</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-139</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300</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859</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2,628</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1,566</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Current asset</w:t>
            </w:r>
          </w:p>
        </w:tc>
        <w:tc>
          <w:tcPr>
            <w:tcW w:w="1056" w:type="dxa"/>
            <w:tcBorders>
              <w:top w:val="nil"/>
              <w:left w:val="nil"/>
              <w:bottom w:val="nil"/>
              <w:right w:val="nil"/>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2,634</w:t>
            </w:r>
          </w:p>
        </w:tc>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2,915</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3,583</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3400</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4071</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Current liability</w:t>
            </w:r>
          </w:p>
        </w:tc>
        <w:tc>
          <w:tcPr>
            <w:tcW w:w="1056" w:type="dxa"/>
            <w:tcBorders>
              <w:top w:val="single" w:sz="4" w:space="0" w:color="auto"/>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4,398</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4,627</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5,502</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5700</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5334</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Average Inventory holding</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117</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533</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531</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139</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133</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share capital</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290</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290</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290</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290</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290</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xml:space="preserve">Retained </w:t>
            </w:r>
            <w:proofErr w:type="spellStart"/>
            <w:r w:rsidRPr="00EF3033">
              <w:rPr>
                <w:rFonts w:ascii="Calibri" w:eastAsia="Times New Roman" w:hAnsi="Calibri" w:cs="Calibri"/>
                <w:color w:val="000000"/>
                <w:sz w:val="22"/>
                <w:lang w:val="en-IN" w:eastAsia="en-IN"/>
              </w:rPr>
              <w:t>earnning</w:t>
            </w:r>
            <w:proofErr w:type="spellEnd"/>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-100</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281</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702</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2,508</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1345</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long term liabilities</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3226</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3,453</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4,121</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3782</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4470</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capital employed</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3,416</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4,024</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5,113</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6,580</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6,105</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Total average asset</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11837</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11,921</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13,426</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15376</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16471</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EBIT</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-139</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300</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859</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2628</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1566</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1056" w:type="dxa"/>
            <w:tcBorders>
              <w:top w:val="nil"/>
              <w:left w:val="nil"/>
              <w:bottom w:val="single" w:sz="4" w:space="0" w:color="auto"/>
              <w:right w:val="single" w:sz="4" w:space="0" w:color="auto"/>
            </w:tcBorders>
            <w:shd w:val="clear" w:color="000000" w:fill="EEECE1"/>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2012</w:t>
            </w:r>
          </w:p>
        </w:tc>
        <w:tc>
          <w:tcPr>
            <w:tcW w:w="953" w:type="dxa"/>
            <w:tcBorders>
              <w:top w:val="nil"/>
              <w:left w:val="nil"/>
              <w:bottom w:val="single" w:sz="4" w:space="0" w:color="auto"/>
              <w:right w:val="single" w:sz="4" w:space="0" w:color="auto"/>
            </w:tcBorders>
            <w:shd w:val="clear" w:color="000000" w:fill="EEECE1"/>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2013</w:t>
            </w:r>
          </w:p>
        </w:tc>
        <w:tc>
          <w:tcPr>
            <w:tcW w:w="1095" w:type="dxa"/>
            <w:tcBorders>
              <w:top w:val="nil"/>
              <w:left w:val="nil"/>
              <w:bottom w:val="single" w:sz="4" w:space="0" w:color="auto"/>
              <w:right w:val="single" w:sz="4" w:space="0" w:color="auto"/>
            </w:tcBorders>
            <w:shd w:val="clear" w:color="000000" w:fill="EEECE1"/>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2014</w:t>
            </w:r>
          </w:p>
        </w:tc>
        <w:tc>
          <w:tcPr>
            <w:tcW w:w="953" w:type="dxa"/>
            <w:tcBorders>
              <w:top w:val="nil"/>
              <w:left w:val="nil"/>
              <w:bottom w:val="single" w:sz="4" w:space="0" w:color="auto"/>
              <w:right w:val="single" w:sz="4" w:space="0" w:color="auto"/>
            </w:tcBorders>
            <w:shd w:val="clear" w:color="000000" w:fill="EEECE1"/>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2015</w:t>
            </w:r>
          </w:p>
        </w:tc>
        <w:tc>
          <w:tcPr>
            <w:tcW w:w="953" w:type="dxa"/>
            <w:tcBorders>
              <w:top w:val="nil"/>
              <w:left w:val="nil"/>
              <w:bottom w:val="single" w:sz="4" w:space="0" w:color="auto"/>
              <w:right w:val="single" w:sz="4" w:space="0" w:color="auto"/>
            </w:tcBorders>
            <w:shd w:val="clear" w:color="000000" w:fill="EEECE1"/>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2016</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000000" w:fill="FFFF00"/>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proofErr w:type="spellStart"/>
            <w:r w:rsidRPr="00EF3033">
              <w:rPr>
                <w:rFonts w:ascii="Calibri" w:eastAsia="Times New Roman" w:hAnsi="Calibri" w:cs="Calibri"/>
                <w:color w:val="000000"/>
                <w:sz w:val="22"/>
                <w:lang w:val="en-IN" w:eastAsia="en-IN"/>
              </w:rPr>
              <w:t>Profitabiliy</w:t>
            </w:r>
            <w:proofErr w:type="spellEnd"/>
            <w:r w:rsidRPr="00EF3033">
              <w:rPr>
                <w:rFonts w:ascii="Calibri" w:eastAsia="Times New Roman" w:hAnsi="Calibri" w:cs="Calibri"/>
                <w:color w:val="000000"/>
                <w:sz w:val="22"/>
                <w:lang w:val="en-IN" w:eastAsia="en-IN"/>
              </w:rPr>
              <w:t xml:space="preserve"> Ratios</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r>
      <w:tr w:rsidR="00037236" w:rsidRPr="00EF3033" w:rsidTr="00037236">
        <w:trPr>
          <w:trHeight w:val="915"/>
        </w:trPr>
        <w:tc>
          <w:tcPr>
            <w:tcW w:w="3361" w:type="dxa"/>
            <w:tcBorders>
              <w:top w:val="nil"/>
              <w:left w:val="single" w:sz="4" w:space="0" w:color="auto"/>
              <w:bottom w:val="single" w:sz="4" w:space="0" w:color="auto"/>
              <w:right w:val="single" w:sz="4" w:space="0" w:color="auto"/>
            </w:tcBorders>
            <w:shd w:val="clear" w:color="auto" w:fill="auto"/>
            <w:vAlign w:val="bottom"/>
            <w:hideMark/>
          </w:tcPr>
          <w:p w:rsidR="00037236" w:rsidRPr="00EF3033" w:rsidRDefault="00037236" w:rsidP="00C92856">
            <w:pPr>
              <w:spacing w:after="0" w:line="240" w:lineRule="auto"/>
              <w:jc w:val="left"/>
              <w:rPr>
                <w:rFonts w:eastAsia="Times New Roman" w:cs="Times New Roman"/>
                <w:b/>
                <w:bCs/>
                <w:i/>
                <w:iCs/>
                <w:color w:val="000000"/>
                <w:szCs w:val="24"/>
                <w:lang w:val="en-IN" w:eastAsia="en-IN"/>
              </w:rPr>
            </w:pPr>
            <w:r w:rsidRPr="00EF3033">
              <w:rPr>
                <w:rFonts w:eastAsia="Times New Roman" w:cs="Times New Roman"/>
                <w:b/>
                <w:bCs/>
                <w:i/>
                <w:iCs/>
                <w:color w:val="000000"/>
                <w:szCs w:val="24"/>
                <w:lang w:val="en-IN" w:eastAsia="en-IN"/>
              </w:rPr>
              <w:t>Gross profit margin</w:t>
            </w:r>
            <w:r w:rsidRPr="00EF3033">
              <w:rPr>
                <w:rFonts w:ascii="Calibri" w:eastAsia="Times New Roman" w:hAnsi="Calibri" w:cs="Calibri"/>
                <w:color w:val="000000"/>
                <w:sz w:val="22"/>
                <w:lang w:val="en-IN" w:eastAsia="en-IN"/>
              </w:rPr>
              <w:t xml:space="preserve"> ([Gross profit /Net sales]*100) </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3%</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6%</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8%</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11%</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13%</w:t>
            </w:r>
          </w:p>
        </w:tc>
      </w:tr>
      <w:tr w:rsidR="00037236" w:rsidRPr="00EF3033" w:rsidTr="00037236">
        <w:trPr>
          <w:trHeight w:val="554"/>
        </w:trPr>
        <w:tc>
          <w:tcPr>
            <w:tcW w:w="3361" w:type="dxa"/>
            <w:tcBorders>
              <w:top w:val="nil"/>
              <w:left w:val="single" w:sz="4" w:space="0" w:color="auto"/>
              <w:bottom w:val="single" w:sz="4" w:space="0" w:color="auto"/>
              <w:right w:val="single" w:sz="4" w:space="0" w:color="auto"/>
            </w:tcBorders>
            <w:shd w:val="clear" w:color="auto" w:fill="auto"/>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b/>
                <w:bCs/>
                <w:color w:val="000000"/>
                <w:sz w:val="22"/>
                <w:lang w:val="en-IN" w:eastAsia="en-IN"/>
              </w:rPr>
              <w:t>Net Profit margin</w:t>
            </w:r>
            <w:r w:rsidRPr="00EF3033">
              <w:rPr>
                <w:rFonts w:ascii="Calibri" w:eastAsia="Times New Roman" w:hAnsi="Calibri" w:cs="Calibri"/>
                <w:color w:val="000000"/>
                <w:sz w:val="22"/>
                <w:lang w:val="en-IN" w:eastAsia="en-IN"/>
              </w:rPr>
              <w:t xml:space="preserve"> (Operating profit or EBIT/Net sales): </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-1.28%</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2.63%</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7.33%</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23.19%</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13.69%</w:t>
            </w:r>
          </w:p>
        </w:tc>
      </w:tr>
      <w:tr w:rsidR="00037236" w:rsidRPr="00EF3033" w:rsidTr="00037236">
        <w:trPr>
          <w:trHeight w:val="277"/>
        </w:trPr>
        <w:tc>
          <w:tcPr>
            <w:tcW w:w="3361" w:type="dxa"/>
            <w:tcBorders>
              <w:top w:val="nil"/>
              <w:left w:val="single" w:sz="4" w:space="0" w:color="auto"/>
              <w:bottom w:val="single" w:sz="4" w:space="0" w:color="auto"/>
              <w:right w:val="single" w:sz="4" w:space="0" w:color="auto"/>
            </w:tcBorders>
            <w:shd w:val="clear" w:color="000000" w:fill="FFFF00"/>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Liquidity ratio</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953" w:type="dxa"/>
            <w:tcBorders>
              <w:top w:val="nil"/>
              <w:left w:val="nil"/>
              <w:bottom w:val="single" w:sz="4" w:space="0" w:color="auto"/>
              <w:right w:val="single" w:sz="4" w:space="0" w:color="auto"/>
            </w:tcBorders>
            <w:shd w:val="clear" w:color="auto" w:fill="auto"/>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r>
      <w:tr w:rsidR="00037236" w:rsidRPr="00EF3033" w:rsidTr="00037236">
        <w:trPr>
          <w:trHeight w:val="554"/>
        </w:trPr>
        <w:tc>
          <w:tcPr>
            <w:tcW w:w="3361" w:type="dxa"/>
            <w:tcBorders>
              <w:top w:val="nil"/>
              <w:left w:val="single" w:sz="4" w:space="0" w:color="auto"/>
              <w:bottom w:val="single" w:sz="4" w:space="0" w:color="auto"/>
              <w:right w:val="single" w:sz="4" w:space="0" w:color="auto"/>
            </w:tcBorders>
            <w:shd w:val="clear" w:color="auto" w:fill="auto"/>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b/>
                <w:bCs/>
                <w:color w:val="000000"/>
                <w:sz w:val="22"/>
                <w:lang w:val="en-IN" w:eastAsia="en-IN"/>
              </w:rPr>
              <w:t>Current Ratio</w:t>
            </w:r>
            <w:r w:rsidRPr="00EF3033">
              <w:rPr>
                <w:rFonts w:ascii="Calibri" w:eastAsia="Times New Roman" w:hAnsi="Calibri" w:cs="Calibri"/>
                <w:color w:val="000000"/>
                <w:sz w:val="22"/>
                <w:lang w:val="en-IN" w:eastAsia="en-IN"/>
              </w:rPr>
              <w:t xml:space="preserve"> ([Current asset/Current liability]*100): </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0.60</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0.63</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0.65</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0.60</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0.76</w:t>
            </w:r>
          </w:p>
        </w:tc>
      </w:tr>
      <w:tr w:rsidR="00037236" w:rsidRPr="00EF3033" w:rsidTr="00037236">
        <w:trPr>
          <w:trHeight w:val="568"/>
        </w:trPr>
        <w:tc>
          <w:tcPr>
            <w:tcW w:w="3361" w:type="dxa"/>
            <w:tcBorders>
              <w:top w:val="nil"/>
              <w:left w:val="single" w:sz="4" w:space="0" w:color="auto"/>
              <w:bottom w:val="single" w:sz="4" w:space="0" w:color="auto"/>
              <w:right w:val="single" w:sz="4" w:space="0" w:color="auto"/>
            </w:tcBorders>
            <w:shd w:val="clear" w:color="auto" w:fill="auto"/>
            <w:vAlign w:val="bottom"/>
            <w:hideMark/>
          </w:tcPr>
          <w:p w:rsidR="00037236" w:rsidRPr="00EF3033" w:rsidRDefault="00037236" w:rsidP="00C92856">
            <w:pPr>
              <w:spacing w:after="0" w:line="240" w:lineRule="auto"/>
              <w:jc w:val="left"/>
              <w:rPr>
                <w:rFonts w:eastAsia="Times New Roman" w:cs="Times New Roman"/>
                <w:b/>
                <w:bCs/>
                <w:color w:val="000000"/>
                <w:szCs w:val="24"/>
                <w:lang w:val="en-IN" w:eastAsia="en-IN"/>
              </w:rPr>
            </w:pPr>
            <w:r w:rsidRPr="00EF3033">
              <w:rPr>
                <w:rFonts w:eastAsia="Times New Roman" w:cs="Times New Roman"/>
                <w:b/>
                <w:bCs/>
                <w:color w:val="000000"/>
                <w:szCs w:val="24"/>
                <w:lang w:val="en-IN" w:eastAsia="en-IN"/>
              </w:rPr>
              <w:t>Quick Ratio</w:t>
            </w:r>
            <w:r w:rsidRPr="00EF3033">
              <w:rPr>
                <w:rFonts w:ascii="Calibri" w:eastAsia="Times New Roman" w:hAnsi="Calibri" w:cs="Calibri"/>
                <w:color w:val="000000"/>
                <w:sz w:val="22"/>
                <w:lang w:val="en-IN" w:eastAsia="en-IN"/>
              </w:rPr>
              <w:t xml:space="preserve"> ([Current asset-Inventories]/ Current liability*100) </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0.57</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0.51</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0.55</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0.57</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0.74</w:t>
            </w:r>
          </w:p>
        </w:tc>
      </w:tr>
      <w:tr w:rsidR="00037236" w:rsidRPr="00EF3033" w:rsidTr="00037236">
        <w:trPr>
          <w:trHeight w:val="291"/>
        </w:trPr>
        <w:tc>
          <w:tcPr>
            <w:tcW w:w="3361" w:type="dxa"/>
            <w:tcBorders>
              <w:top w:val="nil"/>
              <w:left w:val="single" w:sz="4" w:space="0" w:color="auto"/>
              <w:bottom w:val="single" w:sz="4" w:space="0" w:color="auto"/>
              <w:right w:val="single" w:sz="4" w:space="0" w:color="auto"/>
            </w:tcBorders>
            <w:shd w:val="clear" w:color="000000" w:fill="FFFF00"/>
            <w:vAlign w:val="bottom"/>
            <w:hideMark/>
          </w:tcPr>
          <w:p w:rsidR="00037236" w:rsidRPr="00EF3033" w:rsidRDefault="00037236" w:rsidP="00C92856">
            <w:pPr>
              <w:spacing w:after="0" w:line="240" w:lineRule="auto"/>
              <w:jc w:val="left"/>
              <w:rPr>
                <w:rFonts w:eastAsia="Times New Roman" w:cs="Times New Roman"/>
                <w:color w:val="000000"/>
                <w:szCs w:val="24"/>
                <w:lang w:val="en-IN" w:eastAsia="en-IN"/>
              </w:rPr>
            </w:pPr>
            <w:r w:rsidRPr="00EF3033">
              <w:rPr>
                <w:rFonts w:eastAsia="Times New Roman" w:cs="Times New Roman"/>
                <w:color w:val="000000"/>
                <w:szCs w:val="24"/>
                <w:lang w:val="en-IN" w:eastAsia="en-IN"/>
              </w:rPr>
              <w:t>Efficiency ratio</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r>
      <w:tr w:rsidR="00037236" w:rsidRPr="00EF3033" w:rsidTr="00037236">
        <w:trPr>
          <w:trHeight w:val="873"/>
        </w:trPr>
        <w:tc>
          <w:tcPr>
            <w:tcW w:w="3361" w:type="dxa"/>
            <w:tcBorders>
              <w:top w:val="nil"/>
              <w:left w:val="single" w:sz="4" w:space="0" w:color="auto"/>
              <w:bottom w:val="single" w:sz="4" w:space="0" w:color="auto"/>
              <w:right w:val="single" w:sz="4" w:space="0" w:color="auto"/>
            </w:tcBorders>
            <w:shd w:val="clear" w:color="auto" w:fill="auto"/>
            <w:vAlign w:val="bottom"/>
            <w:hideMark/>
          </w:tcPr>
          <w:p w:rsidR="00037236" w:rsidRPr="00EF3033" w:rsidRDefault="00037236" w:rsidP="00C92856">
            <w:pPr>
              <w:spacing w:after="0" w:line="240" w:lineRule="auto"/>
              <w:jc w:val="left"/>
              <w:rPr>
                <w:rFonts w:eastAsia="Times New Roman" w:cs="Times New Roman"/>
                <w:color w:val="000000"/>
                <w:szCs w:val="24"/>
                <w:lang w:val="en-IN" w:eastAsia="en-IN"/>
              </w:rPr>
            </w:pPr>
            <w:r w:rsidRPr="00EF3033">
              <w:rPr>
                <w:rFonts w:eastAsia="Times New Roman" w:cs="Times New Roman"/>
                <w:color w:val="000000"/>
                <w:szCs w:val="24"/>
                <w:lang w:val="en-IN" w:eastAsia="en-IN"/>
              </w:rPr>
              <w:t xml:space="preserve">Return on capital employed(ROCE)[EBIT/capital </w:t>
            </w:r>
            <w:proofErr w:type="spellStart"/>
            <w:r w:rsidRPr="00EF3033">
              <w:rPr>
                <w:rFonts w:eastAsia="Times New Roman" w:cs="Times New Roman"/>
                <w:color w:val="000000"/>
                <w:szCs w:val="24"/>
                <w:lang w:val="en-IN" w:eastAsia="en-IN"/>
              </w:rPr>
              <w:t>emplyed</w:t>
            </w:r>
            <w:proofErr w:type="spellEnd"/>
            <w:r w:rsidRPr="00EF3033">
              <w:rPr>
                <w:rFonts w:eastAsia="Times New Roman" w:cs="Times New Roman"/>
                <w:color w:val="000000"/>
                <w:szCs w:val="24"/>
                <w:lang w:val="en-IN" w:eastAsia="en-IN"/>
              </w:rPr>
              <w:t>]</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-0.01</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0.03</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0.06</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0.17</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0.10</w:t>
            </w:r>
          </w:p>
        </w:tc>
      </w:tr>
      <w:tr w:rsidR="00037236" w:rsidRPr="00EF3033" w:rsidTr="00037236">
        <w:trPr>
          <w:trHeight w:val="582"/>
        </w:trPr>
        <w:tc>
          <w:tcPr>
            <w:tcW w:w="3361" w:type="dxa"/>
            <w:tcBorders>
              <w:top w:val="nil"/>
              <w:left w:val="single" w:sz="4" w:space="0" w:color="auto"/>
              <w:bottom w:val="single" w:sz="4" w:space="0" w:color="auto"/>
              <w:right w:val="single" w:sz="4" w:space="0" w:color="auto"/>
            </w:tcBorders>
            <w:shd w:val="clear" w:color="auto" w:fill="auto"/>
            <w:vAlign w:val="bottom"/>
            <w:hideMark/>
          </w:tcPr>
          <w:p w:rsidR="00037236" w:rsidRPr="00EF3033" w:rsidRDefault="00037236" w:rsidP="00C92856">
            <w:pPr>
              <w:spacing w:after="0" w:line="240" w:lineRule="auto"/>
              <w:jc w:val="left"/>
              <w:rPr>
                <w:rFonts w:eastAsia="Times New Roman" w:cs="Times New Roman"/>
                <w:color w:val="000000"/>
                <w:szCs w:val="24"/>
                <w:lang w:val="en-IN" w:eastAsia="en-IN"/>
              </w:rPr>
            </w:pPr>
            <w:r w:rsidRPr="00EF3033">
              <w:rPr>
                <w:rFonts w:eastAsia="Times New Roman" w:cs="Times New Roman"/>
                <w:color w:val="000000"/>
                <w:szCs w:val="24"/>
                <w:lang w:val="en-IN" w:eastAsia="en-IN"/>
              </w:rPr>
              <w:t xml:space="preserve">Total asset </w:t>
            </w:r>
            <w:proofErr w:type="spellStart"/>
            <w:r w:rsidRPr="00EF3033">
              <w:rPr>
                <w:rFonts w:eastAsia="Times New Roman" w:cs="Times New Roman"/>
                <w:color w:val="000000"/>
                <w:szCs w:val="24"/>
                <w:lang w:val="en-IN" w:eastAsia="en-IN"/>
              </w:rPr>
              <w:t>turm</w:t>
            </w:r>
            <w:proofErr w:type="spellEnd"/>
            <w:r w:rsidRPr="00EF3033">
              <w:rPr>
                <w:rFonts w:eastAsia="Times New Roman" w:cs="Times New Roman"/>
                <w:color w:val="000000"/>
                <w:szCs w:val="24"/>
                <w:lang w:val="en-IN" w:eastAsia="en-IN"/>
              </w:rPr>
              <w:t xml:space="preserve"> over ratio(net sales or revenue/Total average asset)</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0.91</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0.96</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0.87</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0.74</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0.69</w:t>
            </w:r>
          </w:p>
        </w:tc>
      </w:tr>
      <w:tr w:rsidR="00037236" w:rsidRPr="00EF3033" w:rsidTr="00037236">
        <w:trPr>
          <w:trHeight w:val="291"/>
        </w:trPr>
        <w:tc>
          <w:tcPr>
            <w:tcW w:w="3361" w:type="dxa"/>
            <w:tcBorders>
              <w:top w:val="nil"/>
              <w:left w:val="single" w:sz="4" w:space="0" w:color="auto"/>
              <w:bottom w:val="single" w:sz="4" w:space="0" w:color="auto"/>
              <w:right w:val="single" w:sz="4" w:space="0" w:color="auto"/>
            </w:tcBorders>
            <w:shd w:val="clear" w:color="000000" w:fill="FFFF00"/>
            <w:vAlign w:val="bottom"/>
            <w:hideMark/>
          </w:tcPr>
          <w:p w:rsidR="00037236" w:rsidRPr="00EF3033" w:rsidRDefault="00037236" w:rsidP="00C92856">
            <w:pPr>
              <w:spacing w:after="0" w:line="240" w:lineRule="auto"/>
              <w:jc w:val="left"/>
              <w:rPr>
                <w:rFonts w:eastAsia="Times New Roman" w:cs="Times New Roman"/>
                <w:color w:val="000000"/>
                <w:szCs w:val="24"/>
                <w:lang w:val="en-IN" w:eastAsia="en-IN"/>
              </w:rPr>
            </w:pPr>
            <w:r w:rsidRPr="00EF3033">
              <w:rPr>
                <w:rFonts w:eastAsia="Times New Roman" w:cs="Times New Roman"/>
                <w:color w:val="000000"/>
                <w:szCs w:val="24"/>
                <w:lang w:val="en-IN" w:eastAsia="en-IN"/>
              </w:rPr>
              <w:t>Gearing Ratio</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lef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 </w:t>
            </w:r>
          </w:p>
        </w:tc>
      </w:tr>
      <w:tr w:rsidR="00037236" w:rsidRPr="00EF3033" w:rsidTr="00037236">
        <w:trPr>
          <w:trHeight w:val="65"/>
        </w:trPr>
        <w:tc>
          <w:tcPr>
            <w:tcW w:w="3361" w:type="dxa"/>
            <w:tcBorders>
              <w:top w:val="nil"/>
              <w:left w:val="single" w:sz="4" w:space="0" w:color="auto"/>
              <w:bottom w:val="single" w:sz="4" w:space="0" w:color="auto"/>
              <w:right w:val="single" w:sz="4" w:space="0" w:color="auto"/>
            </w:tcBorders>
            <w:shd w:val="clear" w:color="auto" w:fill="auto"/>
            <w:vAlign w:val="bottom"/>
            <w:hideMark/>
          </w:tcPr>
          <w:p w:rsidR="00037236" w:rsidRPr="00EF3033" w:rsidRDefault="00037236" w:rsidP="00C92856">
            <w:pPr>
              <w:spacing w:after="0" w:line="240" w:lineRule="auto"/>
              <w:jc w:val="left"/>
              <w:rPr>
                <w:rFonts w:eastAsia="Times New Roman" w:cs="Times New Roman"/>
                <w:color w:val="000000"/>
                <w:szCs w:val="24"/>
                <w:lang w:val="en-IN" w:eastAsia="en-IN"/>
              </w:rPr>
            </w:pPr>
            <w:r w:rsidRPr="00EF3033">
              <w:rPr>
                <w:rFonts w:eastAsia="Times New Roman" w:cs="Times New Roman"/>
                <w:color w:val="000000"/>
                <w:szCs w:val="24"/>
                <w:lang w:val="en-IN" w:eastAsia="en-IN"/>
              </w:rPr>
              <w:t>Gearing Ratio(long term liabilities/capital employed),capital employed=Share capital + retained earnings + long-term liabilities</w:t>
            </w:r>
          </w:p>
        </w:tc>
        <w:tc>
          <w:tcPr>
            <w:tcW w:w="1056"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94%</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86%</w:t>
            </w:r>
          </w:p>
        </w:tc>
        <w:tc>
          <w:tcPr>
            <w:tcW w:w="1095"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81%</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57%</w:t>
            </w:r>
          </w:p>
        </w:tc>
        <w:tc>
          <w:tcPr>
            <w:tcW w:w="953" w:type="dxa"/>
            <w:tcBorders>
              <w:top w:val="nil"/>
              <w:left w:val="nil"/>
              <w:bottom w:val="single" w:sz="4" w:space="0" w:color="auto"/>
              <w:right w:val="single" w:sz="4" w:space="0" w:color="auto"/>
            </w:tcBorders>
            <w:shd w:val="clear" w:color="auto" w:fill="auto"/>
            <w:noWrap/>
            <w:vAlign w:val="bottom"/>
            <w:hideMark/>
          </w:tcPr>
          <w:p w:rsidR="00037236" w:rsidRPr="00EF3033" w:rsidRDefault="00037236" w:rsidP="00C92856">
            <w:pPr>
              <w:spacing w:after="0" w:line="240" w:lineRule="auto"/>
              <w:jc w:val="right"/>
              <w:rPr>
                <w:rFonts w:ascii="Calibri" w:eastAsia="Times New Roman" w:hAnsi="Calibri" w:cs="Calibri"/>
                <w:color w:val="000000"/>
                <w:lang w:val="en-IN" w:eastAsia="en-IN"/>
              </w:rPr>
            </w:pPr>
            <w:r w:rsidRPr="00EF3033">
              <w:rPr>
                <w:rFonts w:ascii="Calibri" w:eastAsia="Times New Roman" w:hAnsi="Calibri" w:cs="Calibri"/>
                <w:color w:val="000000"/>
                <w:sz w:val="22"/>
                <w:lang w:val="en-IN" w:eastAsia="en-IN"/>
              </w:rPr>
              <w:t>73%</w:t>
            </w:r>
          </w:p>
        </w:tc>
      </w:tr>
    </w:tbl>
    <w:p w:rsidR="00CF02F5" w:rsidRDefault="00CF02F5" w:rsidP="00B90CBC"/>
    <w:p w:rsidR="00B43DC0" w:rsidRDefault="00B43DC0" w:rsidP="002D2687"/>
    <w:tbl>
      <w:tblPr>
        <w:tblW w:w="8491" w:type="dxa"/>
        <w:tblInd w:w="89" w:type="dxa"/>
        <w:tblLook w:val="04A0" w:firstRow="1" w:lastRow="0" w:firstColumn="1" w:lastColumn="0" w:noHBand="0" w:noVBand="1"/>
      </w:tblPr>
      <w:tblGrid>
        <w:gridCol w:w="3410"/>
        <w:gridCol w:w="1072"/>
        <w:gridCol w:w="992"/>
        <w:gridCol w:w="1111"/>
        <w:gridCol w:w="992"/>
        <w:gridCol w:w="992"/>
      </w:tblGrid>
      <w:tr w:rsidR="00037236" w:rsidRPr="004940F2" w:rsidTr="00C92856">
        <w:trPr>
          <w:trHeight w:val="244"/>
        </w:trPr>
        <w:tc>
          <w:tcPr>
            <w:tcW w:w="3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1072" w:type="dxa"/>
            <w:tcBorders>
              <w:top w:val="single" w:sz="4" w:space="0" w:color="auto"/>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£,million</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£,million</w:t>
            </w:r>
          </w:p>
        </w:tc>
        <w:tc>
          <w:tcPr>
            <w:tcW w:w="1111" w:type="dxa"/>
            <w:tcBorders>
              <w:top w:val="single" w:sz="4" w:space="0" w:color="auto"/>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£,million</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£,million</w:t>
            </w:r>
          </w:p>
        </w:tc>
        <w:tc>
          <w:tcPr>
            <w:tcW w:w="966" w:type="dxa"/>
            <w:tcBorders>
              <w:top w:val="single" w:sz="4" w:space="0" w:color="auto"/>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£,million</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1072" w:type="dxa"/>
            <w:tcBorders>
              <w:top w:val="nil"/>
              <w:left w:val="nil"/>
              <w:bottom w:val="single" w:sz="4" w:space="0" w:color="auto"/>
              <w:right w:val="single" w:sz="4" w:space="0" w:color="auto"/>
            </w:tcBorders>
            <w:shd w:val="clear" w:color="000000" w:fill="EEECE1"/>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2012</w:t>
            </w:r>
          </w:p>
        </w:tc>
        <w:tc>
          <w:tcPr>
            <w:tcW w:w="966" w:type="dxa"/>
            <w:tcBorders>
              <w:top w:val="nil"/>
              <w:left w:val="nil"/>
              <w:bottom w:val="single" w:sz="4" w:space="0" w:color="auto"/>
              <w:right w:val="single" w:sz="4" w:space="0" w:color="auto"/>
            </w:tcBorders>
            <w:shd w:val="clear" w:color="000000" w:fill="EEECE1"/>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2013</w:t>
            </w:r>
          </w:p>
        </w:tc>
        <w:tc>
          <w:tcPr>
            <w:tcW w:w="1111" w:type="dxa"/>
            <w:tcBorders>
              <w:top w:val="nil"/>
              <w:left w:val="nil"/>
              <w:bottom w:val="single" w:sz="4" w:space="0" w:color="auto"/>
              <w:right w:val="single" w:sz="4" w:space="0" w:color="auto"/>
            </w:tcBorders>
            <w:shd w:val="clear" w:color="000000" w:fill="EEECE1"/>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2014</w:t>
            </w:r>
          </w:p>
        </w:tc>
        <w:tc>
          <w:tcPr>
            <w:tcW w:w="966" w:type="dxa"/>
            <w:tcBorders>
              <w:top w:val="nil"/>
              <w:left w:val="nil"/>
              <w:bottom w:val="single" w:sz="4" w:space="0" w:color="auto"/>
              <w:right w:val="single" w:sz="4" w:space="0" w:color="auto"/>
            </w:tcBorders>
            <w:shd w:val="clear" w:color="000000" w:fill="EEECE1"/>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2015</w:t>
            </w:r>
          </w:p>
        </w:tc>
        <w:tc>
          <w:tcPr>
            <w:tcW w:w="966" w:type="dxa"/>
            <w:tcBorders>
              <w:top w:val="nil"/>
              <w:left w:val="nil"/>
              <w:bottom w:val="single" w:sz="4" w:space="0" w:color="auto"/>
              <w:right w:val="single" w:sz="4" w:space="0" w:color="auto"/>
            </w:tcBorders>
            <w:shd w:val="clear" w:color="000000" w:fill="EEECE1"/>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2016</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xml:space="preserve">Gross profit </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66.9</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341</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381</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200.9</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153</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Total revenue earned</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3913</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2,570</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2,927</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2,781.9</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2,689.9</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Net profit/PBT(profit before tax)</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27.2</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-5.1</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17.6</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875</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231.6</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Current asset</w:t>
            </w:r>
          </w:p>
        </w:tc>
        <w:tc>
          <w:tcPr>
            <w:tcW w:w="1072" w:type="dxa"/>
            <w:tcBorders>
              <w:top w:val="nil"/>
              <w:left w:val="nil"/>
              <w:bottom w:val="nil"/>
              <w:right w:val="nil"/>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1,032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775.1</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719</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970.1</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895.7</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Current liability</w:t>
            </w:r>
          </w:p>
        </w:tc>
        <w:tc>
          <w:tcPr>
            <w:tcW w:w="1072" w:type="dxa"/>
            <w:tcBorders>
              <w:top w:val="single" w:sz="4" w:space="0" w:color="auto"/>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1,592</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160.30</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346.30</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1371.5</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1123.8</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Average Inventory holding</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14.9</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43.7</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43</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38.8</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30.2</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share capital</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633.3</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0.30</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150</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150</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150</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xml:space="preserve">Retained </w:t>
            </w:r>
            <w:proofErr w:type="spellStart"/>
            <w:r w:rsidRPr="004940F2">
              <w:rPr>
                <w:rFonts w:ascii="Calibri" w:eastAsia="Times New Roman" w:hAnsi="Calibri" w:cs="Calibri"/>
                <w:color w:val="000000"/>
                <w:sz w:val="22"/>
                <w:lang w:val="en-IN" w:eastAsia="en-IN"/>
              </w:rPr>
              <w:t>earnning</w:t>
            </w:r>
            <w:proofErr w:type="spellEnd"/>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22.8</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-0.40</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14.90</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80.1</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186.4</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long term liabilities</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16.4</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30</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24</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363.5</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462.8</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capital employed</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672.50</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30.30</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189.20</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593.60</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799.20</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Total average asset</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3995.2</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2,812</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196</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1697.6</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1771.6</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EBIT</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385.2</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-1.6</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10</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30.8</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lang w:val="en-IN" w:eastAsia="en-IN"/>
              </w:rPr>
            </w:pPr>
            <w:r w:rsidRPr="004940F2">
              <w:rPr>
                <w:rFonts w:ascii="Calibri" w:eastAsia="Times New Roman" w:hAnsi="Calibri" w:cs="Calibri"/>
                <w:sz w:val="22"/>
                <w:lang w:val="en-IN" w:eastAsia="en-IN"/>
              </w:rPr>
              <w:t>22</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FF0000"/>
                <w:lang w:val="en-IN" w:eastAsia="en-IN"/>
              </w:rPr>
            </w:pPr>
            <w:r w:rsidRPr="004940F2">
              <w:rPr>
                <w:rFonts w:ascii="Calibri" w:eastAsia="Times New Roman" w:hAnsi="Calibri" w:cs="Calibri"/>
                <w:color w:val="FF0000"/>
                <w:sz w:val="22"/>
                <w:lang w:val="en-IN" w:eastAsia="en-IN"/>
              </w:rPr>
              <w:t> </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FF0000"/>
                <w:lang w:val="en-IN" w:eastAsia="en-IN"/>
              </w:rPr>
            </w:pPr>
            <w:r w:rsidRPr="004940F2">
              <w:rPr>
                <w:rFonts w:ascii="Calibri" w:eastAsia="Times New Roman" w:hAnsi="Calibri" w:cs="Calibri"/>
                <w:color w:val="FF0000"/>
                <w:sz w:val="22"/>
                <w:lang w:val="en-IN" w:eastAsia="en-IN"/>
              </w:rPr>
              <w:t> </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1072" w:type="dxa"/>
            <w:tcBorders>
              <w:top w:val="nil"/>
              <w:left w:val="nil"/>
              <w:bottom w:val="single" w:sz="4" w:space="0" w:color="auto"/>
              <w:right w:val="single" w:sz="4" w:space="0" w:color="auto"/>
            </w:tcBorders>
            <w:shd w:val="clear" w:color="000000" w:fill="EEECE1"/>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2012</w:t>
            </w:r>
          </w:p>
        </w:tc>
        <w:tc>
          <w:tcPr>
            <w:tcW w:w="966" w:type="dxa"/>
            <w:tcBorders>
              <w:top w:val="nil"/>
              <w:left w:val="nil"/>
              <w:bottom w:val="single" w:sz="4" w:space="0" w:color="auto"/>
              <w:right w:val="single" w:sz="4" w:space="0" w:color="auto"/>
            </w:tcBorders>
            <w:shd w:val="clear" w:color="000000" w:fill="EEECE1"/>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2013</w:t>
            </w:r>
          </w:p>
        </w:tc>
        <w:tc>
          <w:tcPr>
            <w:tcW w:w="1111" w:type="dxa"/>
            <w:tcBorders>
              <w:top w:val="nil"/>
              <w:left w:val="nil"/>
              <w:bottom w:val="single" w:sz="4" w:space="0" w:color="auto"/>
              <w:right w:val="single" w:sz="4" w:space="0" w:color="auto"/>
            </w:tcBorders>
            <w:shd w:val="clear" w:color="000000" w:fill="EEECE1"/>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2014</w:t>
            </w:r>
          </w:p>
        </w:tc>
        <w:tc>
          <w:tcPr>
            <w:tcW w:w="966" w:type="dxa"/>
            <w:tcBorders>
              <w:top w:val="nil"/>
              <w:left w:val="nil"/>
              <w:bottom w:val="single" w:sz="4" w:space="0" w:color="auto"/>
              <w:right w:val="single" w:sz="4" w:space="0" w:color="auto"/>
            </w:tcBorders>
            <w:shd w:val="clear" w:color="000000" w:fill="EEECE1"/>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2015</w:t>
            </w:r>
          </w:p>
        </w:tc>
        <w:tc>
          <w:tcPr>
            <w:tcW w:w="966" w:type="dxa"/>
            <w:tcBorders>
              <w:top w:val="nil"/>
              <w:left w:val="nil"/>
              <w:bottom w:val="single" w:sz="4" w:space="0" w:color="auto"/>
              <w:right w:val="single" w:sz="4" w:space="0" w:color="auto"/>
            </w:tcBorders>
            <w:shd w:val="clear" w:color="000000" w:fill="EEECE1"/>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2016</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000000" w:fill="FFFF00"/>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proofErr w:type="spellStart"/>
            <w:r w:rsidRPr="004940F2">
              <w:rPr>
                <w:rFonts w:ascii="Calibri" w:eastAsia="Times New Roman" w:hAnsi="Calibri" w:cs="Calibri"/>
                <w:color w:val="000000"/>
                <w:sz w:val="22"/>
                <w:lang w:val="en-IN" w:eastAsia="en-IN"/>
              </w:rPr>
              <w:t>Profitabiliy</w:t>
            </w:r>
            <w:proofErr w:type="spellEnd"/>
            <w:r w:rsidRPr="004940F2">
              <w:rPr>
                <w:rFonts w:ascii="Calibri" w:eastAsia="Times New Roman" w:hAnsi="Calibri" w:cs="Calibri"/>
                <w:color w:val="000000"/>
                <w:sz w:val="22"/>
                <w:lang w:val="en-IN" w:eastAsia="en-IN"/>
              </w:rPr>
              <w:t xml:space="preserve"> Ratios</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r>
      <w:tr w:rsidR="00037236" w:rsidRPr="004940F2" w:rsidTr="00C92856">
        <w:trPr>
          <w:trHeight w:val="806"/>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037236" w:rsidRPr="004940F2" w:rsidRDefault="00037236" w:rsidP="00C92856">
            <w:pPr>
              <w:spacing w:after="0" w:line="240" w:lineRule="auto"/>
              <w:jc w:val="left"/>
              <w:rPr>
                <w:rFonts w:eastAsia="Times New Roman" w:cs="Times New Roman"/>
                <w:b/>
                <w:bCs/>
                <w:i/>
                <w:iCs/>
                <w:color w:val="000000"/>
                <w:szCs w:val="24"/>
                <w:lang w:val="en-IN" w:eastAsia="en-IN"/>
              </w:rPr>
            </w:pPr>
            <w:r w:rsidRPr="004940F2">
              <w:rPr>
                <w:rFonts w:eastAsia="Times New Roman" w:cs="Times New Roman"/>
                <w:b/>
                <w:bCs/>
                <w:i/>
                <w:iCs/>
                <w:color w:val="000000"/>
                <w:szCs w:val="24"/>
                <w:lang w:val="en-IN" w:eastAsia="en-IN"/>
              </w:rPr>
              <w:t>Gross profit margin</w:t>
            </w:r>
            <w:r w:rsidRPr="004940F2">
              <w:rPr>
                <w:rFonts w:ascii="Calibri" w:eastAsia="Times New Roman" w:hAnsi="Calibri" w:cs="Calibri"/>
                <w:color w:val="000000"/>
                <w:sz w:val="22"/>
                <w:lang w:val="en-IN" w:eastAsia="en-IN"/>
              </w:rPr>
              <w:t xml:space="preserve"> ([Gross profit /Net sales]*100) </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13%</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13%</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7%</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6%</w:t>
            </w:r>
          </w:p>
        </w:tc>
      </w:tr>
      <w:tr w:rsidR="00037236" w:rsidRPr="004940F2" w:rsidTr="00C92856">
        <w:trPr>
          <w:trHeight w:val="488"/>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b/>
                <w:bCs/>
                <w:color w:val="000000"/>
                <w:sz w:val="22"/>
                <w:lang w:val="en-IN" w:eastAsia="en-IN"/>
              </w:rPr>
              <w:t>Operating Profit margin</w:t>
            </w:r>
            <w:r w:rsidRPr="004940F2">
              <w:rPr>
                <w:rFonts w:ascii="Calibri" w:eastAsia="Times New Roman" w:hAnsi="Calibri" w:cs="Calibri"/>
                <w:color w:val="000000"/>
                <w:sz w:val="22"/>
                <w:lang w:val="en-IN" w:eastAsia="en-IN"/>
              </w:rPr>
              <w:t xml:space="preserve"> (Operating profit or EBIT/Net sales): </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0.70%</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-0.20%</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0.60%</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7.22%</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5.70%</w:t>
            </w:r>
          </w:p>
        </w:tc>
      </w:tr>
      <w:tr w:rsidR="00037236" w:rsidRPr="004940F2" w:rsidTr="00C92856">
        <w:trPr>
          <w:trHeight w:val="244"/>
        </w:trPr>
        <w:tc>
          <w:tcPr>
            <w:tcW w:w="3410" w:type="dxa"/>
            <w:tcBorders>
              <w:top w:val="nil"/>
              <w:left w:val="single" w:sz="4" w:space="0" w:color="auto"/>
              <w:bottom w:val="single" w:sz="4" w:space="0" w:color="auto"/>
              <w:right w:val="single" w:sz="4" w:space="0" w:color="auto"/>
            </w:tcBorders>
            <w:shd w:val="clear" w:color="000000" w:fill="FFFF00"/>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Liquidity ratio</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966" w:type="dxa"/>
            <w:tcBorders>
              <w:top w:val="nil"/>
              <w:left w:val="nil"/>
              <w:bottom w:val="single" w:sz="4" w:space="0" w:color="auto"/>
              <w:right w:val="single" w:sz="4" w:space="0" w:color="auto"/>
            </w:tcBorders>
            <w:shd w:val="clear" w:color="auto" w:fill="auto"/>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r>
      <w:tr w:rsidR="00037236" w:rsidRPr="004940F2" w:rsidTr="00C92856">
        <w:trPr>
          <w:trHeight w:val="488"/>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b/>
                <w:bCs/>
                <w:color w:val="000000"/>
                <w:sz w:val="22"/>
                <w:lang w:val="en-IN" w:eastAsia="en-IN"/>
              </w:rPr>
              <w:t>Current Ratio</w:t>
            </w:r>
            <w:r w:rsidRPr="004940F2">
              <w:rPr>
                <w:rFonts w:ascii="Calibri" w:eastAsia="Times New Roman" w:hAnsi="Calibri" w:cs="Calibri"/>
                <w:color w:val="000000"/>
                <w:sz w:val="22"/>
                <w:lang w:val="en-IN" w:eastAsia="en-IN"/>
              </w:rPr>
              <w:t xml:space="preserve"> ([Current asset/Current liability]*100): </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0.65</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4.84</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2.08</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0.71</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0.80</w:t>
            </w:r>
          </w:p>
        </w:tc>
      </w:tr>
      <w:tr w:rsidR="00037236" w:rsidRPr="004940F2" w:rsidTr="00C92856">
        <w:trPr>
          <w:trHeight w:val="500"/>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037236" w:rsidRPr="004940F2" w:rsidRDefault="00037236" w:rsidP="00C92856">
            <w:pPr>
              <w:spacing w:after="0" w:line="240" w:lineRule="auto"/>
              <w:jc w:val="left"/>
              <w:rPr>
                <w:rFonts w:eastAsia="Times New Roman" w:cs="Times New Roman"/>
                <w:b/>
                <w:bCs/>
                <w:color w:val="000000"/>
                <w:szCs w:val="24"/>
                <w:lang w:val="en-IN" w:eastAsia="en-IN"/>
              </w:rPr>
            </w:pPr>
            <w:r w:rsidRPr="004940F2">
              <w:rPr>
                <w:rFonts w:eastAsia="Times New Roman" w:cs="Times New Roman"/>
                <w:b/>
                <w:bCs/>
                <w:color w:val="000000"/>
                <w:szCs w:val="24"/>
                <w:lang w:val="en-IN" w:eastAsia="en-IN"/>
              </w:rPr>
              <w:t>Quick Ratio</w:t>
            </w:r>
            <w:r w:rsidRPr="004940F2">
              <w:rPr>
                <w:rFonts w:ascii="Calibri" w:eastAsia="Times New Roman" w:hAnsi="Calibri" w:cs="Calibri"/>
                <w:color w:val="000000"/>
                <w:sz w:val="22"/>
                <w:lang w:val="en-IN" w:eastAsia="en-IN"/>
              </w:rPr>
              <w:t xml:space="preserve"> ([Current asset-Inventories]/ Current liability*100) </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0.64</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4.56</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1.95</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0.68</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0.77</w:t>
            </w:r>
          </w:p>
        </w:tc>
      </w:tr>
      <w:tr w:rsidR="00037236" w:rsidRPr="004940F2" w:rsidTr="00C92856">
        <w:trPr>
          <w:trHeight w:val="256"/>
        </w:trPr>
        <w:tc>
          <w:tcPr>
            <w:tcW w:w="3410" w:type="dxa"/>
            <w:tcBorders>
              <w:top w:val="nil"/>
              <w:left w:val="single" w:sz="4" w:space="0" w:color="auto"/>
              <w:bottom w:val="single" w:sz="4" w:space="0" w:color="auto"/>
              <w:right w:val="single" w:sz="4" w:space="0" w:color="auto"/>
            </w:tcBorders>
            <w:shd w:val="clear" w:color="000000" w:fill="FFFF00"/>
            <w:vAlign w:val="bottom"/>
            <w:hideMark/>
          </w:tcPr>
          <w:p w:rsidR="00037236" w:rsidRPr="004940F2" w:rsidRDefault="00037236" w:rsidP="00C92856">
            <w:pPr>
              <w:spacing w:after="0" w:line="240" w:lineRule="auto"/>
              <w:jc w:val="left"/>
              <w:rPr>
                <w:rFonts w:eastAsia="Times New Roman" w:cs="Times New Roman"/>
                <w:color w:val="000000"/>
                <w:szCs w:val="24"/>
                <w:lang w:val="en-IN" w:eastAsia="en-IN"/>
              </w:rPr>
            </w:pPr>
            <w:r w:rsidRPr="004940F2">
              <w:rPr>
                <w:rFonts w:eastAsia="Times New Roman" w:cs="Times New Roman"/>
                <w:color w:val="000000"/>
                <w:szCs w:val="24"/>
                <w:lang w:val="en-IN" w:eastAsia="en-IN"/>
              </w:rPr>
              <w:t>Efficiency ratio</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r>
      <w:tr w:rsidR="00037236" w:rsidRPr="004940F2" w:rsidTr="00C92856">
        <w:trPr>
          <w:trHeight w:val="769"/>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037236" w:rsidRPr="004940F2" w:rsidRDefault="00037236" w:rsidP="00C92856">
            <w:pPr>
              <w:spacing w:after="0" w:line="240" w:lineRule="auto"/>
              <w:jc w:val="left"/>
              <w:rPr>
                <w:rFonts w:eastAsia="Times New Roman" w:cs="Times New Roman"/>
                <w:color w:val="000000"/>
                <w:szCs w:val="24"/>
                <w:lang w:val="en-IN" w:eastAsia="en-IN"/>
              </w:rPr>
            </w:pPr>
            <w:r w:rsidRPr="004940F2">
              <w:rPr>
                <w:rFonts w:eastAsia="Times New Roman" w:cs="Times New Roman"/>
                <w:color w:val="000000"/>
                <w:szCs w:val="24"/>
                <w:lang w:val="en-IN" w:eastAsia="en-IN"/>
              </w:rPr>
              <w:t xml:space="preserve">Return on capital employed(ROCE)[EBIT/capital </w:t>
            </w:r>
            <w:proofErr w:type="spellStart"/>
            <w:r w:rsidRPr="004940F2">
              <w:rPr>
                <w:rFonts w:eastAsia="Times New Roman" w:cs="Times New Roman"/>
                <w:color w:val="000000"/>
                <w:szCs w:val="24"/>
                <w:lang w:val="en-IN" w:eastAsia="en-IN"/>
              </w:rPr>
              <w:t>emplyed</w:t>
            </w:r>
            <w:proofErr w:type="spellEnd"/>
            <w:r w:rsidRPr="004940F2">
              <w:rPr>
                <w:rFonts w:eastAsia="Times New Roman" w:cs="Times New Roman"/>
                <w:color w:val="000000"/>
                <w:szCs w:val="24"/>
                <w:lang w:val="en-IN" w:eastAsia="en-IN"/>
              </w:rPr>
              <w:t>]</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0.10</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0.00</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0.05</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0.02</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0.01</w:t>
            </w:r>
          </w:p>
        </w:tc>
      </w:tr>
      <w:tr w:rsidR="00037236" w:rsidRPr="004940F2" w:rsidTr="00C92856">
        <w:trPr>
          <w:trHeight w:val="513"/>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037236" w:rsidRPr="004940F2" w:rsidRDefault="00037236" w:rsidP="00C92856">
            <w:pPr>
              <w:spacing w:after="0" w:line="240" w:lineRule="auto"/>
              <w:jc w:val="left"/>
              <w:rPr>
                <w:rFonts w:eastAsia="Times New Roman" w:cs="Times New Roman"/>
                <w:color w:val="000000"/>
                <w:szCs w:val="24"/>
                <w:lang w:val="en-IN" w:eastAsia="en-IN"/>
              </w:rPr>
            </w:pPr>
            <w:r w:rsidRPr="004940F2">
              <w:rPr>
                <w:rFonts w:eastAsia="Times New Roman" w:cs="Times New Roman"/>
                <w:color w:val="000000"/>
                <w:szCs w:val="24"/>
                <w:lang w:val="en-IN" w:eastAsia="en-IN"/>
              </w:rPr>
              <w:t xml:space="preserve">Total asset </w:t>
            </w:r>
            <w:proofErr w:type="spellStart"/>
            <w:r w:rsidRPr="004940F2">
              <w:rPr>
                <w:rFonts w:eastAsia="Times New Roman" w:cs="Times New Roman"/>
                <w:color w:val="000000"/>
                <w:szCs w:val="24"/>
                <w:lang w:val="en-IN" w:eastAsia="en-IN"/>
              </w:rPr>
              <w:t>turm</w:t>
            </w:r>
            <w:proofErr w:type="spellEnd"/>
            <w:r w:rsidRPr="004940F2">
              <w:rPr>
                <w:rFonts w:eastAsia="Times New Roman" w:cs="Times New Roman"/>
                <w:color w:val="000000"/>
                <w:szCs w:val="24"/>
                <w:lang w:val="en-IN" w:eastAsia="en-IN"/>
              </w:rPr>
              <w:t xml:space="preserve"> over ratio(net sales or revenue/Total average asset)</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0.98</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0.91</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14.93</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1.64</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1.52</w:t>
            </w:r>
          </w:p>
        </w:tc>
      </w:tr>
      <w:tr w:rsidR="00037236" w:rsidRPr="004940F2" w:rsidTr="00C92856">
        <w:trPr>
          <w:trHeight w:val="256"/>
        </w:trPr>
        <w:tc>
          <w:tcPr>
            <w:tcW w:w="3410" w:type="dxa"/>
            <w:tcBorders>
              <w:top w:val="nil"/>
              <w:left w:val="single" w:sz="4" w:space="0" w:color="auto"/>
              <w:bottom w:val="single" w:sz="4" w:space="0" w:color="auto"/>
              <w:right w:val="single" w:sz="4" w:space="0" w:color="auto"/>
            </w:tcBorders>
            <w:shd w:val="clear" w:color="000000" w:fill="FFFF00"/>
            <w:vAlign w:val="bottom"/>
            <w:hideMark/>
          </w:tcPr>
          <w:p w:rsidR="00037236" w:rsidRPr="004940F2" w:rsidRDefault="00037236" w:rsidP="00C92856">
            <w:pPr>
              <w:spacing w:after="0" w:line="240" w:lineRule="auto"/>
              <w:jc w:val="left"/>
              <w:rPr>
                <w:rFonts w:eastAsia="Times New Roman" w:cs="Times New Roman"/>
                <w:color w:val="000000"/>
                <w:szCs w:val="24"/>
                <w:lang w:val="en-IN" w:eastAsia="en-IN"/>
              </w:rPr>
            </w:pPr>
            <w:r w:rsidRPr="004940F2">
              <w:rPr>
                <w:rFonts w:eastAsia="Times New Roman" w:cs="Times New Roman"/>
                <w:color w:val="000000"/>
                <w:szCs w:val="24"/>
                <w:lang w:val="en-IN" w:eastAsia="en-IN"/>
              </w:rPr>
              <w:t>Gearing Ratio</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 </w:t>
            </w:r>
          </w:p>
        </w:tc>
      </w:tr>
      <w:tr w:rsidR="00037236" w:rsidRPr="004940F2" w:rsidTr="00C92856">
        <w:trPr>
          <w:trHeight w:val="1025"/>
        </w:trPr>
        <w:tc>
          <w:tcPr>
            <w:tcW w:w="3410" w:type="dxa"/>
            <w:tcBorders>
              <w:top w:val="nil"/>
              <w:left w:val="single" w:sz="4" w:space="0" w:color="auto"/>
              <w:bottom w:val="single" w:sz="4" w:space="0" w:color="auto"/>
              <w:right w:val="single" w:sz="4" w:space="0" w:color="auto"/>
            </w:tcBorders>
            <w:shd w:val="clear" w:color="auto" w:fill="auto"/>
            <w:vAlign w:val="bottom"/>
            <w:hideMark/>
          </w:tcPr>
          <w:p w:rsidR="00037236" w:rsidRPr="004940F2" w:rsidRDefault="00037236" w:rsidP="00C92856">
            <w:pPr>
              <w:spacing w:after="0" w:line="240" w:lineRule="auto"/>
              <w:jc w:val="left"/>
              <w:rPr>
                <w:rFonts w:eastAsia="Times New Roman" w:cs="Times New Roman"/>
                <w:color w:val="000000"/>
                <w:szCs w:val="24"/>
                <w:lang w:val="en-IN" w:eastAsia="en-IN"/>
              </w:rPr>
            </w:pPr>
            <w:r w:rsidRPr="004940F2">
              <w:rPr>
                <w:rFonts w:eastAsia="Times New Roman" w:cs="Times New Roman"/>
                <w:color w:val="000000"/>
                <w:szCs w:val="24"/>
                <w:lang w:val="en-IN" w:eastAsia="en-IN"/>
              </w:rPr>
              <w:t>Gearing Ratio(long term liabilities/capital employed),capital employed=Share capital + retained earnings + long-term liabilities</w:t>
            </w:r>
          </w:p>
        </w:tc>
        <w:tc>
          <w:tcPr>
            <w:tcW w:w="1072"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100%</w:t>
            </w:r>
          </w:p>
        </w:tc>
        <w:tc>
          <w:tcPr>
            <w:tcW w:w="1111"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13%</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61%</w:t>
            </w:r>
          </w:p>
        </w:tc>
        <w:tc>
          <w:tcPr>
            <w:tcW w:w="966"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58%</w:t>
            </w:r>
          </w:p>
        </w:tc>
      </w:tr>
    </w:tbl>
    <w:p w:rsidR="00037236" w:rsidRDefault="00037236" w:rsidP="002D2687"/>
    <w:p w:rsidR="00037236" w:rsidRDefault="00037236" w:rsidP="002D2687"/>
    <w:p w:rsidR="00037236" w:rsidRDefault="00037236" w:rsidP="002D2687"/>
    <w:tbl>
      <w:tblPr>
        <w:tblW w:w="9102" w:type="dxa"/>
        <w:tblInd w:w="103" w:type="dxa"/>
        <w:tblLook w:val="04A0" w:firstRow="1" w:lastRow="0" w:firstColumn="1" w:lastColumn="0" w:noHBand="0" w:noVBand="1"/>
      </w:tblPr>
      <w:tblGrid>
        <w:gridCol w:w="2111"/>
        <w:gridCol w:w="1398"/>
        <w:gridCol w:w="1398"/>
        <w:gridCol w:w="1398"/>
        <w:gridCol w:w="1398"/>
        <w:gridCol w:w="1399"/>
      </w:tblGrid>
      <w:tr w:rsidR="00037236" w:rsidRPr="004940F2" w:rsidTr="00C92856">
        <w:trPr>
          <w:trHeight w:val="321"/>
        </w:trPr>
        <w:tc>
          <w:tcPr>
            <w:tcW w:w="910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 xml:space="preserve">Gross profit margin </w:t>
            </w:r>
          </w:p>
        </w:tc>
      </w:tr>
      <w:tr w:rsidR="00037236" w:rsidRPr="004940F2" w:rsidTr="00C92856">
        <w:trPr>
          <w:trHeight w:val="321"/>
        </w:trPr>
        <w:tc>
          <w:tcPr>
            <w:tcW w:w="2111" w:type="dxa"/>
            <w:tcBorders>
              <w:top w:val="nil"/>
              <w:left w:val="single" w:sz="4" w:space="0" w:color="auto"/>
              <w:bottom w:val="single" w:sz="4" w:space="0" w:color="auto"/>
              <w:right w:val="nil"/>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 </w:t>
            </w:r>
          </w:p>
        </w:tc>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2012</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2013</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2014</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2015</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2016</w:t>
            </w:r>
          </w:p>
        </w:tc>
      </w:tr>
      <w:tr w:rsidR="00037236" w:rsidRPr="004940F2" w:rsidTr="00C92856">
        <w:trPr>
          <w:trHeight w:val="641"/>
        </w:trPr>
        <w:tc>
          <w:tcPr>
            <w:tcW w:w="2111" w:type="dxa"/>
            <w:tcBorders>
              <w:top w:val="nil"/>
              <w:left w:val="single" w:sz="4" w:space="0" w:color="auto"/>
              <w:bottom w:val="single" w:sz="4" w:space="0" w:color="auto"/>
              <w:right w:val="single" w:sz="4" w:space="0" w:color="auto"/>
            </w:tcBorders>
            <w:shd w:val="clear" w:color="auto" w:fill="auto"/>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British airways(BA)</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3%</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6%</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8%</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11%</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13%</w:t>
            </w:r>
          </w:p>
        </w:tc>
      </w:tr>
      <w:tr w:rsidR="00037236" w:rsidRPr="004940F2" w:rsidTr="00C92856">
        <w:trPr>
          <w:trHeight w:val="641"/>
        </w:trPr>
        <w:tc>
          <w:tcPr>
            <w:tcW w:w="2111" w:type="dxa"/>
            <w:tcBorders>
              <w:top w:val="nil"/>
              <w:left w:val="single" w:sz="4" w:space="0" w:color="auto"/>
              <w:bottom w:val="single" w:sz="4" w:space="0" w:color="auto"/>
              <w:right w:val="single" w:sz="4" w:space="0" w:color="auto"/>
            </w:tcBorders>
            <w:shd w:val="clear" w:color="auto" w:fill="auto"/>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Virgin Atlantics(VA)</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13%</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13%</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7%</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6%</w:t>
            </w:r>
          </w:p>
        </w:tc>
      </w:tr>
      <w:tr w:rsidR="00037236" w:rsidRPr="004940F2" w:rsidTr="00C92856">
        <w:trPr>
          <w:trHeight w:val="321"/>
        </w:trPr>
        <w:tc>
          <w:tcPr>
            <w:tcW w:w="910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Net Profit margin</w:t>
            </w:r>
          </w:p>
        </w:tc>
      </w:tr>
      <w:tr w:rsidR="00037236" w:rsidRPr="004940F2" w:rsidTr="00C92856">
        <w:trPr>
          <w:trHeight w:val="321"/>
        </w:trPr>
        <w:tc>
          <w:tcPr>
            <w:tcW w:w="2111" w:type="dxa"/>
            <w:tcBorders>
              <w:top w:val="nil"/>
              <w:left w:val="single" w:sz="4" w:space="0" w:color="auto"/>
              <w:bottom w:val="single" w:sz="4" w:space="0" w:color="auto"/>
              <w:right w:val="nil"/>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 </w:t>
            </w:r>
          </w:p>
        </w:tc>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2012</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2013</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2014</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2015</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2016</w:t>
            </w:r>
          </w:p>
        </w:tc>
      </w:tr>
      <w:tr w:rsidR="00037236" w:rsidRPr="004940F2" w:rsidTr="00C92856">
        <w:trPr>
          <w:trHeight w:val="321"/>
        </w:trPr>
        <w:tc>
          <w:tcPr>
            <w:tcW w:w="2111"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British airways</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3%</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7%</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23%</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14%</w:t>
            </w:r>
          </w:p>
        </w:tc>
      </w:tr>
      <w:tr w:rsidR="00037236" w:rsidRPr="004940F2" w:rsidTr="00C92856">
        <w:trPr>
          <w:trHeight w:val="321"/>
        </w:trPr>
        <w:tc>
          <w:tcPr>
            <w:tcW w:w="2111"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Virgin Atlantics</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7%</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6%</w:t>
            </w:r>
          </w:p>
        </w:tc>
      </w:tr>
      <w:tr w:rsidR="00037236" w:rsidRPr="004940F2" w:rsidTr="00C92856">
        <w:trPr>
          <w:trHeight w:val="321"/>
        </w:trPr>
        <w:tc>
          <w:tcPr>
            <w:tcW w:w="910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Current Ratio</w:t>
            </w:r>
          </w:p>
        </w:tc>
      </w:tr>
      <w:tr w:rsidR="00037236" w:rsidRPr="004940F2" w:rsidTr="00C92856">
        <w:trPr>
          <w:trHeight w:val="321"/>
        </w:trPr>
        <w:tc>
          <w:tcPr>
            <w:tcW w:w="2111" w:type="dxa"/>
            <w:tcBorders>
              <w:top w:val="nil"/>
              <w:left w:val="single" w:sz="4" w:space="0" w:color="auto"/>
              <w:bottom w:val="single" w:sz="4" w:space="0" w:color="auto"/>
              <w:right w:val="nil"/>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 </w:t>
            </w:r>
          </w:p>
        </w:tc>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2012</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2013</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2014</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2015</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2016</w:t>
            </w:r>
          </w:p>
        </w:tc>
      </w:tr>
      <w:tr w:rsidR="00037236" w:rsidRPr="004940F2" w:rsidTr="00C92856">
        <w:trPr>
          <w:trHeight w:val="321"/>
        </w:trPr>
        <w:tc>
          <w:tcPr>
            <w:tcW w:w="2111"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British airways</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0.598909</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0.629998</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0.651218</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0.596491</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0.763217</w:t>
            </w:r>
          </w:p>
        </w:tc>
      </w:tr>
      <w:tr w:rsidR="00037236" w:rsidRPr="004940F2" w:rsidTr="00C92856">
        <w:trPr>
          <w:trHeight w:val="321"/>
        </w:trPr>
        <w:tc>
          <w:tcPr>
            <w:tcW w:w="2111"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Virgin Atlantics</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0.648404</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4.835309</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2.076234</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0.707328</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0.797028</w:t>
            </w:r>
          </w:p>
        </w:tc>
      </w:tr>
      <w:tr w:rsidR="00037236" w:rsidRPr="004940F2" w:rsidTr="00C92856">
        <w:trPr>
          <w:trHeight w:val="321"/>
        </w:trPr>
        <w:tc>
          <w:tcPr>
            <w:tcW w:w="910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Quick Ratio</w:t>
            </w:r>
          </w:p>
        </w:tc>
      </w:tr>
      <w:tr w:rsidR="00037236" w:rsidRPr="004940F2" w:rsidTr="00C92856">
        <w:trPr>
          <w:trHeight w:val="321"/>
        </w:trPr>
        <w:tc>
          <w:tcPr>
            <w:tcW w:w="2111" w:type="dxa"/>
            <w:tcBorders>
              <w:top w:val="nil"/>
              <w:left w:val="single" w:sz="4" w:space="0" w:color="auto"/>
              <w:bottom w:val="single" w:sz="4" w:space="0" w:color="auto"/>
              <w:right w:val="nil"/>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 </w:t>
            </w:r>
          </w:p>
        </w:tc>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2012</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2013</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2014</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2015</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2016</w:t>
            </w:r>
          </w:p>
        </w:tc>
      </w:tr>
      <w:tr w:rsidR="00037236" w:rsidRPr="004940F2" w:rsidTr="00C92856">
        <w:trPr>
          <w:trHeight w:val="321"/>
        </w:trPr>
        <w:tc>
          <w:tcPr>
            <w:tcW w:w="2111"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British airways</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0.572306</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0.514804</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0.554707</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0.572105</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0.738283</w:t>
            </w:r>
          </w:p>
        </w:tc>
      </w:tr>
      <w:tr w:rsidR="00037236" w:rsidRPr="004940F2" w:rsidTr="00C92856">
        <w:trPr>
          <w:trHeight w:val="321"/>
        </w:trPr>
        <w:tc>
          <w:tcPr>
            <w:tcW w:w="2111"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Virgin Atlantics</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0.639042</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4.562695</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1.952065</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0.679038</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0.770155</w:t>
            </w:r>
          </w:p>
        </w:tc>
      </w:tr>
      <w:tr w:rsidR="00037236" w:rsidRPr="004940F2" w:rsidTr="00C92856">
        <w:trPr>
          <w:trHeight w:val="321"/>
        </w:trPr>
        <w:tc>
          <w:tcPr>
            <w:tcW w:w="910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Return on capital employed(ROCE)</w:t>
            </w:r>
          </w:p>
        </w:tc>
      </w:tr>
      <w:tr w:rsidR="00037236" w:rsidRPr="004940F2" w:rsidTr="00C92856">
        <w:trPr>
          <w:trHeight w:val="321"/>
        </w:trPr>
        <w:tc>
          <w:tcPr>
            <w:tcW w:w="2111" w:type="dxa"/>
            <w:tcBorders>
              <w:top w:val="nil"/>
              <w:left w:val="single" w:sz="4" w:space="0" w:color="auto"/>
              <w:bottom w:val="single" w:sz="4" w:space="0" w:color="auto"/>
              <w:right w:val="nil"/>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 </w:t>
            </w:r>
          </w:p>
        </w:tc>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2012</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2013</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2014</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2015</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2016</w:t>
            </w:r>
          </w:p>
        </w:tc>
      </w:tr>
      <w:tr w:rsidR="00037236" w:rsidRPr="004940F2" w:rsidTr="00C92856">
        <w:trPr>
          <w:trHeight w:val="321"/>
        </w:trPr>
        <w:tc>
          <w:tcPr>
            <w:tcW w:w="2111"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British airways</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-0.01</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0.03</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0.06</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0.17</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0.10</w:t>
            </w:r>
          </w:p>
        </w:tc>
      </w:tr>
      <w:tr w:rsidR="00037236" w:rsidRPr="004940F2" w:rsidTr="00C92856">
        <w:trPr>
          <w:trHeight w:val="321"/>
        </w:trPr>
        <w:tc>
          <w:tcPr>
            <w:tcW w:w="2111"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Virgin Atlantics</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0.10</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0.00</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0.05</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0.02</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0.01</w:t>
            </w:r>
          </w:p>
        </w:tc>
      </w:tr>
      <w:tr w:rsidR="00037236" w:rsidRPr="004940F2" w:rsidTr="00C92856">
        <w:trPr>
          <w:trHeight w:val="321"/>
        </w:trPr>
        <w:tc>
          <w:tcPr>
            <w:tcW w:w="910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 xml:space="preserve">Total asset </w:t>
            </w:r>
            <w:proofErr w:type="spellStart"/>
            <w:r w:rsidRPr="004940F2">
              <w:rPr>
                <w:rFonts w:ascii="Calibri" w:eastAsia="Times New Roman" w:hAnsi="Calibri" w:cs="Calibri"/>
                <w:b/>
                <w:bCs/>
                <w:color w:val="000000"/>
                <w:sz w:val="22"/>
                <w:lang w:val="en-IN" w:eastAsia="en-IN"/>
              </w:rPr>
              <w:t>turm</w:t>
            </w:r>
            <w:proofErr w:type="spellEnd"/>
            <w:r w:rsidRPr="004940F2">
              <w:rPr>
                <w:rFonts w:ascii="Calibri" w:eastAsia="Times New Roman" w:hAnsi="Calibri" w:cs="Calibri"/>
                <w:b/>
                <w:bCs/>
                <w:color w:val="000000"/>
                <w:sz w:val="22"/>
                <w:lang w:val="en-IN" w:eastAsia="en-IN"/>
              </w:rPr>
              <w:t xml:space="preserve"> over ratio</w:t>
            </w:r>
          </w:p>
        </w:tc>
      </w:tr>
      <w:tr w:rsidR="00037236" w:rsidRPr="004940F2" w:rsidTr="00C92856">
        <w:trPr>
          <w:trHeight w:val="321"/>
        </w:trPr>
        <w:tc>
          <w:tcPr>
            <w:tcW w:w="2111" w:type="dxa"/>
            <w:tcBorders>
              <w:top w:val="nil"/>
              <w:left w:val="single" w:sz="4" w:space="0" w:color="auto"/>
              <w:bottom w:val="single" w:sz="4" w:space="0" w:color="auto"/>
              <w:right w:val="nil"/>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 </w:t>
            </w:r>
          </w:p>
        </w:tc>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2012</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2013</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2014</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2015</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2016</w:t>
            </w:r>
          </w:p>
        </w:tc>
      </w:tr>
      <w:tr w:rsidR="00037236" w:rsidRPr="004940F2" w:rsidTr="00C92856">
        <w:trPr>
          <w:trHeight w:val="321"/>
        </w:trPr>
        <w:tc>
          <w:tcPr>
            <w:tcW w:w="2111"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British airways</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0.914674</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0.958057</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0.872859</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0.737058</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0.694736</w:t>
            </w:r>
          </w:p>
        </w:tc>
      </w:tr>
      <w:tr w:rsidR="00037236" w:rsidRPr="004940F2" w:rsidTr="00C92856">
        <w:trPr>
          <w:trHeight w:val="321"/>
        </w:trPr>
        <w:tc>
          <w:tcPr>
            <w:tcW w:w="2111"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Virgin Atlantics</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0.979425</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0.91394</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14.93367</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1.638725</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1.518345</w:t>
            </w:r>
          </w:p>
        </w:tc>
      </w:tr>
      <w:tr w:rsidR="00037236" w:rsidRPr="004940F2" w:rsidTr="00C92856">
        <w:trPr>
          <w:trHeight w:val="321"/>
        </w:trPr>
        <w:tc>
          <w:tcPr>
            <w:tcW w:w="9102"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Gearing Ratio</w:t>
            </w:r>
          </w:p>
        </w:tc>
      </w:tr>
      <w:tr w:rsidR="00037236" w:rsidRPr="004940F2" w:rsidTr="00C92856">
        <w:trPr>
          <w:trHeight w:val="321"/>
        </w:trPr>
        <w:tc>
          <w:tcPr>
            <w:tcW w:w="2111" w:type="dxa"/>
            <w:tcBorders>
              <w:top w:val="nil"/>
              <w:left w:val="single" w:sz="4" w:space="0" w:color="auto"/>
              <w:bottom w:val="single" w:sz="4" w:space="0" w:color="auto"/>
              <w:right w:val="nil"/>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 </w:t>
            </w:r>
          </w:p>
        </w:tc>
        <w:tc>
          <w:tcPr>
            <w:tcW w:w="1398"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2012</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2013</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2014</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2015</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center"/>
              <w:rPr>
                <w:rFonts w:ascii="Calibri" w:eastAsia="Times New Roman" w:hAnsi="Calibri" w:cs="Calibri"/>
                <w:b/>
                <w:bCs/>
                <w:color w:val="000000"/>
                <w:lang w:val="en-IN" w:eastAsia="en-IN"/>
              </w:rPr>
            </w:pPr>
            <w:r w:rsidRPr="004940F2">
              <w:rPr>
                <w:rFonts w:ascii="Calibri" w:eastAsia="Times New Roman" w:hAnsi="Calibri" w:cs="Calibri"/>
                <w:b/>
                <w:bCs/>
                <w:color w:val="000000"/>
                <w:sz w:val="22"/>
                <w:lang w:val="en-IN" w:eastAsia="en-IN"/>
              </w:rPr>
              <w:t>2016</w:t>
            </w:r>
          </w:p>
        </w:tc>
      </w:tr>
      <w:tr w:rsidR="00037236" w:rsidRPr="004940F2" w:rsidTr="00C92856">
        <w:trPr>
          <w:trHeight w:val="321"/>
        </w:trPr>
        <w:tc>
          <w:tcPr>
            <w:tcW w:w="2111"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British airways</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94%</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86%</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81%</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57%</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73%</w:t>
            </w:r>
          </w:p>
        </w:tc>
      </w:tr>
      <w:tr w:rsidR="00037236" w:rsidRPr="004940F2" w:rsidTr="00C92856">
        <w:trPr>
          <w:trHeight w:val="321"/>
        </w:trPr>
        <w:tc>
          <w:tcPr>
            <w:tcW w:w="2111" w:type="dxa"/>
            <w:tcBorders>
              <w:top w:val="nil"/>
              <w:left w:val="single" w:sz="4" w:space="0" w:color="auto"/>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lef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Virgin Atlantics</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2%</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100%</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13%</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61%</w:t>
            </w:r>
          </w:p>
        </w:tc>
        <w:tc>
          <w:tcPr>
            <w:tcW w:w="1398" w:type="dxa"/>
            <w:tcBorders>
              <w:top w:val="nil"/>
              <w:left w:val="nil"/>
              <w:bottom w:val="single" w:sz="4" w:space="0" w:color="auto"/>
              <w:right w:val="single" w:sz="4" w:space="0" w:color="auto"/>
            </w:tcBorders>
            <w:shd w:val="clear" w:color="auto" w:fill="auto"/>
            <w:noWrap/>
            <w:vAlign w:val="bottom"/>
            <w:hideMark/>
          </w:tcPr>
          <w:p w:rsidR="00037236" w:rsidRPr="004940F2" w:rsidRDefault="00037236" w:rsidP="00C92856">
            <w:pPr>
              <w:spacing w:after="0" w:line="240" w:lineRule="auto"/>
              <w:jc w:val="right"/>
              <w:rPr>
                <w:rFonts w:ascii="Calibri" w:eastAsia="Times New Roman" w:hAnsi="Calibri" w:cs="Calibri"/>
                <w:color w:val="000000"/>
                <w:lang w:val="en-IN" w:eastAsia="en-IN"/>
              </w:rPr>
            </w:pPr>
            <w:r w:rsidRPr="004940F2">
              <w:rPr>
                <w:rFonts w:ascii="Calibri" w:eastAsia="Times New Roman" w:hAnsi="Calibri" w:cs="Calibri"/>
                <w:color w:val="000000"/>
                <w:sz w:val="22"/>
                <w:lang w:val="en-IN" w:eastAsia="en-IN"/>
              </w:rPr>
              <w:t>58%</w:t>
            </w:r>
          </w:p>
        </w:tc>
      </w:tr>
    </w:tbl>
    <w:p w:rsidR="00037236" w:rsidRPr="002D2687" w:rsidRDefault="00037236" w:rsidP="002D2687"/>
    <w:sectPr w:rsidR="00037236" w:rsidRPr="002D2687" w:rsidSect="00960C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C69"/>
    <w:rsid w:val="00037236"/>
    <w:rsid w:val="00037C00"/>
    <w:rsid w:val="00052A59"/>
    <w:rsid w:val="00065998"/>
    <w:rsid w:val="00093335"/>
    <w:rsid w:val="000A2B77"/>
    <w:rsid w:val="000D0601"/>
    <w:rsid w:val="000E7560"/>
    <w:rsid w:val="000F3602"/>
    <w:rsid w:val="00184095"/>
    <w:rsid w:val="001A63C6"/>
    <w:rsid w:val="001B389F"/>
    <w:rsid w:val="001B62B9"/>
    <w:rsid w:val="001D15D2"/>
    <w:rsid w:val="001F327C"/>
    <w:rsid w:val="0023052C"/>
    <w:rsid w:val="00272B5D"/>
    <w:rsid w:val="00286276"/>
    <w:rsid w:val="00295929"/>
    <w:rsid w:val="002A009E"/>
    <w:rsid w:val="002A773A"/>
    <w:rsid w:val="002B78BA"/>
    <w:rsid w:val="002D2687"/>
    <w:rsid w:val="00375463"/>
    <w:rsid w:val="003B0FC6"/>
    <w:rsid w:val="003C538C"/>
    <w:rsid w:val="003C6725"/>
    <w:rsid w:val="004802FE"/>
    <w:rsid w:val="0048463D"/>
    <w:rsid w:val="004A3BA5"/>
    <w:rsid w:val="004C15FE"/>
    <w:rsid w:val="004D4EE1"/>
    <w:rsid w:val="004E3632"/>
    <w:rsid w:val="004F128D"/>
    <w:rsid w:val="005069E2"/>
    <w:rsid w:val="005179CD"/>
    <w:rsid w:val="005443E7"/>
    <w:rsid w:val="005566C8"/>
    <w:rsid w:val="00584FC3"/>
    <w:rsid w:val="005A4CA5"/>
    <w:rsid w:val="005E3558"/>
    <w:rsid w:val="005E41FC"/>
    <w:rsid w:val="005F53D0"/>
    <w:rsid w:val="006169CA"/>
    <w:rsid w:val="006209EB"/>
    <w:rsid w:val="006817D5"/>
    <w:rsid w:val="006D52DA"/>
    <w:rsid w:val="006E2F41"/>
    <w:rsid w:val="006F1F64"/>
    <w:rsid w:val="00715190"/>
    <w:rsid w:val="00736EBD"/>
    <w:rsid w:val="00737C1E"/>
    <w:rsid w:val="00742A8C"/>
    <w:rsid w:val="00783FDC"/>
    <w:rsid w:val="007875D4"/>
    <w:rsid w:val="007B2842"/>
    <w:rsid w:val="007C0C0D"/>
    <w:rsid w:val="007D5BC6"/>
    <w:rsid w:val="007D7B20"/>
    <w:rsid w:val="00807FC3"/>
    <w:rsid w:val="008332C3"/>
    <w:rsid w:val="0088714F"/>
    <w:rsid w:val="00897FEC"/>
    <w:rsid w:val="008C6091"/>
    <w:rsid w:val="008D58C5"/>
    <w:rsid w:val="008F632A"/>
    <w:rsid w:val="00940CAF"/>
    <w:rsid w:val="00955479"/>
    <w:rsid w:val="00960C94"/>
    <w:rsid w:val="009E2EBE"/>
    <w:rsid w:val="00A45B21"/>
    <w:rsid w:val="00A660B2"/>
    <w:rsid w:val="00AA789A"/>
    <w:rsid w:val="00AC5558"/>
    <w:rsid w:val="00B10B6D"/>
    <w:rsid w:val="00B1150D"/>
    <w:rsid w:val="00B12B4C"/>
    <w:rsid w:val="00B43DC0"/>
    <w:rsid w:val="00B46B07"/>
    <w:rsid w:val="00B46C18"/>
    <w:rsid w:val="00B66A4F"/>
    <w:rsid w:val="00B80CBA"/>
    <w:rsid w:val="00B90CBC"/>
    <w:rsid w:val="00B96C69"/>
    <w:rsid w:val="00BD53CC"/>
    <w:rsid w:val="00C44660"/>
    <w:rsid w:val="00C450BD"/>
    <w:rsid w:val="00C62488"/>
    <w:rsid w:val="00C92856"/>
    <w:rsid w:val="00CA6322"/>
    <w:rsid w:val="00CB0466"/>
    <w:rsid w:val="00CF02F5"/>
    <w:rsid w:val="00D54F4A"/>
    <w:rsid w:val="00D854B1"/>
    <w:rsid w:val="00D87012"/>
    <w:rsid w:val="00DC2A0B"/>
    <w:rsid w:val="00DC30EC"/>
    <w:rsid w:val="00E00D2D"/>
    <w:rsid w:val="00E42ACF"/>
    <w:rsid w:val="00E66DB9"/>
    <w:rsid w:val="00EE09E3"/>
    <w:rsid w:val="00EF0FC7"/>
    <w:rsid w:val="00F02DE9"/>
    <w:rsid w:val="00F03552"/>
    <w:rsid w:val="00F15A08"/>
    <w:rsid w:val="00F178FB"/>
    <w:rsid w:val="00F31E87"/>
    <w:rsid w:val="00F6207E"/>
    <w:rsid w:val="00F7390B"/>
    <w:rsid w:val="00F763F9"/>
    <w:rsid w:val="00FB26E6"/>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AC779-6B43-46DA-B144-A6D43F6DC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DE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32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5547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40CAF"/>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2C3"/>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955479"/>
    <w:rPr>
      <w:rFonts w:asciiTheme="majorHAnsi" w:eastAsiaTheme="majorEastAsia" w:hAnsiTheme="majorHAnsi" w:cstheme="majorBidi"/>
      <w:b/>
      <w:bCs/>
      <w:color w:val="4F81BD" w:themeColor="accent1"/>
      <w:sz w:val="26"/>
      <w:szCs w:val="26"/>
      <w:lang w:val="en-GB"/>
    </w:rPr>
  </w:style>
  <w:style w:type="paragraph" w:styleId="BalloonText">
    <w:name w:val="Balloon Text"/>
    <w:basedOn w:val="Normal"/>
    <w:link w:val="BalloonTextChar"/>
    <w:uiPriority w:val="99"/>
    <w:semiHidden/>
    <w:unhideWhenUsed/>
    <w:rsid w:val="00715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190"/>
    <w:rPr>
      <w:rFonts w:ascii="Tahoma" w:hAnsi="Tahoma" w:cs="Tahoma"/>
      <w:sz w:val="16"/>
      <w:szCs w:val="16"/>
      <w:lang w:val="en-GB"/>
    </w:rPr>
  </w:style>
  <w:style w:type="paragraph" w:styleId="Title">
    <w:name w:val="Title"/>
    <w:basedOn w:val="Normal"/>
    <w:next w:val="Normal"/>
    <w:link w:val="TitleChar"/>
    <w:uiPriority w:val="10"/>
    <w:qFormat/>
    <w:rsid w:val="00B43DC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43DC0"/>
    <w:rPr>
      <w:rFonts w:asciiTheme="majorHAnsi" w:eastAsiaTheme="majorEastAsia" w:hAnsiTheme="majorHAnsi" w:cstheme="majorBidi"/>
      <w:color w:val="17365D" w:themeColor="text2" w:themeShade="BF"/>
      <w:spacing w:val="5"/>
      <w:kern w:val="28"/>
      <w:sz w:val="52"/>
      <w:szCs w:val="52"/>
      <w:lang w:val="en-GB"/>
    </w:rPr>
  </w:style>
  <w:style w:type="character" w:styleId="Hyperlink">
    <w:name w:val="Hyperlink"/>
    <w:basedOn w:val="DefaultParagraphFont"/>
    <w:uiPriority w:val="99"/>
    <w:unhideWhenUsed/>
    <w:rsid w:val="00B43DC0"/>
    <w:rPr>
      <w:color w:val="0000FF"/>
      <w:u w:val="single"/>
    </w:rPr>
  </w:style>
  <w:style w:type="paragraph" w:styleId="TOCHeading">
    <w:name w:val="TOC Heading"/>
    <w:basedOn w:val="Heading1"/>
    <w:next w:val="Normal"/>
    <w:uiPriority w:val="39"/>
    <w:semiHidden/>
    <w:unhideWhenUsed/>
    <w:qFormat/>
    <w:rsid w:val="00CF02F5"/>
    <w:pPr>
      <w:spacing w:line="276" w:lineRule="auto"/>
      <w:jc w:val="left"/>
      <w:outlineLvl w:val="9"/>
    </w:pPr>
    <w:rPr>
      <w:lang w:val="en-US"/>
    </w:rPr>
  </w:style>
  <w:style w:type="paragraph" w:styleId="TOC1">
    <w:name w:val="toc 1"/>
    <w:basedOn w:val="Normal"/>
    <w:next w:val="Normal"/>
    <w:autoRedefine/>
    <w:uiPriority w:val="39"/>
    <w:unhideWhenUsed/>
    <w:rsid w:val="00CF02F5"/>
    <w:pPr>
      <w:spacing w:after="100"/>
    </w:pPr>
  </w:style>
  <w:style w:type="paragraph" w:styleId="TOC2">
    <w:name w:val="toc 2"/>
    <w:basedOn w:val="Normal"/>
    <w:next w:val="Normal"/>
    <w:autoRedefine/>
    <w:uiPriority w:val="39"/>
    <w:unhideWhenUsed/>
    <w:rsid w:val="00CF02F5"/>
    <w:pPr>
      <w:spacing w:after="100"/>
      <w:ind w:left="240"/>
    </w:pPr>
  </w:style>
  <w:style w:type="character" w:customStyle="1" w:styleId="Heading3Char">
    <w:name w:val="Heading 3 Char"/>
    <w:basedOn w:val="DefaultParagraphFont"/>
    <w:link w:val="Heading3"/>
    <w:uiPriority w:val="9"/>
    <w:rsid w:val="00940CAF"/>
    <w:rPr>
      <w:rFonts w:ascii="Times New Roman" w:eastAsiaTheme="majorEastAsia" w:hAnsi="Times New Roman" w:cstheme="majorBidi"/>
      <w:b/>
      <w:bCs/>
      <w:color w:val="4F81BD" w:themeColor="accent1"/>
      <w:sz w:val="24"/>
      <w:lang w:val="en-GB"/>
    </w:rPr>
  </w:style>
  <w:style w:type="paragraph" w:styleId="TOC3">
    <w:name w:val="toc 3"/>
    <w:basedOn w:val="Normal"/>
    <w:next w:val="Normal"/>
    <w:autoRedefine/>
    <w:uiPriority w:val="39"/>
    <w:unhideWhenUsed/>
    <w:rsid w:val="005F53D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826742">
      <w:bodyDiv w:val="1"/>
      <w:marLeft w:val="0"/>
      <w:marRight w:val="0"/>
      <w:marTop w:val="0"/>
      <w:marBottom w:val="0"/>
      <w:divBdr>
        <w:top w:val="none" w:sz="0" w:space="0" w:color="auto"/>
        <w:left w:val="none" w:sz="0" w:space="0" w:color="auto"/>
        <w:bottom w:val="none" w:sz="0" w:space="0" w:color="auto"/>
        <w:right w:val="none" w:sz="0" w:space="0" w:color="auto"/>
      </w:divBdr>
    </w:div>
    <w:div w:id="95903734">
      <w:bodyDiv w:val="1"/>
      <w:marLeft w:val="0"/>
      <w:marRight w:val="0"/>
      <w:marTop w:val="0"/>
      <w:marBottom w:val="0"/>
      <w:divBdr>
        <w:top w:val="none" w:sz="0" w:space="0" w:color="auto"/>
        <w:left w:val="none" w:sz="0" w:space="0" w:color="auto"/>
        <w:bottom w:val="none" w:sz="0" w:space="0" w:color="auto"/>
        <w:right w:val="none" w:sz="0" w:space="0" w:color="auto"/>
      </w:divBdr>
    </w:div>
    <w:div w:id="121003897">
      <w:bodyDiv w:val="1"/>
      <w:marLeft w:val="0"/>
      <w:marRight w:val="0"/>
      <w:marTop w:val="0"/>
      <w:marBottom w:val="0"/>
      <w:divBdr>
        <w:top w:val="none" w:sz="0" w:space="0" w:color="auto"/>
        <w:left w:val="none" w:sz="0" w:space="0" w:color="auto"/>
        <w:bottom w:val="none" w:sz="0" w:space="0" w:color="auto"/>
        <w:right w:val="none" w:sz="0" w:space="0" w:color="auto"/>
      </w:divBdr>
    </w:div>
    <w:div w:id="135100753">
      <w:bodyDiv w:val="1"/>
      <w:marLeft w:val="0"/>
      <w:marRight w:val="0"/>
      <w:marTop w:val="0"/>
      <w:marBottom w:val="0"/>
      <w:divBdr>
        <w:top w:val="none" w:sz="0" w:space="0" w:color="auto"/>
        <w:left w:val="none" w:sz="0" w:space="0" w:color="auto"/>
        <w:bottom w:val="none" w:sz="0" w:space="0" w:color="auto"/>
        <w:right w:val="none" w:sz="0" w:space="0" w:color="auto"/>
      </w:divBdr>
    </w:div>
    <w:div w:id="174151249">
      <w:bodyDiv w:val="1"/>
      <w:marLeft w:val="0"/>
      <w:marRight w:val="0"/>
      <w:marTop w:val="0"/>
      <w:marBottom w:val="0"/>
      <w:divBdr>
        <w:top w:val="none" w:sz="0" w:space="0" w:color="auto"/>
        <w:left w:val="none" w:sz="0" w:space="0" w:color="auto"/>
        <w:bottom w:val="none" w:sz="0" w:space="0" w:color="auto"/>
        <w:right w:val="none" w:sz="0" w:space="0" w:color="auto"/>
      </w:divBdr>
    </w:div>
    <w:div w:id="347373556">
      <w:bodyDiv w:val="1"/>
      <w:marLeft w:val="0"/>
      <w:marRight w:val="0"/>
      <w:marTop w:val="0"/>
      <w:marBottom w:val="0"/>
      <w:divBdr>
        <w:top w:val="none" w:sz="0" w:space="0" w:color="auto"/>
        <w:left w:val="none" w:sz="0" w:space="0" w:color="auto"/>
        <w:bottom w:val="none" w:sz="0" w:space="0" w:color="auto"/>
        <w:right w:val="none" w:sz="0" w:space="0" w:color="auto"/>
      </w:divBdr>
    </w:div>
    <w:div w:id="468204418">
      <w:bodyDiv w:val="1"/>
      <w:marLeft w:val="0"/>
      <w:marRight w:val="0"/>
      <w:marTop w:val="0"/>
      <w:marBottom w:val="0"/>
      <w:divBdr>
        <w:top w:val="none" w:sz="0" w:space="0" w:color="auto"/>
        <w:left w:val="none" w:sz="0" w:space="0" w:color="auto"/>
        <w:bottom w:val="none" w:sz="0" w:space="0" w:color="auto"/>
        <w:right w:val="none" w:sz="0" w:space="0" w:color="auto"/>
      </w:divBdr>
    </w:div>
    <w:div w:id="482431655">
      <w:bodyDiv w:val="1"/>
      <w:marLeft w:val="0"/>
      <w:marRight w:val="0"/>
      <w:marTop w:val="0"/>
      <w:marBottom w:val="0"/>
      <w:divBdr>
        <w:top w:val="none" w:sz="0" w:space="0" w:color="auto"/>
        <w:left w:val="none" w:sz="0" w:space="0" w:color="auto"/>
        <w:bottom w:val="none" w:sz="0" w:space="0" w:color="auto"/>
        <w:right w:val="none" w:sz="0" w:space="0" w:color="auto"/>
      </w:divBdr>
    </w:div>
    <w:div w:id="497118140">
      <w:bodyDiv w:val="1"/>
      <w:marLeft w:val="0"/>
      <w:marRight w:val="0"/>
      <w:marTop w:val="0"/>
      <w:marBottom w:val="0"/>
      <w:divBdr>
        <w:top w:val="none" w:sz="0" w:space="0" w:color="auto"/>
        <w:left w:val="none" w:sz="0" w:space="0" w:color="auto"/>
        <w:bottom w:val="none" w:sz="0" w:space="0" w:color="auto"/>
        <w:right w:val="none" w:sz="0" w:space="0" w:color="auto"/>
      </w:divBdr>
    </w:div>
    <w:div w:id="534658826">
      <w:bodyDiv w:val="1"/>
      <w:marLeft w:val="0"/>
      <w:marRight w:val="0"/>
      <w:marTop w:val="0"/>
      <w:marBottom w:val="0"/>
      <w:divBdr>
        <w:top w:val="none" w:sz="0" w:space="0" w:color="auto"/>
        <w:left w:val="none" w:sz="0" w:space="0" w:color="auto"/>
        <w:bottom w:val="none" w:sz="0" w:space="0" w:color="auto"/>
        <w:right w:val="none" w:sz="0" w:space="0" w:color="auto"/>
      </w:divBdr>
    </w:div>
    <w:div w:id="670068247">
      <w:bodyDiv w:val="1"/>
      <w:marLeft w:val="0"/>
      <w:marRight w:val="0"/>
      <w:marTop w:val="0"/>
      <w:marBottom w:val="0"/>
      <w:divBdr>
        <w:top w:val="none" w:sz="0" w:space="0" w:color="auto"/>
        <w:left w:val="none" w:sz="0" w:space="0" w:color="auto"/>
        <w:bottom w:val="none" w:sz="0" w:space="0" w:color="auto"/>
        <w:right w:val="none" w:sz="0" w:space="0" w:color="auto"/>
      </w:divBdr>
    </w:div>
    <w:div w:id="740518128">
      <w:bodyDiv w:val="1"/>
      <w:marLeft w:val="0"/>
      <w:marRight w:val="0"/>
      <w:marTop w:val="0"/>
      <w:marBottom w:val="0"/>
      <w:divBdr>
        <w:top w:val="none" w:sz="0" w:space="0" w:color="auto"/>
        <w:left w:val="none" w:sz="0" w:space="0" w:color="auto"/>
        <w:bottom w:val="none" w:sz="0" w:space="0" w:color="auto"/>
        <w:right w:val="none" w:sz="0" w:space="0" w:color="auto"/>
      </w:divBdr>
    </w:div>
    <w:div w:id="785587312">
      <w:bodyDiv w:val="1"/>
      <w:marLeft w:val="0"/>
      <w:marRight w:val="0"/>
      <w:marTop w:val="0"/>
      <w:marBottom w:val="0"/>
      <w:divBdr>
        <w:top w:val="none" w:sz="0" w:space="0" w:color="auto"/>
        <w:left w:val="none" w:sz="0" w:space="0" w:color="auto"/>
        <w:bottom w:val="none" w:sz="0" w:space="0" w:color="auto"/>
        <w:right w:val="none" w:sz="0" w:space="0" w:color="auto"/>
      </w:divBdr>
    </w:div>
    <w:div w:id="851528513">
      <w:bodyDiv w:val="1"/>
      <w:marLeft w:val="0"/>
      <w:marRight w:val="0"/>
      <w:marTop w:val="0"/>
      <w:marBottom w:val="0"/>
      <w:divBdr>
        <w:top w:val="none" w:sz="0" w:space="0" w:color="auto"/>
        <w:left w:val="none" w:sz="0" w:space="0" w:color="auto"/>
        <w:bottom w:val="none" w:sz="0" w:space="0" w:color="auto"/>
        <w:right w:val="none" w:sz="0" w:space="0" w:color="auto"/>
      </w:divBdr>
    </w:div>
    <w:div w:id="981469415">
      <w:bodyDiv w:val="1"/>
      <w:marLeft w:val="0"/>
      <w:marRight w:val="0"/>
      <w:marTop w:val="0"/>
      <w:marBottom w:val="0"/>
      <w:divBdr>
        <w:top w:val="none" w:sz="0" w:space="0" w:color="auto"/>
        <w:left w:val="none" w:sz="0" w:space="0" w:color="auto"/>
        <w:bottom w:val="none" w:sz="0" w:space="0" w:color="auto"/>
        <w:right w:val="none" w:sz="0" w:space="0" w:color="auto"/>
      </w:divBdr>
    </w:div>
    <w:div w:id="1002123198">
      <w:bodyDiv w:val="1"/>
      <w:marLeft w:val="0"/>
      <w:marRight w:val="0"/>
      <w:marTop w:val="0"/>
      <w:marBottom w:val="0"/>
      <w:divBdr>
        <w:top w:val="none" w:sz="0" w:space="0" w:color="auto"/>
        <w:left w:val="none" w:sz="0" w:space="0" w:color="auto"/>
        <w:bottom w:val="none" w:sz="0" w:space="0" w:color="auto"/>
        <w:right w:val="none" w:sz="0" w:space="0" w:color="auto"/>
      </w:divBdr>
    </w:div>
    <w:div w:id="1111824625">
      <w:bodyDiv w:val="1"/>
      <w:marLeft w:val="0"/>
      <w:marRight w:val="0"/>
      <w:marTop w:val="0"/>
      <w:marBottom w:val="0"/>
      <w:divBdr>
        <w:top w:val="none" w:sz="0" w:space="0" w:color="auto"/>
        <w:left w:val="none" w:sz="0" w:space="0" w:color="auto"/>
        <w:bottom w:val="none" w:sz="0" w:space="0" w:color="auto"/>
        <w:right w:val="none" w:sz="0" w:space="0" w:color="auto"/>
      </w:divBdr>
    </w:div>
    <w:div w:id="1117918166">
      <w:bodyDiv w:val="1"/>
      <w:marLeft w:val="0"/>
      <w:marRight w:val="0"/>
      <w:marTop w:val="0"/>
      <w:marBottom w:val="0"/>
      <w:divBdr>
        <w:top w:val="none" w:sz="0" w:space="0" w:color="auto"/>
        <w:left w:val="none" w:sz="0" w:space="0" w:color="auto"/>
        <w:bottom w:val="none" w:sz="0" w:space="0" w:color="auto"/>
        <w:right w:val="none" w:sz="0" w:space="0" w:color="auto"/>
      </w:divBdr>
    </w:div>
    <w:div w:id="1122382360">
      <w:bodyDiv w:val="1"/>
      <w:marLeft w:val="0"/>
      <w:marRight w:val="0"/>
      <w:marTop w:val="0"/>
      <w:marBottom w:val="0"/>
      <w:divBdr>
        <w:top w:val="none" w:sz="0" w:space="0" w:color="auto"/>
        <w:left w:val="none" w:sz="0" w:space="0" w:color="auto"/>
        <w:bottom w:val="none" w:sz="0" w:space="0" w:color="auto"/>
        <w:right w:val="none" w:sz="0" w:space="0" w:color="auto"/>
      </w:divBdr>
    </w:div>
    <w:div w:id="1255360525">
      <w:bodyDiv w:val="1"/>
      <w:marLeft w:val="0"/>
      <w:marRight w:val="0"/>
      <w:marTop w:val="0"/>
      <w:marBottom w:val="0"/>
      <w:divBdr>
        <w:top w:val="none" w:sz="0" w:space="0" w:color="auto"/>
        <w:left w:val="none" w:sz="0" w:space="0" w:color="auto"/>
        <w:bottom w:val="none" w:sz="0" w:space="0" w:color="auto"/>
        <w:right w:val="none" w:sz="0" w:space="0" w:color="auto"/>
      </w:divBdr>
    </w:div>
    <w:div w:id="1257059382">
      <w:bodyDiv w:val="1"/>
      <w:marLeft w:val="0"/>
      <w:marRight w:val="0"/>
      <w:marTop w:val="0"/>
      <w:marBottom w:val="0"/>
      <w:divBdr>
        <w:top w:val="none" w:sz="0" w:space="0" w:color="auto"/>
        <w:left w:val="none" w:sz="0" w:space="0" w:color="auto"/>
        <w:bottom w:val="none" w:sz="0" w:space="0" w:color="auto"/>
        <w:right w:val="none" w:sz="0" w:space="0" w:color="auto"/>
      </w:divBdr>
    </w:div>
    <w:div w:id="1265303910">
      <w:bodyDiv w:val="1"/>
      <w:marLeft w:val="0"/>
      <w:marRight w:val="0"/>
      <w:marTop w:val="0"/>
      <w:marBottom w:val="0"/>
      <w:divBdr>
        <w:top w:val="none" w:sz="0" w:space="0" w:color="auto"/>
        <w:left w:val="none" w:sz="0" w:space="0" w:color="auto"/>
        <w:bottom w:val="none" w:sz="0" w:space="0" w:color="auto"/>
        <w:right w:val="none" w:sz="0" w:space="0" w:color="auto"/>
      </w:divBdr>
    </w:div>
    <w:div w:id="1319455175">
      <w:bodyDiv w:val="1"/>
      <w:marLeft w:val="0"/>
      <w:marRight w:val="0"/>
      <w:marTop w:val="0"/>
      <w:marBottom w:val="0"/>
      <w:divBdr>
        <w:top w:val="none" w:sz="0" w:space="0" w:color="auto"/>
        <w:left w:val="none" w:sz="0" w:space="0" w:color="auto"/>
        <w:bottom w:val="none" w:sz="0" w:space="0" w:color="auto"/>
        <w:right w:val="none" w:sz="0" w:space="0" w:color="auto"/>
      </w:divBdr>
    </w:div>
    <w:div w:id="1322654317">
      <w:bodyDiv w:val="1"/>
      <w:marLeft w:val="0"/>
      <w:marRight w:val="0"/>
      <w:marTop w:val="0"/>
      <w:marBottom w:val="0"/>
      <w:divBdr>
        <w:top w:val="none" w:sz="0" w:space="0" w:color="auto"/>
        <w:left w:val="none" w:sz="0" w:space="0" w:color="auto"/>
        <w:bottom w:val="none" w:sz="0" w:space="0" w:color="auto"/>
        <w:right w:val="none" w:sz="0" w:space="0" w:color="auto"/>
      </w:divBdr>
    </w:div>
    <w:div w:id="1361707607">
      <w:bodyDiv w:val="1"/>
      <w:marLeft w:val="0"/>
      <w:marRight w:val="0"/>
      <w:marTop w:val="0"/>
      <w:marBottom w:val="0"/>
      <w:divBdr>
        <w:top w:val="none" w:sz="0" w:space="0" w:color="auto"/>
        <w:left w:val="none" w:sz="0" w:space="0" w:color="auto"/>
        <w:bottom w:val="none" w:sz="0" w:space="0" w:color="auto"/>
        <w:right w:val="none" w:sz="0" w:space="0" w:color="auto"/>
      </w:divBdr>
    </w:div>
    <w:div w:id="1515729969">
      <w:bodyDiv w:val="1"/>
      <w:marLeft w:val="0"/>
      <w:marRight w:val="0"/>
      <w:marTop w:val="0"/>
      <w:marBottom w:val="0"/>
      <w:divBdr>
        <w:top w:val="none" w:sz="0" w:space="0" w:color="auto"/>
        <w:left w:val="none" w:sz="0" w:space="0" w:color="auto"/>
        <w:bottom w:val="none" w:sz="0" w:space="0" w:color="auto"/>
        <w:right w:val="none" w:sz="0" w:space="0" w:color="auto"/>
      </w:divBdr>
    </w:div>
    <w:div w:id="1691832000">
      <w:bodyDiv w:val="1"/>
      <w:marLeft w:val="0"/>
      <w:marRight w:val="0"/>
      <w:marTop w:val="0"/>
      <w:marBottom w:val="0"/>
      <w:divBdr>
        <w:top w:val="none" w:sz="0" w:space="0" w:color="auto"/>
        <w:left w:val="none" w:sz="0" w:space="0" w:color="auto"/>
        <w:bottom w:val="none" w:sz="0" w:space="0" w:color="auto"/>
        <w:right w:val="none" w:sz="0" w:space="0" w:color="auto"/>
      </w:divBdr>
    </w:div>
    <w:div w:id="1719861683">
      <w:bodyDiv w:val="1"/>
      <w:marLeft w:val="0"/>
      <w:marRight w:val="0"/>
      <w:marTop w:val="0"/>
      <w:marBottom w:val="0"/>
      <w:divBdr>
        <w:top w:val="none" w:sz="0" w:space="0" w:color="auto"/>
        <w:left w:val="none" w:sz="0" w:space="0" w:color="auto"/>
        <w:bottom w:val="none" w:sz="0" w:space="0" w:color="auto"/>
        <w:right w:val="none" w:sz="0" w:space="0" w:color="auto"/>
      </w:divBdr>
    </w:div>
    <w:div w:id="1725834003">
      <w:bodyDiv w:val="1"/>
      <w:marLeft w:val="0"/>
      <w:marRight w:val="0"/>
      <w:marTop w:val="0"/>
      <w:marBottom w:val="0"/>
      <w:divBdr>
        <w:top w:val="none" w:sz="0" w:space="0" w:color="auto"/>
        <w:left w:val="none" w:sz="0" w:space="0" w:color="auto"/>
        <w:bottom w:val="none" w:sz="0" w:space="0" w:color="auto"/>
        <w:right w:val="none" w:sz="0" w:space="0" w:color="auto"/>
      </w:divBdr>
    </w:div>
    <w:div w:id="1762096503">
      <w:bodyDiv w:val="1"/>
      <w:marLeft w:val="0"/>
      <w:marRight w:val="0"/>
      <w:marTop w:val="0"/>
      <w:marBottom w:val="0"/>
      <w:divBdr>
        <w:top w:val="none" w:sz="0" w:space="0" w:color="auto"/>
        <w:left w:val="none" w:sz="0" w:space="0" w:color="auto"/>
        <w:bottom w:val="none" w:sz="0" w:space="0" w:color="auto"/>
        <w:right w:val="none" w:sz="0" w:space="0" w:color="auto"/>
      </w:divBdr>
    </w:div>
    <w:div w:id="1763984921">
      <w:bodyDiv w:val="1"/>
      <w:marLeft w:val="0"/>
      <w:marRight w:val="0"/>
      <w:marTop w:val="0"/>
      <w:marBottom w:val="0"/>
      <w:divBdr>
        <w:top w:val="none" w:sz="0" w:space="0" w:color="auto"/>
        <w:left w:val="none" w:sz="0" w:space="0" w:color="auto"/>
        <w:bottom w:val="none" w:sz="0" w:space="0" w:color="auto"/>
        <w:right w:val="none" w:sz="0" w:space="0" w:color="auto"/>
      </w:divBdr>
    </w:div>
    <w:div w:id="1769882225">
      <w:bodyDiv w:val="1"/>
      <w:marLeft w:val="0"/>
      <w:marRight w:val="0"/>
      <w:marTop w:val="0"/>
      <w:marBottom w:val="0"/>
      <w:divBdr>
        <w:top w:val="none" w:sz="0" w:space="0" w:color="auto"/>
        <w:left w:val="none" w:sz="0" w:space="0" w:color="auto"/>
        <w:bottom w:val="none" w:sz="0" w:space="0" w:color="auto"/>
        <w:right w:val="none" w:sz="0" w:space="0" w:color="auto"/>
      </w:divBdr>
    </w:div>
    <w:div w:id="1787236251">
      <w:bodyDiv w:val="1"/>
      <w:marLeft w:val="0"/>
      <w:marRight w:val="0"/>
      <w:marTop w:val="0"/>
      <w:marBottom w:val="0"/>
      <w:divBdr>
        <w:top w:val="none" w:sz="0" w:space="0" w:color="auto"/>
        <w:left w:val="none" w:sz="0" w:space="0" w:color="auto"/>
        <w:bottom w:val="none" w:sz="0" w:space="0" w:color="auto"/>
        <w:right w:val="none" w:sz="0" w:space="0" w:color="auto"/>
      </w:divBdr>
    </w:div>
    <w:div w:id="1874877410">
      <w:bodyDiv w:val="1"/>
      <w:marLeft w:val="0"/>
      <w:marRight w:val="0"/>
      <w:marTop w:val="0"/>
      <w:marBottom w:val="0"/>
      <w:divBdr>
        <w:top w:val="none" w:sz="0" w:space="0" w:color="auto"/>
        <w:left w:val="none" w:sz="0" w:space="0" w:color="auto"/>
        <w:bottom w:val="none" w:sz="0" w:space="0" w:color="auto"/>
        <w:right w:val="none" w:sz="0" w:space="0" w:color="auto"/>
      </w:divBdr>
    </w:div>
    <w:div w:id="1879703680">
      <w:bodyDiv w:val="1"/>
      <w:marLeft w:val="0"/>
      <w:marRight w:val="0"/>
      <w:marTop w:val="0"/>
      <w:marBottom w:val="0"/>
      <w:divBdr>
        <w:top w:val="none" w:sz="0" w:space="0" w:color="auto"/>
        <w:left w:val="none" w:sz="0" w:space="0" w:color="auto"/>
        <w:bottom w:val="none" w:sz="0" w:space="0" w:color="auto"/>
        <w:right w:val="none" w:sz="0" w:space="0" w:color="auto"/>
      </w:divBdr>
    </w:div>
    <w:div w:id="1922716344">
      <w:bodyDiv w:val="1"/>
      <w:marLeft w:val="0"/>
      <w:marRight w:val="0"/>
      <w:marTop w:val="0"/>
      <w:marBottom w:val="0"/>
      <w:divBdr>
        <w:top w:val="none" w:sz="0" w:space="0" w:color="auto"/>
        <w:left w:val="none" w:sz="0" w:space="0" w:color="auto"/>
        <w:bottom w:val="none" w:sz="0" w:space="0" w:color="auto"/>
        <w:right w:val="none" w:sz="0" w:space="0" w:color="auto"/>
      </w:divBdr>
    </w:div>
    <w:div w:id="2037190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file:///D:\Dipanwita%20Chakraborty\December-17\8.12.2017\docs%20to%20send\PS10922-calulation-8.12.2017-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Dipanwita%20Chakraborty\December-17\8.12.2017\docs%20to%20send\PS10922-calulation-8.12.2017-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Dipanwita%20Chakraborty\December-17\8.12.2017\docs%20to%20send\PS10922-calulation-8.12.2017-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gross profit margin -BA</c:v>
          </c:tx>
          <c:invertIfNegative val="0"/>
          <c:dLbls>
            <c:spPr>
              <a:noFill/>
              <a:ln>
                <a:noFill/>
              </a:ln>
              <a:effectLst/>
            </c:spPr>
            <c:txPr>
              <a:bodyPr/>
              <a:lstStyle/>
              <a:p>
                <a:pPr>
                  <a:defRPr lang="en-US"/>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COMPARISON!$E$5:$I$5</c:f>
              <c:numCache>
                <c:formatCode>General</c:formatCode>
                <c:ptCount val="5"/>
                <c:pt idx="0">
                  <c:v>2012</c:v>
                </c:pt>
                <c:pt idx="1">
                  <c:v>2013</c:v>
                </c:pt>
                <c:pt idx="2">
                  <c:v>2014</c:v>
                </c:pt>
                <c:pt idx="3">
                  <c:v>2015</c:v>
                </c:pt>
                <c:pt idx="4">
                  <c:v>2016</c:v>
                </c:pt>
              </c:numCache>
            </c:numRef>
          </c:cat>
          <c:val>
            <c:numRef>
              <c:f>COMPARISON!$E$6:$I$6</c:f>
              <c:numCache>
                <c:formatCode>0%</c:formatCode>
                <c:ptCount val="5"/>
                <c:pt idx="0">
                  <c:v>2.530710261383582E-2</c:v>
                </c:pt>
                <c:pt idx="1">
                  <c:v>5.7000262674021564E-2</c:v>
                </c:pt>
                <c:pt idx="2">
                  <c:v>8.3198225104531204E-2</c:v>
                </c:pt>
                <c:pt idx="3">
                  <c:v>0.11153269213800408</c:v>
                </c:pt>
                <c:pt idx="4">
                  <c:v>0.12872498470680771</c:v>
                </c:pt>
              </c:numCache>
            </c:numRef>
          </c:val>
        </c:ser>
        <c:ser>
          <c:idx val="1"/>
          <c:order val="1"/>
          <c:tx>
            <c:v>Gross profit margin , vargin atlantics</c:v>
          </c:tx>
          <c:invertIfNegative val="0"/>
          <c:dLbls>
            <c:spPr>
              <a:noFill/>
              <a:ln>
                <a:noFill/>
              </a:ln>
              <a:effectLst/>
            </c:spPr>
            <c:txPr>
              <a:bodyPr/>
              <a:lstStyle/>
              <a:p>
                <a:pPr>
                  <a:defRPr lang="en-US"/>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COMPARISON!$E$5:$I$5</c:f>
              <c:numCache>
                <c:formatCode>General</c:formatCode>
                <c:ptCount val="5"/>
                <c:pt idx="0">
                  <c:v>2012</c:v>
                </c:pt>
                <c:pt idx="1">
                  <c:v>2013</c:v>
                </c:pt>
                <c:pt idx="2">
                  <c:v>2014</c:v>
                </c:pt>
                <c:pt idx="3">
                  <c:v>2015</c:v>
                </c:pt>
                <c:pt idx="4">
                  <c:v>2016</c:v>
                </c:pt>
              </c:numCache>
            </c:numRef>
          </c:cat>
          <c:val>
            <c:numRef>
              <c:f>COMPARISON!$E$7:$I$7</c:f>
              <c:numCache>
                <c:formatCode>0%</c:formatCode>
                <c:ptCount val="5"/>
                <c:pt idx="0">
                  <c:v>1.7096856631740362E-2</c:v>
                </c:pt>
                <c:pt idx="1">
                  <c:v>0.13260700389105071</c:v>
                </c:pt>
                <c:pt idx="2">
                  <c:v>0.13023573624871868</c:v>
                </c:pt>
                <c:pt idx="3">
                  <c:v>7.22168302239478E-2</c:v>
                </c:pt>
                <c:pt idx="4">
                  <c:v>5.6953790103721411E-2</c:v>
                </c:pt>
              </c:numCache>
            </c:numRef>
          </c:val>
        </c:ser>
        <c:dLbls>
          <c:showLegendKey val="0"/>
          <c:showVal val="0"/>
          <c:showCatName val="0"/>
          <c:showSerName val="0"/>
          <c:showPercent val="0"/>
          <c:showBubbleSize val="0"/>
        </c:dLbls>
        <c:gapWidth val="150"/>
        <c:axId val="324078424"/>
        <c:axId val="324075680"/>
      </c:barChart>
      <c:catAx>
        <c:axId val="324078424"/>
        <c:scaling>
          <c:orientation val="minMax"/>
        </c:scaling>
        <c:delete val="0"/>
        <c:axPos val="b"/>
        <c:numFmt formatCode="General" sourceLinked="1"/>
        <c:majorTickMark val="out"/>
        <c:minorTickMark val="none"/>
        <c:tickLblPos val="nextTo"/>
        <c:txPr>
          <a:bodyPr/>
          <a:lstStyle/>
          <a:p>
            <a:pPr>
              <a:defRPr lang="en-US"/>
            </a:pPr>
            <a:endParaRPr lang="en-US"/>
          </a:p>
        </c:txPr>
        <c:crossAx val="324075680"/>
        <c:crosses val="autoZero"/>
        <c:auto val="1"/>
        <c:lblAlgn val="ctr"/>
        <c:lblOffset val="100"/>
        <c:noMultiLvlLbl val="0"/>
      </c:catAx>
      <c:valAx>
        <c:axId val="324075680"/>
        <c:scaling>
          <c:orientation val="minMax"/>
        </c:scaling>
        <c:delete val="0"/>
        <c:axPos val="l"/>
        <c:majorGridlines/>
        <c:numFmt formatCode="0%" sourceLinked="1"/>
        <c:majorTickMark val="out"/>
        <c:minorTickMark val="none"/>
        <c:tickLblPos val="nextTo"/>
        <c:txPr>
          <a:bodyPr/>
          <a:lstStyle/>
          <a:p>
            <a:pPr>
              <a:defRPr lang="en-US"/>
            </a:pPr>
            <a:endParaRPr lang="en-US"/>
          </a:p>
        </c:txPr>
        <c:crossAx val="324078424"/>
        <c:crosses val="autoZero"/>
        <c:crossBetween val="between"/>
      </c:valAx>
    </c:plotArea>
    <c:legend>
      <c:legendPos val="r"/>
      <c:overlay val="0"/>
      <c:txPr>
        <a:bodyPr/>
        <a:lstStyle/>
        <a:p>
          <a:pPr>
            <a:defRPr lang="en-US"/>
          </a:pPr>
          <a:endParaRPr lang="en-US"/>
        </a:p>
      </c:txPr>
    </c:legend>
    <c:plotVisOnly val="1"/>
    <c:dispBlanksAs val="gap"/>
    <c:showDLblsOverMax val="0"/>
  </c:chart>
  <c:spPr>
    <a:ln>
      <a:solidFill>
        <a:schemeClr val="accent1"/>
      </a:solid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Quick ratio,BA</c:v>
          </c:tx>
          <c:invertIfNegative val="0"/>
          <c:cat>
            <c:numRef>
              <c:f>COMPARISON!$E$17:$I$17</c:f>
              <c:numCache>
                <c:formatCode>General</c:formatCode>
                <c:ptCount val="5"/>
                <c:pt idx="0">
                  <c:v>2012</c:v>
                </c:pt>
                <c:pt idx="1">
                  <c:v>2013</c:v>
                </c:pt>
                <c:pt idx="2">
                  <c:v>2014</c:v>
                </c:pt>
                <c:pt idx="3">
                  <c:v>2015</c:v>
                </c:pt>
                <c:pt idx="4">
                  <c:v>2016</c:v>
                </c:pt>
              </c:numCache>
            </c:numRef>
          </c:cat>
          <c:val>
            <c:numRef>
              <c:f>COMPARISON!$E$18:$I$18</c:f>
              <c:numCache>
                <c:formatCode>General</c:formatCode>
                <c:ptCount val="5"/>
                <c:pt idx="0">
                  <c:v>0.57230559345156895</c:v>
                </c:pt>
                <c:pt idx="1">
                  <c:v>0.51480440890425749</c:v>
                </c:pt>
                <c:pt idx="2">
                  <c:v>0.55470737913486001</c:v>
                </c:pt>
                <c:pt idx="3">
                  <c:v>0.57210526315789556</c:v>
                </c:pt>
                <c:pt idx="4">
                  <c:v>0.73828271466066742</c:v>
                </c:pt>
              </c:numCache>
            </c:numRef>
          </c:val>
        </c:ser>
        <c:ser>
          <c:idx val="1"/>
          <c:order val="1"/>
          <c:tx>
            <c:v>Quick ratio,VA</c:v>
          </c:tx>
          <c:invertIfNegative val="0"/>
          <c:cat>
            <c:numRef>
              <c:f>COMPARISON!$E$17:$I$17</c:f>
              <c:numCache>
                <c:formatCode>General</c:formatCode>
                <c:ptCount val="5"/>
                <c:pt idx="0">
                  <c:v>2012</c:v>
                </c:pt>
                <c:pt idx="1">
                  <c:v>2013</c:v>
                </c:pt>
                <c:pt idx="2">
                  <c:v>2014</c:v>
                </c:pt>
                <c:pt idx="3">
                  <c:v>2015</c:v>
                </c:pt>
                <c:pt idx="4">
                  <c:v>2016</c:v>
                </c:pt>
              </c:numCache>
            </c:numRef>
          </c:cat>
          <c:val>
            <c:numRef>
              <c:f>COMPARISON!$E$19:$I$19</c:f>
              <c:numCache>
                <c:formatCode>General</c:formatCode>
                <c:ptCount val="5"/>
                <c:pt idx="0">
                  <c:v>0.63904247298316286</c:v>
                </c:pt>
                <c:pt idx="1">
                  <c:v>4.5626949469744158</c:v>
                </c:pt>
                <c:pt idx="2">
                  <c:v>1.9520646838001732</c:v>
                </c:pt>
                <c:pt idx="3">
                  <c:v>0.6790375501275987</c:v>
                </c:pt>
                <c:pt idx="4">
                  <c:v>0.77015483182060873</c:v>
                </c:pt>
              </c:numCache>
            </c:numRef>
          </c:val>
        </c:ser>
        <c:dLbls>
          <c:showLegendKey val="0"/>
          <c:showVal val="0"/>
          <c:showCatName val="0"/>
          <c:showSerName val="0"/>
          <c:showPercent val="0"/>
          <c:showBubbleSize val="0"/>
        </c:dLbls>
        <c:gapWidth val="150"/>
        <c:axId val="324074896"/>
        <c:axId val="324075288"/>
      </c:barChart>
      <c:catAx>
        <c:axId val="324074896"/>
        <c:scaling>
          <c:orientation val="minMax"/>
        </c:scaling>
        <c:delete val="0"/>
        <c:axPos val="b"/>
        <c:numFmt formatCode="General" sourceLinked="1"/>
        <c:majorTickMark val="out"/>
        <c:minorTickMark val="none"/>
        <c:tickLblPos val="nextTo"/>
        <c:txPr>
          <a:bodyPr/>
          <a:lstStyle/>
          <a:p>
            <a:pPr>
              <a:defRPr lang="en-US"/>
            </a:pPr>
            <a:endParaRPr lang="en-US"/>
          </a:p>
        </c:txPr>
        <c:crossAx val="324075288"/>
        <c:crosses val="autoZero"/>
        <c:auto val="1"/>
        <c:lblAlgn val="ctr"/>
        <c:lblOffset val="100"/>
        <c:noMultiLvlLbl val="0"/>
      </c:catAx>
      <c:valAx>
        <c:axId val="324075288"/>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324074896"/>
        <c:crosses val="autoZero"/>
        <c:crossBetween val="between"/>
      </c:valAx>
      <c:spPr>
        <a:ln>
          <a:solidFill>
            <a:schemeClr val="accent1"/>
          </a:solidFill>
        </a:ln>
      </c:spPr>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autoTitleDeleted val="0"/>
    <c:plotArea>
      <c:layout/>
      <c:barChart>
        <c:barDir val="col"/>
        <c:grouping val="clustered"/>
        <c:varyColors val="0"/>
        <c:ser>
          <c:idx val="0"/>
          <c:order val="0"/>
          <c:tx>
            <c:v>ROCE,BA</c:v>
          </c:tx>
          <c:invertIfNegative val="0"/>
          <c:cat>
            <c:numRef>
              <c:f>COMPARISON!$E$17:$I$17</c:f>
              <c:numCache>
                <c:formatCode>General</c:formatCode>
                <c:ptCount val="5"/>
                <c:pt idx="0">
                  <c:v>2012</c:v>
                </c:pt>
                <c:pt idx="1">
                  <c:v>2013</c:v>
                </c:pt>
                <c:pt idx="2">
                  <c:v>2014</c:v>
                </c:pt>
                <c:pt idx="3">
                  <c:v>2015</c:v>
                </c:pt>
                <c:pt idx="4">
                  <c:v>2016</c:v>
                </c:pt>
              </c:numCache>
            </c:numRef>
          </c:cat>
          <c:val>
            <c:numRef>
              <c:f>COMPARISON!$E$22:$I$22</c:f>
              <c:numCache>
                <c:formatCode>0.00</c:formatCode>
                <c:ptCount val="5"/>
                <c:pt idx="0">
                  <c:v>-1.1742840246684158E-2</c:v>
                </c:pt>
                <c:pt idx="1">
                  <c:v>2.5165674020635853E-2</c:v>
                </c:pt>
                <c:pt idx="2">
                  <c:v>6.3980336660211523E-2</c:v>
                </c:pt>
                <c:pt idx="3">
                  <c:v>0.17091571279916778</c:v>
                </c:pt>
                <c:pt idx="4">
                  <c:v>9.5076194523708329E-2</c:v>
                </c:pt>
              </c:numCache>
            </c:numRef>
          </c:val>
        </c:ser>
        <c:ser>
          <c:idx val="1"/>
          <c:order val="1"/>
          <c:tx>
            <c:v>ROCE,VA</c:v>
          </c:tx>
          <c:invertIfNegative val="0"/>
          <c:cat>
            <c:numRef>
              <c:f>COMPARISON!$E$17:$I$17</c:f>
              <c:numCache>
                <c:formatCode>General</c:formatCode>
                <c:ptCount val="5"/>
                <c:pt idx="0">
                  <c:v>2012</c:v>
                </c:pt>
                <c:pt idx="1">
                  <c:v>2013</c:v>
                </c:pt>
                <c:pt idx="2">
                  <c:v>2014</c:v>
                </c:pt>
                <c:pt idx="3">
                  <c:v>2015</c:v>
                </c:pt>
                <c:pt idx="4">
                  <c:v>2016</c:v>
                </c:pt>
              </c:numCache>
            </c:numRef>
          </c:cat>
          <c:val>
            <c:numRef>
              <c:f>COMPARISON!$E$23:$I$23</c:f>
              <c:numCache>
                <c:formatCode>0.00</c:formatCode>
                <c:ptCount val="5"/>
                <c:pt idx="0">
                  <c:v>9.6415698838606345E-2</c:v>
                </c:pt>
                <c:pt idx="1">
                  <c:v>-5.6899004267425412E-4</c:v>
                </c:pt>
                <c:pt idx="2">
                  <c:v>4.9489795918367406E-2</c:v>
                </c:pt>
                <c:pt idx="3">
                  <c:v>1.8143261074458062E-2</c:v>
                </c:pt>
                <c:pt idx="4">
                  <c:v>1.2418153081959812E-2</c:v>
                </c:pt>
              </c:numCache>
            </c:numRef>
          </c:val>
        </c:ser>
        <c:dLbls>
          <c:showLegendKey val="0"/>
          <c:showVal val="0"/>
          <c:showCatName val="0"/>
          <c:showSerName val="0"/>
          <c:showPercent val="0"/>
          <c:showBubbleSize val="0"/>
        </c:dLbls>
        <c:gapWidth val="150"/>
        <c:axId val="651784720"/>
        <c:axId val="651784328"/>
      </c:barChart>
      <c:catAx>
        <c:axId val="651784720"/>
        <c:scaling>
          <c:orientation val="minMax"/>
        </c:scaling>
        <c:delete val="0"/>
        <c:axPos val="b"/>
        <c:numFmt formatCode="General" sourceLinked="1"/>
        <c:majorTickMark val="out"/>
        <c:minorTickMark val="none"/>
        <c:tickLblPos val="nextTo"/>
        <c:txPr>
          <a:bodyPr/>
          <a:lstStyle/>
          <a:p>
            <a:pPr>
              <a:defRPr lang="en-US"/>
            </a:pPr>
            <a:endParaRPr lang="en-US"/>
          </a:p>
        </c:txPr>
        <c:crossAx val="651784328"/>
        <c:crosses val="autoZero"/>
        <c:auto val="1"/>
        <c:lblAlgn val="ctr"/>
        <c:lblOffset val="100"/>
        <c:noMultiLvlLbl val="0"/>
      </c:catAx>
      <c:valAx>
        <c:axId val="651784328"/>
        <c:scaling>
          <c:orientation val="minMax"/>
        </c:scaling>
        <c:delete val="0"/>
        <c:axPos val="l"/>
        <c:majorGridlines/>
        <c:numFmt formatCode="0.00" sourceLinked="1"/>
        <c:majorTickMark val="out"/>
        <c:minorTickMark val="none"/>
        <c:tickLblPos val="nextTo"/>
        <c:txPr>
          <a:bodyPr/>
          <a:lstStyle/>
          <a:p>
            <a:pPr>
              <a:defRPr lang="en-US"/>
            </a:pPr>
            <a:endParaRPr lang="en-US"/>
          </a:p>
        </c:txPr>
        <c:crossAx val="651784720"/>
        <c:crosses val="autoZero"/>
        <c:crossBetween val="between"/>
      </c:valAx>
    </c:plotArea>
    <c:legend>
      <c:legendPos val="r"/>
      <c:overlay val="0"/>
      <c:txPr>
        <a:bodyPr/>
        <a:lstStyle/>
        <a:p>
          <a:pPr>
            <a:defRPr lang="en-US"/>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E7E2B7B-62EC-482E-8865-4D12B9FE7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6453</Words>
  <Characters>36788</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VvK PaTeL</dc:creator>
  <cp:lastModifiedBy>vivek patel</cp:lastModifiedBy>
  <cp:revision>2</cp:revision>
  <dcterms:created xsi:type="dcterms:W3CDTF">2018-01-09T09:21:00Z</dcterms:created>
  <dcterms:modified xsi:type="dcterms:W3CDTF">2018-01-09T09:21:00Z</dcterms:modified>
</cp:coreProperties>
</file>