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FADCE8" w14:textId="77777777" w:rsidR="00055C39" w:rsidRPr="007E46CD" w:rsidRDefault="00055C39" w:rsidP="0018305C">
      <w:pPr>
        <w:spacing w:line="360" w:lineRule="auto"/>
        <w:jc w:val="center"/>
        <w:rPr>
          <w:rFonts w:ascii="Times New Roman" w:hAnsi="Times New Roman" w:cs="Times New Roman"/>
          <w:b/>
          <w:bCs/>
          <w:lang w:val="en-GB"/>
        </w:rPr>
      </w:pPr>
    </w:p>
    <w:p w14:paraId="496EEFE6" w14:textId="77777777" w:rsidR="00055C39" w:rsidRPr="007E46CD" w:rsidRDefault="00055C39" w:rsidP="0018305C">
      <w:pPr>
        <w:spacing w:line="360" w:lineRule="auto"/>
        <w:jc w:val="center"/>
        <w:rPr>
          <w:rFonts w:ascii="Times New Roman" w:hAnsi="Times New Roman" w:cs="Times New Roman"/>
          <w:b/>
          <w:bCs/>
          <w:lang w:val="en-GB"/>
        </w:rPr>
      </w:pPr>
    </w:p>
    <w:p w14:paraId="5ED10007" w14:textId="77777777" w:rsidR="00055C39" w:rsidRPr="007E46CD" w:rsidRDefault="00055C39" w:rsidP="0018305C">
      <w:pPr>
        <w:spacing w:line="360" w:lineRule="auto"/>
        <w:jc w:val="center"/>
        <w:rPr>
          <w:rFonts w:ascii="Times New Roman" w:hAnsi="Times New Roman" w:cs="Times New Roman"/>
          <w:b/>
          <w:bCs/>
          <w:lang w:val="en-GB"/>
        </w:rPr>
      </w:pPr>
    </w:p>
    <w:p w14:paraId="421C8477" w14:textId="77777777" w:rsidR="00055C39" w:rsidRPr="007E46CD" w:rsidRDefault="00055C39" w:rsidP="0018305C">
      <w:pPr>
        <w:spacing w:line="360" w:lineRule="auto"/>
        <w:jc w:val="center"/>
        <w:rPr>
          <w:rFonts w:ascii="Times New Roman" w:hAnsi="Times New Roman" w:cs="Times New Roman"/>
          <w:b/>
          <w:bCs/>
          <w:lang w:val="en-GB"/>
        </w:rPr>
      </w:pPr>
    </w:p>
    <w:p w14:paraId="7781FEA0" w14:textId="77777777" w:rsidR="00055C39" w:rsidRPr="007E46CD" w:rsidRDefault="00055C39" w:rsidP="0018305C">
      <w:pPr>
        <w:spacing w:line="360" w:lineRule="auto"/>
        <w:jc w:val="center"/>
        <w:rPr>
          <w:rFonts w:ascii="Times New Roman" w:hAnsi="Times New Roman" w:cs="Times New Roman"/>
          <w:b/>
          <w:bCs/>
          <w:lang w:val="en-GB"/>
        </w:rPr>
      </w:pPr>
    </w:p>
    <w:p w14:paraId="45A7B7EA" w14:textId="77777777" w:rsidR="00055C39" w:rsidRPr="007E46CD" w:rsidRDefault="00055C39" w:rsidP="0018305C">
      <w:pPr>
        <w:spacing w:line="360" w:lineRule="auto"/>
        <w:jc w:val="center"/>
        <w:rPr>
          <w:rFonts w:ascii="Times New Roman" w:hAnsi="Times New Roman" w:cs="Times New Roman"/>
          <w:b/>
          <w:bCs/>
          <w:lang w:val="en-GB"/>
        </w:rPr>
      </w:pPr>
    </w:p>
    <w:p w14:paraId="226EBAC7" w14:textId="77777777" w:rsidR="00055C39" w:rsidRPr="007E46CD" w:rsidRDefault="00055C39" w:rsidP="0018305C">
      <w:pPr>
        <w:spacing w:line="360" w:lineRule="auto"/>
        <w:jc w:val="center"/>
        <w:rPr>
          <w:rFonts w:ascii="Times New Roman" w:hAnsi="Times New Roman" w:cs="Times New Roman"/>
          <w:b/>
          <w:bCs/>
          <w:lang w:val="en-GB"/>
        </w:rPr>
      </w:pPr>
    </w:p>
    <w:p w14:paraId="579412A0" w14:textId="77777777" w:rsidR="00055C39" w:rsidRPr="007E46CD" w:rsidRDefault="00055C39" w:rsidP="0018305C">
      <w:pPr>
        <w:spacing w:line="360" w:lineRule="auto"/>
        <w:jc w:val="center"/>
        <w:rPr>
          <w:rFonts w:ascii="Times New Roman" w:hAnsi="Times New Roman" w:cs="Times New Roman"/>
          <w:b/>
          <w:bCs/>
          <w:lang w:val="en-GB"/>
        </w:rPr>
      </w:pPr>
    </w:p>
    <w:p w14:paraId="4469E516" w14:textId="7E8A2F88" w:rsidR="009D34D1" w:rsidRDefault="00CF0F98" w:rsidP="0018305C">
      <w:pPr>
        <w:spacing w:line="360" w:lineRule="auto"/>
        <w:jc w:val="center"/>
        <w:rPr>
          <w:rFonts w:ascii="Times New Roman" w:hAnsi="Times New Roman" w:cs="Times New Roman"/>
          <w:b/>
          <w:bCs/>
          <w:lang w:val="en-GB"/>
        </w:rPr>
      </w:pPr>
      <w:r w:rsidRPr="007E46CD">
        <w:rPr>
          <w:rFonts w:ascii="Times New Roman" w:hAnsi="Times New Roman" w:cs="Times New Roman"/>
          <w:b/>
          <w:bCs/>
          <w:lang w:val="en-GB"/>
        </w:rPr>
        <w:t>Understanding the Physiological Regulation of Blood Glucose and the Role of Lifestyle Factors in the Management of Type 2 Diabetes Mellitu</w:t>
      </w:r>
      <w:r w:rsidR="009D34D1" w:rsidRPr="007E46CD">
        <w:rPr>
          <w:rFonts w:ascii="Times New Roman" w:hAnsi="Times New Roman" w:cs="Times New Roman"/>
          <w:b/>
          <w:bCs/>
          <w:lang w:val="en-GB"/>
        </w:rPr>
        <w:t>s</w:t>
      </w:r>
    </w:p>
    <w:p w14:paraId="164E6B78" w14:textId="77777777" w:rsidR="00E615DD" w:rsidRDefault="00E615DD" w:rsidP="0018305C">
      <w:pPr>
        <w:spacing w:line="360" w:lineRule="auto"/>
        <w:jc w:val="center"/>
        <w:rPr>
          <w:rFonts w:ascii="Times New Roman" w:hAnsi="Times New Roman" w:cs="Times New Roman"/>
          <w:b/>
          <w:bCs/>
          <w:lang w:val="en-GB"/>
        </w:rPr>
      </w:pPr>
    </w:p>
    <w:p w14:paraId="4BD6B846" w14:textId="076841B4" w:rsidR="00E615DD" w:rsidRDefault="00E615DD" w:rsidP="0018305C">
      <w:pPr>
        <w:spacing w:line="360" w:lineRule="auto"/>
        <w:jc w:val="center"/>
        <w:rPr>
          <w:rFonts w:ascii="Times New Roman" w:hAnsi="Times New Roman" w:cs="Times New Roman"/>
          <w:b/>
          <w:bCs/>
          <w:lang w:val="en-GB"/>
        </w:rPr>
      </w:pPr>
    </w:p>
    <w:p w14:paraId="15C51F13" w14:textId="24F93EE4" w:rsidR="00E615DD" w:rsidRPr="00E615DD" w:rsidRDefault="00E615DD" w:rsidP="00E615DD">
      <w:pPr>
        <w:spacing w:line="360" w:lineRule="auto"/>
        <w:jc w:val="center"/>
        <w:rPr>
          <w:rFonts w:ascii="Times New Roman" w:hAnsi="Times New Roman" w:cs="Times New Roman"/>
          <w:b/>
          <w:bCs/>
          <w:lang w:val="en-GB"/>
        </w:rPr>
      </w:pPr>
      <w:r w:rsidRPr="00E615DD">
        <w:rPr>
          <w:rFonts w:ascii="Times New Roman" w:hAnsi="Times New Roman" w:cs="Times New Roman"/>
          <w:b/>
          <w:bCs/>
          <w:lang w:val="en-GB"/>
        </w:rPr>
        <w:t>Name: Hanniel Soornack</w:t>
      </w:r>
    </w:p>
    <w:p w14:paraId="4645E4E2" w14:textId="77777777" w:rsidR="00E615DD" w:rsidRPr="00E615DD" w:rsidRDefault="00E615DD" w:rsidP="00E615DD">
      <w:pPr>
        <w:spacing w:line="360" w:lineRule="auto"/>
        <w:jc w:val="center"/>
        <w:rPr>
          <w:rFonts w:ascii="Times New Roman" w:hAnsi="Times New Roman" w:cs="Times New Roman"/>
          <w:b/>
          <w:bCs/>
          <w:lang w:val="en-GB"/>
        </w:rPr>
      </w:pPr>
      <w:r w:rsidRPr="00E615DD">
        <w:rPr>
          <w:rFonts w:ascii="Times New Roman" w:hAnsi="Times New Roman" w:cs="Times New Roman"/>
          <w:b/>
          <w:bCs/>
          <w:lang w:val="en-GB"/>
        </w:rPr>
        <w:t>Student ID: 2321295</w:t>
      </w:r>
    </w:p>
    <w:p w14:paraId="026A88CC" w14:textId="4095A773" w:rsidR="00E615DD" w:rsidRPr="00E615DD" w:rsidRDefault="00E615DD" w:rsidP="00E615DD">
      <w:pPr>
        <w:spacing w:line="360" w:lineRule="auto"/>
        <w:jc w:val="center"/>
        <w:rPr>
          <w:rFonts w:ascii="Times New Roman" w:hAnsi="Times New Roman" w:cs="Times New Roman"/>
          <w:b/>
          <w:bCs/>
          <w:lang w:val="en-GB"/>
        </w:rPr>
      </w:pPr>
      <w:r w:rsidRPr="00E615DD">
        <w:rPr>
          <w:rFonts w:ascii="Times New Roman" w:hAnsi="Times New Roman" w:cs="Times New Roman"/>
          <w:b/>
          <w:bCs/>
          <w:lang w:val="en-GB"/>
        </w:rPr>
        <w:t xml:space="preserve">Programme: BSc Health and </w:t>
      </w:r>
      <w:r>
        <w:rPr>
          <w:rFonts w:ascii="Times New Roman" w:hAnsi="Times New Roman" w:cs="Times New Roman"/>
          <w:b/>
          <w:bCs/>
          <w:lang w:val="en-GB"/>
        </w:rPr>
        <w:t>Social Care</w:t>
      </w:r>
    </w:p>
    <w:p w14:paraId="4C0EB3A7" w14:textId="6B86946E" w:rsidR="00E615DD" w:rsidRPr="00E615DD" w:rsidRDefault="00E615DD" w:rsidP="00E615DD">
      <w:pPr>
        <w:spacing w:line="360" w:lineRule="auto"/>
        <w:jc w:val="center"/>
        <w:rPr>
          <w:rFonts w:ascii="Times New Roman" w:hAnsi="Times New Roman" w:cs="Times New Roman"/>
          <w:b/>
          <w:bCs/>
          <w:lang w:val="en-GB"/>
        </w:rPr>
      </w:pPr>
      <w:r w:rsidRPr="00E615DD">
        <w:rPr>
          <w:rFonts w:ascii="Times New Roman" w:hAnsi="Times New Roman" w:cs="Times New Roman"/>
          <w:b/>
          <w:bCs/>
          <w:lang w:val="en-GB"/>
        </w:rPr>
        <w:t>Module: Introduction to Physiology</w:t>
      </w:r>
    </w:p>
    <w:p w14:paraId="6B0EFAB0" w14:textId="77777777" w:rsidR="00E615DD" w:rsidRPr="00E615DD" w:rsidRDefault="00E615DD" w:rsidP="00E615DD">
      <w:pPr>
        <w:spacing w:line="360" w:lineRule="auto"/>
        <w:jc w:val="center"/>
        <w:rPr>
          <w:rFonts w:ascii="Times New Roman" w:hAnsi="Times New Roman" w:cs="Times New Roman"/>
          <w:b/>
          <w:bCs/>
          <w:lang w:val="en-GB"/>
        </w:rPr>
      </w:pPr>
      <w:r w:rsidRPr="00E615DD">
        <w:rPr>
          <w:rFonts w:ascii="Times New Roman" w:hAnsi="Times New Roman" w:cs="Times New Roman"/>
          <w:b/>
          <w:bCs/>
          <w:lang w:val="en-GB"/>
        </w:rPr>
        <w:t>Module code: BMHP5023</w:t>
      </w:r>
    </w:p>
    <w:p w14:paraId="38B42DCB" w14:textId="38CCEA1F" w:rsidR="00E615DD" w:rsidRPr="00E615DD" w:rsidRDefault="00E615DD" w:rsidP="00E615DD">
      <w:pPr>
        <w:spacing w:line="360" w:lineRule="auto"/>
        <w:jc w:val="center"/>
        <w:rPr>
          <w:rFonts w:ascii="Times New Roman" w:hAnsi="Times New Roman" w:cs="Times New Roman"/>
          <w:b/>
          <w:bCs/>
          <w:lang w:val="en-GB"/>
        </w:rPr>
      </w:pPr>
      <w:r w:rsidRPr="00E615DD">
        <w:rPr>
          <w:rFonts w:ascii="Times New Roman" w:hAnsi="Times New Roman" w:cs="Times New Roman"/>
          <w:b/>
          <w:bCs/>
          <w:lang w:val="en-GB"/>
        </w:rPr>
        <w:t xml:space="preserve">Lecturer: Angela </w:t>
      </w:r>
      <w:r>
        <w:rPr>
          <w:rFonts w:ascii="Times New Roman" w:hAnsi="Times New Roman" w:cs="Times New Roman"/>
          <w:b/>
          <w:bCs/>
          <w:lang w:val="en-GB"/>
        </w:rPr>
        <w:t>Wells</w:t>
      </w:r>
    </w:p>
    <w:p w14:paraId="45AD5BED" w14:textId="283E7138" w:rsidR="00E615DD" w:rsidRDefault="00E615DD" w:rsidP="00E615DD">
      <w:pPr>
        <w:spacing w:line="360" w:lineRule="auto"/>
        <w:jc w:val="center"/>
        <w:rPr>
          <w:rFonts w:ascii="Times New Roman" w:hAnsi="Times New Roman" w:cs="Times New Roman"/>
          <w:b/>
          <w:bCs/>
          <w:lang w:val="en-GB"/>
        </w:rPr>
      </w:pPr>
      <w:r w:rsidRPr="00E615DD">
        <w:rPr>
          <w:rFonts w:ascii="Times New Roman" w:hAnsi="Times New Roman" w:cs="Times New Roman"/>
          <w:b/>
          <w:bCs/>
          <w:lang w:val="en-GB"/>
        </w:rPr>
        <w:t>Assignment title: written assignment</w:t>
      </w:r>
    </w:p>
    <w:p w14:paraId="3D5821D4" w14:textId="77777777" w:rsidR="00E615DD" w:rsidRPr="007E46CD" w:rsidRDefault="00E615DD" w:rsidP="0018305C">
      <w:pPr>
        <w:spacing w:line="360" w:lineRule="auto"/>
        <w:jc w:val="center"/>
        <w:rPr>
          <w:rFonts w:ascii="Times New Roman" w:hAnsi="Times New Roman" w:cs="Times New Roman"/>
          <w:lang w:val="en-GB"/>
        </w:rPr>
      </w:pPr>
    </w:p>
    <w:p w14:paraId="62479102" w14:textId="77777777" w:rsidR="009D34D1" w:rsidRPr="007E46CD" w:rsidRDefault="009D34D1" w:rsidP="0018305C">
      <w:pPr>
        <w:spacing w:line="360" w:lineRule="auto"/>
        <w:rPr>
          <w:rFonts w:ascii="Times New Roman" w:hAnsi="Times New Roman" w:cs="Times New Roman"/>
          <w:lang w:val="en-GB"/>
        </w:rPr>
      </w:pPr>
      <w:r w:rsidRPr="007E46CD">
        <w:rPr>
          <w:rFonts w:ascii="Times New Roman" w:hAnsi="Times New Roman" w:cs="Times New Roman"/>
          <w:lang w:val="en-GB"/>
        </w:rPr>
        <w:br w:type="page"/>
      </w:r>
    </w:p>
    <w:p w14:paraId="5810860C" w14:textId="06754BB9" w:rsidR="009D34D1" w:rsidRPr="007E46CD" w:rsidRDefault="00CC38F5" w:rsidP="0018305C">
      <w:pPr>
        <w:pStyle w:val="Heading1"/>
        <w:spacing w:line="360" w:lineRule="auto"/>
        <w:rPr>
          <w:rFonts w:ascii="Times New Roman" w:hAnsi="Times New Roman" w:cs="Times New Roman"/>
          <w:b/>
          <w:bCs/>
          <w:sz w:val="24"/>
          <w:szCs w:val="24"/>
          <w:lang w:val="en-GB"/>
        </w:rPr>
      </w:pPr>
      <w:r w:rsidRPr="007E46CD">
        <w:rPr>
          <w:rFonts w:ascii="Times New Roman" w:hAnsi="Times New Roman" w:cs="Times New Roman"/>
          <w:b/>
          <w:bCs/>
          <w:sz w:val="24"/>
          <w:szCs w:val="24"/>
          <w:lang w:val="en-GB"/>
        </w:rPr>
        <w:lastRenderedPageBreak/>
        <w:t>1</w:t>
      </w:r>
      <w:r w:rsidR="009D34D1" w:rsidRPr="007E46CD">
        <w:rPr>
          <w:rFonts w:ascii="Times New Roman" w:hAnsi="Times New Roman" w:cs="Times New Roman"/>
          <w:b/>
          <w:bCs/>
          <w:sz w:val="24"/>
          <w:szCs w:val="24"/>
          <w:lang w:val="en-GB"/>
        </w:rPr>
        <w:t>) Introduction</w:t>
      </w:r>
    </w:p>
    <w:p w14:paraId="58243D5F" w14:textId="7C0659DC" w:rsidR="00A83F0D" w:rsidRPr="007E46CD" w:rsidRDefault="0018305C" w:rsidP="0018305C">
      <w:pPr>
        <w:spacing w:line="360" w:lineRule="auto"/>
        <w:rPr>
          <w:rFonts w:ascii="Times New Roman" w:hAnsi="Times New Roman" w:cs="Times New Roman"/>
          <w:lang w:val="en-GB"/>
        </w:rPr>
      </w:pPr>
      <w:r w:rsidRPr="007E46CD">
        <w:rPr>
          <w:rFonts w:ascii="Times New Roman" w:hAnsi="Times New Roman" w:cs="Times New Roman"/>
          <w:lang w:val="en-GB"/>
        </w:rPr>
        <w:t>Type 2 Diabetes Mellitus (T2DM) is considered a long-term metabolic disease that is accompanied by insulin deficiency and hyperglycaemia, resistance to insulin (Powers et al., 2022). According to the International Diabetes Federation (2021), T2DM is the main form of diabetes that comprises approximately 90% of all cases of diabetes in the globe, with over 590 million adults living with diabetes.</w:t>
      </w:r>
      <w:r w:rsidR="00A83F0D" w:rsidRPr="007E46CD">
        <w:rPr>
          <w:rFonts w:ascii="Times New Roman" w:hAnsi="Times New Roman" w:cs="Times New Roman"/>
          <w:lang w:val="en-GB"/>
        </w:rPr>
        <w:t xml:space="preserve"> Opposing Type 1 diabetes, T2DM has become more progressive and </w:t>
      </w:r>
      <w:r w:rsidR="00253255" w:rsidRPr="007E46CD">
        <w:rPr>
          <w:rFonts w:ascii="Times New Roman" w:hAnsi="Times New Roman" w:cs="Times New Roman"/>
          <w:lang w:val="en-GB"/>
        </w:rPr>
        <w:t>is considerably associated</w:t>
      </w:r>
      <w:r w:rsidR="00A83F0D" w:rsidRPr="007E46CD">
        <w:rPr>
          <w:rFonts w:ascii="Times New Roman" w:hAnsi="Times New Roman" w:cs="Times New Roman"/>
          <w:lang w:val="en-GB"/>
        </w:rPr>
        <w:t xml:space="preserve"> with modified lifestyle factors.</w:t>
      </w:r>
    </w:p>
    <w:p w14:paraId="44ED0E11" w14:textId="4A3619D0" w:rsidR="00D85EED" w:rsidRPr="007E46CD" w:rsidRDefault="00BA2430"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Pathophysiological features of T2DM include the dysfunction of insulin-sensitive pancreatic β-cells, and reduced insulin sensitivity of key tissues including skeletal muscle, liver and fat (DeFronzo et al., 2015). Visceral obesity increases inflammatory signalling, which impairs insulin signalling, along with increasing hepatic glucose production (Varra et al., 2024). Therefore, the maintenance of hyperglycemia increases the risk of complications. </w:t>
      </w:r>
      <w:r w:rsidR="0018305C" w:rsidRPr="007E46CD">
        <w:rPr>
          <w:rFonts w:ascii="Times New Roman" w:hAnsi="Times New Roman" w:cs="Times New Roman"/>
          <w:lang w:val="en-GB"/>
        </w:rPr>
        <w:t>Lacombe et al. (2019) asserted that poor diet, poor physical activity, and smoking are significant behavioural risk factors that contribute to the development of disease. The current report is anchored on the case study of a patient with Type 2 Diabetes Mellitus and how the physiological processes and lifestyle behaviours affect their blood glucose management. The discussion will be based on the theoretical knowledge applied to this case to discuss practical management strategies</w:t>
      </w:r>
      <w:r w:rsidR="004F400D" w:rsidRPr="007E46CD">
        <w:rPr>
          <w:rFonts w:ascii="Times New Roman" w:hAnsi="Times New Roman" w:cs="Times New Roman"/>
          <w:lang w:val="en-GB"/>
        </w:rPr>
        <w:t>.</w:t>
      </w:r>
    </w:p>
    <w:p w14:paraId="41FD0A53" w14:textId="7777777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2. Regulation of Blood Glucose Levels</w:t>
      </w:r>
    </w:p>
    <w:p w14:paraId="06FC38C4" w14:textId="1EFD5CC0" w:rsidR="00BA2430" w:rsidRPr="007E46CD" w:rsidRDefault="0018305C"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In a study by Hill and Hill (2024), the process of controlling blood glucose levels was discovered to be through a complex endocrine feedback mechanism of insulin and glucagon released by the pancreatic islets of Langerhans. </w:t>
      </w:r>
      <w:r w:rsidR="00CE5991" w:rsidRPr="007E46CD">
        <w:rPr>
          <w:rFonts w:ascii="Times New Roman" w:hAnsi="Times New Roman" w:cs="Times New Roman"/>
          <w:lang w:val="en-GB"/>
        </w:rPr>
        <w:t>Maintenance</w:t>
      </w:r>
      <w:r w:rsidRPr="007E46CD">
        <w:rPr>
          <w:rFonts w:ascii="Times New Roman" w:hAnsi="Times New Roman" w:cs="Times New Roman"/>
          <w:lang w:val="en-GB"/>
        </w:rPr>
        <w:t xml:space="preserve"> of glucose at a narrow physiological range (i.e. 4-7 mmol/L during fasting) becomes a requirement of normal cell functioning, particularly to organs fully reliant on glucose (e.g. the brain)</w:t>
      </w:r>
      <w:r w:rsidR="00ED5150" w:rsidRPr="007E46CD">
        <w:rPr>
          <w:rFonts w:ascii="Times New Roman" w:hAnsi="Times New Roman" w:cs="Times New Roman"/>
          <w:lang w:val="en-GB"/>
        </w:rPr>
        <w:t>.</w:t>
      </w:r>
    </w:p>
    <w:p w14:paraId="479B1FBA" w14:textId="7BDA7660"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2.1 Role of Insulin</w:t>
      </w:r>
    </w:p>
    <w:p w14:paraId="617CB74D" w14:textId="288261E6" w:rsidR="00D83BF0" w:rsidRPr="007E46CD" w:rsidRDefault="00BB0272"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Insulin is a major blood glucose regulator which promotes glucose uptake. </w:t>
      </w:r>
      <w:r w:rsidR="00DE79D0" w:rsidRPr="007E46CD">
        <w:rPr>
          <w:rFonts w:ascii="Times New Roman" w:hAnsi="Times New Roman" w:cs="Times New Roman"/>
          <w:lang w:val="en-GB"/>
        </w:rPr>
        <w:t xml:space="preserve">With the </w:t>
      </w:r>
      <w:r w:rsidR="00253255" w:rsidRPr="007E46CD">
        <w:rPr>
          <w:rFonts w:ascii="Times New Roman" w:hAnsi="Times New Roman" w:cs="Times New Roman"/>
          <w:lang w:val="en-GB"/>
        </w:rPr>
        <w:t>consumption of carbs, the level of blood glucose rises while β-cells of the pancreas trigger the release of</w:t>
      </w:r>
      <w:r w:rsidR="00DE79D0" w:rsidRPr="007E46CD">
        <w:rPr>
          <w:rFonts w:ascii="Times New Roman" w:hAnsi="Times New Roman" w:cs="Times New Roman"/>
          <w:lang w:val="en-GB"/>
        </w:rPr>
        <w:t xml:space="preserve"> insulin. As per Merz and Thurmond (2020), insulin </w:t>
      </w:r>
      <w:r w:rsidR="00253255" w:rsidRPr="007E46CD">
        <w:rPr>
          <w:rFonts w:ascii="Times New Roman" w:hAnsi="Times New Roman" w:cs="Times New Roman"/>
          <w:lang w:val="en-GB"/>
        </w:rPr>
        <w:t>ensures the uptake of</w:t>
      </w:r>
      <w:r w:rsidR="00DE79D0" w:rsidRPr="007E46CD">
        <w:rPr>
          <w:rFonts w:ascii="Times New Roman" w:hAnsi="Times New Roman" w:cs="Times New Roman"/>
          <w:lang w:val="en-GB"/>
        </w:rPr>
        <w:t xml:space="preserve"> glucose into the adipose tissue and skeletal muscle by the </w:t>
      </w:r>
      <w:r w:rsidRPr="007E46CD">
        <w:rPr>
          <w:rFonts w:ascii="Times New Roman" w:hAnsi="Times New Roman" w:cs="Times New Roman"/>
          <w:lang w:val="en-GB"/>
        </w:rPr>
        <w:t xml:space="preserve">GLUT4 transporters. </w:t>
      </w:r>
      <w:r w:rsidR="0018305C" w:rsidRPr="007E46CD">
        <w:rPr>
          <w:rFonts w:ascii="Times New Roman" w:hAnsi="Times New Roman" w:cs="Times New Roman"/>
          <w:lang w:val="en-GB"/>
        </w:rPr>
        <w:t xml:space="preserve">In another study (Hatting et al., 2018), the evaluation was that insulin stimulates the synthesis of glycogen and suppresses </w:t>
      </w:r>
      <w:r w:rsidR="0018305C" w:rsidRPr="007E46CD">
        <w:rPr>
          <w:rFonts w:ascii="Times New Roman" w:hAnsi="Times New Roman" w:cs="Times New Roman"/>
          <w:lang w:val="en-GB"/>
        </w:rPr>
        <w:lastRenderedPageBreak/>
        <w:t xml:space="preserve">gluconeogenesis and glycogenolysis in the liver. As one can observe, insulin controls lipid metabolism, which promotes fat storage and </w:t>
      </w:r>
      <w:r w:rsidR="00CE5991" w:rsidRPr="007E46CD">
        <w:rPr>
          <w:rFonts w:ascii="Times New Roman" w:hAnsi="Times New Roman" w:cs="Times New Roman"/>
          <w:lang w:val="en-GB"/>
        </w:rPr>
        <w:t>inhibits</w:t>
      </w:r>
      <w:r w:rsidR="0018305C" w:rsidRPr="007E46CD">
        <w:rPr>
          <w:rFonts w:ascii="Times New Roman" w:hAnsi="Times New Roman" w:cs="Times New Roman"/>
          <w:lang w:val="en-GB"/>
        </w:rPr>
        <w:t xml:space="preserve"> lipolysis. In this way, the process of glucose regulation is connected to the metabolic processes</w:t>
      </w:r>
      <w:r w:rsidR="00253255" w:rsidRPr="007E46CD">
        <w:rPr>
          <w:rFonts w:ascii="Times New Roman" w:hAnsi="Times New Roman" w:cs="Times New Roman"/>
          <w:lang w:val="en-GB"/>
        </w:rPr>
        <w:t>. This, however, is gradually broken in T2DM,</w:t>
      </w:r>
      <w:r w:rsidR="00A24D4F" w:rsidRPr="007E46CD">
        <w:rPr>
          <w:rFonts w:ascii="Times New Roman" w:hAnsi="Times New Roman" w:cs="Times New Roman"/>
          <w:lang w:val="en-GB"/>
        </w:rPr>
        <w:t xml:space="preserve"> meaning that physiological regulation is not enough without behavioural intervention</w:t>
      </w:r>
      <w:r w:rsidR="007976A6" w:rsidRPr="007E46CD">
        <w:rPr>
          <w:rFonts w:ascii="Times New Roman" w:hAnsi="Times New Roman" w:cs="Times New Roman"/>
          <w:lang w:val="en-GB"/>
        </w:rPr>
        <w:t>.</w:t>
      </w:r>
    </w:p>
    <w:p w14:paraId="1270E22C" w14:textId="2E320552" w:rsidR="0092123F"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2.2 Role of Glucagon</w:t>
      </w:r>
    </w:p>
    <w:p w14:paraId="5B390F6A" w14:textId="7591D79E" w:rsidR="00A24D4F" w:rsidRPr="007E46CD" w:rsidRDefault="0092123F" w:rsidP="0018305C">
      <w:pPr>
        <w:spacing w:line="360" w:lineRule="auto"/>
        <w:rPr>
          <w:rFonts w:ascii="Times New Roman" w:hAnsi="Times New Roman" w:cs="Times New Roman"/>
          <w:lang w:val="en-GB"/>
        </w:rPr>
      </w:pPr>
      <w:r w:rsidRPr="007E46CD">
        <w:rPr>
          <w:rFonts w:ascii="Times New Roman" w:hAnsi="Times New Roman" w:cs="Times New Roman"/>
          <w:lang w:val="en-GB"/>
        </w:rPr>
        <w:t>As per Unger and Cherrington (2012), during fasting or hypoglycemia, alpha-cells of the pancreas secrete glucagon. Glycogenolysis and gluconeogenesis are encouraged by glucagon</w:t>
      </w:r>
      <w:r w:rsidR="00253255" w:rsidRPr="007E46CD">
        <w:rPr>
          <w:rFonts w:ascii="Times New Roman" w:hAnsi="Times New Roman" w:cs="Times New Roman"/>
          <w:lang w:val="en-GB"/>
        </w:rPr>
        <w:t>,</w:t>
      </w:r>
      <w:r w:rsidRPr="007E46CD">
        <w:rPr>
          <w:rFonts w:ascii="Times New Roman" w:hAnsi="Times New Roman" w:cs="Times New Roman"/>
          <w:lang w:val="en-GB"/>
        </w:rPr>
        <w:t xml:space="preserve"> leading to elevated blood glucose. </w:t>
      </w:r>
      <w:r w:rsidR="00A24D4F" w:rsidRPr="007E46CD">
        <w:rPr>
          <w:rFonts w:ascii="Times New Roman" w:hAnsi="Times New Roman" w:cs="Times New Roman"/>
          <w:lang w:val="en-GB"/>
        </w:rPr>
        <w:t xml:space="preserve">Such </w:t>
      </w:r>
      <w:r w:rsidR="00253255" w:rsidRPr="007E46CD">
        <w:rPr>
          <w:rFonts w:ascii="Times New Roman" w:hAnsi="Times New Roman" w:cs="Times New Roman"/>
          <w:lang w:val="en-GB"/>
        </w:rPr>
        <w:t xml:space="preserve">a </w:t>
      </w:r>
      <w:r w:rsidR="00A24D4F" w:rsidRPr="007E46CD">
        <w:rPr>
          <w:rFonts w:ascii="Times New Roman" w:hAnsi="Times New Roman" w:cs="Times New Roman"/>
          <w:lang w:val="en-GB"/>
        </w:rPr>
        <w:t>counter-regulatory mechanism provides a continuous energy supply in cases when intake is low.</w:t>
      </w:r>
    </w:p>
    <w:p w14:paraId="48ECCF4A" w14:textId="7777777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2.3 Dysregulation in Type 2 Diabetes</w:t>
      </w:r>
    </w:p>
    <w:p w14:paraId="02BF468E" w14:textId="4BD1D4DD" w:rsidR="00D83BF0" w:rsidRPr="007E46CD" w:rsidRDefault="00A24D4F"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This is a regulatory system which is impaired in T2DM. </w:t>
      </w:r>
      <w:r w:rsidR="00253255" w:rsidRPr="007E46CD">
        <w:rPr>
          <w:rFonts w:ascii="Times New Roman" w:hAnsi="Times New Roman" w:cs="Times New Roman"/>
          <w:lang w:val="en-GB"/>
        </w:rPr>
        <w:t>According to Kahn et al. (2014), uptake of cellular glucose is reduced when insulin secretion is impaired because of dysfunction of β-cells</w:t>
      </w:r>
      <w:r w:rsidR="0004783E" w:rsidRPr="007E46CD">
        <w:rPr>
          <w:rFonts w:ascii="Times New Roman" w:hAnsi="Times New Roman" w:cs="Times New Roman"/>
          <w:lang w:val="en-GB"/>
        </w:rPr>
        <w:t xml:space="preserve">. Moreover, </w:t>
      </w:r>
      <w:r w:rsidR="00EC5132" w:rsidRPr="007E46CD">
        <w:rPr>
          <w:rFonts w:ascii="Times New Roman" w:hAnsi="Times New Roman" w:cs="Times New Roman"/>
          <w:lang w:val="en-GB"/>
        </w:rPr>
        <w:t>dysfunctional secretion of glucagon</w:t>
      </w:r>
      <w:r w:rsidR="0004783E" w:rsidRPr="007E46CD">
        <w:rPr>
          <w:rFonts w:ascii="Times New Roman" w:hAnsi="Times New Roman" w:cs="Times New Roman"/>
          <w:lang w:val="en-GB"/>
        </w:rPr>
        <w:t xml:space="preserve"> also increases the</w:t>
      </w:r>
      <w:r w:rsidR="00EC5132" w:rsidRPr="007E46CD">
        <w:rPr>
          <w:rFonts w:ascii="Times New Roman" w:hAnsi="Times New Roman" w:cs="Times New Roman"/>
          <w:lang w:val="en-GB"/>
        </w:rPr>
        <w:t xml:space="preserve"> hepatic glucose production</w:t>
      </w:r>
      <w:r w:rsidR="0004783E" w:rsidRPr="007E46CD">
        <w:rPr>
          <w:rFonts w:ascii="Times New Roman" w:hAnsi="Times New Roman" w:cs="Times New Roman"/>
          <w:lang w:val="en-GB"/>
        </w:rPr>
        <w:t xml:space="preserve"> rate; ultimately</w:t>
      </w:r>
      <w:r w:rsidR="00EC5132" w:rsidRPr="007E46CD">
        <w:rPr>
          <w:rFonts w:ascii="Times New Roman" w:hAnsi="Times New Roman" w:cs="Times New Roman"/>
          <w:lang w:val="en-GB"/>
        </w:rPr>
        <w:t>, hyperglycaemia</w:t>
      </w:r>
      <w:r w:rsidR="0004783E" w:rsidRPr="007E46CD">
        <w:rPr>
          <w:rFonts w:ascii="Times New Roman" w:hAnsi="Times New Roman" w:cs="Times New Roman"/>
          <w:lang w:val="en-GB"/>
        </w:rPr>
        <w:t xml:space="preserve"> </w:t>
      </w:r>
      <w:r w:rsidR="00253255" w:rsidRPr="007E46CD">
        <w:rPr>
          <w:rFonts w:ascii="Times New Roman" w:hAnsi="Times New Roman" w:cs="Times New Roman"/>
          <w:lang w:val="en-GB"/>
        </w:rPr>
        <w:t xml:space="preserve">is </w:t>
      </w:r>
      <w:r w:rsidR="0004783E" w:rsidRPr="007E46CD">
        <w:rPr>
          <w:rFonts w:ascii="Times New Roman" w:hAnsi="Times New Roman" w:cs="Times New Roman"/>
          <w:lang w:val="en-GB"/>
        </w:rPr>
        <w:t>exacerbated</w:t>
      </w:r>
      <w:r w:rsidR="00EC5132" w:rsidRPr="007E46CD">
        <w:rPr>
          <w:rFonts w:ascii="Times New Roman" w:hAnsi="Times New Roman" w:cs="Times New Roman"/>
          <w:lang w:val="en-GB"/>
        </w:rPr>
        <w:t xml:space="preserve"> (Khin et al., 2023). </w:t>
      </w:r>
      <w:r w:rsidRPr="007E46CD">
        <w:rPr>
          <w:rFonts w:ascii="Times New Roman" w:hAnsi="Times New Roman" w:cs="Times New Roman"/>
          <w:lang w:val="en-GB"/>
        </w:rPr>
        <w:t xml:space="preserve">Most importantly, it is not just a hormonal dysfunction. </w:t>
      </w:r>
      <w:r w:rsidR="0018305C" w:rsidRPr="007E46CD">
        <w:rPr>
          <w:rFonts w:ascii="Times New Roman" w:hAnsi="Times New Roman" w:cs="Times New Roman"/>
          <w:lang w:val="en-GB"/>
        </w:rPr>
        <w:t xml:space="preserve">Obesity and physical inactivity are the direct causes of lifestyle </w:t>
      </w:r>
      <w:r w:rsidR="00CE5991" w:rsidRPr="007E46CD">
        <w:rPr>
          <w:rFonts w:ascii="Times New Roman" w:hAnsi="Times New Roman" w:cs="Times New Roman"/>
          <w:lang w:val="en-GB"/>
        </w:rPr>
        <w:t>factors that</w:t>
      </w:r>
      <w:r w:rsidR="0018305C" w:rsidRPr="007E46CD">
        <w:rPr>
          <w:rFonts w:ascii="Times New Roman" w:hAnsi="Times New Roman" w:cs="Times New Roman"/>
          <w:lang w:val="en-GB"/>
        </w:rPr>
        <w:t xml:space="preserve"> impair the insulin signalling pathways (Małkowska, 2024). Therefore, T2DM is a loss of physiological and behavioural adaptability. This is </w:t>
      </w:r>
      <w:r w:rsidR="00CE5991" w:rsidRPr="007E46CD">
        <w:rPr>
          <w:rFonts w:ascii="Times New Roman" w:hAnsi="Times New Roman" w:cs="Times New Roman"/>
          <w:lang w:val="en-GB"/>
        </w:rPr>
        <w:t>relevant to the case study because the person has chronic hyperglycaemia, as the resistance to insulin and impaired hormonal control over glucose levels do not allow him to control his</w:t>
      </w:r>
      <w:r w:rsidR="0018305C" w:rsidRPr="007E46CD">
        <w:rPr>
          <w:rFonts w:ascii="Times New Roman" w:hAnsi="Times New Roman" w:cs="Times New Roman"/>
          <w:lang w:val="en-GB"/>
        </w:rPr>
        <w:t xml:space="preserve"> glucose levels.</w:t>
      </w:r>
    </w:p>
    <w:p w14:paraId="7F02708D" w14:textId="7777777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3. Cellular Metabolism: Role of Oxygen and Glucose</w:t>
      </w:r>
    </w:p>
    <w:p w14:paraId="79025AF5" w14:textId="77777777" w:rsidR="0018305C" w:rsidRPr="007E46CD" w:rsidRDefault="0018305C" w:rsidP="0018305C">
      <w:pPr>
        <w:spacing w:line="360" w:lineRule="auto"/>
        <w:rPr>
          <w:rFonts w:ascii="Times New Roman" w:hAnsi="Times New Roman" w:cs="Times New Roman"/>
          <w:lang w:val="en-GB"/>
        </w:rPr>
      </w:pPr>
      <w:r w:rsidRPr="007E46CD">
        <w:rPr>
          <w:rFonts w:ascii="Times New Roman" w:hAnsi="Times New Roman" w:cs="Times New Roman"/>
          <w:lang w:val="en-GB"/>
        </w:rPr>
        <w:t>As Dunn and Grider (2020) emphasised, the cellular metabolism depends on glucose metabolism to produce adenosine triphosphate (ATP), which is the major energy source in the body. It can be subdivided into three phases as shown in Figure 1.</w:t>
      </w:r>
    </w:p>
    <w:p w14:paraId="1F7A63EE" w14:textId="77777777" w:rsidR="00AE49D5" w:rsidRPr="007E46CD" w:rsidRDefault="00AE49D5" w:rsidP="0018305C">
      <w:pPr>
        <w:keepNext/>
        <w:spacing w:line="360" w:lineRule="auto"/>
        <w:rPr>
          <w:rFonts w:ascii="Times New Roman" w:hAnsi="Times New Roman" w:cs="Times New Roman"/>
          <w:lang w:val="en-GB"/>
        </w:rPr>
      </w:pPr>
      <w:r w:rsidRPr="007E46CD">
        <w:rPr>
          <w:rFonts w:ascii="Times New Roman" w:hAnsi="Times New Roman" w:cs="Times New Roman"/>
          <w:noProof/>
          <w:lang w:val="en-GB" w:eastAsia="en-GB"/>
        </w:rPr>
        <w:lastRenderedPageBreak/>
        <w:drawing>
          <wp:inline distT="0" distB="0" distL="0" distR="0" wp14:anchorId="4DF3126B" wp14:editId="53FD753A">
            <wp:extent cx="5486400" cy="3200400"/>
            <wp:effectExtent l="0" t="0" r="0" b="0"/>
            <wp:docPr id="145002164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2534970" w14:textId="054C3648" w:rsidR="00AE49D5" w:rsidRPr="007E46CD" w:rsidRDefault="00AE49D5" w:rsidP="0018305C">
      <w:pPr>
        <w:pStyle w:val="Caption"/>
        <w:spacing w:line="360" w:lineRule="auto"/>
        <w:rPr>
          <w:rFonts w:ascii="Times New Roman" w:hAnsi="Times New Roman" w:cs="Times New Roman"/>
          <w:sz w:val="24"/>
          <w:szCs w:val="24"/>
          <w:lang w:val="en-GB"/>
        </w:rPr>
      </w:pPr>
      <w:r w:rsidRPr="007E46CD">
        <w:rPr>
          <w:rFonts w:ascii="Times New Roman" w:hAnsi="Times New Roman" w:cs="Times New Roman"/>
          <w:sz w:val="24"/>
          <w:szCs w:val="24"/>
          <w:lang w:val="en-GB"/>
        </w:rPr>
        <w:t xml:space="preserve">Figure </w:t>
      </w:r>
      <w:r w:rsidRPr="007E46CD">
        <w:rPr>
          <w:rFonts w:ascii="Times New Roman" w:hAnsi="Times New Roman" w:cs="Times New Roman"/>
          <w:sz w:val="24"/>
          <w:szCs w:val="24"/>
          <w:lang w:val="en-GB"/>
        </w:rPr>
        <w:fldChar w:fldCharType="begin"/>
      </w:r>
      <w:r w:rsidRPr="007E46CD">
        <w:rPr>
          <w:rFonts w:ascii="Times New Roman" w:hAnsi="Times New Roman" w:cs="Times New Roman"/>
          <w:sz w:val="24"/>
          <w:szCs w:val="24"/>
          <w:lang w:val="en-GB"/>
        </w:rPr>
        <w:instrText xml:space="preserve"> SEQ Figure \* ARABIC </w:instrText>
      </w:r>
      <w:r w:rsidRPr="007E46CD">
        <w:rPr>
          <w:rFonts w:ascii="Times New Roman" w:hAnsi="Times New Roman" w:cs="Times New Roman"/>
          <w:sz w:val="24"/>
          <w:szCs w:val="24"/>
          <w:lang w:val="en-GB"/>
        </w:rPr>
        <w:fldChar w:fldCharType="separate"/>
      </w:r>
      <w:r w:rsidRPr="007E46CD">
        <w:rPr>
          <w:rFonts w:ascii="Times New Roman" w:hAnsi="Times New Roman" w:cs="Times New Roman"/>
          <w:sz w:val="24"/>
          <w:szCs w:val="24"/>
          <w:lang w:val="en-GB"/>
        </w:rPr>
        <w:t>1</w:t>
      </w:r>
      <w:r w:rsidRPr="007E46CD">
        <w:rPr>
          <w:rFonts w:ascii="Times New Roman" w:hAnsi="Times New Roman" w:cs="Times New Roman"/>
          <w:sz w:val="24"/>
          <w:szCs w:val="24"/>
          <w:lang w:val="en-GB"/>
        </w:rPr>
        <w:fldChar w:fldCharType="end"/>
      </w:r>
      <w:r w:rsidRPr="007E46CD">
        <w:rPr>
          <w:rFonts w:ascii="Times New Roman" w:hAnsi="Times New Roman" w:cs="Times New Roman"/>
          <w:sz w:val="24"/>
          <w:szCs w:val="24"/>
          <w:lang w:val="en-GB"/>
        </w:rPr>
        <w:t>: Steps in cellular metabolism (Self-made)</w:t>
      </w:r>
    </w:p>
    <w:p w14:paraId="1CBB4E95" w14:textId="7777777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3.1 Glycolysis</w:t>
      </w:r>
    </w:p>
    <w:p w14:paraId="1DAEE8FB" w14:textId="698DF4C7" w:rsidR="00346422" w:rsidRPr="007E46CD" w:rsidRDefault="00346422"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The first phase of glucose metabolism is ‘Glycolysis’ that occurs in the cytoplasm for generating molecules of pyruvate from one glucose </w:t>
      </w:r>
      <w:r w:rsidR="00253255" w:rsidRPr="007E46CD">
        <w:rPr>
          <w:rFonts w:ascii="Times New Roman" w:hAnsi="Times New Roman" w:cs="Times New Roman"/>
          <w:lang w:val="en-GB"/>
        </w:rPr>
        <w:t>molecule</w:t>
      </w:r>
      <w:r w:rsidRPr="007E46CD">
        <w:rPr>
          <w:rFonts w:ascii="Times New Roman" w:hAnsi="Times New Roman" w:cs="Times New Roman"/>
          <w:lang w:val="en-GB"/>
        </w:rPr>
        <w:t>, with the synthesis of the minimal quantity of NADH and ATP</w:t>
      </w:r>
      <w:r w:rsidR="00F33947" w:rsidRPr="007E46CD">
        <w:rPr>
          <w:rFonts w:ascii="Times New Roman" w:hAnsi="Times New Roman" w:cs="Times New Roman"/>
          <w:lang w:val="en-GB"/>
        </w:rPr>
        <w:t xml:space="preserve"> (Nelson and Cox, 2021).</w:t>
      </w:r>
      <w:r w:rsidRPr="007E46CD">
        <w:rPr>
          <w:rFonts w:ascii="Times New Roman" w:hAnsi="Times New Roman" w:cs="Times New Roman"/>
          <w:lang w:val="en-GB"/>
        </w:rPr>
        <w:t xml:space="preserve"> It can be anaerobic (oxygen independent)</w:t>
      </w:r>
      <w:r w:rsidR="00253255" w:rsidRPr="007E46CD">
        <w:rPr>
          <w:rFonts w:ascii="Times New Roman" w:hAnsi="Times New Roman" w:cs="Times New Roman"/>
          <w:lang w:val="en-GB"/>
        </w:rPr>
        <w:t>, the</w:t>
      </w:r>
      <w:r w:rsidRPr="007E46CD">
        <w:rPr>
          <w:rFonts w:ascii="Times New Roman" w:hAnsi="Times New Roman" w:cs="Times New Roman"/>
          <w:lang w:val="en-GB"/>
        </w:rPr>
        <w:t xml:space="preserve"> first stage in the metabolism of glucose.</w:t>
      </w:r>
    </w:p>
    <w:p w14:paraId="371D0BFC" w14:textId="7777777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3.2 Krebs Cycle and Oxidative Phosphorylation</w:t>
      </w:r>
    </w:p>
    <w:p w14:paraId="126D4A18" w14:textId="1E78DF46" w:rsidR="00591CD2" w:rsidRPr="007E46CD" w:rsidRDefault="001A47DE"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In the </w:t>
      </w:r>
      <w:r w:rsidR="00253255" w:rsidRPr="007E46CD">
        <w:rPr>
          <w:rFonts w:ascii="Times New Roman" w:hAnsi="Times New Roman" w:cs="Times New Roman"/>
          <w:lang w:val="en-GB"/>
        </w:rPr>
        <w:t>presence of oxygen, pyruvate enters the mitochondria, where it is oxidised further in</w:t>
      </w:r>
      <w:r w:rsidRPr="007E46CD">
        <w:rPr>
          <w:rFonts w:ascii="Times New Roman" w:hAnsi="Times New Roman" w:cs="Times New Roman"/>
          <w:lang w:val="en-GB"/>
        </w:rPr>
        <w:t xml:space="preserve"> the cycle of the Krebs. It generates the electron carriers (FADH 2 and NADH) that </w:t>
      </w:r>
      <w:r w:rsidR="00253255" w:rsidRPr="007E46CD">
        <w:rPr>
          <w:rFonts w:ascii="Times New Roman" w:hAnsi="Times New Roman" w:cs="Times New Roman"/>
          <w:lang w:val="en-GB"/>
        </w:rPr>
        <w:t>feed into the electron transport chain</w:t>
      </w:r>
      <w:r w:rsidRPr="007E46CD">
        <w:rPr>
          <w:rFonts w:ascii="Times New Roman" w:hAnsi="Times New Roman" w:cs="Times New Roman"/>
          <w:lang w:val="en-GB"/>
        </w:rPr>
        <w:t xml:space="preserve">. As per Hall and Hall (2021), oxygen behaves like the final acceptor of </w:t>
      </w:r>
      <w:r w:rsidR="00253255" w:rsidRPr="007E46CD">
        <w:rPr>
          <w:rFonts w:ascii="Times New Roman" w:hAnsi="Times New Roman" w:cs="Times New Roman"/>
          <w:lang w:val="en-GB"/>
        </w:rPr>
        <w:t>electrons that enables generating a significant amount of ATP</w:t>
      </w:r>
      <w:r w:rsidRPr="007E46CD">
        <w:rPr>
          <w:rFonts w:ascii="Times New Roman" w:hAnsi="Times New Roman" w:cs="Times New Roman"/>
          <w:lang w:val="en-GB"/>
        </w:rPr>
        <w:t xml:space="preserve"> by </w:t>
      </w:r>
      <w:r w:rsidR="00591CD2" w:rsidRPr="007E46CD">
        <w:rPr>
          <w:rFonts w:ascii="Times New Roman" w:hAnsi="Times New Roman" w:cs="Times New Roman"/>
          <w:lang w:val="en-GB"/>
        </w:rPr>
        <w:t>oxidative phosphorylation.</w:t>
      </w:r>
    </w:p>
    <w:p w14:paraId="6B5A77E7" w14:textId="7777777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3.3 Metabolic Dysfunction in T2DM</w:t>
      </w:r>
    </w:p>
    <w:p w14:paraId="6A626B60" w14:textId="3B5FA0B0" w:rsidR="002A6C73" w:rsidRPr="007E46CD" w:rsidRDefault="00591CD2"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In T2DM, </w:t>
      </w:r>
      <w:r w:rsidR="00D05EA9" w:rsidRPr="007E46CD">
        <w:rPr>
          <w:rFonts w:ascii="Times New Roman" w:hAnsi="Times New Roman" w:cs="Times New Roman"/>
          <w:lang w:val="en-GB"/>
        </w:rPr>
        <w:t>the improper</w:t>
      </w:r>
      <w:r w:rsidRPr="007E46CD">
        <w:rPr>
          <w:rFonts w:ascii="Times New Roman" w:hAnsi="Times New Roman" w:cs="Times New Roman"/>
          <w:lang w:val="en-GB"/>
        </w:rPr>
        <w:t xml:space="preserve"> glucose</w:t>
      </w:r>
      <w:r w:rsidR="00D05EA9" w:rsidRPr="007E46CD">
        <w:rPr>
          <w:rFonts w:ascii="Times New Roman" w:hAnsi="Times New Roman" w:cs="Times New Roman"/>
          <w:lang w:val="en-GB"/>
        </w:rPr>
        <w:t xml:space="preserve"> absorption</w:t>
      </w:r>
      <w:r w:rsidRPr="007E46CD">
        <w:rPr>
          <w:rFonts w:ascii="Times New Roman" w:hAnsi="Times New Roman" w:cs="Times New Roman"/>
          <w:lang w:val="en-GB"/>
        </w:rPr>
        <w:t xml:space="preserve"> impairs the substrate</w:t>
      </w:r>
      <w:r w:rsidR="00D05EA9" w:rsidRPr="007E46CD">
        <w:rPr>
          <w:rFonts w:ascii="Times New Roman" w:hAnsi="Times New Roman" w:cs="Times New Roman"/>
          <w:lang w:val="en-GB"/>
        </w:rPr>
        <w:t xml:space="preserve"> supply </w:t>
      </w:r>
      <w:r w:rsidRPr="007E46CD">
        <w:rPr>
          <w:rFonts w:ascii="Times New Roman" w:hAnsi="Times New Roman" w:cs="Times New Roman"/>
          <w:lang w:val="en-GB"/>
        </w:rPr>
        <w:t xml:space="preserve">to cell respiration, which </w:t>
      </w:r>
      <w:r w:rsidR="00253255" w:rsidRPr="007E46CD">
        <w:rPr>
          <w:rFonts w:ascii="Times New Roman" w:hAnsi="Times New Roman" w:cs="Times New Roman"/>
          <w:lang w:val="en-GB"/>
        </w:rPr>
        <w:t>reduces</w:t>
      </w:r>
      <w:r w:rsidR="00D05EA9" w:rsidRPr="007E46CD">
        <w:rPr>
          <w:rFonts w:ascii="Times New Roman" w:hAnsi="Times New Roman" w:cs="Times New Roman"/>
          <w:lang w:val="en-GB"/>
        </w:rPr>
        <w:t xml:space="preserve"> </w:t>
      </w:r>
      <w:r w:rsidRPr="007E46CD">
        <w:rPr>
          <w:rFonts w:ascii="Times New Roman" w:hAnsi="Times New Roman" w:cs="Times New Roman"/>
          <w:lang w:val="en-GB"/>
        </w:rPr>
        <w:t>ATP</w:t>
      </w:r>
      <w:r w:rsidR="00D05EA9" w:rsidRPr="007E46CD">
        <w:rPr>
          <w:rFonts w:ascii="Times New Roman" w:hAnsi="Times New Roman" w:cs="Times New Roman"/>
          <w:lang w:val="en-GB"/>
        </w:rPr>
        <w:t xml:space="preserve"> production</w:t>
      </w:r>
      <w:r w:rsidRPr="007E46CD">
        <w:rPr>
          <w:rFonts w:ascii="Times New Roman" w:hAnsi="Times New Roman" w:cs="Times New Roman"/>
          <w:lang w:val="en-GB"/>
        </w:rPr>
        <w:t xml:space="preserve">. </w:t>
      </w:r>
      <w:r w:rsidR="0090148A" w:rsidRPr="007E46CD">
        <w:rPr>
          <w:rFonts w:ascii="Times New Roman" w:hAnsi="Times New Roman" w:cs="Times New Roman"/>
          <w:lang w:val="en-GB"/>
        </w:rPr>
        <w:t>Forbes and Cooper (2013) found that o</w:t>
      </w:r>
      <w:r w:rsidRPr="007E46CD">
        <w:rPr>
          <w:rFonts w:ascii="Times New Roman" w:hAnsi="Times New Roman" w:cs="Times New Roman"/>
          <w:lang w:val="en-GB"/>
        </w:rPr>
        <w:t xml:space="preserve">xidative stress also occurs </w:t>
      </w:r>
      <w:r w:rsidR="0090148A" w:rsidRPr="007E46CD">
        <w:rPr>
          <w:rFonts w:ascii="Times New Roman" w:hAnsi="Times New Roman" w:cs="Times New Roman"/>
          <w:lang w:val="en-GB"/>
        </w:rPr>
        <w:t xml:space="preserve">due to </w:t>
      </w:r>
      <w:r w:rsidRPr="007E46CD">
        <w:rPr>
          <w:rFonts w:ascii="Times New Roman" w:hAnsi="Times New Roman" w:cs="Times New Roman"/>
          <w:lang w:val="en-GB"/>
        </w:rPr>
        <w:t>chronic hyperglycaemia</w:t>
      </w:r>
      <w:r w:rsidR="0090148A" w:rsidRPr="007E46CD">
        <w:rPr>
          <w:rFonts w:ascii="Times New Roman" w:hAnsi="Times New Roman" w:cs="Times New Roman"/>
          <w:lang w:val="en-GB"/>
        </w:rPr>
        <w:t xml:space="preserve">, </w:t>
      </w:r>
      <w:r w:rsidRPr="007E46CD">
        <w:rPr>
          <w:rFonts w:ascii="Times New Roman" w:hAnsi="Times New Roman" w:cs="Times New Roman"/>
          <w:lang w:val="en-GB"/>
        </w:rPr>
        <w:t xml:space="preserve">impairs </w:t>
      </w:r>
      <w:r w:rsidR="00253255" w:rsidRPr="007E46CD">
        <w:rPr>
          <w:rFonts w:ascii="Times New Roman" w:hAnsi="Times New Roman" w:cs="Times New Roman"/>
          <w:lang w:val="en-GB"/>
        </w:rPr>
        <w:t>mitochondrial function and aggravates metabolic</w:t>
      </w:r>
      <w:r w:rsidR="0090148A" w:rsidRPr="007E46CD">
        <w:rPr>
          <w:rFonts w:ascii="Times New Roman" w:hAnsi="Times New Roman" w:cs="Times New Roman"/>
          <w:lang w:val="en-GB"/>
        </w:rPr>
        <w:t xml:space="preserve"> </w:t>
      </w:r>
      <w:r w:rsidRPr="007E46CD">
        <w:rPr>
          <w:rFonts w:ascii="Times New Roman" w:hAnsi="Times New Roman" w:cs="Times New Roman"/>
          <w:lang w:val="en-GB"/>
        </w:rPr>
        <w:t xml:space="preserve">efficiency. </w:t>
      </w:r>
      <w:r w:rsidR="0018305C" w:rsidRPr="007E46CD">
        <w:rPr>
          <w:rFonts w:ascii="Times New Roman" w:hAnsi="Times New Roman" w:cs="Times New Roman"/>
          <w:lang w:val="en-GB"/>
        </w:rPr>
        <w:t xml:space="preserve">This causes a loop of cellular damage, energy insufficiency and insulin resistance. Therefore, it </w:t>
      </w:r>
      <w:r w:rsidR="0018305C" w:rsidRPr="007E46CD">
        <w:rPr>
          <w:rFonts w:ascii="Times New Roman" w:hAnsi="Times New Roman" w:cs="Times New Roman"/>
          <w:lang w:val="en-GB"/>
        </w:rPr>
        <w:lastRenderedPageBreak/>
        <w:t>may be said that the necessary glucose is required to generate energy and prevent complications, such as retinopathy, cardiovascular disease and neuropathy. In the situation of the case study, diminished glucose absorption and disrupted metabolism can be one of the factors of fatigue and decreased energy levels of the patient.</w:t>
      </w:r>
    </w:p>
    <w:p w14:paraId="55C3441A" w14:textId="093653BC" w:rsidR="006E7A58" w:rsidRPr="007E46CD" w:rsidRDefault="002A6C73" w:rsidP="0018305C">
      <w:pPr>
        <w:spacing w:line="360" w:lineRule="auto"/>
        <w:rPr>
          <w:rFonts w:ascii="Times New Roman" w:hAnsi="Times New Roman" w:cs="Times New Roman"/>
          <w:lang w:val="en-GB"/>
        </w:rPr>
      </w:pPr>
      <w:r w:rsidRPr="007E46CD">
        <w:rPr>
          <w:rFonts w:ascii="Times New Roman" w:hAnsi="Times New Roman" w:cs="Times New Roman"/>
          <w:lang w:val="en-GB"/>
        </w:rPr>
        <w:t>The following table shows the balance of glucagon and insulin</w:t>
      </w:r>
      <w:r w:rsidR="00591CD2" w:rsidRPr="007E46CD">
        <w:rPr>
          <w:rFonts w:ascii="Times New Roman" w:hAnsi="Times New Roman" w:cs="Times New Roman"/>
          <w:lang w:val="en-GB"/>
        </w:rPr>
        <w:t>. This balance in T2DM is lost, which demonstrates the relevance of physiological knowledge as well as lifestyle intervention in returning metabolic stability</w:t>
      </w:r>
      <w:r w:rsidR="006E7A58" w:rsidRPr="007E46CD">
        <w:rPr>
          <w:rFonts w:ascii="Times New Roman" w:hAnsi="Times New Roman" w:cs="Times New Roman"/>
          <w:lang w:val="en-GB"/>
        </w:rPr>
        <w:t>.</w:t>
      </w:r>
    </w:p>
    <w:p w14:paraId="36F28A68" w14:textId="7777777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Table 1: Hormonal Regulation of Blood Glucose</w:t>
      </w:r>
    </w:p>
    <w:tbl>
      <w:tblPr>
        <w:tblStyle w:val="TableGrid"/>
        <w:tblW w:w="0" w:type="auto"/>
        <w:tblLook w:val="04A0" w:firstRow="1" w:lastRow="0" w:firstColumn="1" w:lastColumn="0" w:noHBand="0" w:noVBand="1"/>
      </w:tblPr>
      <w:tblGrid>
        <w:gridCol w:w="1190"/>
        <w:gridCol w:w="1344"/>
        <w:gridCol w:w="1395"/>
        <w:gridCol w:w="3181"/>
        <w:gridCol w:w="2240"/>
      </w:tblGrid>
      <w:tr w:rsidR="00C82ED2" w:rsidRPr="007E46CD" w14:paraId="62732CAA" w14:textId="77777777" w:rsidTr="00764120">
        <w:tc>
          <w:tcPr>
            <w:tcW w:w="0" w:type="auto"/>
            <w:hideMark/>
          </w:tcPr>
          <w:p w14:paraId="11B4820A" w14:textId="77777777" w:rsidR="00D83BF0" w:rsidRPr="007E46CD" w:rsidRDefault="00D83BF0" w:rsidP="0018305C">
            <w:pPr>
              <w:spacing w:after="160" w:line="360" w:lineRule="auto"/>
              <w:rPr>
                <w:rFonts w:ascii="Times New Roman" w:hAnsi="Times New Roman" w:cs="Times New Roman"/>
                <w:b/>
                <w:bCs/>
                <w:lang w:val="en-GB"/>
              </w:rPr>
            </w:pPr>
            <w:r w:rsidRPr="007E46CD">
              <w:rPr>
                <w:rFonts w:ascii="Times New Roman" w:hAnsi="Times New Roman" w:cs="Times New Roman"/>
                <w:b/>
                <w:bCs/>
                <w:lang w:val="en-GB"/>
              </w:rPr>
              <w:t>Hormone</w:t>
            </w:r>
          </w:p>
        </w:tc>
        <w:tc>
          <w:tcPr>
            <w:tcW w:w="0" w:type="auto"/>
            <w:hideMark/>
          </w:tcPr>
          <w:p w14:paraId="54ED6D55" w14:textId="77777777" w:rsidR="00D83BF0" w:rsidRPr="007E46CD" w:rsidRDefault="00D83BF0" w:rsidP="0018305C">
            <w:pPr>
              <w:spacing w:after="160" w:line="360" w:lineRule="auto"/>
              <w:rPr>
                <w:rFonts w:ascii="Times New Roman" w:hAnsi="Times New Roman" w:cs="Times New Roman"/>
                <w:b/>
                <w:bCs/>
                <w:lang w:val="en-GB"/>
              </w:rPr>
            </w:pPr>
            <w:r w:rsidRPr="007E46CD">
              <w:rPr>
                <w:rFonts w:ascii="Times New Roman" w:hAnsi="Times New Roman" w:cs="Times New Roman"/>
                <w:b/>
                <w:bCs/>
                <w:lang w:val="en-GB"/>
              </w:rPr>
              <w:t>Source</w:t>
            </w:r>
          </w:p>
        </w:tc>
        <w:tc>
          <w:tcPr>
            <w:tcW w:w="0" w:type="auto"/>
            <w:hideMark/>
          </w:tcPr>
          <w:p w14:paraId="33883C75" w14:textId="77777777" w:rsidR="00D83BF0" w:rsidRPr="007E46CD" w:rsidRDefault="00D83BF0" w:rsidP="0018305C">
            <w:pPr>
              <w:spacing w:after="160" w:line="360" w:lineRule="auto"/>
              <w:rPr>
                <w:rFonts w:ascii="Times New Roman" w:hAnsi="Times New Roman" w:cs="Times New Roman"/>
                <w:b/>
                <w:bCs/>
                <w:lang w:val="en-GB"/>
              </w:rPr>
            </w:pPr>
            <w:r w:rsidRPr="007E46CD">
              <w:rPr>
                <w:rFonts w:ascii="Times New Roman" w:hAnsi="Times New Roman" w:cs="Times New Roman"/>
                <w:b/>
                <w:bCs/>
                <w:lang w:val="en-GB"/>
              </w:rPr>
              <w:t>Trigger</w:t>
            </w:r>
          </w:p>
        </w:tc>
        <w:tc>
          <w:tcPr>
            <w:tcW w:w="0" w:type="auto"/>
            <w:hideMark/>
          </w:tcPr>
          <w:p w14:paraId="0C842189" w14:textId="77777777" w:rsidR="00D83BF0" w:rsidRPr="007E46CD" w:rsidRDefault="00D83BF0" w:rsidP="0018305C">
            <w:pPr>
              <w:spacing w:after="160" w:line="360" w:lineRule="auto"/>
              <w:rPr>
                <w:rFonts w:ascii="Times New Roman" w:hAnsi="Times New Roman" w:cs="Times New Roman"/>
                <w:b/>
                <w:bCs/>
                <w:lang w:val="en-GB"/>
              </w:rPr>
            </w:pPr>
            <w:r w:rsidRPr="007E46CD">
              <w:rPr>
                <w:rFonts w:ascii="Times New Roman" w:hAnsi="Times New Roman" w:cs="Times New Roman"/>
                <w:b/>
                <w:bCs/>
                <w:lang w:val="en-GB"/>
              </w:rPr>
              <w:t>Primary Action</w:t>
            </w:r>
          </w:p>
        </w:tc>
        <w:tc>
          <w:tcPr>
            <w:tcW w:w="0" w:type="auto"/>
            <w:hideMark/>
          </w:tcPr>
          <w:p w14:paraId="44072DC1" w14:textId="77777777" w:rsidR="00D83BF0" w:rsidRPr="007E46CD" w:rsidRDefault="00D83BF0" w:rsidP="0018305C">
            <w:pPr>
              <w:spacing w:after="160" w:line="360" w:lineRule="auto"/>
              <w:rPr>
                <w:rFonts w:ascii="Times New Roman" w:hAnsi="Times New Roman" w:cs="Times New Roman"/>
                <w:b/>
                <w:bCs/>
                <w:lang w:val="en-GB"/>
              </w:rPr>
            </w:pPr>
            <w:r w:rsidRPr="007E46CD">
              <w:rPr>
                <w:rFonts w:ascii="Times New Roman" w:hAnsi="Times New Roman" w:cs="Times New Roman"/>
                <w:b/>
                <w:bCs/>
                <w:lang w:val="en-GB"/>
              </w:rPr>
              <w:t>Physiological Outcome</w:t>
            </w:r>
          </w:p>
        </w:tc>
      </w:tr>
      <w:tr w:rsidR="00C82ED2" w:rsidRPr="007E46CD" w14:paraId="52D0B5CD" w14:textId="77777777" w:rsidTr="00764120">
        <w:tc>
          <w:tcPr>
            <w:tcW w:w="0" w:type="auto"/>
            <w:hideMark/>
          </w:tcPr>
          <w:p w14:paraId="778550A5"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Insulin</w:t>
            </w:r>
          </w:p>
        </w:tc>
        <w:tc>
          <w:tcPr>
            <w:tcW w:w="0" w:type="auto"/>
            <w:hideMark/>
          </w:tcPr>
          <w:p w14:paraId="5073B071"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β-cells (pancreas)</w:t>
            </w:r>
          </w:p>
        </w:tc>
        <w:tc>
          <w:tcPr>
            <w:tcW w:w="0" w:type="auto"/>
            <w:hideMark/>
          </w:tcPr>
          <w:p w14:paraId="0144CB7A"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High blood glucose</w:t>
            </w:r>
          </w:p>
        </w:tc>
        <w:tc>
          <w:tcPr>
            <w:tcW w:w="0" w:type="auto"/>
            <w:hideMark/>
          </w:tcPr>
          <w:p w14:paraId="473EB46D" w14:textId="7EE4F818" w:rsidR="00D83BF0" w:rsidRPr="007E46CD" w:rsidRDefault="00A5497B"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 xml:space="preserve">Enhances glucose uptake, glycogenesis, </w:t>
            </w:r>
            <w:r w:rsidR="00253255" w:rsidRPr="007E46CD">
              <w:rPr>
                <w:rFonts w:ascii="Times New Roman" w:hAnsi="Times New Roman" w:cs="Times New Roman"/>
                <w:lang w:val="en-GB"/>
              </w:rPr>
              <w:t xml:space="preserve">and </w:t>
            </w:r>
            <w:r w:rsidRPr="007E46CD">
              <w:rPr>
                <w:rFonts w:ascii="Times New Roman" w:hAnsi="Times New Roman" w:cs="Times New Roman"/>
                <w:lang w:val="en-GB"/>
              </w:rPr>
              <w:t>suppresses gluconeogenesis (Brereton et al., 2016)</w:t>
            </w:r>
          </w:p>
        </w:tc>
        <w:tc>
          <w:tcPr>
            <w:tcW w:w="0" w:type="auto"/>
            <w:hideMark/>
          </w:tcPr>
          <w:p w14:paraId="4B2DB6FF" w14:textId="77777777" w:rsidR="00A5497B" w:rsidRPr="007E46CD" w:rsidRDefault="00A5497B" w:rsidP="0018305C">
            <w:pPr>
              <w:spacing w:line="360" w:lineRule="auto"/>
              <w:rPr>
                <w:rFonts w:ascii="Times New Roman" w:hAnsi="Times New Roman" w:cs="Times New Roman"/>
                <w:lang w:val="en-GB"/>
              </w:rPr>
            </w:pPr>
            <w:r w:rsidRPr="007E46CD">
              <w:rPr>
                <w:rFonts w:ascii="Times New Roman" w:hAnsi="Times New Roman" w:cs="Times New Roman"/>
                <w:lang w:val="en-GB"/>
              </w:rPr>
              <w:t>Reduces blood glucose.</w:t>
            </w:r>
          </w:p>
          <w:p w14:paraId="4B9CA0C6" w14:textId="3119F08A" w:rsidR="00D83BF0" w:rsidRPr="007E46CD" w:rsidRDefault="00D83BF0" w:rsidP="0018305C">
            <w:pPr>
              <w:spacing w:after="160" w:line="360" w:lineRule="auto"/>
              <w:rPr>
                <w:rFonts w:ascii="Times New Roman" w:hAnsi="Times New Roman" w:cs="Times New Roman"/>
                <w:lang w:val="en-GB"/>
              </w:rPr>
            </w:pPr>
          </w:p>
        </w:tc>
      </w:tr>
      <w:tr w:rsidR="00C82ED2" w:rsidRPr="007E46CD" w14:paraId="4794E98A" w14:textId="77777777" w:rsidTr="00764120">
        <w:tc>
          <w:tcPr>
            <w:tcW w:w="0" w:type="auto"/>
            <w:hideMark/>
          </w:tcPr>
          <w:p w14:paraId="2BDB6C90"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Glucagon</w:t>
            </w:r>
          </w:p>
        </w:tc>
        <w:tc>
          <w:tcPr>
            <w:tcW w:w="0" w:type="auto"/>
            <w:hideMark/>
          </w:tcPr>
          <w:p w14:paraId="1BE0AA27"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α-cells (pancreas)</w:t>
            </w:r>
          </w:p>
        </w:tc>
        <w:tc>
          <w:tcPr>
            <w:tcW w:w="0" w:type="auto"/>
            <w:hideMark/>
          </w:tcPr>
          <w:p w14:paraId="14EC6BD8" w14:textId="24B03A0B" w:rsidR="00D83BF0" w:rsidRPr="007E46CD" w:rsidRDefault="00C82ED2"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B</w:t>
            </w:r>
            <w:r w:rsidR="00D83BF0" w:rsidRPr="007E46CD">
              <w:rPr>
                <w:rFonts w:ascii="Times New Roman" w:hAnsi="Times New Roman" w:cs="Times New Roman"/>
                <w:lang w:val="en-GB"/>
              </w:rPr>
              <w:t>lood glucose</w:t>
            </w:r>
            <w:r w:rsidRPr="007E46CD">
              <w:rPr>
                <w:rFonts w:ascii="Times New Roman" w:hAnsi="Times New Roman" w:cs="Times New Roman"/>
                <w:lang w:val="en-GB"/>
              </w:rPr>
              <w:t xml:space="preserve"> becomes low</w:t>
            </w:r>
          </w:p>
        </w:tc>
        <w:tc>
          <w:tcPr>
            <w:tcW w:w="0" w:type="auto"/>
            <w:hideMark/>
          </w:tcPr>
          <w:p w14:paraId="4CF1F07F" w14:textId="60297062" w:rsidR="00D83BF0" w:rsidRPr="007E46CD" w:rsidRDefault="00C82ED2"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Triggers</w:t>
            </w:r>
            <w:r w:rsidR="00A5497B" w:rsidRPr="007E46CD">
              <w:rPr>
                <w:rFonts w:ascii="Times New Roman" w:hAnsi="Times New Roman" w:cs="Times New Roman"/>
                <w:lang w:val="en-GB"/>
              </w:rPr>
              <w:t xml:space="preserve"> glycogenolysis and gluconeogenesis</w:t>
            </w:r>
          </w:p>
        </w:tc>
        <w:tc>
          <w:tcPr>
            <w:tcW w:w="0" w:type="auto"/>
            <w:hideMark/>
          </w:tcPr>
          <w:p w14:paraId="78A4065C" w14:textId="0878FE94" w:rsidR="00D83BF0" w:rsidRPr="007E46CD" w:rsidRDefault="00C82ED2"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B</w:t>
            </w:r>
            <w:r w:rsidR="00D83BF0" w:rsidRPr="007E46CD">
              <w:rPr>
                <w:rFonts w:ascii="Times New Roman" w:hAnsi="Times New Roman" w:cs="Times New Roman"/>
                <w:lang w:val="en-GB"/>
              </w:rPr>
              <w:t>lood glucose</w:t>
            </w:r>
            <w:r w:rsidRPr="007E46CD">
              <w:rPr>
                <w:rFonts w:ascii="Times New Roman" w:hAnsi="Times New Roman" w:cs="Times New Roman"/>
                <w:lang w:val="en-GB"/>
              </w:rPr>
              <w:t xml:space="preserve"> increased</w:t>
            </w:r>
            <w:r w:rsidR="00D944B0" w:rsidRPr="007E46CD">
              <w:rPr>
                <w:rFonts w:ascii="Times New Roman" w:hAnsi="Times New Roman" w:cs="Times New Roman"/>
                <w:lang w:val="en-GB"/>
              </w:rPr>
              <w:t xml:space="preserve"> (Wendt and Eliasson, 2022)</w:t>
            </w:r>
          </w:p>
        </w:tc>
      </w:tr>
    </w:tbl>
    <w:p w14:paraId="3D12ADF1" w14:textId="77777777" w:rsidR="00B623F0" w:rsidRPr="007E46CD" w:rsidRDefault="00B623F0" w:rsidP="0018305C">
      <w:pPr>
        <w:spacing w:line="360" w:lineRule="auto"/>
        <w:rPr>
          <w:rFonts w:ascii="Times New Roman" w:hAnsi="Times New Roman" w:cs="Times New Roman"/>
          <w:b/>
          <w:bCs/>
          <w:lang w:val="en-GB"/>
        </w:rPr>
      </w:pPr>
    </w:p>
    <w:p w14:paraId="425918B0" w14:textId="104BA581"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 xml:space="preserve">4. Importance of Recording and Tracking Blood Glucose Levels </w:t>
      </w:r>
    </w:p>
    <w:p w14:paraId="1C316EFC" w14:textId="232AD9AD" w:rsidR="00BF7ED8" w:rsidRPr="007E46CD" w:rsidRDefault="00BF7ED8"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The proper management of T2D </w:t>
      </w:r>
      <w:r w:rsidR="00B82100" w:rsidRPr="007E46CD">
        <w:rPr>
          <w:rFonts w:ascii="Times New Roman" w:hAnsi="Times New Roman" w:cs="Times New Roman"/>
          <w:lang w:val="en-GB"/>
        </w:rPr>
        <w:t>requires</w:t>
      </w:r>
      <w:r w:rsidRPr="007E46CD">
        <w:rPr>
          <w:rFonts w:ascii="Times New Roman" w:hAnsi="Times New Roman" w:cs="Times New Roman"/>
          <w:lang w:val="en-GB"/>
        </w:rPr>
        <w:t xml:space="preserve"> physiological knowledge </w:t>
      </w:r>
      <w:r w:rsidR="00B82100" w:rsidRPr="007E46CD">
        <w:rPr>
          <w:rFonts w:ascii="Times New Roman" w:hAnsi="Times New Roman" w:cs="Times New Roman"/>
          <w:lang w:val="en-GB"/>
        </w:rPr>
        <w:t xml:space="preserve">and </w:t>
      </w:r>
      <w:r w:rsidRPr="007E46CD">
        <w:rPr>
          <w:rFonts w:ascii="Times New Roman" w:hAnsi="Times New Roman" w:cs="Times New Roman"/>
          <w:lang w:val="en-GB"/>
        </w:rPr>
        <w:t xml:space="preserve">active involvement of the patient with regular health information. </w:t>
      </w:r>
      <w:r w:rsidR="00045F21" w:rsidRPr="007E46CD">
        <w:rPr>
          <w:rFonts w:ascii="Times New Roman" w:hAnsi="Times New Roman" w:cs="Times New Roman"/>
          <w:lang w:val="en-GB"/>
        </w:rPr>
        <w:t xml:space="preserve">As per the report of </w:t>
      </w:r>
      <w:r w:rsidR="00253255" w:rsidRPr="007E46CD">
        <w:rPr>
          <w:rFonts w:ascii="Times New Roman" w:hAnsi="Times New Roman" w:cs="Times New Roman"/>
          <w:lang w:val="en-GB"/>
        </w:rPr>
        <w:t xml:space="preserve">the </w:t>
      </w:r>
      <w:r w:rsidR="00045F21" w:rsidRPr="007E46CD">
        <w:rPr>
          <w:rFonts w:ascii="Times New Roman" w:hAnsi="Times New Roman" w:cs="Times New Roman"/>
          <w:lang w:val="en-GB"/>
        </w:rPr>
        <w:t xml:space="preserve">American Diabetes Association (2024), self-monitoring of blood glucose (SMBG) is an extremely imperative element of diabetic treatment because it assists patients in tracking trends and viewing how treatment works. In this manner, complications </w:t>
      </w:r>
      <w:r w:rsidR="00253255" w:rsidRPr="007E46CD">
        <w:rPr>
          <w:rFonts w:ascii="Times New Roman" w:hAnsi="Times New Roman" w:cs="Times New Roman"/>
          <w:lang w:val="en-GB"/>
        </w:rPr>
        <w:t>were prevented to a greater extent</w:t>
      </w:r>
      <w:r w:rsidR="00045F21" w:rsidRPr="007E46CD">
        <w:rPr>
          <w:rFonts w:ascii="Times New Roman" w:hAnsi="Times New Roman" w:cs="Times New Roman"/>
          <w:lang w:val="en-GB"/>
        </w:rPr>
        <w:t xml:space="preserve">. </w:t>
      </w:r>
      <w:r w:rsidR="0018305C" w:rsidRPr="007E46CD">
        <w:rPr>
          <w:rFonts w:ascii="Times New Roman" w:hAnsi="Times New Roman" w:cs="Times New Roman"/>
          <w:lang w:val="en-GB"/>
        </w:rPr>
        <w:t>Practically, the monitoring system of blood glucose can offer dynamic feedback on the effects of numerous lifestyle aspects (including exercise, diet, and medication) on the levels of blood glucose. In the case study, frequent self-</w:t>
      </w:r>
      <w:r w:rsidR="0018305C" w:rsidRPr="007E46CD">
        <w:rPr>
          <w:rFonts w:ascii="Times New Roman" w:hAnsi="Times New Roman" w:cs="Times New Roman"/>
          <w:lang w:val="en-GB"/>
        </w:rPr>
        <w:lastRenderedPageBreak/>
        <w:t>observation would enable the person to have a better grasp of the impact of their daily behaviours on the level of blood sugar in the body.</w:t>
      </w:r>
    </w:p>
    <w:p w14:paraId="547C7014" w14:textId="7777777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4.1 Clinical and Behavioural Significance</w:t>
      </w:r>
    </w:p>
    <w:p w14:paraId="670A84B3" w14:textId="149DEF1B" w:rsidR="00BF7ED8" w:rsidRPr="007E46CD" w:rsidRDefault="0018305C"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Microvascular complications (neuropathy, nephropathy and retinopathy) will be caused by chronic hyperglycaemia, and acute dysfunction of the nervous system may occur due to hypoglycaemia (Davies et al., 2018). </w:t>
      </w:r>
      <w:r w:rsidR="009B6ED4" w:rsidRPr="007E46CD">
        <w:rPr>
          <w:rFonts w:ascii="Times New Roman" w:hAnsi="Times New Roman" w:cs="Times New Roman"/>
          <w:lang w:val="en-GB"/>
        </w:rPr>
        <w:t>So, monitoring glucose increases patient safety.</w:t>
      </w:r>
      <w:r w:rsidR="009F6FB5" w:rsidRPr="007E46CD">
        <w:rPr>
          <w:rFonts w:ascii="Times New Roman" w:hAnsi="Times New Roman" w:cs="Times New Roman"/>
          <w:lang w:val="en-GB"/>
        </w:rPr>
        <w:t xml:space="preserve"> </w:t>
      </w:r>
      <w:r w:rsidR="00BF7ED8" w:rsidRPr="007E46CD">
        <w:rPr>
          <w:rFonts w:ascii="Times New Roman" w:hAnsi="Times New Roman" w:cs="Times New Roman"/>
          <w:lang w:val="en-GB"/>
        </w:rPr>
        <w:t xml:space="preserve">Besides, </w:t>
      </w:r>
      <w:r w:rsidR="00C55A29" w:rsidRPr="007E46CD">
        <w:rPr>
          <w:rFonts w:ascii="Times New Roman" w:hAnsi="Times New Roman" w:cs="Times New Roman"/>
          <w:lang w:val="en-GB"/>
        </w:rPr>
        <w:t>structured monitoring enhances self-management behaviours</w:t>
      </w:r>
      <w:r w:rsidR="00BF7ED8" w:rsidRPr="007E46CD">
        <w:rPr>
          <w:rFonts w:ascii="Times New Roman" w:hAnsi="Times New Roman" w:cs="Times New Roman"/>
          <w:lang w:val="en-GB"/>
        </w:rPr>
        <w:t xml:space="preserve">. Farmer et al. (2012) indicate that patients who monitor their glucose levels maintain good glycaemic control and lifestyle interventions. This is the behavioural feedback loop (see figure 1). </w:t>
      </w:r>
    </w:p>
    <w:p w14:paraId="50E820A5" w14:textId="11AC2038" w:rsidR="00DE4CF9" w:rsidRPr="007E46CD" w:rsidRDefault="00DE4CF9" w:rsidP="0018305C">
      <w:pPr>
        <w:spacing w:line="360" w:lineRule="auto"/>
        <w:rPr>
          <w:rFonts w:ascii="Times New Roman" w:hAnsi="Times New Roman" w:cs="Times New Roman"/>
          <w:lang w:val="en-GB"/>
        </w:rPr>
      </w:pPr>
    </w:p>
    <w:p w14:paraId="19389854" w14:textId="77777777" w:rsidR="00DE4CF9" w:rsidRPr="007E46CD" w:rsidRDefault="00DE4CF9" w:rsidP="0018305C">
      <w:pPr>
        <w:keepNext/>
        <w:spacing w:line="360" w:lineRule="auto"/>
        <w:rPr>
          <w:rFonts w:ascii="Times New Roman" w:hAnsi="Times New Roman" w:cs="Times New Roman"/>
          <w:lang w:val="en-GB"/>
        </w:rPr>
      </w:pPr>
      <w:r w:rsidRPr="007E46CD">
        <w:rPr>
          <w:rFonts w:ascii="Times New Roman" w:hAnsi="Times New Roman" w:cs="Times New Roman"/>
          <w:noProof/>
          <w:lang w:val="en-GB" w:eastAsia="en-GB"/>
        </w:rPr>
        <w:drawing>
          <wp:inline distT="0" distB="0" distL="0" distR="0" wp14:anchorId="5C18B9BB" wp14:editId="446EF4A1">
            <wp:extent cx="5486400" cy="3200400"/>
            <wp:effectExtent l="25400" t="0" r="12700" b="12700"/>
            <wp:docPr id="2071990675"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525BE7A1" w14:textId="4EA98722" w:rsidR="00DE4CF9" w:rsidRPr="007E46CD" w:rsidRDefault="00DE4CF9" w:rsidP="0018305C">
      <w:pPr>
        <w:pStyle w:val="Caption"/>
        <w:spacing w:line="360" w:lineRule="auto"/>
        <w:rPr>
          <w:rFonts w:ascii="Times New Roman" w:hAnsi="Times New Roman" w:cs="Times New Roman"/>
          <w:sz w:val="24"/>
          <w:szCs w:val="24"/>
          <w:lang w:val="en-GB"/>
        </w:rPr>
      </w:pPr>
      <w:r w:rsidRPr="007E46CD">
        <w:rPr>
          <w:rFonts w:ascii="Times New Roman" w:hAnsi="Times New Roman" w:cs="Times New Roman"/>
          <w:sz w:val="24"/>
          <w:szCs w:val="24"/>
          <w:lang w:val="en-GB"/>
        </w:rPr>
        <w:t xml:space="preserve">Figure </w:t>
      </w:r>
      <w:r w:rsidRPr="007E46CD">
        <w:rPr>
          <w:rFonts w:ascii="Times New Roman" w:hAnsi="Times New Roman" w:cs="Times New Roman"/>
          <w:sz w:val="24"/>
          <w:szCs w:val="24"/>
          <w:lang w:val="en-GB"/>
        </w:rPr>
        <w:fldChar w:fldCharType="begin"/>
      </w:r>
      <w:r w:rsidRPr="007E46CD">
        <w:rPr>
          <w:rFonts w:ascii="Times New Roman" w:hAnsi="Times New Roman" w:cs="Times New Roman"/>
          <w:sz w:val="24"/>
          <w:szCs w:val="24"/>
          <w:lang w:val="en-GB"/>
        </w:rPr>
        <w:instrText xml:space="preserve"> SEQ Figure \* ARABIC </w:instrText>
      </w:r>
      <w:r w:rsidRPr="007E46CD">
        <w:rPr>
          <w:rFonts w:ascii="Times New Roman" w:hAnsi="Times New Roman" w:cs="Times New Roman"/>
          <w:sz w:val="24"/>
          <w:szCs w:val="24"/>
          <w:lang w:val="en-GB"/>
        </w:rPr>
        <w:fldChar w:fldCharType="separate"/>
      </w:r>
      <w:r w:rsidR="00AE49D5" w:rsidRPr="007E46CD">
        <w:rPr>
          <w:rFonts w:ascii="Times New Roman" w:hAnsi="Times New Roman" w:cs="Times New Roman"/>
          <w:sz w:val="24"/>
          <w:szCs w:val="24"/>
          <w:lang w:val="en-GB"/>
        </w:rPr>
        <w:t>2</w:t>
      </w:r>
      <w:r w:rsidRPr="007E46CD">
        <w:rPr>
          <w:rFonts w:ascii="Times New Roman" w:hAnsi="Times New Roman" w:cs="Times New Roman"/>
          <w:sz w:val="24"/>
          <w:szCs w:val="24"/>
          <w:lang w:val="en-GB"/>
        </w:rPr>
        <w:fldChar w:fldCharType="end"/>
      </w:r>
      <w:r w:rsidRPr="007E46CD">
        <w:rPr>
          <w:rFonts w:ascii="Times New Roman" w:hAnsi="Times New Roman" w:cs="Times New Roman"/>
          <w:sz w:val="24"/>
          <w:szCs w:val="24"/>
          <w:lang w:val="en-GB"/>
        </w:rPr>
        <w:t>: Steps for Feedback Loop (Source: Self-created)</w:t>
      </w:r>
    </w:p>
    <w:p w14:paraId="0DAD0BE3" w14:textId="69AA05C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4.2 Role of HbA1c and Long-Term Monitoring</w:t>
      </w:r>
    </w:p>
    <w:p w14:paraId="0DB7E50D" w14:textId="4359C7D6" w:rsidR="00432251" w:rsidRPr="007E46CD" w:rsidRDefault="00432251"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Glycated haemoglobin (HbA1c) is also a long-term measure of the average blood sugar levels </w:t>
      </w:r>
      <w:r w:rsidR="001B127B" w:rsidRPr="007E46CD">
        <w:rPr>
          <w:rFonts w:ascii="Times New Roman" w:hAnsi="Times New Roman" w:cs="Times New Roman"/>
          <w:lang w:val="en-GB"/>
        </w:rPr>
        <w:t>over the past 8–12 weeks</w:t>
      </w:r>
      <w:r w:rsidRPr="007E46CD">
        <w:rPr>
          <w:rFonts w:ascii="Times New Roman" w:hAnsi="Times New Roman" w:cs="Times New Roman"/>
          <w:lang w:val="en-GB"/>
        </w:rPr>
        <w:t>, in addition to the daily monitoring (WHO, 2016). In clinical practice, HbA1c is commonly utili</w:t>
      </w:r>
      <w:r w:rsidR="00E549BD" w:rsidRPr="007E46CD">
        <w:rPr>
          <w:rFonts w:ascii="Times New Roman" w:hAnsi="Times New Roman" w:cs="Times New Roman"/>
          <w:lang w:val="en-GB"/>
        </w:rPr>
        <w:t>se</w:t>
      </w:r>
      <w:r w:rsidRPr="007E46CD">
        <w:rPr>
          <w:rFonts w:ascii="Times New Roman" w:hAnsi="Times New Roman" w:cs="Times New Roman"/>
          <w:lang w:val="en-GB"/>
        </w:rPr>
        <w:t xml:space="preserve">d to determine the progression and efficacy of the treatment of the disease. HbA1c thresholds help healthcare professionals to escalate treatment, whereas daily </w:t>
      </w:r>
      <w:r w:rsidRPr="007E46CD">
        <w:rPr>
          <w:rFonts w:ascii="Times New Roman" w:hAnsi="Times New Roman" w:cs="Times New Roman"/>
          <w:lang w:val="en-GB"/>
        </w:rPr>
        <w:lastRenderedPageBreak/>
        <w:t xml:space="preserve">glucose monitoring </w:t>
      </w:r>
      <w:r w:rsidR="00253255" w:rsidRPr="007E46CD">
        <w:rPr>
          <w:rFonts w:ascii="Times New Roman" w:hAnsi="Times New Roman" w:cs="Times New Roman"/>
          <w:lang w:val="en-GB"/>
        </w:rPr>
        <w:t>helps</w:t>
      </w:r>
      <w:r w:rsidRPr="007E46CD">
        <w:rPr>
          <w:rFonts w:ascii="Times New Roman" w:hAnsi="Times New Roman" w:cs="Times New Roman"/>
          <w:lang w:val="en-GB"/>
        </w:rPr>
        <w:t xml:space="preserve"> in clinical decision-making by informing medication adjustments and lifestyle changes, which illustrates the process of routine data integration into clinical decision-making.</w:t>
      </w:r>
    </w:p>
    <w:p w14:paraId="070A5BC1" w14:textId="0F60C3E8" w:rsidR="00432251" w:rsidRPr="007E46CD" w:rsidRDefault="00432251" w:rsidP="0018305C">
      <w:pPr>
        <w:spacing w:line="360" w:lineRule="auto"/>
        <w:rPr>
          <w:rFonts w:ascii="Times New Roman" w:hAnsi="Times New Roman" w:cs="Times New Roman"/>
          <w:lang w:val="en-GB"/>
        </w:rPr>
      </w:pPr>
      <w:r w:rsidRPr="007E46CD">
        <w:rPr>
          <w:rFonts w:ascii="Times New Roman" w:hAnsi="Times New Roman" w:cs="Times New Roman"/>
          <w:lang w:val="en-GB"/>
        </w:rPr>
        <w:t>Nevertheless, HbA1c is useful</w:t>
      </w:r>
      <w:r w:rsidR="00253255" w:rsidRPr="007E46CD">
        <w:rPr>
          <w:rFonts w:ascii="Times New Roman" w:hAnsi="Times New Roman" w:cs="Times New Roman"/>
          <w:lang w:val="en-GB"/>
        </w:rPr>
        <w:t>,</w:t>
      </w:r>
      <w:r w:rsidRPr="007E46CD">
        <w:rPr>
          <w:rFonts w:ascii="Times New Roman" w:hAnsi="Times New Roman" w:cs="Times New Roman"/>
          <w:lang w:val="en-GB"/>
        </w:rPr>
        <w:t xml:space="preserve"> but it </w:t>
      </w:r>
      <w:r w:rsidR="00E549BD" w:rsidRPr="007E46CD">
        <w:rPr>
          <w:rFonts w:ascii="Times New Roman" w:hAnsi="Times New Roman" w:cs="Times New Roman"/>
          <w:lang w:val="en-GB"/>
        </w:rPr>
        <w:t>does not reflect short-term fluctuations</w:t>
      </w:r>
      <w:r w:rsidRPr="007E46CD">
        <w:rPr>
          <w:rFonts w:ascii="Times New Roman" w:hAnsi="Times New Roman" w:cs="Times New Roman"/>
          <w:lang w:val="en-GB"/>
        </w:rPr>
        <w:t>. Although SMBG is immediate, it relies on patient interpretation</w:t>
      </w:r>
      <w:r w:rsidR="00253255" w:rsidRPr="007E46CD">
        <w:rPr>
          <w:rFonts w:ascii="Times New Roman" w:hAnsi="Times New Roman" w:cs="Times New Roman"/>
          <w:lang w:val="en-GB"/>
        </w:rPr>
        <w:t>,</w:t>
      </w:r>
      <w:r w:rsidRPr="007E46CD">
        <w:rPr>
          <w:rFonts w:ascii="Times New Roman" w:hAnsi="Times New Roman" w:cs="Times New Roman"/>
          <w:lang w:val="en-GB"/>
        </w:rPr>
        <w:t xml:space="preserve"> making the issue of structured education in clinical practice critical. Thus, a combination of HbA1c and SMBG or continuous glucose monitoring (CGM) will offer a better insight into glycaemic variability (Beck et al., 2017). When working in primary care, nurses are essential in the interpretation of glucose data, patient education, and intervention </w:t>
      </w:r>
      <w:r w:rsidR="00253255" w:rsidRPr="007E46CD">
        <w:rPr>
          <w:rFonts w:ascii="Times New Roman" w:hAnsi="Times New Roman" w:cs="Times New Roman"/>
          <w:lang w:val="en-GB"/>
        </w:rPr>
        <w:t>customisation</w:t>
      </w:r>
      <w:r w:rsidRPr="007E46CD">
        <w:rPr>
          <w:rFonts w:ascii="Times New Roman" w:hAnsi="Times New Roman" w:cs="Times New Roman"/>
          <w:lang w:val="en-GB"/>
        </w:rPr>
        <w:t>, thus allowing the disjuncture between the physiological and real-world management.</w:t>
      </w:r>
    </w:p>
    <w:p w14:paraId="6FB4459D" w14:textId="0E484B3D" w:rsidR="00F6392F" w:rsidRPr="007E46CD" w:rsidRDefault="00F6392F"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However, </w:t>
      </w:r>
      <w:r w:rsidR="00253255" w:rsidRPr="007E46CD">
        <w:rPr>
          <w:rFonts w:ascii="Times New Roman" w:hAnsi="Times New Roman" w:cs="Times New Roman"/>
          <w:lang w:val="en-GB"/>
        </w:rPr>
        <w:t xml:space="preserve">the </w:t>
      </w:r>
      <w:r w:rsidRPr="007E46CD">
        <w:rPr>
          <w:rFonts w:ascii="Times New Roman" w:hAnsi="Times New Roman" w:cs="Times New Roman"/>
          <w:lang w:val="en-GB"/>
        </w:rPr>
        <w:t>inexpert use of numerical data can cause anxiety or misinterpretation (Polonsky and Fisher, 2013). Also, socioeconomic factors may restrict access to monitoring devices, causing the issue of health disparities. HbA1c thresholds in clinical practice are used to increase treatment intensity, such as the introduction of pharmacological treatment, whereas SMBG trends are used to adjust the dosage and lifestyle change (Qaseem et al., 2018).</w:t>
      </w:r>
    </w:p>
    <w:p w14:paraId="1BBA902B" w14:textId="074D525A"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 xml:space="preserve">5. Lifestyle Modifications in the Management of </w:t>
      </w:r>
      <w:r w:rsidR="00C1194F" w:rsidRPr="007E46CD">
        <w:rPr>
          <w:rFonts w:ascii="Times New Roman" w:hAnsi="Times New Roman" w:cs="Times New Roman"/>
          <w:b/>
          <w:bCs/>
          <w:lang w:val="en-GB"/>
        </w:rPr>
        <w:t>T2D</w:t>
      </w:r>
    </w:p>
    <w:p w14:paraId="1AAF26D0" w14:textId="7777777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5.1 Diet and Nutritional Management</w:t>
      </w:r>
    </w:p>
    <w:p w14:paraId="0554E05A" w14:textId="1B2F9D4F" w:rsidR="004302DE" w:rsidRPr="007E46CD" w:rsidRDefault="00903E38"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Diet is considered </w:t>
      </w:r>
      <w:r w:rsidR="00253255" w:rsidRPr="007E46CD">
        <w:rPr>
          <w:rFonts w:ascii="Times New Roman" w:hAnsi="Times New Roman" w:cs="Times New Roman"/>
          <w:lang w:val="en-GB"/>
        </w:rPr>
        <w:t>a</w:t>
      </w:r>
      <w:r w:rsidRPr="007E46CD">
        <w:rPr>
          <w:rFonts w:ascii="Times New Roman" w:hAnsi="Times New Roman" w:cs="Times New Roman"/>
          <w:lang w:val="en-GB"/>
        </w:rPr>
        <w:t xml:space="preserve"> significant element in controlling glucose. As per Ley et al. (2014), high consumption of saturated fat and carbohydrate is associated with </w:t>
      </w:r>
      <w:r w:rsidR="00253255" w:rsidRPr="007E46CD">
        <w:rPr>
          <w:rFonts w:ascii="Times New Roman" w:hAnsi="Times New Roman" w:cs="Times New Roman"/>
          <w:lang w:val="en-GB"/>
        </w:rPr>
        <w:t xml:space="preserve">resistance to insulin, while a </w:t>
      </w:r>
      <w:r w:rsidRPr="007E46CD">
        <w:rPr>
          <w:rFonts w:ascii="Times New Roman" w:hAnsi="Times New Roman" w:cs="Times New Roman"/>
          <w:lang w:val="en-GB"/>
        </w:rPr>
        <w:t xml:space="preserve">balanced diet consisting of high fibre, lean protein and whole grain triggers </w:t>
      </w:r>
      <w:r w:rsidR="004302DE" w:rsidRPr="007E46CD">
        <w:rPr>
          <w:rFonts w:ascii="Times New Roman" w:hAnsi="Times New Roman" w:cs="Times New Roman"/>
          <w:lang w:val="en-GB"/>
        </w:rPr>
        <w:t>glucose control</w:t>
      </w:r>
      <w:r w:rsidRPr="007E46CD">
        <w:rPr>
          <w:rFonts w:ascii="Times New Roman" w:hAnsi="Times New Roman" w:cs="Times New Roman"/>
          <w:lang w:val="en-GB"/>
        </w:rPr>
        <w:t>.</w:t>
      </w:r>
    </w:p>
    <w:p w14:paraId="242F89E1" w14:textId="6B708271" w:rsidR="004302DE" w:rsidRPr="007E46CD" w:rsidRDefault="00253255"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As mentioned above, Lean et al. (2018) identified that low glycaemic index (GI) foods have </w:t>
      </w:r>
      <w:r w:rsidR="002A6F89" w:rsidRPr="007E46CD">
        <w:rPr>
          <w:rFonts w:ascii="Times New Roman" w:hAnsi="Times New Roman" w:cs="Times New Roman"/>
          <w:lang w:val="en-GB"/>
        </w:rPr>
        <w:t xml:space="preserve">minimal glucose absorption that overcomes </w:t>
      </w:r>
      <w:r w:rsidR="004302DE" w:rsidRPr="007E46CD">
        <w:rPr>
          <w:rFonts w:ascii="Times New Roman" w:hAnsi="Times New Roman" w:cs="Times New Roman"/>
          <w:lang w:val="en-GB"/>
        </w:rPr>
        <w:t xml:space="preserve">postprandial spikes. </w:t>
      </w:r>
      <w:r w:rsidR="001061AC" w:rsidRPr="007E46CD">
        <w:rPr>
          <w:rFonts w:ascii="Times New Roman" w:hAnsi="Times New Roman" w:cs="Times New Roman"/>
          <w:lang w:val="en-GB"/>
        </w:rPr>
        <w:t>In addition to that, low-calorie diets and weight loss are claimed to improve insulin sensitivity as well as</w:t>
      </w:r>
      <w:r w:rsidR="00CE5991" w:rsidRPr="007E46CD">
        <w:rPr>
          <w:rFonts w:ascii="Times New Roman" w:hAnsi="Times New Roman" w:cs="Times New Roman"/>
          <w:lang w:val="en-GB"/>
        </w:rPr>
        <w:t>, in certain cases,</w:t>
      </w:r>
      <w:r w:rsidR="001061AC" w:rsidRPr="007E46CD">
        <w:rPr>
          <w:rFonts w:ascii="Times New Roman" w:hAnsi="Times New Roman" w:cs="Times New Roman"/>
          <w:lang w:val="en-GB"/>
        </w:rPr>
        <w:t xml:space="preserve"> T2DM remission. Above all, the diet interventions are to be personalised. Effectiveness is influenced by culture, socioeconomic background and adherence to treatment. Thus, a blanket strategy is ineffective.</w:t>
      </w:r>
    </w:p>
    <w:p w14:paraId="59AD3C62" w14:textId="7777777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5.2 Physical Activity</w:t>
      </w:r>
    </w:p>
    <w:p w14:paraId="0FEE7086" w14:textId="70588C73" w:rsidR="00D83BF0" w:rsidRPr="007E46CD" w:rsidRDefault="00705E88" w:rsidP="0018305C">
      <w:pPr>
        <w:spacing w:line="360" w:lineRule="auto"/>
        <w:rPr>
          <w:rFonts w:ascii="Times New Roman" w:hAnsi="Times New Roman" w:cs="Times New Roman"/>
          <w:lang w:val="en-GB"/>
        </w:rPr>
      </w:pPr>
      <w:r w:rsidRPr="007E46CD">
        <w:rPr>
          <w:rFonts w:ascii="Times New Roman" w:hAnsi="Times New Roman" w:cs="Times New Roman"/>
          <w:lang w:val="en-GB"/>
        </w:rPr>
        <w:lastRenderedPageBreak/>
        <w:t xml:space="preserve">The benefits of exercise on glucose uptake </w:t>
      </w:r>
      <w:r w:rsidR="00253255" w:rsidRPr="007E46CD">
        <w:rPr>
          <w:rFonts w:ascii="Times New Roman" w:hAnsi="Times New Roman" w:cs="Times New Roman"/>
          <w:lang w:val="en-GB"/>
        </w:rPr>
        <w:t>do</w:t>
      </w:r>
      <w:r w:rsidRPr="007E46CD">
        <w:rPr>
          <w:rFonts w:ascii="Times New Roman" w:hAnsi="Times New Roman" w:cs="Times New Roman"/>
          <w:lang w:val="en-GB"/>
        </w:rPr>
        <w:t xml:space="preserve"> not require insulin, as it increases the translocation of the GLUT4 in the skeletal muscle (Colberg et al., 2016). </w:t>
      </w:r>
      <w:r w:rsidR="00DE4FC4" w:rsidRPr="007E46CD">
        <w:rPr>
          <w:rFonts w:ascii="Times New Roman" w:hAnsi="Times New Roman" w:cs="Times New Roman"/>
          <w:lang w:val="en-GB"/>
        </w:rPr>
        <w:t xml:space="preserve">Exercise enhances insulin sensitivity, decreases body weight and increases heart fitness. </w:t>
      </w:r>
      <w:r w:rsidR="00CE5991" w:rsidRPr="007E46CD">
        <w:rPr>
          <w:rFonts w:ascii="Times New Roman" w:hAnsi="Times New Roman" w:cs="Times New Roman"/>
          <w:lang w:val="en-GB"/>
        </w:rPr>
        <w:t xml:space="preserve">The </w:t>
      </w:r>
      <w:r w:rsidR="00DE4FC4" w:rsidRPr="007E46CD">
        <w:rPr>
          <w:rFonts w:ascii="Times New Roman" w:hAnsi="Times New Roman" w:cs="Times New Roman"/>
          <w:lang w:val="en-GB"/>
        </w:rPr>
        <w:t>World Health Organisation (WHO, 2020) suggests that adults should do 150 minutes of moderate exercise per week. Aerobic</w:t>
      </w:r>
      <w:r w:rsidR="00CE5991" w:rsidRPr="007E46CD">
        <w:rPr>
          <w:rFonts w:ascii="Times New Roman" w:hAnsi="Times New Roman" w:cs="Times New Roman"/>
          <w:lang w:val="en-GB"/>
        </w:rPr>
        <w:t xml:space="preserve"> and resistance</w:t>
      </w:r>
      <w:r w:rsidR="00DE4FC4" w:rsidRPr="007E46CD">
        <w:rPr>
          <w:rFonts w:ascii="Times New Roman" w:hAnsi="Times New Roman" w:cs="Times New Roman"/>
          <w:lang w:val="en-GB"/>
        </w:rPr>
        <w:t xml:space="preserve"> training would be helpful in this situation, but in terms of glycaemic control, combined training is the most effective (Umpierre et al., 2011). Nevertheless, one should take into account a lack of motivation, time, and other illnesses. Prescription of exercise should be at an individual level by the doctors.</w:t>
      </w:r>
    </w:p>
    <w:p w14:paraId="495F90A8" w14:textId="7777777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5.3 Smoking and Alcohol Consumption</w:t>
      </w:r>
    </w:p>
    <w:p w14:paraId="7CB1EFB4" w14:textId="2F4D9FA3" w:rsidR="00DE4FC4" w:rsidRPr="007E46CD" w:rsidRDefault="00DE4FC4"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Smoking is also a serious risk factor </w:t>
      </w:r>
      <w:r w:rsidR="00CE5991" w:rsidRPr="007E46CD">
        <w:rPr>
          <w:rFonts w:ascii="Times New Roman" w:hAnsi="Times New Roman" w:cs="Times New Roman"/>
          <w:lang w:val="en-GB"/>
        </w:rPr>
        <w:t>for</w:t>
      </w:r>
      <w:r w:rsidRPr="007E46CD">
        <w:rPr>
          <w:rFonts w:ascii="Times New Roman" w:hAnsi="Times New Roman" w:cs="Times New Roman"/>
          <w:lang w:val="en-GB"/>
        </w:rPr>
        <w:t xml:space="preserve"> T2DM and its complications. Nicotine also affects insulin sensitivity and increases inflammation to aggravate metabolic dysfunction (Lan et al., 2020). Smoking cessation is therefore significant in </w:t>
      </w:r>
      <w:r w:rsidR="00CE5991" w:rsidRPr="007E46CD">
        <w:rPr>
          <w:rFonts w:ascii="Times New Roman" w:hAnsi="Times New Roman" w:cs="Times New Roman"/>
          <w:lang w:val="en-GB"/>
        </w:rPr>
        <w:t xml:space="preserve">the </w:t>
      </w:r>
      <w:r w:rsidRPr="007E46CD">
        <w:rPr>
          <w:rFonts w:ascii="Times New Roman" w:hAnsi="Times New Roman" w:cs="Times New Roman"/>
          <w:lang w:val="en-GB"/>
        </w:rPr>
        <w:t xml:space="preserve">management of diabetes. Likewise, alcoholism may disrupt glucose metabolism and predispose people to the risk of hypoglycaemia, especially when taking insulin or some drugs (Knott et al., 2015). It is </w:t>
      </w:r>
      <w:r w:rsidR="00CE5991" w:rsidRPr="007E46CD">
        <w:rPr>
          <w:rFonts w:ascii="Times New Roman" w:hAnsi="Times New Roman" w:cs="Times New Roman"/>
          <w:lang w:val="en-GB"/>
        </w:rPr>
        <w:t>recommended</w:t>
      </w:r>
      <w:r w:rsidRPr="007E46CD">
        <w:rPr>
          <w:rFonts w:ascii="Times New Roman" w:hAnsi="Times New Roman" w:cs="Times New Roman"/>
          <w:lang w:val="en-GB"/>
        </w:rPr>
        <w:t xml:space="preserve"> to moderate or avoid. The relations between behavioural and physiological factors</w:t>
      </w:r>
      <w:r w:rsidR="00CE5991" w:rsidRPr="007E46CD">
        <w:rPr>
          <w:rFonts w:ascii="Times New Roman" w:hAnsi="Times New Roman" w:cs="Times New Roman"/>
          <w:lang w:val="en-GB"/>
        </w:rPr>
        <w:t>, as revealed in Table 2, are interconnected,</w:t>
      </w:r>
      <w:r w:rsidRPr="007E46CD">
        <w:rPr>
          <w:rFonts w:ascii="Times New Roman" w:hAnsi="Times New Roman" w:cs="Times New Roman"/>
          <w:lang w:val="en-GB"/>
        </w:rPr>
        <w:t xml:space="preserve"> and this explains the holistic management approaches.</w:t>
      </w:r>
    </w:p>
    <w:p w14:paraId="0560E497" w14:textId="46CDA3FF" w:rsidR="00B623F0" w:rsidRPr="007E46CD" w:rsidRDefault="00B623F0" w:rsidP="0018305C">
      <w:pPr>
        <w:pStyle w:val="Caption"/>
        <w:keepNext/>
        <w:spacing w:line="360" w:lineRule="auto"/>
        <w:rPr>
          <w:rFonts w:ascii="Times New Roman" w:hAnsi="Times New Roman" w:cs="Times New Roman"/>
          <w:sz w:val="24"/>
          <w:szCs w:val="24"/>
          <w:lang w:val="en-GB"/>
        </w:rPr>
      </w:pPr>
      <w:r w:rsidRPr="007E46CD">
        <w:rPr>
          <w:rFonts w:ascii="Times New Roman" w:hAnsi="Times New Roman" w:cs="Times New Roman"/>
          <w:sz w:val="24"/>
          <w:szCs w:val="24"/>
          <w:lang w:val="en-GB"/>
        </w:rPr>
        <w:t xml:space="preserve">Table </w:t>
      </w:r>
      <w:r w:rsidRPr="007E46CD">
        <w:rPr>
          <w:rFonts w:ascii="Times New Roman" w:hAnsi="Times New Roman" w:cs="Times New Roman"/>
          <w:sz w:val="24"/>
          <w:szCs w:val="24"/>
          <w:lang w:val="en-GB"/>
        </w:rPr>
        <w:fldChar w:fldCharType="begin"/>
      </w:r>
      <w:r w:rsidRPr="007E46CD">
        <w:rPr>
          <w:rFonts w:ascii="Times New Roman" w:hAnsi="Times New Roman" w:cs="Times New Roman"/>
          <w:sz w:val="24"/>
          <w:szCs w:val="24"/>
          <w:lang w:val="en-GB"/>
        </w:rPr>
        <w:instrText xml:space="preserve"> SEQ Table \* ARABIC </w:instrText>
      </w:r>
      <w:r w:rsidRPr="007E46CD">
        <w:rPr>
          <w:rFonts w:ascii="Times New Roman" w:hAnsi="Times New Roman" w:cs="Times New Roman"/>
          <w:sz w:val="24"/>
          <w:szCs w:val="24"/>
          <w:lang w:val="en-GB"/>
        </w:rPr>
        <w:fldChar w:fldCharType="separate"/>
      </w:r>
      <w:r w:rsidR="00DE4CF9" w:rsidRPr="007E46CD">
        <w:rPr>
          <w:rFonts w:ascii="Times New Roman" w:hAnsi="Times New Roman" w:cs="Times New Roman"/>
          <w:sz w:val="24"/>
          <w:szCs w:val="24"/>
          <w:lang w:val="en-GB"/>
        </w:rPr>
        <w:t>2</w:t>
      </w:r>
      <w:r w:rsidRPr="007E46CD">
        <w:rPr>
          <w:rFonts w:ascii="Times New Roman" w:hAnsi="Times New Roman" w:cs="Times New Roman"/>
          <w:sz w:val="24"/>
          <w:szCs w:val="24"/>
          <w:lang w:val="en-GB"/>
        </w:rPr>
        <w:fldChar w:fldCharType="end"/>
      </w:r>
      <w:r w:rsidRPr="007E46CD">
        <w:rPr>
          <w:rFonts w:ascii="Times New Roman" w:hAnsi="Times New Roman" w:cs="Times New Roman"/>
          <w:sz w:val="24"/>
          <w:szCs w:val="24"/>
          <w:lang w:val="en-GB"/>
        </w:rPr>
        <w:t>: Impact of Lifestyle Factors on T2D</w:t>
      </w:r>
    </w:p>
    <w:tbl>
      <w:tblPr>
        <w:tblStyle w:val="TableGrid"/>
        <w:tblW w:w="0" w:type="auto"/>
        <w:tblLook w:val="04A0" w:firstRow="1" w:lastRow="0" w:firstColumn="1" w:lastColumn="0" w:noHBand="0" w:noVBand="1"/>
      </w:tblPr>
      <w:tblGrid>
        <w:gridCol w:w="1861"/>
        <w:gridCol w:w="4768"/>
        <w:gridCol w:w="2721"/>
      </w:tblGrid>
      <w:tr w:rsidR="00D83BF0" w:rsidRPr="007E46CD" w14:paraId="63A13DF3" w14:textId="77777777" w:rsidTr="00A50F51">
        <w:tc>
          <w:tcPr>
            <w:tcW w:w="0" w:type="auto"/>
            <w:hideMark/>
          </w:tcPr>
          <w:p w14:paraId="34CB0898" w14:textId="77777777" w:rsidR="00D83BF0" w:rsidRPr="007E46CD" w:rsidRDefault="00D83BF0" w:rsidP="0018305C">
            <w:pPr>
              <w:spacing w:after="160" w:line="360" w:lineRule="auto"/>
              <w:rPr>
                <w:rFonts w:ascii="Times New Roman" w:hAnsi="Times New Roman" w:cs="Times New Roman"/>
                <w:b/>
                <w:bCs/>
                <w:lang w:val="en-GB"/>
              </w:rPr>
            </w:pPr>
            <w:r w:rsidRPr="007E46CD">
              <w:rPr>
                <w:rFonts w:ascii="Times New Roman" w:hAnsi="Times New Roman" w:cs="Times New Roman"/>
                <w:b/>
                <w:bCs/>
                <w:lang w:val="en-GB"/>
              </w:rPr>
              <w:t>Lifestyle Factor</w:t>
            </w:r>
          </w:p>
        </w:tc>
        <w:tc>
          <w:tcPr>
            <w:tcW w:w="0" w:type="auto"/>
            <w:hideMark/>
          </w:tcPr>
          <w:p w14:paraId="6C157666" w14:textId="77777777" w:rsidR="00D83BF0" w:rsidRPr="007E46CD" w:rsidRDefault="00D83BF0" w:rsidP="0018305C">
            <w:pPr>
              <w:spacing w:after="160" w:line="360" w:lineRule="auto"/>
              <w:rPr>
                <w:rFonts w:ascii="Times New Roman" w:hAnsi="Times New Roman" w:cs="Times New Roman"/>
                <w:b/>
                <w:bCs/>
                <w:lang w:val="en-GB"/>
              </w:rPr>
            </w:pPr>
            <w:r w:rsidRPr="007E46CD">
              <w:rPr>
                <w:rFonts w:ascii="Times New Roman" w:hAnsi="Times New Roman" w:cs="Times New Roman"/>
                <w:b/>
                <w:bCs/>
                <w:lang w:val="en-GB"/>
              </w:rPr>
              <w:t>Mechanism of Impact</w:t>
            </w:r>
          </w:p>
        </w:tc>
        <w:tc>
          <w:tcPr>
            <w:tcW w:w="0" w:type="auto"/>
            <w:hideMark/>
          </w:tcPr>
          <w:p w14:paraId="0E6C1654" w14:textId="77777777" w:rsidR="00D83BF0" w:rsidRPr="007E46CD" w:rsidRDefault="00D83BF0" w:rsidP="0018305C">
            <w:pPr>
              <w:spacing w:after="160" w:line="360" w:lineRule="auto"/>
              <w:rPr>
                <w:rFonts w:ascii="Times New Roman" w:hAnsi="Times New Roman" w:cs="Times New Roman"/>
                <w:b/>
                <w:bCs/>
                <w:lang w:val="en-GB"/>
              </w:rPr>
            </w:pPr>
            <w:r w:rsidRPr="007E46CD">
              <w:rPr>
                <w:rFonts w:ascii="Times New Roman" w:hAnsi="Times New Roman" w:cs="Times New Roman"/>
                <w:b/>
                <w:bCs/>
                <w:lang w:val="en-GB"/>
              </w:rPr>
              <w:t>Clinical Outcome</w:t>
            </w:r>
          </w:p>
        </w:tc>
      </w:tr>
      <w:tr w:rsidR="00D83BF0" w:rsidRPr="007E46CD" w14:paraId="31868B9F" w14:textId="77777777" w:rsidTr="00A50F51">
        <w:tc>
          <w:tcPr>
            <w:tcW w:w="0" w:type="auto"/>
            <w:hideMark/>
          </w:tcPr>
          <w:p w14:paraId="3BD27E47"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Poor diet</w:t>
            </w:r>
          </w:p>
        </w:tc>
        <w:tc>
          <w:tcPr>
            <w:tcW w:w="0" w:type="auto"/>
            <w:hideMark/>
          </w:tcPr>
          <w:p w14:paraId="15432BF5"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Increased glucose load, insulin resistance</w:t>
            </w:r>
          </w:p>
        </w:tc>
        <w:tc>
          <w:tcPr>
            <w:tcW w:w="0" w:type="auto"/>
            <w:hideMark/>
          </w:tcPr>
          <w:p w14:paraId="4CFA1864"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Hyperglycaemia</w:t>
            </w:r>
          </w:p>
        </w:tc>
      </w:tr>
      <w:tr w:rsidR="00D83BF0" w:rsidRPr="007E46CD" w14:paraId="33E51242" w14:textId="77777777" w:rsidTr="00A50F51">
        <w:tc>
          <w:tcPr>
            <w:tcW w:w="0" w:type="auto"/>
            <w:hideMark/>
          </w:tcPr>
          <w:p w14:paraId="11A71DB1"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Physical inactivity</w:t>
            </w:r>
          </w:p>
        </w:tc>
        <w:tc>
          <w:tcPr>
            <w:tcW w:w="0" w:type="auto"/>
            <w:hideMark/>
          </w:tcPr>
          <w:p w14:paraId="532ADB5A" w14:textId="029B381E" w:rsidR="00D83BF0" w:rsidRPr="007E46CD" w:rsidRDefault="001F4337"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Lessened glucose intake</w:t>
            </w:r>
          </w:p>
        </w:tc>
        <w:tc>
          <w:tcPr>
            <w:tcW w:w="0" w:type="auto"/>
            <w:hideMark/>
          </w:tcPr>
          <w:p w14:paraId="2E2DF38C"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Worsened insulin resistance</w:t>
            </w:r>
          </w:p>
        </w:tc>
      </w:tr>
      <w:tr w:rsidR="00D83BF0" w:rsidRPr="007E46CD" w14:paraId="013DD037" w14:textId="77777777" w:rsidTr="00A50F51">
        <w:tc>
          <w:tcPr>
            <w:tcW w:w="0" w:type="auto"/>
            <w:hideMark/>
          </w:tcPr>
          <w:p w14:paraId="75FA43FE"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Obesity</w:t>
            </w:r>
          </w:p>
        </w:tc>
        <w:tc>
          <w:tcPr>
            <w:tcW w:w="0" w:type="auto"/>
            <w:hideMark/>
          </w:tcPr>
          <w:p w14:paraId="1D0F5532" w14:textId="1863BE5A" w:rsidR="00D83BF0" w:rsidRPr="007E46CD" w:rsidRDefault="000C189B"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Chronic inflammation, insulin signalling impaired</w:t>
            </w:r>
          </w:p>
        </w:tc>
        <w:tc>
          <w:tcPr>
            <w:tcW w:w="0" w:type="auto"/>
            <w:hideMark/>
          </w:tcPr>
          <w:p w14:paraId="7044249F"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β-cell dysfunction</w:t>
            </w:r>
          </w:p>
        </w:tc>
      </w:tr>
      <w:tr w:rsidR="00D83BF0" w:rsidRPr="007E46CD" w14:paraId="01B8CD00" w14:textId="77777777" w:rsidTr="00A50F51">
        <w:tc>
          <w:tcPr>
            <w:tcW w:w="0" w:type="auto"/>
            <w:hideMark/>
          </w:tcPr>
          <w:p w14:paraId="3B69898D"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Smoking</w:t>
            </w:r>
          </w:p>
        </w:tc>
        <w:tc>
          <w:tcPr>
            <w:tcW w:w="0" w:type="auto"/>
            <w:hideMark/>
          </w:tcPr>
          <w:p w14:paraId="5ACEA935" w14:textId="64415FC7" w:rsidR="00D83BF0" w:rsidRPr="007E46CD" w:rsidRDefault="004E265E"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Excessive inflammation, decreased insulin sensitivity</w:t>
            </w:r>
          </w:p>
        </w:tc>
        <w:tc>
          <w:tcPr>
            <w:tcW w:w="0" w:type="auto"/>
            <w:hideMark/>
          </w:tcPr>
          <w:p w14:paraId="453E4A65" w14:textId="01402577" w:rsidR="00D83BF0" w:rsidRPr="007E46CD" w:rsidRDefault="007F2D5C"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Complications increased</w:t>
            </w:r>
          </w:p>
        </w:tc>
      </w:tr>
      <w:tr w:rsidR="00D83BF0" w:rsidRPr="007E46CD" w14:paraId="33384FAF" w14:textId="77777777" w:rsidTr="00A50F51">
        <w:tc>
          <w:tcPr>
            <w:tcW w:w="0" w:type="auto"/>
            <w:hideMark/>
          </w:tcPr>
          <w:p w14:paraId="299D3758"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Alcohol (excess)</w:t>
            </w:r>
          </w:p>
        </w:tc>
        <w:tc>
          <w:tcPr>
            <w:tcW w:w="0" w:type="auto"/>
            <w:hideMark/>
          </w:tcPr>
          <w:p w14:paraId="0F60E33F" w14:textId="7D350022" w:rsidR="00D83BF0" w:rsidRPr="007E46CD" w:rsidRDefault="007F2D5C"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Glucose regulation impaired</w:t>
            </w:r>
          </w:p>
        </w:tc>
        <w:tc>
          <w:tcPr>
            <w:tcW w:w="0" w:type="auto"/>
            <w:hideMark/>
          </w:tcPr>
          <w:p w14:paraId="12FA9BD1" w14:textId="77777777" w:rsidR="00D83BF0" w:rsidRPr="007E46CD" w:rsidRDefault="00D83BF0" w:rsidP="0018305C">
            <w:pPr>
              <w:spacing w:after="160" w:line="360" w:lineRule="auto"/>
              <w:rPr>
                <w:rFonts w:ascii="Times New Roman" w:hAnsi="Times New Roman" w:cs="Times New Roman"/>
                <w:lang w:val="en-GB"/>
              </w:rPr>
            </w:pPr>
            <w:r w:rsidRPr="007E46CD">
              <w:rPr>
                <w:rFonts w:ascii="Times New Roman" w:hAnsi="Times New Roman" w:cs="Times New Roman"/>
                <w:lang w:val="en-GB"/>
              </w:rPr>
              <w:t>Glycaemic instability</w:t>
            </w:r>
          </w:p>
        </w:tc>
      </w:tr>
    </w:tbl>
    <w:p w14:paraId="7BE3CDA1" w14:textId="5FC05789" w:rsidR="00D83BF0" w:rsidRPr="007E46CD" w:rsidRDefault="00D83BF0" w:rsidP="0018305C">
      <w:pPr>
        <w:spacing w:line="360" w:lineRule="auto"/>
        <w:rPr>
          <w:rFonts w:ascii="Times New Roman" w:hAnsi="Times New Roman" w:cs="Times New Roman"/>
          <w:lang w:val="en-GB"/>
        </w:rPr>
      </w:pPr>
    </w:p>
    <w:p w14:paraId="6211A79D" w14:textId="47F540EE"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lastRenderedPageBreak/>
        <w:t xml:space="preserve">6. </w:t>
      </w:r>
      <w:r w:rsidR="00253255" w:rsidRPr="007E46CD">
        <w:rPr>
          <w:rFonts w:ascii="Times New Roman" w:hAnsi="Times New Roman" w:cs="Times New Roman"/>
          <w:b/>
          <w:bCs/>
          <w:lang w:val="en-GB"/>
        </w:rPr>
        <w:t>Evidence-Based</w:t>
      </w:r>
      <w:r w:rsidRPr="007E46CD">
        <w:rPr>
          <w:rFonts w:ascii="Times New Roman" w:hAnsi="Times New Roman" w:cs="Times New Roman"/>
          <w:b/>
          <w:bCs/>
          <w:lang w:val="en-GB"/>
        </w:rPr>
        <w:t xml:space="preserve"> Recommendations</w:t>
      </w:r>
    </w:p>
    <w:p w14:paraId="631C7A82" w14:textId="0963B6A5" w:rsidR="00E97285" w:rsidRPr="007E46CD" w:rsidRDefault="00705E88"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Nurses in a general practice (GP) environment are important for the interpretation of blood glucose readings for dietary education, treatment algorithms and self-management (Brackney, 2018). </w:t>
      </w:r>
      <w:r w:rsidR="00E441AC" w:rsidRPr="007E46CD">
        <w:rPr>
          <w:rFonts w:ascii="Times New Roman" w:hAnsi="Times New Roman" w:cs="Times New Roman"/>
          <w:lang w:val="en-GB"/>
        </w:rPr>
        <w:t>First</w:t>
      </w:r>
      <w:r w:rsidR="00E97285" w:rsidRPr="007E46CD">
        <w:rPr>
          <w:rFonts w:ascii="Times New Roman" w:hAnsi="Times New Roman" w:cs="Times New Roman"/>
          <w:lang w:val="en-GB"/>
        </w:rPr>
        <w:t>, patient education should be organised. Patients need to be provided with clear and evidence-based information on glucose control, the ability to identify the signs of hypo- and hyperglycaemia and the impact of lifestyle behaviours on glycaemic regulation. Interventions, including DESMOND, that can be found in programmes which are consistent with NICE (2015) guidelines</w:t>
      </w:r>
      <w:r w:rsidR="00253255" w:rsidRPr="007E46CD">
        <w:rPr>
          <w:rFonts w:ascii="Times New Roman" w:hAnsi="Times New Roman" w:cs="Times New Roman"/>
          <w:lang w:val="en-GB"/>
        </w:rPr>
        <w:t>,</w:t>
      </w:r>
      <w:r w:rsidR="00E97285" w:rsidRPr="007E46CD">
        <w:rPr>
          <w:rFonts w:ascii="Times New Roman" w:hAnsi="Times New Roman" w:cs="Times New Roman"/>
          <w:lang w:val="en-GB"/>
        </w:rPr>
        <w:t xml:space="preserve"> have been reported to enhance adherence and long-term HbA1c levels.</w:t>
      </w:r>
    </w:p>
    <w:p w14:paraId="5694C782" w14:textId="320DEF0A" w:rsidR="00E97285" w:rsidRPr="007E46CD" w:rsidRDefault="00E97285"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Secondly, the routine blood glucose monitoring should be incorporated into everyday activities. </w:t>
      </w:r>
      <w:r w:rsidR="00E75756" w:rsidRPr="007E46CD">
        <w:rPr>
          <w:rFonts w:ascii="Times New Roman" w:hAnsi="Times New Roman" w:cs="Times New Roman"/>
          <w:lang w:val="en-GB"/>
        </w:rPr>
        <w:t xml:space="preserve">Weinstock et al. (2020) state that </w:t>
      </w:r>
      <w:r w:rsidRPr="007E46CD">
        <w:rPr>
          <w:rFonts w:ascii="Times New Roman" w:hAnsi="Times New Roman" w:cs="Times New Roman"/>
          <w:lang w:val="en-GB"/>
        </w:rPr>
        <w:t xml:space="preserve">SMBG allows patients to </w:t>
      </w:r>
      <w:r w:rsidR="00253255" w:rsidRPr="007E46CD">
        <w:rPr>
          <w:rFonts w:ascii="Times New Roman" w:hAnsi="Times New Roman" w:cs="Times New Roman"/>
          <w:lang w:val="en-GB"/>
        </w:rPr>
        <w:t>recognise</w:t>
      </w:r>
      <w:r w:rsidRPr="007E46CD">
        <w:rPr>
          <w:rFonts w:ascii="Times New Roman" w:hAnsi="Times New Roman" w:cs="Times New Roman"/>
          <w:lang w:val="en-GB"/>
        </w:rPr>
        <w:t xml:space="preserve"> patterns associated with food, exercise, and medications. </w:t>
      </w:r>
      <w:r w:rsidR="004F6472" w:rsidRPr="007E46CD">
        <w:rPr>
          <w:rFonts w:ascii="Times New Roman" w:hAnsi="Times New Roman" w:cs="Times New Roman"/>
          <w:lang w:val="en-GB"/>
        </w:rPr>
        <w:t>This can be used to guide medication titrations, provide behavioural advice, and HbA1c for long-term treatment.</w:t>
      </w:r>
    </w:p>
    <w:p w14:paraId="7EBE1E29" w14:textId="77777777" w:rsidR="004F6472" w:rsidRPr="007E46CD" w:rsidRDefault="004F6472" w:rsidP="0018305C">
      <w:pPr>
        <w:spacing w:line="360" w:lineRule="auto"/>
        <w:rPr>
          <w:rFonts w:ascii="Times New Roman" w:hAnsi="Times New Roman" w:cs="Times New Roman"/>
          <w:lang w:val="en-GB"/>
        </w:rPr>
      </w:pPr>
      <w:r w:rsidRPr="007E46CD">
        <w:rPr>
          <w:rFonts w:ascii="Times New Roman" w:hAnsi="Times New Roman" w:cs="Times New Roman"/>
          <w:lang w:val="en-GB"/>
        </w:rPr>
        <w:t>Thirdly, the dietary change should be directed at reducing the intake of high glycaemic index foods and improving diet diversity with fibre-rich foods. These recommendations include portion and carbohydrate control, and the reduction of ultra-processed foods. According to Ryan and Yockey (2017), even modest weight loss (5-10%) can have an impact on insulin sensitivity and blood glucose levels.</w:t>
      </w:r>
    </w:p>
    <w:p w14:paraId="342586F1" w14:textId="77777777" w:rsidR="0019662F" w:rsidRPr="007E46CD" w:rsidRDefault="0019662F" w:rsidP="0018305C">
      <w:pPr>
        <w:spacing w:line="360" w:lineRule="auto"/>
        <w:rPr>
          <w:rFonts w:ascii="Times New Roman" w:hAnsi="Times New Roman" w:cs="Times New Roman"/>
          <w:lang w:val="en-GB"/>
        </w:rPr>
      </w:pPr>
      <w:r w:rsidRPr="007E46CD">
        <w:rPr>
          <w:rFonts w:ascii="Times New Roman" w:hAnsi="Times New Roman" w:cs="Times New Roman"/>
          <w:lang w:val="en-GB"/>
        </w:rPr>
        <w:t>Moreover, patients must be motivated to exercise a minimum of 150 minutes weekly in moderate exercise, including brisk walking. Besides, physical activity increases the uptake of insulin and glucose independently. Therefore, it is very beneficial in resisting insulin.</w:t>
      </w:r>
    </w:p>
    <w:p w14:paraId="0AF165F7" w14:textId="77777777"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t>7. Conclusion</w:t>
      </w:r>
    </w:p>
    <w:p w14:paraId="2C42DD27" w14:textId="13DF4A47" w:rsidR="0019662F" w:rsidRPr="007E46CD" w:rsidRDefault="0019662F" w:rsidP="0018305C">
      <w:pPr>
        <w:spacing w:line="360" w:lineRule="auto"/>
        <w:rPr>
          <w:rFonts w:ascii="Times New Roman" w:hAnsi="Times New Roman" w:cs="Times New Roman"/>
          <w:lang w:val="en-GB"/>
        </w:rPr>
      </w:pPr>
      <w:r w:rsidRPr="007E46CD">
        <w:rPr>
          <w:rFonts w:ascii="Times New Roman" w:hAnsi="Times New Roman" w:cs="Times New Roman"/>
          <w:lang w:val="en-GB"/>
        </w:rPr>
        <w:t xml:space="preserve">T2DM is a complicated metabolic disorder that is </w:t>
      </w:r>
      <w:r w:rsidR="00CE5991" w:rsidRPr="007E46CD">
        <w:rPr>
          <w:rFonts w:ascii="Times New Roman" w:hAnsi="Times New Roman" w:cs="Times New Roman"/>
          <w:lang w:val="en-GB"/>
        </w:rPr>
        <w:t>determined</w:t>
      </w:r>
      <w:r w:rsidRPr="007E46CD">
        <w:rPr>
          <w:rFonts w:ascii="Times New Roman" w:hAnsi="Times New Roman" w:cs="Times New Roman"/>
          <w:lang w:val="en-GB"/>
        </w:rPr>
        <w:t xml:space="preserve"> by physiological dysfunction and lifestyle. The case study brings out the role of physiological dysfunction as well as lifestyle factors that can be managed to contribute to Type 2 Diabetes Mellitus. The impaired regulation of insulin and glucagon justifies the poor regulation of glucose in the patient, whereas the decreased production of cellular metabolism also helps to decrease the production of energy. Notably, frequent blood glucose monitoring allows safer self-care through feedback that can be acted upon. Lifestyle interventions with evidence-based approaches such as dietary change, physical </w:t>
      </w:r>
      <w:r w:rsidR="00CE5991" w:rsidRPr="007E46CD">
        <w:rPr>
          <w:rFonts w:ascii="Times New Roman" w:hAnsi="Times New Roman" w:cs="Times New Roman"/>
          <w:lang w:val="en-GB"/>
        </w:rPr>
        <w:t>exercise</w:t>
      </w:r>
      <w:r w:rsidRPr="007E46CD">
        <w:rPr>
          <w:rFonts w:ascii="Times New Roman" w:hAnsi="Times New Roman" w:cs="Times New Roman"/>
          <w:lang w:val="en-GB"/>
        </w:rPr>
        <w:t xml:space="preserve">, and smoking cessation are critical in enhancing the status of the patient. Thus, </w:t>
      </w:r>
      <w:r w:rsidRPr="007E46CD">
        <w:rPr>
          <w:rFonts w:ascii="Times New Roman" w:hAnsi="Times New Roman" w:cs="Times New Roman"/>
          <w:lang w:val="en-GB"/>
        </w:rPr>
        <w:lastRenderedPageBreak/>
        <w:t>to manage long-term management, it is essential to combine physiological knowledge and behavioural modification.</w:t>
      </w:r>
    </w:p>
    <w:p w14:paraId="01F186D2" w14:textId="77777777" w:rsidR="00575293" w:rsidRPr="007E46CD" w:rsidRDefault="00575293"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br w:type="page"/>
      </w:r>
    </w:p>
    <w:p w14:paraId="4562DFE2" w14:textId="26C580F9" w:rsidR="00D83BF0" w:rsidRPr="007E46CD" w:rsidRDefault="00D83BF0" w:rsidP="0018305C">
      <w:pPr>
        <w:spacing w:line="360" w:lineRule="auto"/>
        <w:rPr>
          <w:rFonts w:ascii="Times New Roman" w:hAnsi="Times New Roman" w:cs="Times New Roman"/>
          <w:b/>
          <w:bCs/>
          <w:lang w:val="en-GB"/>
        </w:rPr>
      </w:pPr>
      <w:r w:rsidRPr="007E46CD">
        <w:rPr>
          <w:rFonts w:ascii="Times New Roman" w:hAnsi="Times New Roman" w:cs="Times New Roman"/>
          <w:b/>
          <w:bCs/>
          <w:lang w:val="en-GB"/>
        </w:rPr>
        <w:lastRenderedPageBreak/>
        <w:t xml:space="preserve">Reference </w:t>
      </w:r>
    </w:p>
    <w:p w14:paraId="7147FB69"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American Diabetes Association (2024) </w:t>
      </w:r>
      <w:r w:rsidRPr="007E46CD">
        <w:rPr>
          <w:rFonts w:ascii="Times New Roman" w:hAnsi="Times New Roman" w:cs="Times New Roman"/>
          <w:i/>
          <w:iCs/>
          <w:lang w:val="en-GB"/>
        </w:rPr>
        <w:t>Standards of Care in Diabetes—2024</w:t>
      </w:r>
      <w:r w:rsidRPr="007E46CD">
        <w:rPr>
          <w:rFonts w:ascii="Times New Roman" w:hAnsi="Times New Roman" w:cs="Times New Roman"/>
          <w:lang w:val="en-GB"/>
        </w:rPr>
        <w:t>. https://pubmed.ncbi.nlm.nih.gov/38078589/</w:t>
      </w:r>
    </w:p>
    <w:p w14:paraId="7184DA1C" w14:textId="4C866903"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Beck, R. W., Riddlesworth, T., Ruedy, K., Ahmann, A., Bergenstal, R., Haller, S., ... and Price, D. (2017). Effect of continuous glucose monitoring on glycemic control in adults with type 1 diabetes using insulin injections: the DIAMOND </w:t>
      </w:r>
      <w:r w:rsidR="00253255" w:rsidRPr="007E46CD">
        <w:rPr>
          <w:rFonts w:ascii="Times New Roman" w:hAnsi="Times New Roman" w:cs="Times New Roman"/>
          <w:lang w:val="en-GB"/>
        </w:rPr>
        <w:t>randomised</w:t>
      </w:r>
      <w:r w:rsidRPr="007E46CD">
        <w:rPr>
          <w:rFonts w:ascii="Times New Roman" w:hAnsi="Times New Roman" w:cs="Times New Roman"/>
          <w:lang w:val="en-GB"/>
        </w:rPr>
        <w:t xml:space="preserve"> clinical trial. </w:t>
      </w:r>
      <w:r w:rsidRPr="007E46CD">
        <w:rPr>
          <w:rFonts w:ascii="Times New Roman" w:hAnsi="Times New Roman" w:cs="Times New Roman"/>
          <w:i/>
          <w:iCs/>
          <w:lang w:val="en-GB"/>
        </w:rPr>
        <w:t>Jama</w:t>
      </w:r>
      <w:r w:rsidRPr="007E46CD">
        <w:rPr>
          <w:rFonts w:ascii="Times New Roman" w:hAnsi="Times New Roman" w:cs="Times New Roman"/>
          <w:lang w:val="en-GB"/>
        </w:rPr>
        <w:t>, </w:t>
      </w:r>
      <w:r w:rsidRPr="007E46CD">
        <w:rPr>
          <w:rFonts w:ascii="Times New Roman" w:hAnsi="Times New Roman" w:cs="Times New Roman"/>
          <w:i/>
          <w:iCs/>
          <w:lang w:val="en-GB"/>
        </w:rPr>
        <w:t>317</w:t>
      </w:r>
      <w:r w:rsidRPr="007E46CD">
        <w:rPr>
          <w:rFonts w:ascii="Times New Roman" w:hAnsi="Times New Roman" w:cs="Times New Roman"/>
          <w:lang w:val="en-GB"/>
        </w:rPr>
        <w:t>(4), 371-378.</w:t>
      </w:r>
    </w:p>
    <w:p w14:paraId="10B064D4"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Brackney, D. E. (2018). Enhanced self‐monitoring blood glucose in non‐insulin‐requiring Type 2 diabetes: A qualitative study in primary care. Journal of Clinical Nursing, 27(9-10), 2120-2131.</w:t>
      </w:r>
    </w:p>
    <w:p w14:paraId="5A18C7D8"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Brereton, M. F., Rohm, M., Shimomura, K., Holland, C., Tornovsky-Babeay, S., Dadon, D., ... and Ashcroft, F. M. (2016). Hyperglycaemia induces metabolic dysfunction and glycogen accumulation in pancreatic β-cells. Nature communications, 7(1), 13496.</w:t>
      </w:r>
    </w:p>
    <w:p w14:paraId="03B79778"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Colberg, S. R., Sigal, R. J., Yardley, J. E., Riddell, M. C., Dunstan, D. W., Dempsey, P. C., ... and Tate, D. F. (2016). Physical activity/exercise and diabetes: a position statement of the American Diabetes Association. </w:t>
      </w:r>
      <w:r w:rsidRPr="007E46CD">
        <w:rPr>
          <w:rFonts w:ascii="Times New Roman" w:hAnsi="Times New Roman" w:cs="Times New Roman"/>
          <w:i/>
          <w:iCs/>
          <w:lang w:val="en-GB"/>
        </w:rPr>
        <w:t>Diabetes care</w:t>
      </w:r>
      <w:r w:rsidRPr="007E46CD">
        <w:rPr>
          <w:rFonts w:ascii="Times New Roman" w:hAnsi="Times New Roman" w:cs="Times New Roman"/>
          <w:lang w:val="en-GB"/>
        </w:rPr>
        <w:t>, </w:t>
      </w:r>
      <w:r w:rsidRPr="007E46CD">
        <w:rPr>
          <w:rFonts w:ascii="Times New Roman" w:hAnsi="Times New Roman" w:cs="Times New Roman"/>
          <w:i/>
          <w:iCs/>
          <w:lang w:val="en-GB"/>
        </w:rPr>
        <w:t>39</w:t>
      </w:r>
      <w:r w:rsidRPr="007E46CD">
        <w:rPr>
          <w:rFonts w:ascii="Times New Roman" w:hAnsi="Times New Roman" w:cs="Times New Roman"/>
          <w:lang w:val="en-GB"/>
        </w:rPr>
        <w:t>(11), 2065.</w:t>
      </w:r>
    </w:p>
    <w:p w14:paraId="353A7C95"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Davies, M. J., D’Alessio, D. A., Fradkin, J., Kernan, W. N., Mathieu, C., Mingrone, G., ... and Buse, J. B. (2018). Management of hyperglycemia in type 2 diabetes, 2018. A consensus report by the American Diabetes Association (ADA) and the European Association for the Study of Diabetes (EASD). </w:t>
      </w:r>
      <w:r w:rsidRPr="007E46CD">
        <w:rPr>
          <w:rFonts w:ascii="Times New Roman" w:hAnsi="Times New Roman" w:cs="Times New Roman"/>
          <w:i/>
          <w:iCs/>
          <w:lang w:val="en-GB"/>
        </w:rPr>
        <w:t>Diabetes care</w:t>
      </w:r>
      <w:r w:rsidRPr="007E46CD">
        <w:rPr>
          <w:rFonts w:ascii="Times New Roman" w:hAnsi="Times New Roman" w:cs="Times New Roman"/>
          <w:lang w:val="en-GB"/>
        </w:rPr>
        <w:t>, </w:t>
      </w:r>
      <w:r w:rsidRPr="007E46CD">
        <w:rPr>
          <w:rFonts w:ascii="Times New Roman" w:hAnsi="Times New Roman" w:cs="Times New Roman"/>
          <w:i/>
          <w:iCs/>
          <w:lang w:val="en-GB"/>
        </w:rPr>
        <w:t>41</w:t>
      </w:r>
      <w:r w:rsidRPr="007E46CD">
        <w:rPr>
          <w:rFonts w:ascii="Times New Roman" w:hAnsi="Times New Roman" w:cs="Times New Roman"/>
          <w:lang w:val="en-GB"/>
        </w:rPr>
        <w:t>(12), 2669.</w:t>
      </w:r>
    </w:p>
    <w:p w14:paraId="1FCA3D7E"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DeFronzo, R. A., Ferrannini, E., Groop, L., Henry, R. R., Herman, W. H., Holst, J. J., ... and Weiss, R. (2015). Type 2 diabetes mellitus. </w:t>
      </w:r>
      <w:r w:rsidRPr="007E46CD">
        <w:rPr>
          <w:rFonts w:ascii="Times New Roman" w:hAnsi="Times New Roman" w:cs="Times New Roman"/>
          <w:i/>
          <w:iCs/>
          <w:lang w:val="en-GB"/>
        </w:rPr>
        <w:t>Nature reviews Disease primers</w:t>
      </w:r>
      <w:r w:rsidRPr="007E46CD">
        <w:rPr>
          <w:rFonts w:ascii="Times New Roman" w:hAnsi="Times New Roman" w:cs="Times New Roman"/>
          <w:lang w:val="en-GB"/>
        </w:rPr>
        <w:t>, </w:t>
      </w:r>
      <w:r w:rsidRPr="007E46CD">
        <w:rPr>
          <w:rFonts w:ascii="Times New Roman" w:hAnsi="Times New Roman" w:cs="Times New Roman"/>
          <w:i/>
          <w:iCs/>
          <w:lang w:val="en-GB"/>
        </w:rPr>
        <w:t>1</w:t>
      </w:r>
      <w:r w:rsidRPr="007E46CD">
        <w:rPr>
          <w:rFonts w:ascii="Times New Roman" w:hAnsi="Times New Roman" w:cs="Times New Roman"/>
          <w:lang w:val="en-GB"/>
        </w:rPr>
        <w:t>(1), 15019.</w:t>
      </w:r>
    </w:p>
    <w:p w14:paraId="2CA5CAB0"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Dunn, J. and Grider, M.H. (2020) </w:t>
      </w:r>
      <w:r w:rsidRPr="007E46CD">
        <w:rPr>
          <w:rFonts w:ascii="Times New Roman" w:hAnsi="Times New Roman" w:cs="Times New Roman"/>
          <w:i/>
          <w:iCs/>
          <w:lang w:val="en-GB"/>
        </w:rPr>
        <w:t>Physiology, ATP</w:t>
      </w:r>
      <w:r w:rsidRPr="007E46CD">
        <w:rPr>
          <w:rFonts w:ascii="Times New Roman" w:hAnsi="Times New Roman" w:cs="Times New Roman"/>
          <w:lang w:val="en-GB"/>
        </w:rPr>
        <w:t>. StatPearls.</w:t>
      </w:r>
    </w:p>
    <w:p w14:paraId="6F5D9974" w14:textId="13C461D2"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Farmer, A. J., Perera, R., Ward, A., Heneghan, C., Oke, J., Barnett, A. H., ... and O’Malley, S. (2012). Meta-analysis of individual patient data in randomised trials of </w:t>
      </w:r>
      <w:r w:rsidR="00253255" w:rsidRPr="007E46CD">
        <w:rPr>
          <w:rFonts w:ascii="Times New Roman" w:hAnsi="Times New Roman" w:cs="Times New Roman"/>
          <w:lang w:val="en-GB"/>
        </w:rPr>
        <w:t>self-monitoring of blood glucose in people with non-insulin-treated</w:t>
      </w:r>
      <w:r w:rsidRPr="007E46CD">
        <w:rPr>
          <w:rFonts w:ascii="Times New Roman" w:hAnsi="Times New Roman" w:cs="Times New Roman"/>
          <w:lang w:val="en-GB"/>
        </w:rPr>
        <w:t xml:space="preserve"> type 2 diabetes. </w:t>
      </w:r>
      <w:r w:rsidRPr="007E46CD">
        <w:rPr>
          <w:rFonts w:ascii="Times New Roman" w:hAnsi="Times New Roman" w:cs="Times New Roman"/>
          <w:i/>
          <w:iCs/>
          <w:lang w:val="en-GB"/>
        </w:rPr>
        <w:t>Bmj</w:t>
      </w:r>
      <w:r w:rsidRPr="007E46CD">
        <w:rPr>
          <w:rFonts w:ascii="Times New Roman" w:hAnsi="Times New Roman" w:cs="Times New Roman"/>
          <w:lang w:val="en-GB"/>
        </w:rPr>
        <w:t>, </w:t>
      </w:r>
      <w:r w:rsidRPr="007E46CD">
        <w:rPr>
          <w:rFonts w:ascii="Times New Roman" w:hAnsi="Times New Roman" w:cs="Times New Roman"/>
          <w:i/>
          <w:iCs/>
          <w:lang w:val="en-GB"/>
        </w:rPr>
        <w:t>344</w:t>
      </w:r>
      <w:r w:rsidRPr="007E46CD">
        <w:rPr>
          <w:rFonts w:ascii="Times New Roman" w:hAnsi="Times New Roman" w:cs="Times New Roman"/>
          <w:lang w:val="en-GB"/>
        </w:rPr>
        <w:t>.</w:t>
      </w:r>
    </w:p>
    <w:p w14:paraId="74D4D6F9"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lastRenderedPageBreak/>
        <w:t xml:space="preserve">Forbes, J.M. and Cooper, M.E. (2013) ‘Mechanisms of diabetic complications’, </w:t>
      </w:r>
      <w:r w:rsidRPr="007E46CD">
        <w:rPr>
          <w:rFonts w:ascii="Times New Roman" w:hAnsi="Times New Roman" w:cs="Times New Roman"/>
          <w:i/>
          <w:iCs/>
          <w:lang w:val="en-GB"/>
        </w:rPr>
        <w:t>Physiological Reviews</w:t>
      </w:r>
      <w:r w:rsidRPr="007E46CD">
        <w:rPr>
          <w:rFonts w:ascii="Times New Roman" w:hAnsi="Times New Roman" w:cs="Times New Roman"/>
          <w:lang w:val="en-GB"/>
        </w:rPr>
        <w:t>, 93(1), pp. 137–188.</w:t>
      </w:r>
    </w:p>
    <w:p w14:paraId="2447F496" w14:textId="6FE97580"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Hall, J.E. and Hall, M.E. (2021)</w:t>
      </w:r>
      <w:r w:rsidR="00253255" w:rsidRPr="007E46CD">
        <w:rPr>
          <w:rFonts w:ascii="Times New Roman" w:hAnsi="Times New Roman" w:cs="Times New Roman"/>
          <w:lang w:val="en-GB"/>
        </w:rPr>
        <w:t>.</w:t>
      </w:r>
      <w:r w:rsidRPr="007E46CD">
        <w:rPr>
          <w:rFonts w:ascii="Times New Roman" w:hAnsi="Times New Roman" w:cs="Times New Roman"/>
          <w:lang w:val="en-GB"/>
        </w:rPr>
        <w:t xml:space="preserve"> </w:t>
      </w:r>
      <w:r w:rsidRPr="007E46CD">
        <w:rPr>
          <w:rFonts w:ascii="Times New Roman" w:hAnsi="Times New Roman" w:cs="Times New Roman"/>
          <w:i/>
          <w:iCs/>
          <w:lang w:val="en-GB"/>
        </w:rPr>
        <w:t>Guyton and Hall Textbook of Medical Physiology</w:t>
      </w:r>
      <w:r w:rsidRPr="007E46CD">
        <w:rPr>
          <w:rFonts w:ascii="Times New Roman" w:hAnsi="Times New Roman" w:cs="Times New Roman"/>
          <w:lang w:val="en-GB"/>
        </w:rPr>
        <w:t>. 14th edn.</w:t>
      </w:r>
    </w:p>
    <w:p w14:paraId="777EE825"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Hatting, M., Tavares, C. D., Sharabi, K., Rines, A. K., and Puigserver, P. (2018). Insulin regulation of gluconeogenesis. </w:t>
      </w:r>
      <w:r w:rsidRPr="007E46CD">
        <w:rPr>
          <w:rFonts w:ascii="Times New Roman" w:hAnsi="Times New Roman" w:cs="Times New Roman"/>
          <w:i/>
          <w:iCs/>
          <w:lang w:val="en-GB"/>
        </w:rPr>
        <w:t>Annals of the New York Academy of Sciences</w:t>
      </w:r>
      <w:r w:rsidRPr="007E46CD">
        <w:rPr>
          <w:rFonts w:ascii="Times New Roman" w:hAnsi="Times New Roman" w:cs="Times New Roman"/>
          <w:lang w:val="en-GB"/>
        </w:rPr>
        <w:t>, </w:t>
      </w:r>
      <w:r w:rsidRPr="007E46CD">
        <w:rPr>
          <w:rFonts w:ascii="Times New Roman" w:hAnsi="Times New Roman" w:cs="Times New Roman"/>
          <w:i/>
          <w:iCs/>
          <w:lang w:val="en-GB"/>
        </w:rPr>
        <w:t>1411</w:t>
      </w:r>
      <w:r w:rsidRPr="007E46CD">
        <w:rPr>
          <w:rFonts w:ascii="Times New Roman" w:hAnsi="Times New Roman" w:cs="Times New Roman"/>
          <w:lang w:val="en-GB"/>
        </w:rPr>
        <w:t xml:space="preserve">(1), 21-35. </w:t>
      </w:r>
    </w:p>
    <w:p w14:paraId="5A9CC27C"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Hill, T.G. and Hill, D.J. (2024) ‘Islet communication in diabetes’, </w:t>
      </w:r>
      <w:r w:rsidRPr="007E46CD">
        <w:rPr>
          <w:rFonts w:ascii="Times New Roman" w:hAnsi="Times New Roman" w:cs="Times New Roman"/>
          <w:i/>
          <w:iCs/>
          <w:lang w:val="en-GB"/>
        </w:rPr>
        <w:t>International Journal of Molecular Sciences</w:t>
      </w:r>
      <w:r w:rsidRPr="007E46CD">
        <w:rPr>
          <w:rFonts w:ascii="Times New Roman" w:hAnsi="Times New Roman" w:cs="Times New Roman"/>
          <w:lang w:val="en-GB"/>
        </w:rPr>
        <w:t>, 25(7), p. 4070.</w:t>
      </w:r>
    </w:p>
    <w:p w14:paraId="4ADDF061"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International Diabetes Federation (2021) </w:t>
      </w:r>
      <w:r w:rsidRPr="007E46CD">
        <w:rPr>
          <w:rFonts w:ascii="Times New Roman" w:hAnsi="Times New Roman" w:cs="Times New Roman"/>
          <w:i/>
          <w:iCs/>
          <w:lang w:val="en-GB"/>
        </w:rPr>
        <w:t>IDF Diabetes Atlas</w:t>
      </w:r>
      <w:r w:rsidRPr="007E46CD">
        <w:rPr>
          <w:rFonts w:ascii="Times New Roman" w:hAnsi="Times New Roman" w:cs="Times New Roman"/>
          <w:lang w:val="en-GB"/>
        </w:rPr>
        <w:t xml:space="preserve">. </w:t>
      </w:r>
      <w:hyperlink r:id="rId17" w:history="1">
        <w:r w:rsidRPr="007E46CD">
          <w:rPr>
            <w:rStyle w:val="Hyperlink"/>
            <w:rFonts w:ascii="Times New Roman" w:hAnsi="Times New Roman" w:cs="Times New Roman"/>
            <w:lang w:val="en-GB"/>
          </w:rPr>
          <w:t>https://idf.org/about-diabetes/diabetes-facts-figures/</w:t>
        </w:r>
      </w:hyperlink>
    </w:p>
    <w:p w14:paraId="3F5B9134"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Kahn, S. E., Cooper, M. E., and Del Prato, S. (2014). Pathophysiology and treatment of type 2 diabetes: perspectives on the past, present, and future. </w:t>
      </w:r>
      <w:r w:rsidRPr="007E46CD">
        <w:rPr>
          <w:rFonts w:ascii="Times New Roman" w:hAnsi="Times New Roman" w:cs="Times New Roman"/>
          <w:i/>
          <w:iCs/>
          <w:lang w:val="en-GB"/>
        </w:rPr>
        <w:t>The Lancet</w:t>
      </w:r>
      <w:r w:rsidRPr="007E46CD">
        <w:rPr>
          <w:rFonts w:ascii="Times New Roman" w:hAnsi="Times New Roman" w:cs="Times New Roman"/>
          <w:lang w:val="en-GB"/>
        </w:rPr>
        <w:t>, </w:t>
      </w:r>
      <w:r w:rsidRPr="007E46CD">
        <w:rPr>
          <w:rFonts w:ascii="Times New Roman" w:hAnsi="Times New Roman" w:cs="Times New Roman"/>
          <w:i/>
          <w:iCs/>
          <w:lang w:val="en-GB"/>
        </w:rPr>
        <w:t>383</w:t>
      </w:r>
      <w:r w:rsidRPr="007E46CD">
        <w:rPr>
          <w:rFonts w:ascii="Times New Roman" w:hAnsi="Times New Roman" w:cs="Times New Roman"/>
          <w:lang w:val="en-GB"/>
        </w:rPr>
        <w:t>(9922), 1068-1083.</w:t>
      </w:r>
    </w:p>
    <w:p w14:paraId="36DE5B2C"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Khin, P. P., Lee, J. H., and Jun, H. S. (2023). Pancreatic beta-cell dysfunction in type 2 diabetes. </w:t>
      </w:r>
      <w:r w:rsidRPr="007E46CD">
        <w:rPr>
          <w:rFonts w:ascii="Times New Roman" w:hAnsi="Times New Roman" w:cs="Times New Roman"/>
          <w:i/>
          <w:iCs/>
          <w:lang w:val="en-GB"/>
        </w:rPr>
        <w:t>European Journal of Inflammation</w:t>
      </w:r>
      <w:r w:rsidRPr="007E46CD">
        <w:rPr>
          <w:rFonts w:ascii="Times New Roman" w:hAnsi="Times New Roman" w:cs="Times New Roman"/>
          <w:lang w:val="en-GB"/>
        </w:rPr>
        <w:t>, </w:t>
      </w:r>
      <w:r w:rsidRPr="007E46CD">
        <w:rPr>
          <w:rFonts w:ascii="Times New Roman" w:hAnsi="Times New Roman" w:cs="Times New Roman"/>
          <w:i/>
          <w:iCs/>
          <w:lang w:val="en-GB"/>
        </w:rPr>
        <w:t>21</w:t>
      </w:r>
      <w:r w:rsidRPr="007E46CD">
        <w:rPr>
          <w:rFonts w:ascii="Times New Roman" w:hAnsi="Times New Roman" w:cs="Times New Roman"/>
          <w:lang w:val="en-GB"/>
        </w:rPr>
        <w:t>, 1721727X231154152.</w:t>
      </w:r>
    </w:p>
    <w:p w14:paraId="0B5C7450"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Knott, C., Bell, S., and Britton, A. (2015). Alcohol consumption and the risk of type 2 diabetes: a systematic review and dose-response meta-analysis of more than 1.9 million individuals from 38 observational studies. </w:t>
      </w:r>
      <w:r w:rsidRPr="007E46CD">
        <w:rPr>
          <w:rFonts w:ascii="Times New Roman" w:hAnsi="Times New Roman" w:cs="Times New Roman"/>
          <w:i/>
          <w:iCs/>
          <w:lang w:val="en-GB"/>
        </w:rPr>
        <w:t>Diabetes care</w:t>
      </w:r>
      <w:r w:rsidRPr="007E46CD">
        <w:rPr>
          <w:rFonts w:ascii="Times New Roman" w:hAnsi="Times New Roman" w:cs="Times New Roman"/>
          <w:lang w:val="en-GB"/>
        </w:rPr>
        <w:t>, </w:t>
      </w:r>
      <w:r w:rsidRPr="007E46CD">
        <w:rPr>
          <w:rFonts w:ascii="Times New Roman" w:hAnsi="Times New Roman" w:cs="Times New Roman"/>
          <w:i/>
          <w:iCs/>
          <w:lang w:val="en-GB"/>
        </w:rPr>
        <w:t>38</w:t>
      </w:r>
      <w:r w:rsidRPr="007E46CD">
        <w:rPr>
          <w:rFonts w:ascii="Times New Roman" w:hAnsi="Times New Roman" w:cs="Times New Roman"/>
          <w:lang w:val="en-GB"/>
        </w:rPr>
        <w:t>(9), 1804-1812.</w:t>
      </w:r>
    </w:p>
    <w:p w14:paraId="74E6E5EB" w14:textId="3F6ED42D"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Lacombe, J., Armstrong, M. E., Wright, F. L., and Foster, C. (2019). The impact of physical activity and an additional behavioural risk factor on cardiovascular disease, cancer and all-cause mortality: a systematic review. </w:t>
      </w:r>
      <w:r w:rsidRPr="007E46CD">
        <w:rPr>
          <w:rFonts w:ascii="Times New Roman" w:hAnsi="Times New Roman" w:cs="Times New Roman"/>
          <w:i/>
          <w:iCs/>
          <w:lang w:val="en-GB"/>
        </w:rPr>
        <w:t xml:space="preserve">BMC </w:t>
      </w:r>
      <w:r w:rsidR="00253255" w:rsidRPr="007E46CD">
        <w:rPr>
          <w:rFonts w:ascii="Times New Roman" w:hAnsi="Times New Roman" w:cs="Times New Roman"/>
          <w:i/>
          <w:iCs/>
          <w:lang w:val="en-GB"/>
        </w:rPr>
        <w:t>Public Health</w:t>
      </w:r>
      <w:r w:rsidRPr="007E46CD">
        <w:rPr>
          <w:rFonts w:ascii="Times New Roman" w:hAnsi="Times New Roman" w:cs="Times New Roman"/>
          <w:lang w:val="en-GB"/>
        </w:rPr>
        <w:t>, </w:t>
      </w:r>
      <w:r w:rsidRPr="007E46CD">
        <w:rPr>
          <w:rFonts w:ascii="Times New Roman" w:hAnsi="Times New Roman" w:cs="Times New Roman"/>
          <w:i/>
          <w:iCs/>
          <w:lang w:val="en-GB"/>
        </w:rPr>
        <w:t>19</w:t>
      </w:r>
      <w:r w:rsidRPr="007E46CD">
        <w:rPr>
          <w:rFonts w:ascii="Times New Roman" w:hAnsi="Times New Roman" w:cs="Times New Roman"/>
          <w:lang w:val="en-GB"/>
        </w:rPr>
        <w:t>(1), 900.</w:t>
      </w:r>
    </w:p>
    <w:p w14:paraId="590F65CD" w14:textId="2858B772"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Lan, K., Zhang, G., Liu, L., Guo, Z., Luo, X., Guan, H., ... and Liu, E. (2020). Electronic cigarette exposure on insulin sensitivity of ApoE gene knockout mice. </w:t>
      </w:r>
      <w:r w:rsidR="00253255" w:rsidRPr="007E46CD">
        <w:rPr>
          <w:rFonts w:ascii="Times New Roman" w:hAnsi="Times New Roman" w:cs="Times New Roman"/>
          <w:i/>
          <w:iCs/>
          <w:lang w:val="en-GB"/>
        </w:rPr>
        <w:t>Tobacco-induced</w:t>
      </w:r>
      <w:r w:rsidRPr="007E46CD">
        <w:rPr>
          <w:rFonts w:ascii="Times New Roman" w:hAnsi="Times New Roman" w:cs="Times New Roman"/>
          <w:i/>
          <w:iCs/>
          <w:lang w:val="en-GB"/>
        </w:rPr>
        <w:t xml:space="preserve"> diseases</w:t>
      </w:r>
      <w:r w:rsidRPr="007E46CD">
        <w:rPr>
          <w:rFonts w:ascii="Times New Roman" w:hAnsi="Times New Roman" w:cs="Times New Roman"/>
          <w:lang w:val="en-GB"/>
        </w:rPr>
        <w:t>, </w:t>
      </w:r>
      <w:r w:rsidRPr="007E46CD">
        <w:rPr>
          <w:rFonts w:ascii="Times New Roman" w:hAnsi="Times New Roman" w:cs="Times New Roman"/>
          <w:i/>
          <w:iCs/>
          <w:lang w:val="en-GB"/>
        </w:rPr>
        <w:t>18</w:t>
      </w:r>
      <w:r w:rsidRPr="007E46CD">
        <w:rPr>
          <w:rFonts w:ascii="Times New Roman" w:hAnsi="Times New Roman" w:cs="Times New Roman"/>
          <w:lang w:val="en-GB"/>
        </w:rPr>
        <w:t>, 68.</w:t>
      </w:r>
    </w:p>
    <w:p w14:paraId="3EC14602"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Lean, M. E., Leslie, W. S., Barnes, A. C., Brosnahan, N., Thom, G., McCombie, L., ... and Taylor, R. (2018). Primary care-led weight management for remission of type 2 diabetes (DiRECT): an open-label, cluster-randomised trial. </w:t>
      </w:r>
      <w:r w:rsidRPr="007E46CD">
        <w:rPr>
          <w:rFonts w:ascii="Times New Roman" w:hAnsi="Times New Roman" w:cs="Times New Roman"/>
          <w:i/>
          <w:iCs/>
          <w:lang w:val="en-GB"/>
        </w:rPr>
        <w:t>The Lancet</w:t>
      </w:r>
      <w:r w:rsidRPr="007E46CD">
        <w:rPr>
          <w:rFonts w:ascii="Times New Roman" w:hAnsi="Times New Roman" w:cs="Times New Roman"/>
          <w:lang w:val="en-GB"/>
        </w:rPr>
        <w:t>, </w:t>
      </w:r>
      <w:r w:rsidRPr="007E46CD">
        <w:rPr>
          <w:rFonts w:ascii="Times New Roman" w:hAnsi="Times New Roman" w:cs="Times New Roman"/>
          <w:i/>
          <w:iCs/>
          <w:lang w:val="en-GB"/>
        </w:rPr>
        <w:t>391</w:t>
      </w:r>
      <w:r w:rsidRPr="007E46CD">
        <w:rPr>
          <w:rFonts w:ascii="Times New Roman" w:hAnsi="Times New Roman" w:cs="Times New Roman"/>
          <w:lang w:val="en-GB"/>
        </w:rPr>
        <w:t>(10120), 541-551.</w:t>
      </w:r>
    </w:p>
    <w:p w14:paraId="17A7A115"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lastRenderedPageBreak/>
        <w:t>Ley, S. H., Hamdy, O., Mohan, V., and Hu, F. B. (2014). Prevention and management of type 2 diabetes: dietary components and nutritional strategies. </w:t>
      </w:r>
      <w:r w:rsidRPr="007E46CD">
        <w:rPr>
          <w:rFonts w:ascii="Times New Roman" w:hAnsi="Times New Roman" w:cs="Times New Roman"/>
          <w:i/>
          <w:iCs/>
          <w:lang w:val="en-GB"/>
        </w:rPr>
        <w:t>The Lancet</w:t>
      </w:r>
      <w:r w:rsidRPr="007E46CD">
        <w:rPr>
          <w:rFonts w:ascii="Times New Roman" w:hAnsi="Times New Roman" w:cs="Times New Roman"/>
          <w:lang w:val="en-GB"/>
        </w:rPr>
        <w:t>, </w:t>
      </w:r>
      <w:r w:rsidRPr="007E46CD">
        <w:rPr>
          <w:rFonts w:ascii="Times New Roman" w:hAnsi="Times New Roman" w:cs="Times New Roman"/>
          <w:i/>
          <w:iCs/>
          <w:lang w:val="en-GB"/>
        </w:rPr>
        <w:t>383</w:t>
      </w:r>
      <w:r w:rsidRPr="007E46CD">
        <w:rPr>
          <w:rFonts w:ascii="Times New Roman" w:hAnsi="Times New Roman" w:cs="Times New Roman"/>
          <w:lang w:val="en-GB"/>
        </w:rPr>
        <w:t>(9933), 1999-2007.</w:t>
      </w:r>
    </w:p>
    <w:p w14:paraId="14DB5AC1" w14:textId="18591DA6"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Małkowska, P. (2024). Positive effects of physical activity on insulin </w:t>
      </w:r>
      <w:r w:rsidR="00253255" w:rsidRPr="007E46CD">
        <w:rPr>
          <w:rFonts w:ascii="Times New Roman" w:hAnsi="Times New Roman" w:cs="Times New Roman"/>
          <w:lang w:val="en-GB"/>
        </w:rPr>
        <w:t>signalling</w:t>
      </w:r>
      <w:r w:rsidRPr="007E46CD">
        <w:rPr>
          <w:rFonts w:ascii="Times New Roman" w:hAnsi="Times New Roman" w:cs="Times New Roman"/>
          <w:lang w:val="en-GB"/>
        </w:rPr>
        <w:t>. </w:t>
      </w:r>
      <w:r w:rsidRPr="007E46CD">
        <w:rPr>
          <w:rFonts w:ascii="Times New Roman" w:hAnsi="Times New Roman" w:cs="Times New Roman"/>
          <w:i/>
          <w:iCs/>
          <w:lang w:val="en-GB"/>
        </w:rPr>
        <w:t>Current issues in molecular biology</w:t>
      </w:r>
      <w:r w:rsidRPr="007E46CD">
        <w:rPr>
          <w:rFonts w:ascii="Times New Roman" w:hAnsi="Times New Roman" w:cs="Times New Roman"/>
          <w:lang w:val="en-GB"/>
        </w:rPr>
        <w:t>, </w:t>
      </w:r>
      <w:r w:rsidRPr="007E46CD">
        <w:rPr>
          <w:rFonts w:ascii="Times New Roman" w:hAnsi="Times New Roman" w:cs="Times New Roman"/>
          <w:i/>
          <w:iCs/>
          <w:lang w:val="en-GB"/>
        </w:rPr>
        <w:t>46</w:t>
      </w:r>
      <w:r w:rsidRPr="007E46CD">
        <w:rPr>
          <w:rFonts w:ascii="Times New Roman" w:hAnsi="Times New Roman" w:cs="Times New Roman"/>
          <w:lang w:val="en-GB"/>
        </w:rPr>
        <w:t>(6), 5467-5487.</w:t>
      </w:r>
    </w:p>
    <w:p w14:paraId="3E355376"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Merz, K.E. and Thurmond, D.C. (2020) ‘Skeletal muscle glucose uptake’, </w:t>
      </w:r>
      <w:r w:rsidRPr="007E46CD">
        <w:rPr>
          <w:rFonts w:ascii="Times New Roman" w:hAnsi="Times New Roman" w:cs="Times New Roman"/>
          <w:i/>
          <w:iCs/>
          <w:lang w:val="en-GB"/>
        </w:rPr>
        <w:t>Comprehensive Physiology</w:t>
      </w:r>
      <w:r w:rsidRPr="007E46CD">
        <w:rPr>
          <w:rFonts w:ascii="Times New Roman" w:hAnsi="Times New Roman" w:cs="Times New Roman"/>
          <w:lang w:val="en-GB"/>
        </w:rPr>
        <w:t>, 10(3), pp. 785–809.</w:t>
      </w:r>
    </w:p>
    <w:p w14:paraId="1ECFBC4C"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NICE (2015) </w:t>
      </w:r>
      <w:r w:rsidRPr="007E46CD">
        <w:rPr>
          <w:rFonts w:ascii="Times New Roman" w:hAnsi="Times New Roman" w:cs="Times New Roman"/>
          <w:i/>
          <w:iCs/>
          <w:lang w:val="en-GB"/>
        </w:rPr>
        <w:t>Type 2 diabetes in adults: management</w:t>
      </w:r>
      <w:r w:rsidRPr="007E46CD">
        <w:rPr>
          <w:rFonts w:ascii="Times New Roman" w:hAnsi="Times New Roman" w:cs="Times New Roman"/>
          <w:lang w:val="en-GB"/>
        </w:rPr>
        <w:t>. https://www.nice.org.uk/guidance/ng28</w:t>
      </w:r>
    </w:p>
    <w:p w14:paraId="22776EB3" w14:textId="16128132"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Polonsky, W. H., and Fisher, L. (2013). Self-monitoring of blood glucose in noninsulin-using type 2 diabetic patients: right answer, but wrong question: </w:t>
      </w:r>
      <w:r w:rsidR="00253255" w:rsidRPr="007E46CD">
        <w:rPr>
          <w:rFonts w:ascii="Times New Roman" w:hAnsi="Times New Roman" w:cs="Times New Roman"/>
          <w:lang w:val="en-GB"/>
        </w:rPr>
        <w:t>Self-monitoring</w:t>
      </w:r>
      <w:r w:rsidRPr="007E46CD">
        <w:rPr>
          <w:rFonts w:ascii="Times New Roman" w:hAnsi="Times New Roman" w:cs="Times New Roman"/>
          <w:lang w:val="en-GB"/>
        </w:rPr>
        <w:t xml:space="preserve"> of blood glucose can be clinically valuable for noninsulin users. </w:t>
      </w:r>
      <w:r w:rsidRPr="007E46CD">
        <w:rPr>
          <w:rFonts w:ascii="Times New Roman" w:hAnsi="Times New Roman" w:cs="Times New Roman"/>
          <w:i/>
          <w:iCs/>
          <w:lang w:val="en-GB"/>
        </w:rPr>
        <w:t>Diabetes Care</w:t>
      </w:r>
      <w:r w:rsidRPr="007E46CD">
        <w:rPr>
          <w:rFonts w:ascii="Times New Roman" w:hAnsi="Times New Roman" w:cs="Times New Roman"/>
          <w:lang w:val="en-GB"/>
        </w:rPr>
        <w:t>, </w:t>
      </w:r>
      <w:r w:rsidRPr="007E46CD">
        <w:rPr>
          <w:rFonts w:ascii="Times New Roman" w:hAnsi="Times New Roman" w:cs="Times New Roman"/>
          <w:i/>
          <w:iCs/>
          <w:lang w:val="en-GB"/>
        </w:rPr>
        <w:t>36</w:t>
      </w:r>
      <w:r w:rsidRPr="007E46CD">
        <w:rPr>
          <w:rFonts w:ascii="Times New Roman" w:hAnsi="Times New Roman" w:cs="Times New Roman"/>
          <w:lang w:val="en-GB"/>
        </w:rPr>
        <w:t>(1), 179-182.</w:t>
      </w:r>
    </w:p>
    <w:p w14:paraId="5ADEA09E" w14:textId="2D96BA7A"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Qaseem, A., Wilt, T. J., Kansagara, D., Horwitch, C., Barry, M. J., Forciea, M. A., and Clinical Guidelines Committee of the American College of Physicians*. (2018). </w:t>
      </w:r>
      <w:r w:rsidR="00253255" w:rsidRPr="007E46CD">
        <w:rPr>
          <w:rFonts w:ascii="Times New Roman" w:hAnsi="Times New Roman" w:cs="Times New Roman"/>
          <w:lang w:val="en-GB"/>
        </w:rPr>
        <w:t>Haemoglobin</w:t>
      </w:r>
      <w:r w:rsidRPr="007E46CD">
        <w:rPr>
          <w:rFonts w:ascii="Times New Roman" w:hAnsi="Times New Roman" w:cs="Times New Roman"/>
          <w:lang w:val="en-GB"/>
        </w:rPr>
        <w:t xml:space="preserve"> A1c targets for glycemic control with pharmacologic therapy for nonpregnant adults with type 2 diabetes mellitus: a guidance statement update from the American College of Physicians. Annals of internal medicine, 168(8), 569-576.</w:t>
      </w:r>
    </w:p>
    <w:p w14:paraId="29C4B434"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Ryan, D. H., and Yockey, S. R. (2017). Weight loss and improvement in comorbidity: differences at 5%, 10%, 15%, and over. </w:t>
      </w:r>
      <w:r w:rsidRPr="007E46CD">
        <w:rPr>
          <w:rFonts w:ascii="Times New Roman" w:hAnsi="Times New Roman" w:cs="Times New Roman"/>
          <w:i/>
          <w:iCs/>
          <w:lang w:val="en-GB"/>
        </w:rPr>
        <w:t>Current obesity reports</w:t>
      </w:r>
      <w:r w:rsidRPr="007E46CD">
        <w:rPr>
          <w:rFonts w:ascii="Times New Roman" w:hAnsi="Times New Roman" w:cs="Times New Roman"/>
          <w:lang w:val="en-GB"/>
        </w:rPr>
        <w:t>, </w:t>
      </w:r>
      <w:r w:rsidRPr="007E46CD">
        <w:rPr>
          <w:rFonts w:ascii="Times New Roman" w:hAnsi="Times New Roman" w:cs="Times New Roman"/>
          <w:i/>
          <w:iCs/>
          <w:lang w:val="en-GB"/>
        </w:rPr>
        <w:t>6</w:t>
      </w:r>
      <w:r w:rsidRPr="007E46CD">
        <w:rPr>
          <w:rFonts w:ascii="Times New Roman" w:hAnsi="Times New Roman" w:cs="Times New Roman"/>
          <w:lang w:val="en-GB"/>
        </w:rPr>
        <w:t>(2), 187-194.</w:t>
      </w:r>
    </w:p>
    <w:p w14:paraId="7A41EA75"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Umpierre, D., Ribeiro, P. A., Kramer, C. K., Leitao, C. B., Zucatti, A. T., Azevedo, M. J., ... and Schaan, B. D. (2011). Physical activity advice only or structured exercise training and association with HbA1c levels in type 2 diabetes: a systematic review and meta-analysis. </w:t>
      </w:r>
      <w:r w:rsidRPr="007E46CD">
        <w:rPr>
          <w:rFonts w:ascii="Times New Roman" w:hAnsi="Times New Roman" w:cs="Times New Roman"/>
          <w:i/>
          <w:iCs/>
          <w:lang w:val="en-GB"/>
        </w:rPr>
        <w:t>Jama</w:t>
      </w:r>
      <w:r w:rsidRPr="007E46CD">
        <w:rPr>
          <w:rFonts w:ascii="Times New Roman" w:hAnsi="Times New Roman" w:cs="Times New Roman"/>
          <w:lang w:val="en-GB"/>
        </w:rPr>
        <w:t>, </w:t>
      </w:r>
      <w:r w:rsidRPr="007E46CD">
        <w:rPr>
          <w:rFonts w:ascii="Times New Roman" w:hAnsi="Times New Roman" w:cs="Times New Roman"/>
          <w:i/>
          <w:iCs/>
          <w:lang w:val="en-GB"/>
        </w:rPr>
        <w:t>305</w:t>
      </w:r>
      <w:r w:rsidRPr="007E46CD">
        <w:rPr>
          <w:rFonts w:ascii="Times New Roman" w:hAnsi="Times New Roman" w:cs="Times New Roman"/>
          <w:lang w:val="en-GB"/>
        </w:rPr>
        <w:t>(17), 1790-1799.</w:t>
      </w:r>
    </w:p>
    <w:p w14:paraId="4DCC73DA" w14:textId="69528605"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Unger, R. H., and Cherrington, A. D. (2012). Glucagonocentric restructuring of diabetes: a pathophysiologic and therapeutic makeover. </w:t>
      </w:r>
      <w:r w:rsidRPr="007E46CD">
        <w:rPr>
          <w:rFonts w:ascii="Times New Roman" w:hAnsi="Times New Roman" w:cs="Times New Roman"/>
          <w:i/>
          <w:iCs/>
          <w:lang w:val="en-GB"/>
        </w:rPr>
        <w:t xml:space="preserve">The Journal of </w:t>
      </w:r>
      <w:r w:rsidR="00253255" w:rsidRPr="007E46CD">
        <w:rPr>
          <w:rFonts w:ascii="Times New Roman" w:hAnsi="Times New Roman" w:cs="Times New Roman"/>
          <w:i/>
          <w:iCs/>
          <w:lang w:val="en-GB"/>
        </w:rPr>
        <w:t>Clinical Investigation</w:t>
      </w:r>
      <w:r w:rsidRPr="007E46CD">
        <w:rPr>
          <w:rFonts w:ascii="Times New Roman" w:hAnsi="Times New Roman" w:cs="Times New Roman"/>
          <w:lang w:val="en-GB"/>
        </w:rPr>
        <w:t>, </w:t>
      </w:r>
      <w:r w:rsidRPr="007E46CD">
        <w:rPr>
          <w:rFonts w:ascii="Times New Roman" w:hAnsi="Times New Roman" w:cs="Times New Roman"/>
          <w:i/>
          <w:iCs/>
          <w:lang w:val="en-GB"/>
        </w:rPr>
        <w:t>122</w:t>
      </w:r>
      <w:r w:rsidRPr="007E46CD">
        <w:rPr>
          <w:rFonts w:ascii="Times New Roman" w:hAnsi="Times New Roman" w:cs="Times New Roman"/>
          <w:lang w:val="en-GB"/>
        </w:rPr>
        <w:t>(1), 4-12.</w:t>
      </w:r>
    </w:p>
    <w:p w14:paraId="37855B05"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Weinstock, R. S., Aleppo, G., Bailey, T. S., Bergenstal, R. M., Fisher, W. A., Greenwood, D. A., and Young, L. A. (2020). The role of blood glucose monitoring in diabetes management.</w:t>
      </w:r>
    </w:p>
    <w:p w14:paraId="1201AD14"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lastRenderedPageBreak/>
        <w:t>Wendt, A., and Eliasson, L. (2022). Pancreatic alpha cells and glucagon secretion: Novel functions and targets in glucose homeostasis. Current opinion in pharmacology, 63, 102199.</w:t>
      </w:r>
    </w:p>
    <w:p w14:paraId="65599F12"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WHO (2016) </w:t>
      </w:r>
      <w:r w:rsidRPr="007E46CD">
        <w:rPr>
          <w:rFonts w:ascii="Times New Roman" w:hAnsi="Times New Roman" w:cs="Times New Roman"/>
          <w:i/>
          <w:iCs/>
          <w:lang w:val="en-GB"/>
        </w:rPr>
        <w:t>Global report on diabetes</w:t>
      </w:r>
      <w:r w:rsidRPr="007E46CD">
        <w:rPr>
          <w:rFonts w:ascii="Times New Roman" w:hAnsi="Times New Roman" w:cs="Times New Roman"/>
          <w:lang w:val="en-GB"/>
        </w:rPr>
        <w:t>. https://www.who.int/publications/i/item/9789241565257</w:t>
      </w:r>
    </w:p>
    <w:p w14:paraId="3A386854" w14:textId="77777777" w:rsidR="00554CC9" w:rsidRPr="007E46CD" w:rsidRDefault="00554CC9" w:rsidP="0018305C">
      <w:pPr>
        <w:spacing w:line="360" w:lineRule="auto"/>
        <w:ind w:left="720" w:hanging="720"/>
        <w:rPr>
          <w:rFonts w:ascii="Times New Roman" w:hAnsi="Times New Roman" w:cs="Times New Roman"/>
          <w:lang w:val="en-GB"/>
        </w:rPr>
      </w:pPr>
      <w:r w:rsidRPr="007E46CD">
        <w:rPr>
          <w:rFonts w:ascii="Times New Roman" w:hAnsi="Times New Roman" w:cs="Times New Roman"/>
          <w:lang w:val="en-GB"/>
        </w:rPr>
        <w:t xml:space="preserve">WHO (2020) </w:t>
      </w:r>
      <w:r w:rsidRPr="007E46CD">
        <w:rPr>
          <w:rFonts w:ascii="Times New Roman" w:hAnsi="Times New Roman" w:cs="Times New Roman"/>
          <w:i/>
          <w:iCs/>
          <w:lang w:val="en-GB"/>
        </w:rPr>
        <w:t>Physical activity</w:t>
      </w:r>
      <w:r w:rsidRPr="007E46CD">
        <w:rPr>
          <w:rFonts w:ascii="Times New Roman" w:hAnsi="Times New Roman" w:cs="Times New Roman"/>
          <w:lang w:val="en-GB"/>
        </w:rPr>
        <w:t>. https://www.who.int/initiatives/behealthy/physical-activity</w:t>
      </w:r>
    </w:p>
    <w:p w14:paraId="2AEAC3FE" w14:textId="77777777" w:rsidR="008C06EB" w:rsidRPr="007E46CD" w:rsidRDefault="008C06EB" w:rsidP="0018305C">
      <w:pPr>
        <w:spacing w:line="360" w:lineRule="auto"/>
        <w:rPr>
          <w:rFonts w:ascii="Times New Roman" w:hAnsi="Times New Roman" w:cs="Times New Roman"/>
          <w:lang w:val="en-GB"/>
        </w:rPr>
      </w:pPr>
    </w:p>
    <w:sectPr w:rsidR="008C06EB" w:rsidRPr="007E46C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A67F681" w14:textId="77777777" w:rsidR="00BD4A02" w:rsidRDefault="00BD4A02" w:rsidP="001F5FFE">
      <w:pPr>
        <w:spacing w:after="0" w:line="240" w:lineRule="auto"/>
      </w:pPr>
      <w:r>
        <w:separator/>
      </w:r>
    </w:p>
  </w:endnote>
  <w:endnote w:type="continuationSeparator" w:id="0">
    <w:p w14:paraId="177112F2" w14:textId="77777777" w:rsidR="00BD4A02" w:rsidRDefault="00BD4A02" w:rsidP="001F5F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6F1BAC" w14:textId="77777777" w:rsidR="00BD4A02" w:rsidRDefault="00BD4A02" w:rsidP="001F5FFE">
      <w:pPr>
        <w:spacing w:after="0" w:line="240" w:lineRule="auto"/>
      </w:pPr>
      <w:r>
        <w:separator/>
      </w:r>
    </w:p>
  </w:footnote>
  <w:footnote w:type="continuationSeparator" w:id="0">
    <w:p w14:paraId="2965B0D1" w14:textId="77777777" w:rsidR="00BD4A02" w:rsidRDefault="00BD4A02" w:rsidP="001F5F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4642C4"/>
    <w:multiLevelType w:val="multilevel"/>
    <w:tmpl w:val="17822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EE404E"/>
    <w:multiLevelType w:val="multilevel"/>
    <w:tmpl w:val="4E72CF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AFA1965"/>
    <w:multiLevelType w:val="multilevel"/>
    <w:tmpl w:val="D6562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D120164"/>
    <w:multiLevelType w:val="multilevel"/>
    <w:tmpl w:val="30F8E5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0215238">
    <w:abstractNumId w:val="2"/>
  </w:num>
  <w:num w:numId="2" w16cid:durableId="269506522">
    <w:abstractNumId w:val="1"/>
  </w:num>
  <w:num w:numId="3" w16cid:durableId="550044180">
    <w:abstractNumId w:val="0"/>
  </w:num>
  <w:num w:numId="4" w16cid:durableId="144122254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8"/>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52F2B"/>
    <w:rsid w:val="0000388E"/>
    <w:rsid w:val="000374BB"/>
    <w:rsid w:val="00040D1B"/>
    <w:rsid w:val="00045F21"/>
    <w:rsid w:val="0004783E"/>
    <w:rsid w:val="00055C39"/>
    <w:rsid w:val="00066A4F"/>
    <w:rsid w:val="0009723D"/>
    <w:rsid w:val="000A5059"/>
    <w:rsid w:val="000C189B"/>
    <w:rsid w:val="001061AC"/>
    <w:rsid w:val="00164A4B"/>
    <w:rsid w:val="00172C04"/>
    <w:rsid w:val="001731E7"/>
    <w:rsid w:val="0018305C"/>
    <w:rsid w:val="00190D60"/>
    <w:rsid w:val="0019662F"/>
    <w:rsid w:val="001A47DE"/>
    <w:rsid w:val="001A7CAD"/>
    <w:rsid w:val="001B127B"/>
    <w:rsid w:val="001C2AC3"/>
    <w:rsid w:val="001F4337"/>
    <w:rsid w:val="001F5FFE"/>
    <w:rsid w:val="0020434A"/>
    <w:rsid w:val="00227719"/>
    <w:rsid w:val="002356BF"/>
    <w:rsid w:val="00253255"/>
    <w:rsid w:val="00255DDA"/>
    <w:rsid w:val="00266CE1"/>
    <w:rsid w:val="002A6C73"/>
    <w:rsid w:val="002A6F89"/>
    <w:rsid w:val="002B37B7"/>
    <w:rsid w:val="002D2FE4"/>
    <w:rsid w:val="002D616D"/>
    <w:rsid w:val="002F1FB8"/>
    <w:rsid w:val="00326987"/>
    <w:rsid w:val="003457C0"/>
    <w:rsid w:val="00346422"/>
    <w:rsid w:val="00357D19"/>
    <w:rsid w:val="00363B48"/>
    <w:rsid w:val="003A3D12"/>
    <w:rsid w:val="003C30D9"/>
    <w:rsid w:val="004155EE"/>
    <w:rsid w:val="004302DE"/>
    <w:rsid w:val="00432251"/>
    <w:rsid w:val="0046296C"/>
    <w:rsid w:val="0047043B"/>
    <w:rsid w:val="0047632C"/>
    <w:rsid w:val="00490D1D"/>
    <w:rsid w:val="004B53D4"/>
    <w:rsid w:val="004E265E"/>
    <w:rsid w:val="004F400D"/>
    <w:rsid w:val="004F6472"/>
    <w:rsid w:val="00532057"/>
    <w:rsid w:val="0054453A"/>
    <w:rsid w:val="00554CC9"/>
    <w:rsid w:val="00557185"/>
    <w:rsid w:val="00575293"/>
    <w:rsid w:val="00577C19"/>
    <w:rsid w:val="00591CD2"/>
    <w:rsid w:val="0061289D"/>
    <w:rsid w:val="006777BC"/>
    <w:rsid w:val="006831F9"/>
    <w:rsid w:val="00690B64"/>
    <w:rsid w:val="006E7A58"/>
    <w:rsid w:val="006F0244"/>
    <w:rsid w:val="00705E88"/>
    <w:rsid w:val="007079A0"/>
    <w:rsid w:val="007252B0"/>
    <w:rsid w:val="007325C6"/>
    <w:rsid w:val="00734B33"/>
    <w:rsid w:val="00737559"/>
    <w:rsid w:val="0074768E"/>
    <w:rsid w:val="00764120"/>
    <w:rsid w:val="00766F96"/>
    <w:rsid w:val="007976A6"/>
    <w:rsid w:val="007B7B37"/>
    <w:rsid w:val="007D1206"/>
    <w:rsid w:val="007E3D71"/>
    <w:rsid w:val="007E46CD"/>
    <w:rsid w:val="007E582D"/>
    <w:rsid w:val="007F2D5C"/>
    <w:rsid w:val="007F734F"/>
    <w:rsid w:val="008020FF"/>
    <w:rsid w:val="00803CA1"/>
    <w:rsid w:val="008115C0"/>
    <w:rsid w:val="008249F8"/>
    <w:rsid w:val="00867836"/>
    <w:rsid w:val="00891637"/>
    <w:rsid w:val="00897DBE"/>
    <w:rsid w:val="008A4D34"/>
    <w:rsid w:val="008A58C5"/>
    <w:rsid w:val="008C06EB"/>
    <w:rsid w:val="008F50E5"/>
    <w:rsid w:val="0090148A"/>
    <w:rsid w:val="00903E38"/>
    <w:rsid w:val="00920835"/>
    <w:rsid w:val="0092123F"/>
    <w:rsid w:val="00952F2B"/>
    <w:rsid w:val="009755F6"/>
    <w:rsid w:val="0098298C"/>
    <w:rsid w:val="00982ED1"/>
    <w:rsid w:val="009905A0"/>
    <w:rsid w:val="00992AEC"/>
    <w:rsid w:val="009A53A2"/>
    <w:rsid w:val="009B6ED4"/>
    <w:rsid w:val="009D18DD"/>
    <w:rsid w:val="009D34D1"/>
    <w:rsid w:val="009E55FD"/>
    <w:rsid w:val="009E5674"/>
    <w:rsid w:val="009F6FB5"/>
    <w:rsid w:val="00A227CA"/>
    <w:rsid w:val="00A24D4F"/>
    <w:rsid w:val="00A36A62"/>
    <w:rsid w:val="00A50F51"/>
    <w:rsid w:val="00A5497B"/>
    <w:rsid w:val="00A573CC"/>
    <w:rsid w:val="00A700D6"/>
    <w:rsid w:val="00A77C8C"/>
    <w:rsid w:val="00A83F0D"/>
    <w:rsid w:val="00AA565E"/>
    <w:rsid w:val="00AE387D"/>
    <w:rsid w:val="00AE49D5"/>
    <w:rsid w:val="00AF1916"/>
    <w:rsid w:val="00AF50CB"/>
    <w:rsid w:val="00B26453"/>
    <w:rsid w:val="00B31CB0"/>
    <w:rsid w:val="00B35BBF"/>
    <w:rsid w:val="00B623F0"/>
    <w:rsid w:val="00B64393"/>
    <w:rsid w:val="00B82100"/>
    <w:rsid w:val="00BA2430"/>
    <w:rsid w:val="00BB0272"/>
    <w:rsid w:val="00BC42E3"/>
    <w:rsid w:val="00BD02A7"/>
    <w:rsid w:val="00BD0A6E"/>
    <w:rsid w:val="00BD0EDB"/>
    <w:rsid w:val="00BD4A02"/>
    <w:rsid w:val="00BF7ED8"/>
    <w:rsid w:val="00C0220E"/>
    <w:rsid w:val="00C1194F"/>
    <w:rsid w:val="00C309BA"/>
    <w:rsid w:val="00C55A29"/>
    <w:rsid w:val="00C760FC"/>
    <w:rsid w:val="00C82ED2"/>
    <w:rsid w:val="00CA3304"/>
    <w:rsid w:val="00CB3094"/>
    <w:rsid w:val="00CB5CFA"/>
    <w:rsid w:val="00CC38F5"/>
    <w:rsid w:val="00CE5991"/>
    <w:rsid w:val="00CF0F98"/>
    <w:rsid w:val="00CF20C4"/>
    <w:rsid w:val="00CF7D25"/>
    <w:rsid w:val="00D05EA9"/>
    <w:rsid w:val="00D31DF2"/>
    <w:rsid w:val="00D543FB"/>
    <w:rsid w:val="00D72D81"/>
    <w:rsid w:val="00D82D49"/>
    <w:rsid w:val="00D83BF0"/>
    <w:rsid w:val="00D85EED"/>
    <w:rsid w:val="00D944B0"/>
    <w:rsid w:val="00D963FA"/>
    <w:rsid w:val="00DB2CD3"/>
    <w:rsid w:val="00DE4CF9"/>
    <w:rsid w:val="00DE4FC4"/>
    <w:rsid w:val="00DE79D0"/>
    <w:rsid w:val="00DF0E8F"/>
    <w:rsid w:val="00E02785"/>
    <w:rsid w:val="00E03D3D"/>
    <w:rsid w:val="00E441AC"/>
    <w:rsid w:val="00E53A0F"/>
    <w:rsid w:val="00E549BD"/>
    <w:rsid w:val="00E615DD"/>
    <w:rsid w:val="00E748C8"/>
    <w:rsid w:val="00E75756"/>
    <w:rsid w:val="00E94689"/>
    <w:rsid w:val="00E97285"/>
    <w:rsid w:val="00EA0AF0"/>
    <w:rsid w:val="00EB5A66"/>
    <w:rsid w:val="00EC38F8"/>
    <w:rsid w:val="00EC5132"/>
    <w:rsid w:val="00ED5150"/>
    <w:rsid w:val="00ED6EF9"/>
    <w:rsid w:val="00F223C6"/>
    <w:rsid w:val="00F33947"/>
    <w:rsid w:val="00F6392F"/>
    <w:rsid w:val="00F712B8"/>
    <w:rsid w:val="00F85FB1"/>
    <w:rsid w:val="00F950A3"/>
    <w:rsid w:val="00FF15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8DF46A"/>
  <w15:chartTrackingRefBased/>
  <w15:docId w15:val="{BDB75207-C753-447A-9585-1A68C92DF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2F2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952F2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52F2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52F2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52F2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52F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52F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52F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52F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2F2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952F2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52F2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52F2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52F2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52F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52F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52F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52F2B"/>
    <w:rPr>
      <w:rFonts w:eastAsiaTheme="majorEastAsia" w:cstheme="majorBidi"/>
      <w:color w:val="272727" w:themeColor="text1" w:themeTint="D8"/>
    </w:rPr>
  </w:style>
  <w:style w:type="paragraph" w:styleId="Title">
    <w:name w:val="Title"/>
    <w:basedOn w:val="Normal"/>
    <w:next w:val="Normal"/>
    <w:link w:val="TitleChar"/>
    <w:uiPriority w:val="10"/>
    <w:qFormat/>
    <w:rsid w:val="00952F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52F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52F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52F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52F2B"/>
    <w:pPr>
      <w:spacing w:before="160"/>
      <w:jc w:val="center"/>
    </w:pPr>
    <w:rPr>
      <w:i/>
      <w:iCs/>
      <w:color w:val="404040" w:themeColor="text1" w:themeTint="BF"/>
    </w:rPr>
  </w:style>
  <w:style w:type="character" w:customStyle="1" w:styleId="QuoteChar">
    <w:name w:val="Quote Char"/>
    <w:basedOn w:val="DefaultParagraphFont"/>
    <w:link w:val="Quote"/>
    <w:uiPriority w:val="29"/>
    <w:rsid w:val="00952F2B"/>
    <w:rPr>
      <w:i/>
      <w:iCs/>
      <w:color w:val="404040" w:themeColor="text1" w:themeTint="BF"/>
    </w:rPr>
  </w:style>
  <w:style w:type="paragraph" w:styleId="ListParagraph">
    <w:name w:val="List Paragraph"/>
    <w:basedOn w:val="Normal"/>
    <w:uiPriority w:val="34"/>
    <w:qFormat/>
    <w:rsid w:val="00952F2B"/>
    <w:pPr>
      <w:ind w:left="720"/>
      <w:contextualSpacing/>
    </w:pPr>
  </w:style>
  <w:style w:type="character" w:styleId="IntenseEmphasis">
    <w:name w:val="Intense Emphasis"/>
    <w:basedOn w:val="DefaultParagraphFont"/>
    <w:uiPriority w:val="21"/>
    <w:qFormat/>
    <w:rsid w:val="00952F2B"/>
    <w:rPr>
      <w:i/>
      <w:iCs/>
      <w:color w:val="2F5496" w:themeColor="accent1" w:themeShade="BF"/>
    </w:rPr>
  </w:style>
  <w:style w:type="paragraph" w:styleId="IntenseQuote">
    <w:name w:val="Intense Quote"/>
    <w:basedOn w:val="Normal"/>
    <w:next w:val="Normal"/>
    <w:link w:val="IntenseQuoteChar"/>
    <w:uiPriority w:val="30"/>
    <w:qFormat/>
    <w:rsid w:val="00952F2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52F2B"/>
    <w:rPr>
      <w:i/>
      <w:iCs/>
      <w:color w:val="2F5496" w:themeColor="accent1" w:themeShade="BF"/>
    </w:rPr>
  </w:style>
  <w:style w:type="character" w:styleId="IntenseReference">
    <w:name w:val="Intense Reference"/>
    <w:basedOn w:val="DefaultParagraphFont"/>
    <w:uiPriority w:val="32"/>
    <w:qFormat/>
    <w:rsid w:val="00952F2B"/>
    <w:rPr>
      <w:b/>
      <w:bCs/>
      <w:smallCaps/>
      <w:color w:val="2F5496" w:themeColor="accent1" w:themeShade="BF"/>
      <w:spacing w:val="5"/>
    </w:rPr>
  </w:style>
  <w:style w:type="character" w:styleId="Hyperlink">
    <w:name w:val="Hyperlink"/>
    <w:basedOn w:val="DefaultParagraphFont"/>
    <w:uiPriority w:val="99"/>
    <w:unhideWhenUsed/>
    <w:rsid w:val="00040D1B"/>
    <w:rPr>
      <w:color w:val="0563C1" w:themeColor="hyperlink"/>
      <w:u w:val="single"/>
    </w:rPr>
  </w:style>
  <w:style w:type="character" w:customStyle="1" w:styleId="UnresolvedMention1">
    <w:name w:val="Unresolved Mention1"/>
    <w:basedOn w:val="DefaultParagraphFont"/>
    <w:uiPriority w:val="99"/>
    <w:semiHidden/>
    <w:unhideWhenUsed/>
    <w:rsid w:val="00040D1B"/>
    <w:rPr>
      <w:color w:val="605E5C"/>
      <w:shd w:val="clear" w:color="auto" w:fill="E1DFDD"/>
    </w:rPr>
  </w:style>
  <w:style w:type="paragraph" w:styleId="Header">
    <w:name w:val="header"/>
    <w:basedOn w:val="Normal"/>
    <w:link w:val="HeaderChar"/>
    <w:uiPriority w:val="99"/>
    <w:unhideWhenUsed/>
    <w:rsid w:val="001F5FF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5FFE"/>
  </w:style>
  <w:style w:type="paragraph" w:styleId="Footer">
    <w:name w:val="footer"/>
    <w:basedOn w:val="Normal"/>
    <w:link w:val="FooterChar"/>
    <w:uiPriority w:val="99"/>
    <w:unhideWhenUsed/>
    <w:rsid w:val="001F5FF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5FFE"/>
  </w:style>
  <w:style w:type="paragraph" w:styleId="NormalWeb">
    <w:name w:val="Normal (Web)"/>
    <w:basedOn w:val="Normal"/>
    <w:uiPriority w:val="99"/>
    <w:semiHidden/>
    <w:unhideWhenUsed/>
    <w:rsid w:val="00D83BF0"/>
    <w:rPr>
      <w:rFonts w:ascii="Times New Roman" w:hAnsi="Times New Roman" w:cs="Times New Roman"/>
    </w:rPr>
  </w:style>
  <w:style w:type="table" w:styleId="TableGrid">
    <w:name w:val="Table Grid"/>
    <w:basedOn w:val="TableNormal"/>
    <w:uiPriority w:val="39"/>
    <w:rsid w:val="0076412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623F0"/>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hyperlink" Target="https://idf.org/about-diabetes/diabetes-facts-figures/om" TargetMode="External"/><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9D7A67-4F73-47A1-949C-8084D1549D8B}" type="doc">
      <dgm:prSet loTypeId="urn:microsoft.com/office/officeart/2011/layout/CircleProcess" loCatId="process" qsTypeId="urn:microsoft.com/office/officeart/2005/8/quickstyle/simple3" qsCatId="simple" csTypeId="urn:microsoft.com/office/officeart/2005/8/colors/accent1_2" csCatId="accent1" phldr="1"/>
      <dgm:spPr/>
      <dgm:t>
        <a:bodyPr/>
        <a:lstStyle/>
        <a:p>
          <a:endParaRPr lang="en-US"/>
        </a:p>
      </dgm:t>
    </dgm:pt>
    <dgm:pt modelId="{AA856EDD-3267-44DD-B962-0DED72BDD4E7}">
      <dgm:prSet phldrT="[Text]"/>
      <dgm:spPr/>
      <dgm:t>
        <a:bodyPr/>
        <a:lstStyle/>
        <a:p>
          <a:pPr>
            <a:buNone/>
          </a:pPr>
          <a:r>
            <a:rPr lang="en-US"/>
            <a:t>Glycolysis</a:t>
          </a:r>
        </a:p>
      </dgm:t>
    </dgm:pt>
    <dgm:pt modelId="{CA351344-5861-44C6-A578-351C055EBFDD}" type="parTrans" cxnId="{90693494-5B36-4978-8F65-A34A71828C65}">
      <dgm:prSet/>
      <dgm:spPr/>
      <dgm:t>
        <a:bodyPr/>
        <a:lstStyle/>
        <a:p>
          <a:endParaRPr lang="en-US"/>
        </a:p>
      </dgm:t>
    </dgm:pt>
    <dgm:pt modelId="{E768774F-6531-4872-8DC3-11762EC2DEDF}" type="sibTrans" cxnId="{90693494-5B36-4978-8F65-A34A71828C65}">
      <dgm:prSet/>
      <dgm:spPr/>
      <dgm:t>
        <a:bodyPr/>
        <a:lstStyle/>
        <a:p>
          <a:endParaRPr lang="en-US"/>
        </a:p>
      </dgm:t>
    </dgm:pt>
    <dgm:pt modelId="{F5CDDDB6-042E-493A-85F1-51E5D5EC5ED9}">
      <dgm:prSet phldrT="[Text]"/>
      <dgm:spPr/>
      <dgm:t>
        <a:bodyPr/>
        <a:lstStyle/>
        <a:p>
          <a:pPr>
            <a:buNone/>
          </a:pPr>
          <a:r>
            <a:rPr lang="en-US"/>
            <a:t>Krebs cycle</a:t>
          </a:r>
        </a:p>
      </dgm:t>
    </dgm:pt>
    <dgm:pt modelId="{791FCC0A-9E28-4EDC-A76E-74ED3E934C99}" type="parTrans" cxnId="{BDD09B7F-A275-4B2F-85B0-0428CFC88680}">
      <dgm:prSet/>
      <dgm:spPr/>
      <dgm:t>
        <a:bodyPr/>
        <a:lstStyle/>
        <a:p>
          <a:endParaRPr lang="en-US"/>
        </a:p>
      </dgm:t>
    </dgm:pt>
    <dgm:pt modelId="{BBAD3CBC-2AB4-4896-A579-63BF23897F95}" type="sibTrans" cxnId="{BDD09B7F-A275-4B2F-85B0-0428CFC88680}">
      <dgm:prSet/>
      <dgm:spPr/>
      <dgm:t>
        <a:bodyPr/>
        <a:lstStyle/>
        <a:p>
          <a:endParaRPr lang="en-US"/>
        </a:p>
      </dgm:t>
    </dgm:pt>
    <dgm:pt modelId="{444108AB-84F6-4FEC-A9B7-AEB10C802C05}">
      <dgm:prSet phldrT="[Text]"/>
      <dgm:spPr/>
      <dgm:t>
        <a:bodyPr/>
        <a:lstStyle/>
        <a:p>
          <a:pPr>
            <a:buNone/>
          </a:pPr>
          <a:r>
            <a:rPr lang="en-US"/>
            <a:t>Oxidative phosphorylation</a:t>
          </a:r>
        </a:p>
      </dgm:t>
    </dgm:pt>
    <dgm:pt modelId="{FAEEC9E5-1314-4B77-94CC-0399103160AC}" type="parTrans" cxnId="{A67009C8-C2BB-4065-8A76-A33C6D00775E}">
      <dgm:prSet/>
      <dgm:spPr/>
      <dgm:t>
        <a:bodyPr/>
        <a:lstStyle/>
        <a:p>
          <a:endParaRPr lang="en-US"/>
        </a:p>
      </dgm:t>
    </dgm:pt>
    <dgm:pt modelId="{2D3CEFE9-E2F2-4928-B57C-958E4EFCF472}" type="sibTrans" cxnId="{A67009C8-C2BB-4065-8A76-A33C6D00775E}">
      <dgm:prSet/>
      <dgm:spPr/>
      <dgm:t>
        <a:bodyPr/>
        <a:lstStyle/>
        <a:p>
          <a:endParaRPr lang="en-US"/>
        </a:p>
      </dgm:t>
    </dgm:pt>
    <dgm:pt modelId="{F9D1EA9F-2829-467C-AE91-13815AFE62FD}" type="pres">
      <dgm:prSet presAssocID="{239D7A67-4F73-47A1-949C-8084D1549D8B}" presName="Name0" presStyleCnt="0">
        <dgm:presLayoutVars>
          <dgm:chMax val="11"/>
          <dgm:chPref val="11"/>
          <dgm:dir/>
          <dgm:resizeHandles/>
        </dgm:presLayoutVars>
      </dgm:prSet>
      <dgm:spPr/>
    </dgm:pt>
    <dgm:pt modelId="{1D33B45F-918D-43AD-BABE-BF51531E7D20}" type="pres">
      <dgm:prSet presAssocID="{444108AB-84F6-4FEC-A9B7-AEB10C802C05}" presName="Accent3" presStyleCnt="0"/>
      <dgm:spPr/>
    </dgm:pt>
    <dgm:pt modelId="{642C5F9A-A48B-48CB-9E83-1A986671EF6A}" type="pres">
      <dgm:prSet presAssocID="{444108AB-84F6-4FEC-A9B7-AEB10C802C05}" presName="Accent" presStyleLbl="node1" presStyleIdx="0" presStyleCnt="3"/>
      <dgm:spPr/>
    </dgm:pt>
    <dgm:pt modelId="{1BE0A781-88D2-4EC4-A2E5-82EC650C1986}" type="pres">
      <dgm:prSet presAssocID="{444108AB-84F6-4FEC-A9B7-AEB10C802C05}" presName="ParentBackground3" presStyleCnt="0"/>
      <dgm:spPr/>
    </dgm:pt>
    <dgm:pt modelId="{CAAEDC65-2FD6-4179-B22E-BAE88A104B13}" type="pres">
      <dgm:prSet presAssocID="{444108AB-84F6-4FEC-A9B7-AEB10C802C05}" presName="ParentBackground" presStyleLbl="fgAcc1" presStyleIdx="0" presStyleCnt="3"/>
      <dgm:spPr/>
    </dgm:pt>
    <dgm:pt modelId="{4E89E9CD-9A13-4A1D-BDF9-201BB3767E45}" type="pres">
      <dgm:prSet presAssocID="{444108AB-84F6-4FEC-A9B7-AEB10C802C05}" presName="Parent3" presStyleLbl="revTx" presStyleIdx="0" presStyleCnt="0">
        <dgm:presLayoutVars>
          <dgm:chMax val="1"/>
          <dgm:chPref val="1"/>
          <dgm:bulletEnabled val="1"/>
        </dgm:presLayoutVars>
      </dgm:prSet>
      <dgm:spPr/>
    </dgm:pt>
    <dgm:pt modelId="{408CF241-4379-412D-927A-8C4D85D13631}" type="pres">
      <dgm:prSet presAssocID="{F5CDDDB6-042E-493A-85F1-51E5D5EC5ED9}" presName="Accent2" presStyleCnt="0"/>
      <dgm:spPr/>
    </dgm:pt>
    <dgm:pt modelId="{B6A38913-2D80-427B-8C08-DE29DFCA09F0}" type="pres">
      <dgm:prSet presAssocID="{F5CDDDB6-042E-493A-85F1-51E5D5EC5ED9}" presName="Accent" presStyleLbl="node1" presStyleIdx="1" presStyleCnt="3"/>
      <dgm:spPr/>
    </dgm:pt>
    <dgm:pt modelId="{1F326EB8-290B-4600-AA64-6F527DB65912}" type="pres">
      <dgm:prSet presAssocID="{F5CDDDB6-042E-493A-85F1-51E5D5EC5ED9}" presName="ParentBackground2" presStyleCnt="0"/>
      <dgm:spPr/>
    </dgm:pt>
    <dgm:pt modelId="{744186B0-1857-4194-A182-59AEF301A4DD}" type="pres">
      <dgm:prSet presAssocID="{F5CDDDB6-042E-493A-85F1-51E5D5EC5ED9}" presName="ParentBackground" presStyleLbl="fgAcc1" presStyleIdx="1" presStyleCnt="3"/>
      <dgm:spPr/>
    </dgm:pt>
    <dgm:pt modelId="{11FEBABE-217C-4FD9-9739-E638F971A6F8}" type="pres">
      <dgm:prSet presAssocID="{F5CDDDB6-042E-493A-85F1-51E5D5EC5ED9}" presName="Parent2" presStyleLbl="revTx" presStyleIdx="0" presStyleCnt="0">
        <dgm:presLayoutVars>
          <dgm:chMax val="1"/>
          <dgm:chPref val="1"/>
          <dgm:bulletEnabled val="1"/>
        </dgm:presLayoutVars>
      </dgm:prSet>
      <dgm:spPr/>
    </dgm:pt>
    <dgm:pt modelId="{9099837E-24C3-412B-A648-E20B2E1560E5}" type="pres">
      <dgm:prSet presAssocID="{AA856EDD-3267-44DD-B962-0DED72BDD4E7}" presName="Accent1" presStyleCnt="0"/>
      <dgm:spPr/>
    </dgm:pt>
    <dgm:pt modelId="{3E0A6D07-02F5-41DF-80AB-768D70BA30BD}" type="pres">
      <dgm:prSet presAssocID="{AA856EDD-3267-44DD-B962-0DED72BDD4E7}" presName="Accent" presStyleLbl="node1" presStyleIdx="2" presStyleCnt="3"/>
      <dgm:spPr/>
    </dgm:pt>
    <dgm:pt modelId="{7A57F764-1EFF-4050-98E2-A8C89853E380}" type="pres">
      <dgm:prSet presAssocID="{AA856EDD-3267-44DD-B962-0DED72BDD4E7}" presName="ParentBackground1" presStyleCnt="0"/>
      <dgm:spPr/>
    </dgm:pt>
    <dgm:pt modelId="{391E3B0A-BFFC-4481-91E3-233E5C1CEC40}" type="pres">
      <dgm:prSet presAssocID="{AA856EDD-3267-44DD-B962-0DED72BDD4E7}" presName="ParentBackground" presStyleLbl="fgAcc1" presStyleIdx="2" presStyleCnt="3"/>
      <dgm:spPr/>
    </dgm:pt>
    <dgm:pt modelId="{2830B3B4-24A7-4914-8A67-C0D43BACAD59}" type="pres">
      <dgm:prSet presAssocID="{AA856EDD-3267-44DD-B962-0DED72BDD4E7}" presName="Parent1" presStyleLbl="revTx" presStyleIdx="0" presStyleCnt="0">
        <dgm:presLayoutVars>
          <dgm:chMax val="1"/>
          <dgm:chPref val="1"/>
          <dgm:bulletEnabled val="1"/>
        </dgm:presLayoutVars>
      </dgm:prSet>
      <dgm:spPr/>
    </dgm:pt>
  </dgm:ptLst>
  <dgm:cxnLst>
    <dgm:cxn modelId="{F30A1A25-D939-4ED7-9930-542E9D4F1EFC}" type="presOf" srcId="{F5CDDDB6-042E-493A-85F1-51E5D5EC5ED9}" destId="{744186B0-1857-4194-A182-59AEF301A4DD}" srcOrd="0" destOrd="0" presId="urn:microsoft.com/office/officeart/2011/layout/CircleProcess"/>
    <dgm:cxn modelId="{8A12892A-B955-46F4-B462-EC33B5FB9CCC}" type="presOf" srcId="{444108AB-84F6-4FEC-A9B7-AEB10C802C05}" destId="{CAAEDC65-2FD6-4179-B22E-BAE88A104B13}" srcOrd="0" destOrd="0" presId="urn:microsoft.com/office/officeart/2011/layout/CircleProcess"/>
    <dgm:cxn modelId="{CE72282D-286E-499B-B875-62C46DB59B84}" type="presOf" srcId="{444108AB-84F6-4FEC-A9B7-AEB10C802C05}" destId="{4E89E9CD-9A13-4A1D-BDF9-201BB3767E45}" srcOrd="1" destOrd="0" presId="urn:microsoft.com/office/officeart/2011/layout/CircleProcess"/>
    <dgm:cxn modelId="{C8C3C773-5E43-48A3-AB41-182C01E89EA6}" type="presOf" srcId="{AA856EDD-3267-44DD-B962-0DED72BDD4E7}" destId="{2830B3B4-24A7-4914-8A67-C0D43BACAD59}" srcOrd="1" destOrd="0" presId="urn:microsoft.com/office/officeart/2011/layout/CircleProcess"/>
    <dgm:cxn modelId="{BDD09B7F-A275-4B2F-85B0-0428CFC88680}" srcId="{239D7A67-4F73-47A1-949C-8084D1549D8B}" destId="{F5CDDDB6-042E-493A-85F1-51E5D5EC5ED9}" srcOrd="1" destOrd="0" parTransId="{791FCC0A-9E28-4EDC-A76E-74ED3E934C99}" sibTransId="{BBAD3CBC-2AB4-4896-A579-63BF23897F95}"/>
    <dgm:cxn modelId="{0C564F81-4DBE-4B5A-9160-11679E681AA7}" type="presOf" srcId="{239D7A67-4F73-47A1-949C-8084D1549D8B}" destId="{F9D1EA9F-2829-467C-AE91-13815AFE62FD}" srcOrd="0" destOrd="0" presId="urn:microsoft.com/office/officeart/2011/layout/CircleProcess"/>
    <dgm:cxn modelId="{90693494-5B36-4978-8F65-A34A71828C65}" srcId="{239D7A67-4F73-47A1-949C-8084D1549D8B}" destId="{AA856EDD-3267-44DD-B962-0DED72BDD4E7}" srcOrd="0" destOrd="0" parTransId="{CA351344-5861-44C6-A578-351C055EBFDD}" sibTransId="{E768774F-6531-4872-8DC3-11762EC2DEDF}"/>
    <dgm:cxn modelId="{27DDA698-6B3F-4F1D-A99A-A397A9745618}" type="presOf" srcId="{F5CDDDB6-042E-493A-85F1-51E5D5EC5ED9}" destId="{11FEBABE-217C-4FD9-9739-E638F971A6F8}" srcOrd="1" destOrd="0" presId="urn:microsoft.com/office/officeart/2011/layout/CircleProcess"/>
    <dgm:cxn modelId="{648B54A9-9A1E-498E-98E8-B1554B2C15B1}" type="presOf" srcId="{AA856EDD-3267-44DD-B962-0DED72BDD4E7}" destId="{391E3B0A-BFFC-4481-91E3-233E5C1CEC40}" srcOrd="0" destOrd="0" presId="urn:microsoft.com/office/officeart/2011/layout/CircleProcess"/>
    <dgm:cxn modelId="{A67009C8-C2BB-4065-8A76-A33C6D00775E}" srcId="{239D7A67-4F73-47A1-949C-8084D1549D8B}" destId="{444108AB-84F6-4FEC-A9B7-AEB10C802C05}" srcOrd="2" destOrd="0" parTransId="{FAEEC9E5-1314-4B77-94CC-0399103160AC}" sibTransId="{2D3CEFE9-E2F2-4928-B57C-958E4EFCF472}"/>
    <dgm:cxn modelId="{010C7DF4-9A13-42B3-9526-6F8C921E07F6}" type="presParOf" srcId="{F9D1EA9F-2829-467C-AE91-13815AFE62FD}" destId="{1D33B45F-918D-43AD-BABE-BF51531E7D20}" srcOrd="0" destOrd="0" presId="urn:microsoft.com/office/officeart/2011/layout/CircleProcess"/>
    <dgm:cxn modelId="{760C09B1-9636-4090-8D65-F561DAB2017B}" type="presParOf" srcId="{1D33B45F-918D-43AD-BABE-BF51531E7D20}" destId="{642C5F9A-A48B-48CB-9E83-1A986671EF6A}" srcOrd="0" destOrd="0" presId="urn:microsoft.com/office/officeart/2011/layout/CircleProcess"/>
    <dgm:cxn modelId="{06DC3051-B8AF-4CDF-B102-72E5CAA42ED3}" type="presParOf" srcId="{F9D1EA9F-2829-467C-AE91-13815AFE62FD}" destId="{1BE0A781-88D2-4EC4-A2E5-82EC650C1986}" srcOrd="1" destOrd="0" presId="urn:microsoft.com/office/officeart/2011/layout/CircleProcess"/>
    <dgm:cxn modelId="{06E679F3-EA9E-4E51-83C6-D8C4A431A690}" type="presParOf" srcId="{1BE0A781-88D2-4EC4-A2E5-82EC650C1986}" destId="{CAAEDC65-2FD6-4179-B22E-BAE88A104B13}" srcOrd="0" destOrd="0" presId="urn:microsoft.com/office/officeart/2011/layout/CircleProcess"/>
    <dgm:cxn modelId="{27298150-B8AE-4F57-9469-355BF867405C}" type="presParOf" srcId="{F9D1EA9F-2829-467C-AE91-13815AFE62FD}" destId="{4E89E9CD-9A13-4A1D-BDF9-201BB3767E45}" srcOrd="2" destOrd="0" presId="urn:microsoft.com/office/officeart/2011/layout/CircleProcess"/>
    <dgm:cxn modelId="{1DCAC1FC-46DA-41F2-BC9B-87336EFBE34A}" type="presParOf" srcId="{F9D1EA9F-2829-467C-AE91-13815AFE62FD}" destId="{408CF241-4379-412D-927A-8C4D85D13631}" srcOrd="3" destOrd="0" presId="urn:microsoft.com/office/officeart/2011/layout/CircleProcess"/>
    <dgm:cxn modelId="{8CF6AD2B-251D-4F16-9517-FCC340210DAD}" type="presParOf" srcId="{408CF241-4379-412D-927A-8C4D85D13631}" destId="{B6A38913-2D80-427B-8C08-DE29DFCA09F0}" srcOrd="0" destOrd="0" presId="urn:microsoft.com/office/officeart/2011/layout/CircleProcess"/>
    <dgm:cxn modelId="{9DF4D722-6FD0-440C-A889-798A3F22055F}" type="presParOf" srcId="{F9D1EA9F-2829-467C-AE91-13815AFE62FD}" destId="{1F326EB8-290B-4600-AA64-6F527DB65912}" srcOrd="4" destOrd="0" presId="urn:microsoft.com/office/officeart/2011/layout/CircleProcess"/>
    <dgm:cxn modelId="{BBF6676F-1890-410B-99E5-589ABECF956F}" type="presParOf" srcId="{1F326EB8-290B-4600-AA64-6F527DB65912}" destId="{744186B0-1857-4194-A182-59AEF301A4DD}" srcOrd="0" destOrd="0" presId="urn:microsoft.com/office/officeart/2011/layout/CircleProcess"/>
    <dgm:cxn modelId="{C73BEE1B-653D-4104-A93B-EFAAE70C7C14}" type="presParOf" srcId="{F9D1EA9F-2829-467C-AE91-13815AFE62FD}" destId="{11FEBABE-217C-4FD9-9739-E638F971A6F8}" srcOrd="5" destOrd="0" presId="urn:microsoft.com/office/officeart/2011/layout/CircleProcess"/>
    <dgm:cxn modelId="{A1A70C95-66B9-435B-84B9-04208EA14BD1}" type="presParOf" srcId="{F9D1EA9F-2829-467C-AE91-13815AFE62FD}" destId="{9099837E-24C3-412B-A648-E20B2E1560E5}" srcOrd="6" destOrd="0" presId="urn:microsoft.com/office/officeart/2011/layout/CircleProcess"/>
    <dgm:cxn modelId="{803DCFCC-E442-4C35-B74E-A7F6504FA797}" type="presParOf" srcId="{9099837E-24C3-412B-A648-E20B2E1560E5}" destId="{3E0A6D07-02F5-41DF-80AB-768D70BA30BD}" srcOrd="0" destOrd="0" presId="urn:microsoft.com/office/officeart/2011/layout/CircleProcess"/>
    <dgm:cxn modelId="{4DAFD5D7-AAB6-4905-9EA2-F7F4243CD16D}" type="presParOf" srcId="{F9D1EA9F-2829-467C-AE91-13815AFE62FD}" destId="{7A57F764-1EFF-4050-98E2-A8C89853E380}" srcOrd="7" destOrd="0" presId="urn:microsoft.com/office/officeart/2011/layout/CircleProcess"/>
    <dgm:cxn modelId="{54BCCBCF-D2E8-4EDD-9C13-0F9AABE3E60A}" type="presParOf" srcId="{7A57F764-1EFF-4050-98E2-A8C89853E380}" destId="{391E3B0A-BFFC-4481-91E3-233E5C1CEC40}" srcOrd="0" destOrd="0" presId="urn:microsoft.com/office/officeart/2011/layout/CircleProcess"/>
    <dgm:cxn modelId="{4B08A39D-8D97-4FB0-907D-DAFB30C11530}" type="presParOf" srcId="{F9D1EA9F-2829-467C-AE91-13815AFE62FD}" destId="{2830B3B4-24A7-4914-8A67-C0D43BACAD59}" srcOrd="8" destOrd="0" presId="urn:microsoft.com/office/officeart/2011/layout/CircleProcess"/>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EB247EA-72C0-470B-9FAA-AED0ADD9196C}" type="doc">
      <dgm:prSet loTypeId="urn:microsoft.com/office/officeart/2005/8/layout/vProcess5" loCatId="process" qsTypeId="urn:microsoft.com/office/officeart/2005/8/quickstyle/simple1" qsCatId="simple" csTypeId="urn:microsoft.com/office/officeart/2005/8/colors/accent1_1" csCatId="accent1" phldr="1"/>
      <dgm:spPr/>
      <dgm:t>
        <a:bodyPr/>
        <a:lstStyle/>
        <a:p>
          <a:endParaRPr lang="en-US"/>
        </a:p>
      </dgm:t>
    </dgm:pt>
    <dgm:pt modelId="{D8536CE6-6D04-4C76-9351-AC2E4AB63B1B}">
      <dgm:prSet phldrT="[Text]"/>
      <dgm:spPr/>
      <dgm:t>
        <a:bodyPr/>
        <a:lstStyle/>
        <a:p>
          <a:pPr>
            <a:buNone/>
          </a:pPr>
          <a:r>
            <a:rPr lang="en-US"/>
            <a:t>Data awareness</a:t>
          </a:r>
        </a:p>
      </dgm:t>
    </dgm:pt>
    <dgm:pt modelId="{AFBC0470-5E52-42CB-9F7C-341274AE130C}" type="parTrans" cxnId="{8FC88FC1-229F-4418-9D30-511EC11AAFC4}">
      <dgm:prSet/>
      <dgm:spPr/>
      <dgm:t>
        <a:bodyPr/>
        <a:lstStyle/>
        <a:p>
          <a:endParaRPr lang="en-US"/>
        </a:p>
      </dgm:t>
    </dgm:pt>
    <dgm:pt modelId="{B8F640D5-8AE5-4EBD-AC45-8FFD64492319}" type="sibTrans" cxnId="{8FC88FC1-229F-4418-9D30-511EC11AAFC4}">
      <dgm:prSet/>
      <dgm:spPr/>
      <dgm:t>
        <a:bodyPr/>
        <a:lstStyle/>
        <a:p>
          <a:endParaRPr lang="en-US"/>
        </a:p>
      </dgm:t>
    </dgm:pt>
    <dgm:pt modelId="{0F7F7F2B-880B-4A15-BC71-57457225C940}">
      <dgm:prSet phldrT="[Text]"/>
      <dgm:spPr/>
      <dgm:t>
        <a:bodyPr/>
        <a:lstStyle/>
        <a:p>
          <a:pPr>
            <a:buNone/>
          </a:pPr>
          <a:r>
            <a:rPr lang="en-US"/>
            <a:t>Behavioural adjustment</a:t>
          </a:r>
        </a:p>
      </dgm:t>
    </dgm:pt>
    <dgm:pt modelId="{0F829070-60A1-4ABC-8A12-75C3498D61C5}" type="parTrans" cxnId="{53A32321-83EF-4245-9664-1D5C4B2BAF20}">
      <dgm:prSet/>
      <dgm:spPr/>
      <dgm:t>
        <a:bodyPr/>
        <a:lstStyle/>
        <a:p>
          <a:endParaRPr lang="en-US"/>
        </a:p>
      </dgm:t>
    </dgm:pt>
    <dgm:pt modelId="{F1C62E40-C7D2-4E10-82AD-D4195E715C76}" type="sibTrans" cxnId="{53A32321-83EF-4245-9664-1D5C4B2BAF20}">
      <dgm:prSet/>
      <dgm:spPr/>
      <dgm:t>
        <a:bodyPr/>
        <a:lstStyle/>
        <a:p>
          <a:endParaRPr lang="en-US"/>
        </a:p>
      </dgm:t>
    </dgm:pt>
    <dgm:pt modelId="{2CF9204A-A130-4948-B974-FE3BC7F3A022}">
      <dgm:prSet phldrT="[Text]"/>
      <dgm:spPr/>
      <dgm:t>
        <a:bodyPr/>
        <a:lstStyle/>
        <a:p>
          <a:pPr>
            <a:buNone/>
          </a:pPr>
          <a:r>
            <a:rPr lang="en-US"/>
            <a:t>Improved outcomes</a:t>
          </a:r>
        </a:p>
      </dgm:t>
    </dgm:pt>
    <dgm:pt modelId="{F7BF02DC-6565-4A28-B333-4AEE0DEF35FC}" type="parTrans" cxnId="{F98953CF-0A24-4017-8CD0-ABF19E5FA7D4}">
      <dgm:prSet/>
      <dgm:spPr/>
      <dgm:t>
        <a:bodyPr/>
        <a:lstStyle/>
        <a:p>
          <a:endParaRPr lang="en-US"/>
        </a:p>
      </dgm:t>
    </dgm:pt>
    <dgm:pt modelId="{4EEE37DB-CAE7-489E-A409-6D8B063A880D}" type="sibTrans" cxnId="{F98953CF-0A24-4017-8CD0-ABF19E5FA7D4}">
      <dgm:prSet/>
      <dgm:spPr/>
      <dgm:t>
        <a:bodyPr/>
        <a:lstStyle/>
        <a:p>
          <a:endParaRPr lang="en-US"/>
        </a:p>
      </dgm:t>
    </dgm:pt>
    <dgm:pt modelId="{3C3434DF-4346-4B6D-B0A3-23DF8966BE9C}" type="pres">
      <dgm:prSet presAssocID="{3EB247EA-72C0-470B-9FAA-AED0ADD9196C}" presName="outerComposite" presStyleCnt="0">
        <dgm:presLayoutVars>
          <dgm:chMax val="5"/>
          <dgm:dir/>
          <dgm:resizeHandles val="exact"/>
        </dgm:presLayoutVars>
      </dgm:prSet>
      <dgm:spPr/>
    </dgm:pt>
    <dgm:pt modelId="{B3BE664B-8C10-4B98-9E2F-A3EA92DA27E4}" type="pres">
      <dgm:prSet presAssocID="{3EB247EA-72C0-470B-9FAA-AED0ADD9196C}" presName="dummyMaxCanvas" presStyleCnt="0">
        <dgm:presLayoutVars/>
      </dgm:prSet>
      <dgm:spPr/>
    </dgm:pt>
    <dgm:pt modelId="{D9DC99FD-979F-48A5-8FAC-F0967D53BC26}" type="pres">
      <dgm:prSet presAssocID="{3EB247EA-72C0-470B-9FAA-AED0ADD9196C}" presName="ThreeNodes_1" presStyleLbl="node1" presStyleIdx="0" presStyleCnt="3">
        <dgm:presLayoutVars>
          <dgm:bulletEnabled val="1"/>
        </dgm:presLayoutVars>
      </dgm:prSet>
      <dgm:spPr/>
    </dgm:pt>
    <dgm:pt modelId="{32BF02BD-1EA3-43AF-B603-45C633DB9105}" type="pres">
      <dgm:prSet presAssocID="{3EB247EA-72C0-470B-9FAA-AED0ADD9196C}" presName="ThreeNodes_2" presStyleLbl="node1" presStyleIdx="1" presStyleCnt="3">
        <dgm:presLayoutVars>
          <dgm:bulletEnabled val="1"/>
        </dgm:presLayoutVars>
      </dgm:prSet>
      <dgm:spPr/>
    </dgm:pt>
    <dgm:pt modelId="{886E3333-1152-4A72-8F26-4B14FEB73E87}" type="pres">
      <dgm:prSet presAssocID="{3EB247EA-72C0-470B-9FAA-AED0ADD9196C}" presName="ThreeNodes_3" presStyleLbl="node1" presStyleIdx="2" presStyleCnt="3">
        <dgm:presLayoutVars>
          <dgm:bulletEnabled val="1"/>
        </dgm:presLayoutVars>
      </dgm:prSet>
      <dgm:spPr/>
    </dgm:pt>
    <dgm:pt modelId="{523D9D1D-9423-4F78-99B6-0500C08EE44E}" type="pres">
      <dgm:prSet presAssocID="{3EB247EA-72C0-470B-9FAA-AED0ADD9196C}" presName="ThreeConn_1-2" presStyleLbl="fgAccFollowNode1" presStyleIdx="0" presStyleCnt="2">
        <dgm:presLayoutVars>
          <dgm:bulletEnabled val="1"/>
        </dgm:presLayoutVars>
      </dgm:prSet>
      <dgm:spPr/>
    </dgm:pt>
    <dgm:pt modelId="{BE03E24A-7D56-4F86-A4EC-7FFBF90CC463}" type="pres">
      <dgm:prSet presAssocID="{3EB247EA-72C0-470B-9FAA-AED0ADD9196C}" presName="ThreeConn_2-3" presStyleLbl="fgAccFollowNode1" presStyleIdx="1" presStyleCnt="2">
        <dgm:presLayoutVars>
          <dgm:bulletEnabled val="1"/>
        </dgm:presLayoutVars>
      </dgm:prSet>
      <dgm:spPr/>
    </dgm:pt>
    <dgm:pt modelId="{CBEDEC74-2507-4E23-B3AE-E527161B0410}" type="pres">
      <dgm:prSet presAssocID="{3EB247EA-72C0-470B-9FAA-AED0ADD9196C}" presName="ThreeNodes_1_text" presStyleLbl="node1" presStyleIdx="2" presStyleCnt="3">
        <dgm:presLayoutVars>
          <dgm:bulletEnabled val="1"/>
        </dgm:presLayoutVars>
      </dgm:prSet>
      <dgm:spPr/>
    </dgm:pt>
    <dgm:pt modelId="{16F9079A-3A5D-4ECB-B9E1-E68F9A13F8E8}" type="pres">
      <dgm:prSet presAssocID="{3EB247EA-72C0-470B-9FAA-AED0ADD9196C}" presName="ThreeNodes_2_text" presStyleLbl="node1" presStyleIdx="2" presStyleCnt="3">
        <dgm:presLayoutVars>
          <dgm:bulletEnabled val="1"/>
        </dgm:presLayoutVars>
      </dgm:prSet>
      <dgm:spPr/>
    </dgm:pt>
    <dgm:pt modelId="{07632BAA-36F8-4C23-99A4-16496219C944}" type="pres">
      <dgm:prSet presAssocID="{3EB247EA-72C0-470B-9FAA-AED0ADD9196C}" presName="ThreeNodes_3_text" presStyleLbl="node1" presStyleIdx="2" presStyleCnt="3">
        <dgm:presLayoutVars>
          <dgm:bulletEnabled val="1"/>
        </dgm:presLayoutVars>
      </dgm:prSet>
      <dgm:spPr/>
    </dgm:pt>
  </dgm:ptLst>
  <dgm:cxnLst>
    <dgm:cxn modelId="{53A32321-83EF-4245-9664-1D5C4B2BAF20}" srcId="{3EB247EA-72C0-470B-9FAA-AED0ADD9196C}" destId="{0F7F7F2B-880B-4A15-BC71-57457225C940}" srcOrd="1" destOrd="0" parTransId="{0F829070-60A1-4ABC-8A12-75C3498D61C5}" sibTransId="{F1C62E40-C7D2-4E10-82AD-D4195E715C76}"/>
    <dgm:cxn modelId="{1CFBEF39-4D27-4AC1-8E1C-8459FEE6D2C1}" type="presOf" srcId="{0F7F7F2B-880B-4A15-BC71-57457225C940}" destId="{16F9079A-3A5D-4ECB-B9E1-E68F9A13F8E8}" srcOrd="1" destOrd="0" presId="urn:microsoft.com/office/officeart/2005/8/layout/vProcess5"/>
    <dgm:cxn modelId="{6A556E40-61E3-482C-A920-0CDD313E9067}" type="presOf" srcId="{0F7F7F2B-880B-4A15-BC71-57457225C940}" destId="{32BF02BD-1EA3-43AF-B603-45C633DB9105}" srcOrd="0" destOrd="0" presId="urn:microsoft.com/office/officeart/2005/8/layout/vProcess5"/>
    <dgm:cxn modelId="{DE68B251-614E-41D1-8816-892E244CE315}" type="presOf" srcId="{B8F640D5-8AE5-4EBD-AC45-8FFD64492319}" destId="{523D9D1D-9423-4F78-99B6-0500C08EE44E}" srcOrd="0" destOrd="0" presId="urn:microsoft.com/office/officeart/2005/8/layout/vProcess5"/>
    <dgm:cxn modelId="{4393D757-7B12-45E1-8F34-DFC11E91E5EB}" type="presOf" srcId="{2CF9204A-A130-4948-B974-FE3BC7F3A022}" destId="{07632BAA-36F8-4C23-99A4-16496219C944}" srcOrd="1" destOrd="0" presId="urn:microsoft.com/office/officeart/2005/8/layout/vProcess5"/>
    <dgm:cxn modelId="{2642326B-D12C-4485-A3CF-68AF6BBEC2E7}" type="presOf" srcId="{2CF9204A-A130-4948-B974-FE3BC7F3A022}" destId="{886E3333-1152-4A72-8F26-4B14FEB73E87}" srcOrd="0" destOrd="0" presId="urn:microsoft.com/office/officeart/2005/8/layout/vProcess5"/>
    <dgm:cxn modelId="{3CB633C0-01A5-4B05-B61E-AF88EF16450B}" type="presOf" srcId="{3EB247EA-72C0-470B-9FAA-AED0ADD9196C}" destId="{3C3434DF-4346-4B6D-B0A3-23DF8966BE9C}" srcOrd="0" destOrd="0" presId="urn:microsoft.com/office/officeart/2005/8/layout/vProcess5"/>
    <dgm:cxn modelId="{8FC88FC1-229F-4418-9D30-511EC11AAFC4}" srcId="{3EB247EA-72C0-470B-9FAA-AED0ADD9196C}" destId="{D8536CE6-6D04-4C76-9351-AC2E4AB63B1B}" srcOrd="0" destOrd="0" parTransId="{AFBC0470-5E52-42CB-9F7C-341274AE130C}" sibTransId="{B8F640D5-8AE5-4EBD-AC45-8FFD64492319}"/>
    <dgm:cxn modelId="{E3C4CDC9-7A1C-49F4-A570-DCEF17127877}" type="presOf" srcId="{D8536CE6-6D04-4C76-9351-AC2E4AB63B1B}" destId="{CBEDEC74-2507-4E23-B3AE-E527161B0410}" srcOrd="1" destOrd="0" presId="urn:microsoft.com/office/officeart/2005/8/layout/vProcess5"/>
    <dgm:cxn modelId="{F98953CF-0A24-4017-8CD0-ABF19E5FA7D4}" srcId="{3EB247EA-72C0-470B-9FAA-AED0ADD9196C}" destId="{2CF9204A-A130-4948-B974-FE3BC7F3A022}" srcOrd="2" destOrd="0" parTransId="{F7BF02DC-6565-4A28-B333-4AEE0DEF35FC}" sibTransId="{4EEE37DB-CAE7-489E-A409-6D8B063A880D}"/>
    <dgm:cxn modelId="{EC35FFD2-C328-47DB-874C-B49ED5CEC993}" type="presOf" srcId="{F1C62E40-C7D2-4E10-82AD-D4195E715C76}" destId="{BE03E24A-7D56-4F86-A4EC-7FFBF90CC463}" srcOrd="0" destOrd="0" presId="urn:microsoft.com/office/officeart/2005/8/layout/vProcess5"/>
    <dgm:cxn modelId="{BD2120EE-6428-44D0-9322-69506614979D}" type="presOf" srcId="{D8536CE6-6D04-4C76-9351-AC2E4AB63B1B}" destId="{D9DC99FD-979F-48A5-8FAC-F0967D53BC26}" srcOrd="0" destOrd="0" presId="urn:microsoft.com/office/officeart/2005/8/layout/vProcess5"/>
    <dgm:cxn modelId="{AFA7CACB-C1F9-4DD6-8062-FEBE6F5B953E}" type="presParOf" srcId="{3C3434DF-4346-4B6D-B0A3-23DF8966BE9C}" destId="{B3BE664B-8C10-4B98-9E2F-A3EA92DA27E4}" srcOrd="0" destOrd="0" presId="urn:microsoft.com/office/officeart/2005/8/layout/vProcess5"/>
    <dgm:cxn modelId="{5CEF0ECB-0088-4163-8D2C-3867EEAD4331}" type="presParOf" srcId="{3C3434DF-4346-4B6D-B0A3-23DF8966BE9C}" destId="{D9DC99FD-979F-48A5-8FAC-F0967D53BC26}" srcOrd="1" destOrd="0" presId="urn:microsoft.com/office/officeart/2005/8/layout/vProcess5"/>
    <dgm:cxn modelId="{60A63064-FF9F-4BCF-8A86-50658B60FD8C}" type="presParOf" srcId="{3C3434DF-4346-4B6D-B0A3-23DF8966BE9C}" destId="{32BF02BD-1EA3-43AF-B603-45C633DB9105}" srcOrd="2" destOrd="0" presId="urn:microsoft.com/office/officeart/2005/8/layout/vProcess5"/>
    <dgm:cxn modelId="{4BF84414-E6DB-4DDF-AC99-1F61BB656C3D}" type="presParOf" srcId="{3C3434DF-4346-4B6D-B0A3-23DF8966BE9C}" destId="{886E3333-1152-4A72-8F26-4B14FEB73E87}" srcOrd="3" destOrd="0" presId="urn:microsoft.com/office/officeart/2005/8/layout/vProcess5"/>
    <dgm:cxn modelId="{E78B3CF7-1688-4E7F-B4A4-EEE64B04C529}" type="presParOf" srcId="{3C3434DF-4346-4B6D-B0A3-23DF8966BE9C}" destId="{523D9D1D-9423-4F78-99B6-0500C08EE44E}" srcOrd="4" destOrd="0" presId="urn:microsoft.com/office/officeart/2005/8/layout/vProcess5"/>
    <dgm:cxn modelId="{89C42459-A4F9-4900-B5AA-ECAB5194E54E}" type="presParOf" srcId="{3C3434DF-4346-4B6D-B0A3-23DF8966BE9C}" destId="{BE03E24A-7D56-4F86-A4EC-7FFBF90CC463}" srcOrd="5" destOrd="0" presId="urn:microsoft.com/office/officeart/2005/8/layout/vProcess5"/>
    <dgm:cxn modelId="{77E3ACA0-5178-4D5F-B992-B9A62005B1E7}" type="presParOf" srcId="{3C3434DF-4346-4B6D-B0A3-23DF8966BE9C}" destId="{CBEDEC74-2507-4E23-B3AE-E527161B0410}" srcOrd="6" destOrd="0" presId="urn:microsoft.com/office/officeart/2005/8/layout/vProcess5"/>
    <dgm:cxn modelId="{CB236254-B504-4ED4-A5E9-A2C4D2FCF931}" type="presParOf" srcId="{3C3434DF-4346-4B6D-B0A3-23DF8966BE9C}" destId="{16F9079A-3A5D-4ECB-B9E1-E68F9A13F8E8}" srcOrd="7" destOrd="0" presId="urn:microsoft.com/office/officeart/2005/8/layout/vProcess5"/>
    <dgm:cxn modelId="{F7D5CD38-89DC-40A9-BDAE-D406F73B23D0}" type="presParOf" srcId="{3C3434DF-4346-4B6D-B0A3-23DF8966BE9C}" destId="{07632BAA-36F8-4C23-99A4-16496219C944}" srcOrd="8" destOrd="0" presId="urn:microsoft.com/office/officeart/2005/8/layout/vProcess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2C5F9A-A48B-48CB-9E83-1A986671EF6A}">
      <dsp:nvSpPr>
        <dsp:cNvPr id="0" name=""/>
        <dsp:cNvSpPr/>
      </dsp:nvSpPr>
      <dsp:spPr>
        <a:xfrm>
          <a:off x="3797000" y="772032"/>
          <a:ext cx="1656318" cy="1656624"/>
        </a:xfrm>
        <a:prstGeom prst="ellipse">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CAAEDC65-2FD6-4179-B22E-BAE88A104B13}">
      <dsp:nvSpPr>
        <dsp:cNvPr id="0" name=""/>
        <dsp:cNvSpPr/>
      </dsp:nvSpPr>
      <dsp:spPr>
        <a:xfrm>
          <a:off x="3851995" y="827263"/>
          <a:ext cx="1546328" cy="1546163"/>
        </a:xfrm>
        <a:prstGeom prst="ellipse">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Oxidative phosphorylation</a:t>
          </a:r>
        </a:p>
      </dsp:txBody>
      <dsp:txXfrm>
        <a:off x="4073053" y="1048185"/>
        <a:ext cx="1104212" cy="1104319"/>
      </dsp:txXfrm>
    </dsp:sp>
    <dsp:sp modelId="{B6A38913-2D80-427B-8C08-DE29DFCA09F0}">
      <dsp:nvSpPr>
        <dsp:cNvPr id="0" name=""/>
        <dsp:cNvSpPr/>
      </dsp:nvSpPr>
      <dsp:spPr>
        <a:xfrm rot="2700000">
          <a:off x="2087142" y="774035"/>
          <a:ext cx="1652329" cy="1652329"/>
        </a:xfrm>
        <a:prstGeom prst="teardrop">
          <a:avLst>
            <a:gd name="adj" fmla="val 10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744186B0-1857-4194-A182-59AEF301A4DD}">
      <dsp:nvSpPr>
        <dsp:cNvPr id="0" name=""/>
        <dsp:cNvSpPr/>
      </dsp:nvSpPr>
      <dsp:spPr>
        <a:xfrm>
          <a:off x="2140142" y="827263"/>
          <a:ext cx="1546328" cy="1546163"/>
        </a:xfrm>
        <a:prstGeom prst="ellipse">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Krebs cycle</a:t>
          </a:r>
        </a:p>
      </dsp:txBody>
      <dsp:txXfrm>
        <a:off x="2361200" y="1048185"/>
        <a:ext cx="1104212" cy="1104319"/>
      </dsp:txXfrm>
    </dsp:sp>
    <dsp:sp modelId="{3E0A6D07-02F5-41DF-80AB-768D70BA30BD}">
      <dsp:nvSpPr>
        <dsp:cNvPr id="0" name=""/>
        <dsp:cNvSpPr/>
      </dsp:nvSpPr>
      <dsp:spPr>
        <a:xfrm rot="2700000">
          <a:off x="375289" y="774035"/>
          <a:ext cx="1652329" cy="1652329"/>
        </a:xfrm>
        <a:prstGeom prst="teardrop">
          <a:avLst>
            <a:gd name="adj" fmla="val 100000"/>
          </a:avLst>
        </a:prstGeom>
        <a:gradFill rotWithShape="0">
          <a:gsLst>
            <a:gs pos="0">
              <a:schemeClr val="accent1">
                <a:hueOff val="0"/>
                <a:satOff val="0"/>
                <a:lumOff val="0"/>
                <a:alphaOff val="0"/>
                <a:lumMod val="110000"/>
                <a:satMod val="105000"/>
                <a:tint val="67000"/>
              </a:schemeClr>
            </a:gs>
            <a:gs pos="50000">
              <a:schemeClr val="accent1">
                <a:hueOff val="0"/>
                <a:satOff val="0"/>
                <a:lumOff val="0"/>
                <a:alphaOff val="0"/>
                <a:lumMod val="105000"/>
                <a:satMod val="103000"/>
                <a:tint val="73000"/>
              </a:schemeClr>
            </a:gs>
            <a:gs pos="100000">
              <a:schemeClr val="accent1">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sp>
    <dsp:sp modelId="{391E3B0A-BFFC-4481-91E3-233E5C1CEC40}">
      <dsp:nvSpPr>
        <dsp:cNvPr id="0" name=""/>
        <dsp:cNvSpPr/>
      </dsp:nvSpPr>
      <dsp:spPr>
        <a:xfrm>
          <a:off x="428290" y="827263"/>
          <a:ext cx="1546328" cy="1546163"/>
        </a:xfrm>
        <a:prstGeom prst="ellipse">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t>Glycolysis</a:t>
          </a:r>
        </a:p>
      </dsp:txBody>
      <dsp:txXfrm>
        <a:off x="649348" y="1048185"/>
        <a:ext cx="1104212" cy="11043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9DC99FD-979F-48A5-8FAC-F0967D53BC26}">
      <dsp:nvSpPr>
        <dsp:cNvPr id="0" name=""/>
        <dsp:cNvSpPr/>
      </dsp:nvSpPr>
      <dsp:spPr>
        <a:xfrm>
          <a:off x="0" y="0"/>
          <a:ext cx="4663440" cy="960120"/>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102870" rIns="102870" bIns="102870" numCol="1" spcCol="1270" anchor="ctr" anchorCtr="0">
          <a:noAutofit/>
        </a:bodyPr>
        <a:lstStyle/>
        <a:p>
          <a:pPr marL="0" lvl="0" indent="0" algn="l" defTabSz="1200150">
            <a:lnSpc>
              <a:spcPct val="90000"/>
            </a:lnSpc>
            <a:spcBef>
              <a:spcPct val="0"/>
            </a:spcBef>
            <a:spcAft>
              <a:spcPct val="35000"/>
            </a:spcAft>
            <a:buNone/>
          </a:pPr>
          <a:r>
            <a:rPr lang="en-US" sz="2700" kern="1200"/>
            <a:t>Data awareness</a:t>
          </a:r>
        </a:p>
      </dsp:txBody>
      <dsp:txXfrm>
        <a:off x="28121" y="28121"/>
        <a:ext cx="3627395" cy="903878"/>
      </dsp:txXfrm>
    </dsp:sp>
    <dsp:sp modelId="{32BF02BD-1EA3-43AF-B603-45C633DB9105}">
      <dsp:nvSpPr>
        <dsp:cNvPr id="0" name=""/>
        <dsp:cNvSpPr/>
      </dsp:nvSpPr>
      <dsp:spPr>
        <a:xfrm>
          <a:off x="411480" y="1120140"/>
          <a:ext cx="4663440" cy="960120"/>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102870" rIns="102870" bIns="102870" numCol="1" spcCol="1270" anchor="ctr" anchorCtr="0">
          <a:noAutofit/>
        </a:bodyPr>
        <a:lstStyle/>
        <a:p>
          <a:pPr marL="0" lvl="0" indent="0" algn="l" defTabSz="1200150">
            <a:lnSpc>
              <a:spcPct val="90000"/>
            </a:lnSpc>
            <a:spcBef>
              <a:spcPct val="0"/>
            </a:spcBef>
            <a:spcAft>
              <a:spcPct val="35000"/>
            </a:spcAft>
            <a:buNone/>
          </a:pPr>
          <a:r>
            <a:rPr lang="en-US" sz="2700" kern="1200"/>
            <a:t>Behavioural adjustment</a:t>
          </a:r>
        </a:p>
      </dsp:txBody>
      <dsp:txXfrm>
        <a:off x="439601" y="1148261"/>
        <a:ext cx="3571639" cy="903878"/>
      </dsp:txXfrm>
    </dsp:sp>
    <dsp:sp modelId="{886E3333-1152-4A72-8F26-4B14FEB73E87}">
      <dsp:nvSpPr>
        <dsp:cNvPr id="0" name=""/>
        <dsp:cNvSpPr/>
      </dsp:nvSpPr>
      <dsp:spPr>
        <a:xfrm>
          <a:off x="822960" y="2240280"/>
          <a:ext cx="4663440" cy="960120"/>
        </a:xfrm>
        <a:prstGeom prst="roundRect">
          <a:avLst>
            <a:gd name="adj" fmla="val 10000"/>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2870" tIns="102870" rIns="102870" bIns="102870" numCol="1" spcCol="1270" anchor="ctr" anchorCtr="0">
          <a:noAutofit/>
        </a:bodyPr>
        <a:lstStyle/>
        <a:p>
          <a:pPr marL="0" lvl="0" indent="0" algn="l" defTabSz="1200150">
            <a:lnSpc>
              <a:spcPct val="90000"/>
            </a:lnSpc>
            <a:spcBef>
              <a:spcPct val="0"/>
            </a:spcBef>
            <a:spcAft>
              <a:spcPct val="35000"/>
            </a:spcAft>
            <a:buNone/>
          </a:pPr>
          <a:r>
            <a:rPr lang="en-US" sz="2700" kern="1200"/>
            <a:t>Improved outcomes</a:t>
          </a:r>
        </a:p>
      </dsp:txBody>
      <dsp:txXfrm>
        <a:off x="851081" y="2268401"/>
        <a:ext cx="3571639" cy="903878"/>
      </dsp:txXfrm>
    </dsp:sp>
    <dsp:sp modelId="{523D9D1D-9423-4F78-99B6-0500C08EE44E}">
      <dsp:nvSpPr>
        <dsp:cNvPr id="0" name=""/>
        <dsp:cNvSpPr/>
      </dsp:nvSpPr>
      <dsp:spPr>
        <a:xfrm>
          <a:off x="4039362" y="728091"/>
          <a:ext cx="624078" cy="624078"/>
        </a:xfrm>
        <a:prstGeom prst="downArrow">
          <a:avLst>
            <a:gd name="adj1" fmla="val 55000"/>
            <a:gd name="adj2" fmla="val 45000"/>
          </a:avLst>
        </a:prstGeom>
        <a:solidFill>
          <a:schemeClr val="lt1">
            <a:alpha val="90000"/>
            <a:tint val="4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endParaRPr lang="en-US" sz="2800" kern="1200"/>
        </a:p>
      </dsp:txBody>
      <dsp:txXfrm>
        <a:off x="4179780" y="728091"/>
        <a:ext cx="343242" cy="469619"/>
      </dsp:txXfrm>
    </dsp:sp>
    <dsp:sp modelId="{BE03E24A-7D56-4F86-A4EC-7FFBF90CC463}">
      <dsp:nvSpPr>
        <dsp:cNvPr id="0" name=""/>
        <dsp:cNvSpPr/>
      </dsp:nvSpPr>
      <dsp:spPr>
        <a:xfrm>
          <a:off x="4450842" y="1841830"/>
          <a:ext cx="624078" cy="624078"/>
        </a:xfrm>
        <a:prstGeom prst="downArrow">
          <a:avLst>
            <a:gd name="adj1" fmla="val 55000"/>
            <a:gd name="adj2" fmla="val 45000"/>
          </a:avLst>
        </a:prstGeom>
        <a:solidFill>
          <a:schemeClr val="lt1">
            <a:alpha val="90000"/>
            <a:tint val="40000"/>
            <a:hueOff val="0"/>
            <a:satOff val="0"/>
            <a:lumOff val="0"/>
            <a:alphaOff val="0"/>
          </a:schemeClr>
        </a:solidFill>
        <a:ln w="12700" cap="flat" cmpd="sng" algn="ctr">
          <a:solidFill>
            <a:schemeClr val="accent1">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5560" tIns="35560" rIns="35560" bIns="35560" numCol="1" spcCol="1270" anchor="ctr" anchorCtr="0">
          <a:noAutofit/>
        </a:bodyPr>
        <a:lstStyle/>
        <a:p>
          <a:pPr marL="0" lvl="0" indent="0" algn="ctr" defTabSz="1244600">
            <a:lnSpc>
              <a:spcPct val="90000"/>
            </a:lnSpc>
            <a:spcBef>
              <a:spcPct val="0"/>
            </a:spcBef>
            <a:spcAft>
              <a:spcPct val="35000"/>
            </a:spcAft>
            <a:buNone/>
          </a:pPr>
          <a:endParaRPr lang="en-US" sz="2800" kern="1200"/>
        </a:p>
      </dsp:txBody>
      <dsp:txXfrm>
        <a:off x="4591260" y="1841830"/>
        <a:ext cx="343242" cy="469619"/>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14</Pages>
  <Words>3031</Words>
  <Characters>18705</Characters>
  <Application>Microsoft Office Word</Application>
  <DocSecurity>0</DocSecurity>
  <Lines>296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Bianca Sanfilippo</cp:lastModifiedBy>
  <cp:revision>2</cp:revision>
  <dcterms:created xsi:type="dcterms:W3CDTF">2026-08-12T10:16:00Z</dcterms:created>
  <dcterms:modified xsi:type="dcterms:W3CDTF">2026-08-12T10:16:00Z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9d342965-5a4d-4ac0-ab72-da12ae3be58e</vt:lpwstr>
  </property>
</Properties>
</file>