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02"/>
      </w:tblGrid>
      <w:tr w:rsidR="00F927A1" w:rsidRPr="005D3F07" w14:paraId="68CAA39D" w14:textId="77777777" w:rsidTr="00B91868">
        <w:trPr>
          <w:trHeight w:val="4437"/>
        </w:trPr>
        <w:tc>
          <w:tcPr>
            <w:tcW w:w="11002" w:type="dxa"/>
          </w:tcPr>
          <w:p w14:paraId="02F8EE88" w14:textId="501E5EE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91868">
              <w:rPr>
                <w:rFonts w:ascii="Times New Roman" w:hAnsi="Times New Roman" w:cs="Times New Roman"/>
                <w:b/>
                <w:color w:val="auto"/>
                <w:sz w:val="48"/>
              </w:rPr>
              <w:t>Cerys Henry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43C820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91868">
              <w:rPr>
                <w:rFonts w:ascii="Times New Roman" w:hAnsi="Times New Roman" w:cs="Times New Roman"/>
                <w:b/>
                <w:color w:val="auto"/>
                <w:sz w:val="48"/>
              </w:rPr>
              <w:t xml:space="preserve"> cerys.henry@live.co.uk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E177634"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B91868">
              <w:rPr>
                <w:rFonts w:ascii="Times New Roman" w:hAnsi="Times New Roman" w:cs="Times New Roman"/>
                <w:b/>
                <w:sz w:val="48"/>
              </w:rPr>
              <w:t xml:space="preserve"> 2521893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BF9BB1"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A071D4">
              <w:rPr>
                <w:rFonts w:ascii="Times New Roman" w:hAnsi="Times New Roman" w:cs="Times New Roman"/>
                <w:b/>
                <w:color w:val="auto"/>
                <w:sz w:val="48"/>
              </w:rPr>
              <w:t>2</w:t>
            </w:r>
            <w:r w:rsidR="00A50383">
              <w:rPr>
                <w:rFonts w:ascii="Times New Roman" w:hAnsi="Times New Roman" w:cs="Times New Roman"/>
                <w:b/>
                <w:color w:val="auto"/>
                <w:sz w:val="48"/>
              </w:rPr>
              <w:t>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0425CADA" w14:textId="77777777" w:rsidR="00B91868" w:rsidRPr="00D523A2" w:rsidRDefault="00B91868" w:rsidP="00B91868">
            <w:pPr>
              <w:jc w:val="both"/>
              <w:rPr>
                <w:rFonts w:ascii="Calibri" w:hAnsi="Calibri" w:cs="Calibri"/>
                <w:sz w:val="24"/>
                <w:szCs w:val="24"/>
              </w:rPr>
            </w:pPr>
            <w:proofErr w:type="gramStart"/>
            <w:r w:rsidRPr="00D523A2">
              <w:rPr>
                <w:rFonts w:ascii="Calibri" w:hAnsi="Calibri" w:cs="Calibri"/>
                <w:sz w:val="24"/>
                <w:szCs w:val="24"/>
              </w:rPr>
              <w:t>For the purpose of</w:t>
            </w:r>
            <w:proofErr w:type="gramEnd"/>
            <w:r w:rsidRPr="00D523A2">
              <w:rPr>
                <w:rFonts w:ascii="Calibri" w:hAnsi="Calibri" w:cs="Calibri"/>
                <w:sz w:val="24"/>
                <w:szCs w:val="24"/>
              </w:rPr>
              <w:t xml:space="preserve"> this assignment, I will critically reflect on a safeguarding assessment undertaken with Child </w:t>
            </w:r>
            <w:r>
              <w:rPr>
                <w:rFonts w:ascii="Calibri" w:hAnsi="Calibri" w:cs="Calibri"/>
                <w:sz w:val="24"/>
                <w:szCs w:val="24"/>
              </w:rPr>
              <w:t>2</w:t>
            </w:r>
            <w:r w:rsidRPr="00D523A2">
              <w:rPr>
                <w:rFonts w:ascii="Calibri" w:hAnsi="Calibri" w:cs="Calibri"/>
                <w:sz w:val="24"/>
                <w:szCs w:val="24"/>
              </w:rPr>
              <w:t xml:space="preserve">, exploring how legislation, policy, theory, research, collaboration and professional judgement informed my decision-making. </w:t>
            </w:r>
            <w:proofErr w:type="gramStart"/>
            <w:r w:rsidRPr="00D523A2">
              <w:rPr>
                <w:rFonts w:ascii="Calibri" w:hAnsi="Calibri" w:cs="Calibri"/>
                <w:sz w:val="24"/>
                <w:szCs w:val="24"/>
              </w:rPr>
              <w:t>Particular attention</w:t>
            </w:r>
            <w:proofErr w:type="gramEnd"/>
            <w:r w:rsidRPr="00D523A2">
              <w:rPr>
                <w:rFonts w:ascii="Calibri" w:hAnsi="Calibri" w:cs="Calibri"/>
                <w:sz w:val="24"/>
                <w:szCs w:val="24"/>
              </w:rPr>
              <w:t xml:space="preserve"> will be given to the challenge of assessing a child who was simultaneously vulnerable and presenting potential risks to himself and others. This tension became central to my analysis because focusing only on Child </w:t>
            </w:r>
            <w:r>
              <w:rPr>
                <w:rFonts w:ascii="Calibri" w:hAnsi="Calibri" w:cs="Calibri"/>
                <w:sz w:val="24"/>
                <w:szCs w:val="24"/>
              </w:rPr>
              <w:t>2</w:t>
            </w:r>
            <w:r w:rsidRPr="00D523A2">
              <w:rPr>
                <w:rFonts w:ascii="Calibri" w:hAnsi="Calibri" w:cs="Calibri"/>
                <w:sz w:val="24"/>
                <w:szCs w:val="24"/>
              </w:rPr>
              <w:t>'s behaviour risked overlooking the experiences and unmet needs that may have contributed to it, whilst focusing only on his vulnerability risked minimising legitimate concerns about harm to others.</w:t>
            </w:r>
          </w:p>
          <w:p w14:paraId="38E3B522" w14:textId="77777777" w:rsidR="00B91868" w:rsidRPr="00D523A2" w:rsidRDefault="00B91868" w:rsidP="00B91868">
            <w:pPr>
              <w:jc w:val="both"/>
              <w:rPr>
                <w:rFonts w:ascii="Calibri" w:hAnsi="Calibri" w:cs="Calibri"/>
                <w:sz w:val="24"/>
                <w:szCs w:val="24"/>
              </w:rPr>
            </w:pPr>
          </w:p>
          <w:p w14:paraId="12A8AC13"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In accordance with Social Care </w:t>
            </w:r>
            <w:proofErr w:type="spellStart"/>
            <w:r w:rsidRPr="00D523A2">
              <w:rPr>
                <w:rFonts w:ascii="Calibri" w:hAnsi="Calibri" w:cs="Calibri"/>
                <w:sz w:val="24"/>
                <w:szCs w:val="24"/>
              </w:rPr>
              <w:t>Wales'</w:t>
            </w:r>
            <w:proofErr w:type="spellEnd"/>
            <w:r w:rsidRPr="00D523A2">
              <w:rPr>
                <w:rFonts w:ascii="Calibri" w:hAnsi="Calibri" w:cs="Calibri"/>
                <w:sz w:val="24"/>
                <w:szCs w:val="24"/>
              </w:rPr>
              <w:t xml:space="preserve"> Code of Professional Practice and the British Association of Social Workers (BASW) Code of Ethics, identifying information has been anonymised to protect confidentiality (BASW, 2021). Child </w:t>
            </w:r>
            <w:r>
              <w:rPr>
                <w:rFonts w:ascii="Calibri" w:hAnsi="Calibri" w:cs="Calibri"/>
                <w:sz w:val="24"/>
                <w:szCs w:val="24"/>
              </w:rPr>
              <w:t>2</w:t>
            </w:r>
            <w:r w:rsidRPr="00D523A2">
              <w:rPr>
                <w:rFonts w:ascii="Calibri" w:hAnsi="Calibri" w:cs="Calibri"/>
                <w:sz w:val="24"/>
                <w:szCs w:val="24"/>
              </w:rPr>
              <w:t xml:space="preserve"> is a 13-year-old Welsh male with a diagnosis of </w:t>
            </w:r>
            <w:proofErr w:type="gramStart"/>
            <w:r w:rsidRPr="00D523A2">
              <w:rPr>
                <w:rFonts w:ascii="Calibri" w:hAnsi="Calibri" w:cs="Calibri"/>
                <w:sz w:val="24"/>
                <w:szCs w:val="24"/>
              </w:rPr>
              <w:t>Autism Spectrum Disorder</w:t>
            </w:r>
            <w:proofErr w:type="gramEnd"/>
            <w:r w:rsidRPr="00D523A2">
              <w:rPr>
                <w:rFonts w:ascii="Calibri" w:hAnsi="Calibri" w:cs="Calibri"/>
                <w:sz w:val="24"/>
                <w:szCs w:val="24"/>
              </w:rPr>
              <w:t xml:space="preserve"> (ASD), living in a rural area of Wales. At the time of the assessment, he was a looked after child and known to Children's Services. Following </w:t>
            </w:r>
            <w:proofErr w:type="gramStart"/>
            <w:r w:rsidRPr="00D523A2">
              <w:rPr>
                <w:rFonts w:ascii="Calibri" w:hAnsi="Calibri" w:cs="Calibri"/>
                <w:sz w:val="24"/>
                <w:szCs w:val="24"/>
              </w:rPr>
              <w:t>a number of</w:t>
            </w:r>
            <w:proofErr w:type="gramEnd"/>
            <w:r w:rsidRPr="00D523A2">
              <w:rPr>
                <w:rFonts w:ascii="Calibri" w:hAnsi="Calibri" w:cs="Calibri"/>
                <w:sz w:val="24"/>
                <w:szCs w:val="24"/>
              </w:rPr>
              <w:t xml:space="preserve"> Direct to Referral contacts concerning his welfare, a multi-agency strategy discussion was convened under Section 47 of the Children Act 1989. It was agreed that a Child and Young Person Assessment was required to identify risk, strengths, protective factors, needs, support networks and appropriate safeguarding interventions.</w:t>
            </w:r>
          </w:p>
          <w:p w14:paraId="6BDE1CC2" w14:textId="77777777" w:rsidR="00B91868" w:rsidRPr="00D523A2" w:rsidRDefault="00B91868" w:rsidP="00B91868">
            <w:pPr>
              <w:jc w:val="both"/>
              <w:rPr>
                <w:rFonts w:ascii="Calibri" w:hAnsi="Calibri" w:cs="Calibri"/>
                <w:sz w:val="24"/>
                <w:szCs w:val="24"/>
              </w:rPr>
            </w:pPr>
          </w:p>
          <w:p w14:paraId="43021FBC"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Schön's (1983) theory of reflective practice will be used throughout. Schön distinguishes reflection-in-action, where practitioners think critically and adapt whilst intervening, from reflection-on-action, where practice is reviewed afterwards to identify learning. This was particularly relevant because the assessment did not involve a single, fixed risk. Information developed over time and different </w:t>
            </w:r>
            <w:r w:rsidRPr="00D523A2">
              <w:rPr>
                <w:rFonts w:ascii="Calibri" w:hAnsi="Calibri" w:cs="Calibri"/>
                <w:sz w:val="24"/>
                <w:szCs w:val="24"/>
              </w:rPr>
              <w:lastRenderedPageBreak/>
              <w:t>professionals interpreted the same behaviours in different ways. I therefore had to tolerate uncertainty, test competing explanations and remain willing to revise my judgement rather than seeking premature certainty.</w:t>
            </w:r>
          </w:p>
          <w:p w14:paraId="43884072" w14:textId="77777777" w:rsidR="00B91868" w:rsidRPr="00D523A2" w:rsidRDefault="00B91868" w:rsidP="00B91868">
            <w:pPr>
              <w:jc w:val="both"/>
              <w:rPr>
                <w:rFonts w:ascii="Calibri" w:hAnsi="Calibri" w:cs="Calibri"/>
                <w:sz w:val="24"/>
                <w:szCs w:val="24"/>
              </w:rPr>
            </w:pPr>
          </w:p>
          <w:p w14:paraId="5D1D2463"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The assessment followed concerns about bullying within Child </w:t>
            </w:r>
            <w:r>
              <w:rPr>
                <w:rFonts w:ascii="Calibri" w:hAnsi="Calibri" w:cs="Calibri"/>
                <w:sz w:val="24"/>
                <w:szCs w:val="24"/>
              </w:rPr>
              <w:t>2</w:t>
            </w:r>
            <w:r w:rsidRPr="00D523A2">
              <w:rPr>
                <w:rFonts w:ascii="Calibri" w:hAnsi="Calibri" w:cs="Calibri"/>
                <w:sz w:val="24"/>
                <w:szCs w:val="24"/>
              </w:rPr>
              <w:t xml:space="preserve">'s community, association with another vulnerable young person, shoplifting, threats towards other children, self-harm, deteriorating mental health, aggression towards foster carers and property damage. Initially, these behaviours created an understandable focus on risk. However, through reflection-in-action I became concerned that a behaviour-led assessment could position Child </w:t>
            </w:r>
            <w:r>
              <w:rPr>
                <w:rFonts w:ascii="Calibri" w:hAnsi="Calibri" w:cs="Calibri"/>
                <w:sz w:val="24"/>
                <w:szCs w:val="24"/>
              </w:rPr>
              <w:t>2</w:t>
            </w:r>
            <w:r w:rsidRPr="00D523A2">
              <w:rPr>
                <w:rFonts w:ascii="Calibri" w:hAnsi="Calibri" w:cs="Calibri"/>
                <w:sz w:val="24"/>
                <w:szCs w:val="24"/>
              </w:rPr>
              <w:t xml:space="preserve"> primarily as a problem to be managed. The Social Services and Well-being (Wales) Act 2014 emphasises person-centred and strengths-based practice, requiring consideration of a person's needs, circumstances and desired outcomes. This prompted me to ask not only what Child </w:t>
            </w:r>
            <w:r>
              <w:rPr>
                <w:rFonts w:ascii="Calibri" w:hAnsi="Calibri" w:cs="Calibri"/>
                <w:sz w:val="24"/>
                <w:szCs w:val="24"/>
              </w:rPr>
              <w:t>2</w:t>
            </w:r>
            <w:r w:rsidRPr="00D523A2">
              <w:rPr>
                <w:rFonts w:ascii="Calibri" w:hAnsi="Calibri" w:cs="Calibri"/>
                <w:sz w:val="24"/>
                <w:szCs w:val="24"/>
              </w:rPr>
              <w:t xml:space="preserve"> was doing, but what his behaviour might be communicating and what was happening around him.</w:t>
            </w:r>
          </w:p>
          <w:p w14:paraId="4209D50A" w14:textId="77777777" w:rsidR="00B91868" w:rsidRPr="00D523A2" w:rsidRDefault="00B91868" w:rsidP="00B91868">
            <w:pPr>
              <w:jc w:val="both"/>
              <w:rPr>
                <w:rFonts w:ascii="Calibri" w:hAnsi="Calibri" w:cs="Calibri"/>
                <w:sz w:val="24"/>
                <w:szCs w:val="24"/>
              </w:rPr>
            </w:pPr>
          </w:p>
          <w:p w14:paraId="0E3EA9C4"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A strengths-based assessment was important in resisting an exclusively deficit-focused narrative. Child </w:t>
            </w:r>
            <w:r>
              <w:rPr>
                <w:rFonts w:ascii="Calibri" w:hAnsi="Calibri" w:cs="Calibri"/>
                <w:sz w:val="24"/>
                <w:szCs w:val="24"/>
              </w:rPr>
              <w:t>2</w:t>
            </w:r>
            <w:r w:rsidRPr="00D523A2">
              <w:rPr>
                <w:rFonts w:ascii="Calibri" w:hAnsi="Calibri" w:cs="Calibri"/>
                <w:sz w:val="24"/>
                <w:szCs w:val="24"/>
              </w:rPr>
              <w:t xml:space="preserve"> enjoyed aspects of school and had positive relationships with staff who provided one-to-one support. He could engage well with professionals when he felt safe and understood, and his foster carers remained committed despite significant pressure within the placement. When emotionally regulated he was described as kind, polite, thoughtful and caring, and he could demonstrate insight into some of the difficulties he experienced. </w:t>
            </w:r>
            <w:proofErr w:type="spellStart"/>
            <w:r w:rsidRPr="00D523A2">
              <w:rPr>
                <w:rFonts w:ascii="Calibri" w:hAnsi="Calibri" w:cs="Calibri"/>
                <w:sz w:val="24"/>
                <w:szCs w:val="24"/>
              </w:rPr>
              <w:t>Saleebey</w:t>
            </w:r>
            <w:proofErr w:type="spellEnd"/>
            <w:r w:rsidRPr="00D523A2">
              <w:rPr>
                <w:rFonts w:ascii="Calibri" w:hAnsi="Calibri" w:cs="Calibri"/>
                <w:sz w:val="24"/>
                <w:szCs w:val="24"/>
              </w:rPr>
              <w:t xml:space="preserve"> (2013) argues that strengths-based practice builds upon existing resources and resilience rather than focusing solely on problems. Reflecting on this, identifying strengths did not mean minimising risk; it produced a more balanced formulation from which realistic intervention could be planned.</w:t>
            </w:r>
          </w:p>
          <w:p w14:paraId="15038279" w14:textId="77777777" w:rsidR="00B91868" w:rsidRPr="00D523A2" w:rsidRDefault="00B91868" w:rsidP="00B91868">
            <w:pPr>
              <w:jc w:val="both"/>
              <w:rPr>
                <w:rFonts w:ascii="Calibri" w:hAnsi="Calibri" w:cs="Calibri"/>
                <w:sz w:val="24"/>
                <w:szCs w:val="24"/>
              </w:rPr>
            </w:pPr>
          </w:p>
          <w:p w14:paraId="42B10D43"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Maslow's Hierarchy of Needs (1943) initially provided a framework for considering whether Child </w:t>
            </w:r>
            <w:r>
              <w:rPr>
                <w:rFonts w:ascii="Calibri" w:hAnsi="Calibri" w:cs="Calibri"/>
                <w:sz w:val="24"/>
                <w:szCs w:val="24"/>
              </w:rPr>
              <w:t>2</w:t>
            </w:r>
            <w:r w:rsidRPr="00D523A2">
              <w:rPr>
                <w:rFonts w:ascii="Calibri" w:hAnsi="Calibri" w:cs="Calibri"/>
                <w:sz w:val="24"/>
                <w:szCs w:val="24"/>
              </w:rPr>
              <w:t xml:space="preserve">'s physical, emotional and social needs were being met. Although its linear assumptions have been criticised, the concepts of safety and belonging were useful because Child </w:t>
            </w:r>
            <w:r>
              <w:rPr>
                <w:rFonts w:ascii="Calibri" w:hAnsi="Calibri" w:cs="Calibri"/>
                <w:sz w:val="24"/>
                <w:szCs w:val="24"/>
              </w:rPr>
              <w:t>2</w:t>
            </w:r>
            <w:r w:rsidRPr="00D523A2">
              <w:rPr>
                <w:rFonts w:ascii="Calibri" w:hAnsi="Calibri" w:cs="Calibri"/>
                <w:sz w:val="24"/>
                <w:szCs w:val="24"/>
              </w:rPr>
              <w:t xml:space="preserve"> described bullying, isolation and difficulty sustaining positive peer relationships. Research suggests autistic children are more likely than neurotypical peers to experience bullying, victimisation and social exclusion (Humphrey and Hebron, 2015). This evidence challenged any assumption that his aggression or threats could be understood simply as deliberate defiance. It did not remove his responsibility for behaviour, but it required me to consider the context in which that behaviour developed.</w:t>
            </w:r>
          </w:p>
          <w:p w14:paraId="1D568AC0" w14:textId="77777777" w:rsidR="00B91868" w:rsidRPr="00D523A2" w:rsidRDefault="00B91868" w:rsidP="00B91868">
            <w:pPr>
              <w:jc w:val="both"/>
              <w:rPr>
                <w:rFonts w:ascii="Calibri" w:hAnsi="Calibri" w:cs="Calibri"/>
                <w:sz w:val="24"/>
                <w:szCs w:val="24"/>
              </w:rPr>
            </w:pPr>
          </w:p>
          <w:p w14:paraId="1C159F33"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Bronfenbrenner's (1979) Ecological Systems Theory strengthened this analysis because it moved my attention away from locating the difficulty solely within Child </w:t>
            </w:r>
            <w:r>
              <w:rPr>
                <w:rFonts w:ascii="Calibri" w:hAnsi="Calibri" w:cs="Calibri"/>
                <w:sz w:val="24"/>
                <w:szCs w:val="24"/>
              </w:rPr>
              <w:t>2</w:t>
            </w:r>
            <w:r w:rsidRPr="00D523A2">
              <w:rPr>
                <w:rFonts w:ascii="Calibri" w:hAnsi="Calibri" w:cs="Calibri"/>
                <w:sz w:val="24"/>
                <w:szCs w:val="24"/>
              </w:rPr>
              <w:t xml:space="preserve">. His foster placement, school, community, peer relationships, autism, emotional wellbeing and looked after status interacted with one another. Bullying in the community appeared to contribute to distress, which in turn affected his behaviour at home and school. This ecological perspective helped me recognise that reducing risk required more than attempting to change Child </w:t>
            </w:r>
            <w:r>
              <w:rPr>
                <w:rFonts w:ascii="Calibri" w:hAnsi="Calibri" w:cs="Calibri"/>
                <w:sz w:val="24"/>
                <w:szCs w:val="24"/>
              </w:rPr>
              <w:t>2</w:t>
            </w:r>
            <w:r w:rsidRPr="00D523A2">
              <w:rPr>
                <w:rFonts w:ascii="Calibri" w:hAnsi="Calibri" w:cs="Calibri"/>
                <w:sz w:val="24"/>
                <w:szCs w:val="24"/>
              </w:rPr>
              <w:t>. Intervention also needed to consider the environments and relationships surrounding him.</w:t>
            </w:r>
          </w:p>
          <w:p w14:paraId="04892AE4" w14:textId="77777777" w:rsidR="00B91868" w:rsidRPr="00D523A2" w:rsidRDefault="00B91868" w:rsidP="00B91868">
            <w:pPr>
              <w:jc w:val="both"/>
              <w:rPr>
                <w:rFonts w:ascii="Calibri" w:hAnsi="Calibri" w:cs="Calibri"/>
                <w:sz w:val="24"/>
                <w:szCs w:val="24"/>
              </w:rPr>
            </w:pPr>
          </w:p>
          <w:p w14:paraId="1D3F2B9F"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The distinction between risk factors and causative factors became important. Aggression, threats and self-harm were relevant indicators for safeguarding, but their presence did not establish why the behaviours were occurring. Analysis required me to connect information rather than merely list it. For </w:t>
            </w:r>
            <w:r w:rsidRPr="00D523A2">
              <w:rPr>
                <w:rFonts w:ascii="Calibri" w:hAnsi="Calibri" w:cs="Calibri"/>
                <w:sz w:val="24"/>
                <w:szCs w:val="24"/>
              </w:rPr>
              <w:lastRenderedPageBreak/>
              <w:t xml:space="preserve">example, bullying and rejection could increase emotional distress; distress could affect regulation; placement pressures could then intensify conflict at home. This did not create a simple causal chain, but it helped me identify patterns and test whether proposed interventions addressed underlying needs as well as visible behaviour. Social Care Wales (2022) describes analysis in assessment as moving beyond information gathering to evaluate significance, risk, need and intervention. I found this distinction useful because a comprehensive chronology alone would not have answered the central safeguarding question of what the information meant for Child </w:t>
            </w:r>
            <w:r>
              <w:rPr>
                <w:rFonts w:ascii="Calibri" w:hAnsi="Calibri" w:cs="Calibri"/>
                <w:sz w:val="24"/>
                <w:szCs w:val="24"/>
              </w:rPr>
              <w:t>2</w:t>
            </w:r>
            <w:r w:rsidRPr="00D523A2">
              <w:rPr>
                <w:rFonts w:ascii="Calibri" w:hAnsi="Calibri" w:cs="Calibri"/>
                <w:sz w:val="24"/>
                <w:szCs w:val="24"/>
              </w:rPr>
              <w:t xml:space="preserve"> and others.</w:t>
            </w:r>
          </w:p>
          <w:p w14:paraId="1B792E7B" w14:textId="77777777" w:rsidR="00B91868" w:rsidRPr="00D523A2" w:rsidRDefault="00B91868" w:rsidP="00B91868">
            <w:pPr>
              <w:jc w:val="both"/>
              <w:rPr>
                <w:rFonts w:ascii="Calibri" w:hAnsi="Calibri" w:cs="Calibri"/>
                <w:sz w:val="24"/>
                <w:szCs w:val="24"/>
              </w:rPr>
            </w:pPr>
          </w:p>
          <w:p w14:paraId="12F8F59C"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This connected with trauma-informed practice, which emphasises understanding what has happened to a child rather than viewing behaviour only as a problem (Bath, 2008). Trevithick (2012) similarly identifies empathy as central to understanding lived experience whilst maintaining professional objectivity. I began to consider whether behaviours described as challenging could represent distress, fear, rejection or unmet need. However, trauma-informed understanding also required caution: explaining behaviour is not the same as excusing it. A key professional task was therefore to hold Child </w:t>
            </w:r>
            <w:r>
              <w:rPr>
                <w:rFonts w:ascii="Calibri" w:hAnsi="Calibri" w:cs="Calibri"/>
                <w:sz w:val="24"/>
                <w:szCs w:val="24"/>
              </w:rPr>
              <w:t>2</w:t>
            </w:r>
            <w:r w:rsidRPr="00D523A2">
              <w:rPr>
                <w:rFonts w:ascii="Calibri" w:hAnsi="Calibri" w:cs="Calibri"/>
                <w:sz w:val="24"/>
                <w:szCs w:val="24"/>
              </w:rPr>
              <w:t>'s vulnerability alongside the possible impact of his behaviour on others.</w:t>
            </w:r>
          </w:p>
          <w:p w14:paraId="73F31BBD" w14:textId="77777777" w:rsidR="00B91868" w:rsidRPr="00D523A2" w:rsidRDefault="00B91868" w:rsidP="00B91868">
            <w:pPr>
              <w:jc w:val="both"/>
              <w:rPr>
                <w:rFonts w:ascii="Calibri" w:hAnsi="Calibri" w:cs="Calibri"/>
                <w:sz w:val="24"/>
                <w:szCs w:val="24"/>
              </w:rPr>
            </w:pPr>
          </w:p>
          <w:p w14:paraId="507C1918"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Ensuring Child </w:t>
            </w:r>
            <w:r>
              <w:rPr>
                <w:rFonts w:ascii="Calibri" w:hAnsi="Calibri" w:cs="Calibri"/>
                <w:sz w:val="24"/>
                <w:szCs w:val="24"/>
              </w:rPr>
              <w:t>2</w:t>
            </w:r>
            <w:r w:rsidRPr="00D523A2">
              <w:rPr>
                <w:rFonts w:ascii="Calibri" w:hAnsi="Calibri" w:cs="Calibri"/>
                <w:sz w:val="24"/>
                <w:szCs w:val="24"/>
              </w:rPr>
              <w:t>'s voice was central was consistent with the Social Services and Well-being (Wales) Act 2014 and Article 12 of the United Nations Convention on the Rights of the Child (UNCRC). I arranged direct work and adapted my communication in response to his ASD. Research indicates that autistic children may communicate emotions and experiences differently and may benefit from alternative ways of expressing themselves (</w:t>
            </w:r>
            <w:proofErr w:type="spellStart"/>
            <w:r w:rsidRPr="00D523A2">
              <w:rPr>
                <w:rFonts w:ascii="Calibri" w:hAnsi="Calibri" w:cs="Calibri"/>
                <w:sz w:val="24"/>
                <w:szCs w:val="24"/>
              </w:rPr>
              <w:t>Autistica</w:t>
            </w:r>
            <w:proofErr w:type="spellEnd"/>
            <w:r w:rsidRPr="00D523A2">
              <w:rPr>
                <w:rFonts w:ascii="Calibri" w:hAnsi="Calibri" w:cs="Calibri"/>
                <w:sz w:val="24"/>
                <w:szCs w:val="24"/>
              </w:rPr>
              <w:t>, 2023). I used principles of PACE - Playfulness, Acceptance, Curiosity and Empathy - developed by Hughes (2017) to support engagement and reduce the sense that the session was purely investigative.</w:t>
            </w:r>
          </w:p>
          <w:p w14:paraId="43DB9C3D" w14:textId="77777777" w:rsidR="00B91868" w:rsidRPr="00D523A2" w:rsidRDefault="00B91868" w:rsidP="00B91868">
            <w:pPr>
              <w:jc w:val="both"/>
              <w:rPr>
                <w:rFonts w:ascii="Calibri" w:hAnsi="Calibri" w:cs="Calibri"/>
                <w:sz w:val="24"/>
                <w:szCs w:val="24"/>
              </w:rPr>
            </w:pPr>
          </w:p>
          <w:p w14:paraId="5B05A6ED"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I also had to reflect on my own power within that relationship. As a looked after child with considerable experience of statutory services, Child </w:t>
            </w:r>
            <w:r>
              <w:rPr>
                <w:rFonts w:ascii="Calibri" w:hAnsi="Calibri" w:cs="Calibri"/>
                <w:sz w:val="24"/>
                <w:szCs w:val="24"/>
              </w:rPr>
              <w:t>2</w:t>
            </w:r>
            <w:r w:rsidRPr="00D523A2">
              <w:rPr>
                <w:rFonts w:ascii="Calibri" w:hAnsi="Calibri" w:cs="Calibri"/>
                <w:sz w:val="24"/>
                <w:szCs w:val="24"/>
              </w:rPr>
              <w:t xml:space="preserve"> may not automatically have experienced a social worker as a safe or neutral person. Previous decisions made by professionals could affect his willingness to trust me or disclose information. Therefore, stating that his voice was 'central' was not sufficient in itself; I needed to consider the conditions under which that voice was being sought. This made consistency, transparency and curiosity particularly important and reminded me that participation can be constrained by professional power even when practitioners intend to work collaboratively.</w:t>
            </w:r>
          </w:p>
          <w:p w14:paraId="02E1B8FA" w14:textId="77777777" w:rsidR="00B91868" w:rsidRPr="00D523A2" w:rsidRDefault="00B91868" w:rsidP="00B91868">
            <w:pPr>
              <w:jc w:val="both"/>
              <w:rPr>
                <w:rFonts w:ascii="Calibri" w:hAnsi="Calibri" w:cs="Calibri"/>
                <w:sz w:val="24"/>
                <w:szCs w:val="24"/>
              </w:rPr>
            </w:pPr>
          </w:p>
          <w:p w14:paraId="2882115C"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During direct work Child </w:t>
            </w:r>
            <w:r>
              <w:rPr>
                <w:rFonts w:ascii="Calibri" w:hAnsi="Calibri" w:cs="Calibri"/>
                <w:sz w:val="24"/>
                <w:szCs w:val="24"/>
              </w:rPr>
              <w:t>2</w:t>
            </w:r>
            <w:r w:rsidRPr="00D523A2">
              <w:rPr>
                <w:rFonts w:ascii="Calibri" w:hAnsi="Calibri" w:cs="Calibri"/>
                <w:sz w:val="24"/>
                <w:szCs w:val="24"/>
              </w:rPr>
              <w:t xml:space="preserve"> described feeling targeted, angry and isolated and shared graphic drawings depicting violent themes and distressing imagery. My initial professional response was to consider whether these drawings indicated a risk of harm to others. Through reflection-in-action, however, I recognised that relying on the content alone would be an assumption. Malchiodi (2020) suggests creative expression can provide an important means of communication for children who struggle to verbalise thoughts and feelings. I therefore explored whether the drawings might communicate distress, powerlessness or victimisation as well as possible harmful ideation.</w:t>
            </w:r>
          </w:p>
          <w:p w14:paraId="20E0B54B" w14:textId="77777777" w:rsidR="00B91868" w:rsidRPr="00D523A2" w:rsidRDefault="00B91868" w:rsidP="00B91868">
            <w:pPr>
              <w:jc w:val="both"/>
              <w:rPr>
                <w:rFonts w:ascii="Calibri" w:hAnsi="Calibri" w:cs="Calibri"/>
                <w:sz w:val="24"/>
                <w:szCs w:val="24"/>
              </w:rPr>
            </w:pPr>
          </w:p>
          <w:p w14:paraId="6797B192"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This changed the balance of my analysis. Concerns about harm to others remained, but Child </w:t>
            </w:r>
            <w:r>
              <w:rPr>
                <w:rFonts w:ascii="Calibri" w:hAnsi="Calibri" w:cs="Calibri"/>
                <w:sz w:val="24"/>
                <w:szCs w:val="24"/>
              </w:rPr>
              <w:t>2</w:t>
            </w:r>
            <w:r w:rsidRPr="00D523A2">
              <w:rPr>
                <w:rFonts w:ascii="Calibri" w:hAnsi="Calibri" w:cs="Calibri"/>
                <w:sz w:val="24"/>
                <w:szCs w:val="24"/>
              </w:rPr>
              <w:t xml:space="preserve">'s self-harm, isolation, emotional dysregulation and graphic imagery also suggested significant psychological distress. The case therefore resisted a simple classification of Child </w:t>
            </w:r>
            <w:r>
              <w:rPr>
                <w:rFonts w:ascii="Calibri" w:hAnsi="Calibri" w:cs="Calibri"/>
                <w:sz w:val="24"/>
                <w:szCs w:val="24"/>
              </w:rPr>
              <w:t>2</w:t>
            </w:r>
            <w:r w:rsidRPr="00D523A2">
              <w:rPr>
                <w:rFonts w:ascii="Calibri" w:hAnsi="Calibri" w:cs="Calibri"/>
                <w:sz w:val="24"/>
                <w:szCs w:val="24"/>
              </w:rPr>
              <w:t xml:space="preserve"> as either 'at risk' or 'a risk'. </w:t>
            </w:r>
            <w:r w:rsidRPr="00D523A2">
              <w:rPr>
                <w:rFonts w:ascii="Calibri" w:hAnsi="Calibri" w:cs="Calibri"/>
                <w:sz w:val="24"/>
                <w:szCs w:val="24"/>
              </w:rPr>
              <w:lastRenderedPageBreak/>
              <w:t>Effective safeguarding required both possibilities to be considered at the same time. This became one of the most important learning points from the assessment because risk management that ignored his vulnerability could become punitive, whilst an approach focused solely on vulnerability could fail to protect other children.</w:t>
            </w:r>
          </w:p>
          <w:p w14:paraId="41841823" w14:textId="77777777" w:rsidR="00B91868" w:rsidRPr="00D523A2" w:rsidRDefault="00B91868" w:rsidP="00B91868">
            <w:pPr>
              <w:jc w:val="both"/>
              <w:rPr>
                <w:rFonts w:ascii="Calibri" w:hAnsi="Calibri" w:cs="Calibri"/>
                <w:sz w:val="24"/>
                <w:szCs w:val="24"/>
              </w:rPr>
            </w:pPr>
          </w:p>
          <w:p w14:paraId="039ED85A"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The direct work also reminded me that communication should not be interpreted only through spoken language. Child </w:t>
            </w:r>
            <w:r>
              <w:rPr>
                <w:rFonts w:ascii="Calibri" w:hAnsi="Calibri" w:cs="Calibri"/>
                <w:sz w:val="24"/>
                <w:szCs w:val="24"/>
              </w:rPr>
              <w:t>2</w:t>
            </w:r>
            <w:r w:rsidRPr="00D523A2">
              <w:rPr>
                <w:rFonts w:ascii="Calibri" w:hAnsi="Calibri" w:cs="Calibri"/>
                <w:sz w:val="24"/>
                <w:szCs w:val="24"/>
              </w:rPr>
              <w:t xml:space="preserve">'s willingness to share drawings provided information that might not have emerged through conventional questioning. At the same time, I had to avoid over-interpreting them. The same image could potentially be read as a threat, a representation of fear, an attempt to communicate distress or a combination of these. Professional curiosity therefore involved asking Child </w:t>
            </w:r>
            <w:r>
              <w:rPr>
                <w:rFonts w:ascii="Calibri" w:hAnsi="Calibri" w:cs="Calibri"/>
                <w:sz w:val="24"/>
                <w:szCs w:val="24"/>
              </w:rPr>
              <w:t>2</w:t>
            </w:r>
            <w:r w:rsidRPr="00D523A2">
              <w:rPr>
                <w:rFonts w:ascii="Calibri" w:hAnsi="Calibri" w:cs="Calibri"/>
                <w:sz w:val="24"/>
                <w:szCs w:val="24"/>
              </w:rPr>
              <w:t xml:space="preserve"> about meaning rather than assigning meaning on his behalf. This was a practical example of co-production: his explanation became part of the evidence used to formulate risk, rather than professionals constructing an account solely around him. It also strengthened my appreciation of Article 12 of the UNCRC, because participation is not achieved merely by recording a child's wishes; practitioners must adapt methods so that the child has a realistic opportunity to communicate them.</w:t>
            </w:r>
          </w:p>
          <w:p w14:paraId="7FDE9BCE" w14:textId="77777777" w:rsidR="00B91868" w:rsidRPr="00D523A2" w:rsidRDefault="00B91868" w:rsidP="00B91868">
            <w:pPr>
              <w:jc w:val="both"/>
              <w:rPr>
                <w:rFonts w:ascii="Calibri" w:hAnsi="Calibri" w:cs="Calibri"/>
                <w:sz w:val="24"/>
                <w:szCs w:val="24"/>
              </w:rPr>
            </w:pPr>
          </w:p>
          <w:p w14:paraId="1A0C26FF"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The limits of social work knowledge were also important. Munro (2011) argues that safeguarding requires critical thinking rather than procedural compliance, including recognition of when specialist expertise is needed. I concluded that a specialist forensic CAMHS assessment was appropriate because of concerns around emotional regulation, violent ideation, self-harm, trauma, autism and overall risk presentation. The purpose was not simply to label Child </w:t>
            </w:r>
            <w:r>
              <w:rPr>
                <w:rFonts w:ascii="Calibri" w:hAnsi="Calibri" w:cs="Calibri"/>
                <w:sz w:val="24"/>
                <w:szCs w:val="24"/>
              </w:rPr>
              <w:t>2</w:t>
            </w:r>
            <w:r w:rsidRPr="00D523A2">
              <w:rPr>
                <w:rFonts w:ascii="Calibri" w:hAnsi="Calibri" w:cs="Calibri"/>
                <w:sz w:val="24"/>
                <w:szCs w:val="24"/>
              </w:rPr>
              <w:t xml:space="preserve"> as dangerous, but to gain a more specialist understanding of the psychological factors underlying his presentation and identify appropriate intervention.</w:t>
            </w:r>
          </w:p>
          <w:p w14:paraId="5F40D389" w14:textId="77777777" w:rsidR="00B91868" w:rsidRPr="00D523A2" w:rsidRDefault="00B91868" w:rsidP="00B91868">
            <w:pPr>
              <w:jc w:val="both"/>
              <w:rPr>
                <w:rFonts w:ascii="Calibri" w:hAnsi="Calibri" w:cs="Calibri"/>
                <w:sz w:val="24"/>
                <w:szCs w:val="24"/>
              </w:rPr>
            </w:pPr>
          </w:p>
          <w:p w14:paraId="550012DF"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Multi-agency working was therefore central. Information was gathered from foster carers, school, CAMHS, the fostering agency and Youth Offending Service, and Team Around the Child meetings were used to share information, challenge assumptions and coordinate planning. The Wales Safeguarding Procedures (2019) emphasise that safeguarding is a shared responsibility, while Brandon et al. (2020) identify information-sharing failures as a recurring feature in cases where children experience significant harm. The involvement of several agencies provided a fuller picture than I could have developed alone and enabled foster carers, who were experiencing increasing pressure, to contribute directly to safety planning (Ruch et al., 2018).</w:t>
            </w:r>
          </w:p>
          <w:p w14:paraId="7EE0E89F" w14:textId="77777777" w:rsidR="00B91868" w:rsidRPr="00D523A2" w:rsidRDefault="00B91868" w:rsidP="00B91868">
            <w:pPr>
              <w:jc w:val="both"/>
              <w:rPr>
                <w:rFonts w:ascii="Calibri" w:hAnsi="Calibri" w:cs="Calibri"/>
                <w:sz w:val="24"/>
                <w:szCs w:val="24"/>
              </w:rPr>
            </w:pPr>
          </w:p>
          <w:p w14:paraId="15492662"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However, collaboration did not mean that professional perspectives were equal or that consensus was always desirable. CAMHS understandably gave significant attention to Child </w:t>
            </w:r>
            <w:r>
              <w:rPr>
                <w:rFonts w:ascii="Calibri" w:hAnsi="Calibri" w:cs="Calibri"/>
                <w:sz w:val="24"/>
                <w:szCs w:val="24"/>
              </w:rPr>
              <w:t>2</w:t>
            </w:r>
            <w:r w:rsidRPr="00D523A2">
              <w:rPr>
                <w:rFonts w:ascii="Calibri" w:hAnsi="Calibri" w:cs="Calibri"/>
                <w:sz w:val="24"/>
                <w:szCs w:val="24"/>
              </w:rPr>
              <w:t>'s threats and risk presentation. I became concerned, however, that the meaning of those threats could not be separated from his cognitive profile. His low cognitive ability caused me to question what he genuinely understood about some of the language he used, including his understanding of death and the consequences implied by threats. This did not mean the threats should be dismissed; rather, I questioned whether intention and risk could be assumed to be equivalent to that of a child with a different level of cognitive understanding.</w:t>
            </w:r>
          </w:p>
          <w:p w14:paraId="32523294" w14:textId="77777777" w:rsidR="00B91868" w:rsidRPr="00D523A2" w:rsidRDefault="00B91868" w:rsidP="00B91868">
            <w:pPr>
              <w:jc w:val="both"/>
              <w:rPr>
                <w:rFonts w:ascii="Calibri" w:hAnsi="Calibri" w:cs="Calibri"/>
                <w:sz w:val="24"/>
                <w:szCs w:val="24"/>
              </w:rPr>
            </w:pPr>
          </w:p>
          <w:p w14:paraId="166B1B5B"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This became a significant reflection on professional power. I noticed that specialist clinical opinion could acquire </w:t>
            </w:r>
            <w:proofErr w:type="gramStart"/>
            <w:r w:rsidRPr="00D523A2">
              <w:rPr>
                <w:rFonts w:ascii="Calibri" w:hAnsi="Calibri" w:cs="Calibri"/>
                <w:sz w:val="24"/>
                <w:szCs w:val="24"/>
              </w:rPr>
              <w:t>particular authority</w:t>
            </w:r>
            <w:proofErr w:type="gramEnd"/>
            <w:r w:rsidRPr="00D523A2">
              <w:rPr>
                <w:rFonts w:ascii="Calibri" w:hAnsi="Calibri" w:cs="Calibri"/>
                <w:sz w:val="24"/>
                <w:szCs w:val="24"/>
              </w:rPr>
              <w:t xml:space="preserve"> within multi-agency discussion and that other professionals </w:t>
            </w:r>
            <w:r w:rsidRPr="00D523A2">
              <w:rPr>
                <w:rFonts w:ascii="Calibri" w:hAnsi="Calibri" w:cs="Calibri"/>
                <w:sz w:val="24"/>
                <w:szCs w:val="24"/>
              </w:rPr>
              <w:lastRenderedPageBreak/>
              <w:t xml:space="preserve">sometimes appeared more willing to follow CAMHS recommendations without equivalent challenge. I also recognised my own initial tendency to give their formulation greater weight because of their specialist status. Reflection-in-action required me to distinguish respect for expertise from uncritical acceptance. My role as the assessing social worker was not merely to collect professional opinions, but to analyse them alongside Child </w:t>
            </w:r>
            <w:r>
              <w:rPr>
                <w:rFonts w:ascii="Calibri" w:hAnsi="Calibri" w:cs="Calibri"/>
                <w:sz w:val="24"/>
                <w:szCs w:val="24"/>
              </w:rPr>
              <w:t>2</w:t>
            </w:r>
            <w:r w:rsidRPr="00D523A2">
              <w:rPr>
                <w:rFonts w:ascii="Calibri" w:hAnsi="Calibri" w:cs="Calibri"/>
                <w:sz w:val="24"/>
                <w:szCs w:val="24"/>
              </w:rPr>
              <w:t>'s history, cognitive functioning, relationships, environment and own account. Effective collaboration sometimes required respectful challenge rather than agreement.</w:t>
            </w:r>
          </w:p>
          <w:p w14:paraId="26051F64" w14:textId="77777777" w:rsidR="00B91868" w:rsidRPr="00D523A2" w:rsidRDefault="00B91868" w:rsidP="00B91868">
            <w:pPr>
              <w:jc w:val="both"/>
              <w:rPr>
                <w:rFonts w:ascii="Calibri" w:hAnsi="Calibri" w:cs="Calibri"/>
                <w:sz w:val="24"/>
                <w:szCs w:val="24"/>
              </w:rPr>
            </w:pPr>
          </w:p>
          <w:p w14:paraId="2D92150C"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The TAC process also showed how the same behaviour could be understood differently depending on professional role. Education staff were understandably concerned with behaviour and safety in school, foster carers with aggression and placement stability, mental health professionals with emotional wellbeing, and youth justice colleagues with behaviour that could bring Child </w:t>
            </w:r>
            <w:r>
              <w:rPr>
                <w:rFonts w:ascii="Calibri" w:hAnsi="Calibri" w:cs="Calibri"/>
                <w:sz w:val="24"/>
                <w:szCs w:val="24"/>
              </w:rPr>
              <w:t>2</w:t>
            </w:r>
            <w:r w:rsidRPr="00D523A2">
              <w:rPr>
                <w:rFonts w:ascii="Calibri" w:hAnsi="Calibri" w:cs="Calibri"/>
                <w:sz w:val="24"/>
                <w:szCs w:val="24"/>
              </w:rPr>
              <w:t xml:space="preserve"> into contact with criminal justice services. None of these perspectives was inherently wrong, but each was partial. My role involved synthesising them and identifying where one professional narrative risked dominating. This was particularly important because fragmented interventions could otherwise pull in different directions: a behaviour-management response might increase exclusion, while exclusion could increase isolation and community exposure, potentially worsening the very risks professionals hoped to reduce. Collaborative assessment therefore required attention to how proposed interventions interacted, not just whether each agency had completed its own task.</w:t>
            </w:r>
          </w:p>
          <w:p w14:paraId="583E3F68" w14:textId="77777777" w:rsidR="00B91868" w:rsidRPr="00D523A2" w:rsidRDefault="00B91868" w:rsidP="00B91868">
            <w:pPr>
              <w:jc w:val="both"/>
              <w:rPr>
                <w:rFonts w:ascii="Calibri" w:hAnsi="Calibri" w:cs="Calibri"/>
                <w:sz w:val="24"/>
                <w:szCs w:val="24"/>
              </w:rPr>
            </w:pPr>
          </w:p>
          <w:p w14:paraId="67134EA6"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A similar tension arose when police considered placing warning markers in relation to the property of other children because of concerns about Child </w:t>
            </w:r>
            <w:r>
              <w:rPr>
                <w:rFonts w:ascii="Calibri" w:hAnsi="Calibri" w:cs="Calibri"/>
                <w:sz w:val="24"/>
                <w:szCs w:val="24"/>
              </w:rPr>
              <w:t>2</w:t>
            </w:r>
            <w:r w:rsidRPr="00D523A2">
              <w:rPr>
                <w:rFonts w:ascii="Calibri" w:hAnsi="Calibri" w:cs="Calibri"/>
                <w:sz w:val="24"/>
                <w:szCs w:val="24"/>
              </w:rPr>
              <w:t xml:space="preserve">. Viewed from a narrow public-protection perspective, this appeared to provide a way of managing possible risk. However, I was concerned that if children or families became aware of those markers it could increase hostility towards Child </w:t>
            </w:r>
            <w:r>
              <w:rPr>
                <w:rFonts w:ascii="Calibri" w:hAnsi="Calibri" w:cs="Calibri"/>
                <w:sz w:val="24"/>
                <w:szCs w:val="24"/>
              </w:rPr>
              <w:t>2</w:t>
            </w:r>
            <w:r w:rsidRPr="00D523A2">
              <w:rPr>
                <w:rFonts w:ascii="Calibri" w:hAnsi="Calibri" w:cs="Calibri"/>
                <w:sz w:val="24"/>
                <w:szCs w:val="24"/>
              </w:rPr>
              <w:t xml:space="preserve"> within a community where he was already experiencing bullying and exclusion. This demonstrated how an intervention intended to reduce one risk could inadvertently create another. It required me to consider proportionality and the wider ecological consequences of safeguarding decisions rather than </w:t>
            </w:r>
            <w:proofErr w:type="gramStart"/>
            <w:r w:rsidRPr="00D523A2">
              <w:rPr>
                <w:rFonts w:ascii="Calibri" w:hAnsi="Calibri" w:cs="Calibri"/>
                <w:sz w:val="24"/>
                <w:szCs w:val="24"/>
              </w:rPr>
              <w:t>assuming that</w:t>
            </w:r>
            <w:proofErr w:type="gramEnd"/>
            <w:r w:rsidRPr="00D523A2">
              <w:rPr>
                <w:rFonts w:ascii="Calibri" w:hAnsi="Calibri" w:cs="Calibri"/>
                <w:sz w:val="24"/>
                <w:szCs w:val="24"/>
              </w:rPr>
              <w:t xml:space="preserve"> an immediate risk-management action would necessarily create a safer overall outcome.</w:t>
            </w:r>
          </w:p>
          <w:p w14:paraId="6ABD1649" w14:textId="77777777" w:rsidR="00B91868" w:rsidRPr="00D523A2" w:rsidRDefault="00B91868" w:rsidP="00B91868">
            <w:pPr>
              <w:jc w:val="both"/>
              <w:rPr>
                <w:rFonts w:ascii="Calibri" w:hAnsi="Calibri" w:cs="Calibri"/>
                <w:sz w:val="24"/>
                <w:szCs w:val="24"/>
              </w:rPr>
            </w:pPr>
          </w:p>
          <w:p w14:paraId="730CE281"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CAMHS also used medication as part of managing Child </w:t>
            </w:r>
            <w:r>
              <w:rPr>
                <w:rFonts w:ascii="Calibri" w:hAnsi="Calibri" w:cs="Calibri"/>
                <w:sz w:val="24"/>
                <w:szCs w:val="24"/>
              </w:rPr>
              <w:t>2</w:t>
            </w:r>
            <w:r w:rsidRPr="00D523A2">
              <w:rPr>
                <w:rFonts w:ascii="Calibri" w:hAnsi="Calibri" w:cs="Calibri"/>
                <w:sz w:val="24"/>
                <w:szCs w:val="24"/>
              </w:rPr>
              <w:t>'s presentation. I recognised that medication could have a role within a specialist treatment plan and may contribute to managing immediate symptoms or risk. At the same time, I became aware of the danger of allowing risk reduction to become the sole measure of success. Medication could not address bullying, social isolation, trauma, cognitive need, placement pressures or the limited opportunities available within his community. This reinforced the value of a holistic social work assessment alongside clinical intervention and reminded me to remain within the limits of my own expertise while still considering how medical intervention fitted within the wider safeguarding plan.</w:t>
            </w:r>
          </w:p>
          <w:p w14:paraId="505A75F5" w14:textId="77777777" w:rsidR="00B91868" w:rsidRPr="00D523A2" w:rsidRDefault="00B91868" w:rsidP="00B91868">
            <w:pPr>
              <w:jc w:val="both"/>
              <w:rPr>
                <w:rFonts w:ascii="Calibri" w:hAnsi="Calibri" w:cs="Calibri"/>
                <w:sz w:val="24"/>
                <w:szCs w:val="24"/>
              </w:rPr>
            </w:pPr>
          </w:p>
          <w:p w14:paraId="396C2506"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The differing professional explanations also raised the risk of diagnostic overshadowing. Some behaviours could be attributed to autism, while others could be understood through trauma, mental health, social adversity or behavioural choice. The National Autistic Society (2023) cautions against explaining behaviour exclusively through a person's diagnosis. I therefore attempted to hold several hypotheses rather than deciding that one explanation accounted for everything. This was consistent </w:t>
            </w:r>
            <w:r w:rsidRPr="00D523A2">
              <w:rPr>
                <w:rFonts w:ascii="Calibri" w:hAnsi="Calibri" w:cs="Calibri"/>
                <w:sz w:val="24"/>
                <w:szCs w:val="24"/>
              </w:rPr>
              <w:lastRenderedPageBreak/>
              <w:t>with Munro's (2011) emphasis on critical thinking and with Schön's reflection-in-action: new information required hypotheses to be revised rather than defended.</w:t>
            </w:r>
          </w:p>
          <w:p w14:paraId="04D53C09" w14:textId="77777777" w:rsidR="00B91868" w:rsidRPr="00D523A2" w:rsidRDefault="00B91868" w:rsidP="00B91868">
            <w:pPr>
              <w:jc w:val="both"/>
              <w:rPr>
                <w:rFonts w:ascii="Calibri" w:hAnsi="Calibri" w:cs="Calibri"/>
                <w:sz w:val="24"/>
                <w:szCs w:val="24"/>
              </w:rPr>
            </w:pPr>
          </w:p>
          <w:p w14:paraId="036CEB7B"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The Welsh context had practical consequences for intervention. Child </w:t>
            </w:r>
            <w:r>
              <w:rPr>
                <w:rFonts w:ascii="Calibri" w:hAnsi="Calibri" w:cs="Calibri"/>
                <w:sz w:val="24"/>
                <w:szCs w:val="24"/>
              </w:rPr>
              <w:t>2</w:t>
            </w:r>
            <w:r w:rsidRPr="00D523A2">
              <w:rPr>
                <w:rFonts w:ascii="Calibri" w:hAnsi="Calibri" w:cs="Calibri"/>
                <w:sz w:val="24"/>
                <w:szCs w:val="24"/>
              </w:rPr>
              <w:t xml:space="preserve"> lived in a rural area where access to specialist and community services was limited. Welsh Government (2023) identifies geographical isolation and service availability as potential barriers for children in rural communities. One outcome identified through assessment was that Child </w:t>
            </w:r>
            <w:r>
              <w:rPr>
                <w:rFonts w:ascii="Calibri" w:hAnsi="Calibri" w:cs="Calibri"/>
                <w:sz w:val="24"/>
                <w:szCs w:val="24"/>
              </w:rPr>
              <w:t>2</w:t>
            </w:r>
            <w:r w:rsidRPr="00D523A2">
              <w:rPr>
                <w:rFonts w:ascii="Calibri" w:hAnsi="Calibri" w:cs="Calibri"/>
                <w:sz w:val="24"/>
                <w:szCs w:val="24"/>
              </w:rPr>
              <w:t xml:space="preserve"> might benefit from a suitable social group to reduce isolation and develop safer peer relationships. In practice, no local provision was available that matched his complex profile while also addressing potential risks to other children. This created a gap between identifying an outcome and being able to deliver it.</w:t>
            </w:r>
          </w:p>
          <w:p w14:paraId="049288BB" w14:textId="77777777" w:rsidR="00B91868" w:rsidRPr="00D523A2" w:rsidRDefault="00B91868" w:rsidP="00B91868">
            <w:pPr>
              <w:jc w:val="both"/>
              <w:rPr>
                <w:rFonts w:ascii="Calibri" w:hAnsi="Calibri" w:cs="Calibri"/>
                <w:sz w:val="24"/>
                <w:szCs w:val="24"/>
              </w:rPr>
            </w:pPr>
          </w:p>
          <w:p w14:paraId="04942682"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Reflecting on this, I questioned the extent to which practice can be described as genuinely person-centred or co-produced when meaningful options are unavailable. The Social Services and Well-being (Wales) Act 2014 promotes wellbeing, voice, choice and collaborative planning, but rural service limitations affected what could realistically be offered. This required professional honesty with Child </w:t>
            </w:r>
            <w:r>
              <w:rPr>
                <w:rFonts w:ascii="Calibri" w:hAnsi="Calibri" w:cs="Calibri"/>
                <w:sz w:val="24"/>
                <w:szCs w:val="24"/>
              </w:rPr>
              <w:t>2</w:t>
            </w:r>
            <w:r w:rsidRPr="00D523A2">
              <w:rPr>
                <w:rFonts w:ascii="Calibri" w:hAnsi="Calibri" w:cs="Calibri"/>
                <w:sz w:val="24"/>
                <w:szCs w:val="24"/>
              </w:rPr>
              <w:t xml:space="preserve"> and his carers rather than presenting unavailable options as meaningful choices. It also highlighted that safeguarding outcomes are shaped not only by individual assessment but by structural and geographical inequalities in service provision.</w:t>
            </w:r>
          </w:p>
          <w:p w14:paraId="42960206" w14:textId="77777777" w:rsidR="00B91868" w:rsidRPr="00D523A2" w:rsidRDefault="00B91868" w:rsidP="00B91868">
            <w:pPr>
              <w:jc w:val="both"/>
              <w:rPr>
                <w:rFonts w:ascii="Calibri" w:hAnsi="Calibri" w:cs="Calibri"/>
                <w:sz w:val="24"/>
                <w:szCs w:val="24"/>
              </w:rPr>
            </w:pPr>
          </w:p>
          <w:p w14:paraId="0FD86DE2"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Another complex decision concerned Child </w:t>
            </w:r>
            <w:r>
              <w:rPr>
                <w:rFonts w:ascii="Calibri" w:hAnsi="Calibri" w:cs="Calibri"/>
                <w:sz w:val="24"/>
                <w:szCs w:val="24"/>
              </w:rPr>
              <w:t>2</w:t>
            </w:r>
            <w:r w:rsidRPr="00D523A2">
              <w:rPr>
                <w:rFonts w:ascii="Calibri" w:hAnsi="Calibri" w:cs="Calibri"/>
                <w:sz w:val="24"/>
                <w:szCs w:val="24"/>
              </w:rPr>
              <w:t>'s access to the local community. Assessment indicated that there were circumstances in which he might be safer if he did not access the community alone, given concerns about bullying, his vulnerability and possible risks to others. However, professional anxiety about safety did not in itself provide authority to restrict his liberty. Without an appropriate legal process and authorisation, such restrictions could simply</w:t>
            </w:r>
            <w:r>
              <w:rPr>
                <w:rFonts w:ascii="Calibri" w:hAnsi="Calibri" w:cs="Calibri"/>
                <w:sz w:val="24"/>
                <w:szCs w:val="24"/>
              </w:rPr>
              <w:t xml:space="preserve"> not</w:t>
            </w:r>
            <w:r w:rsidRPr="00D523A2">
              <w:rPr>
                <w:rFonts w:ascii="Calibri" w:hAnsi="Calibri" w:cs="Calibri"/>
                <w:sz w:val="24"/>
                <w:szCs w:val="24"/>
              </w:rPr>
              <w:t xml:space="preserve"> be imposed. This created a difficult balance between promoting safety and avoiding overly restrictive practice.</w:t>
            </w:r>
          </w:p>
          <w:p w14:paraId="7CFC3870" w14:textId="77777777" w:rsidR="00B91868" w:rsidRPr="00D523A2" w:rsidRDefault="00B91868" w:rsidP="00B91868">
            <w:pPr>
              <w:jc w:val="both"/>
              <w:rPr>
                <w:rFonts w:ascii="Calibri" w:hAnsi="Calibri" w:cs="Calibri"/>
                <w:sz w:val="24"/>
                <w:szCs w:val="24"/>
              </w:rPr>
            </w:pPr>
          </w:p>
          <w:p w14:paraId="730E0982"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This dilemma made me reflect on the power inherent in safeguarding decisions. A restrictive intervention may make professionals feel that risk is better controlled, but the least uncertain option for services is not automatically the least oppressive or most proportionate option for the child. I therefore had to consider Child </w:t>
            </w:r>
            <w:r>
              <w:rPr>
                <w:rFonts w:ascii="Calibri" w:hAnsi="Calibri" w:cs="Calibri"/>
                <w:sz w:val="24"/>
                <w:szCs w:val="24"/>
              </w:rPr>
              <w:t>2</w:t>
            </w:r>
            <w:r w:rsidRPr="00D523A2">
              <w:rPr>
                <w:rFonts w:ascii="Calibri" w:hAnsi="Calibri" w:cs="Calibri"/>
                <w:sz w:val="24"/>
                <w:szCs w:val="24"/>
              </w:rPr>
              <w:t>'s rights and wishes alongside the potential consequences of community access. The issue reinforced that safeguarding is not synonymous with eliminating all risk; professional judgement involves deciding which risks can be reduced, which require specialist or legal intervention, and which uncertainty must be managed through proportionate planning.</w:t>
            </w:r>
          </w:p>
          <w:p w14:paraId="7C8FC4EC" w14:textId="77777777" w:rsidR="00B91868" w:rsidRPr="00D523A2" w:rsidRDefault="00B91868" w:rsidP="00B91868">
            <w:pPr>
              <w:jc w:val="both"/>
              <w:rPr>
                <w:rFonts w:ascii="Calibri" w:hAnsi="Calibri" w:cs="Calibri"/>
                <w:sz w:val="24"/>
                <w:szCs w:val="24"/>
              </w:rPr>
            </w:pPr>
          </w:p>
          <w:p w14:paraId="328285F3"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The difficulty in finding suitable local provision also affected Child </w:t>
            </w:r>
            <w:r>
              <w:rPr>
                <w:rFonts w:ascii="Calibri" w:hAnsi="Calibri" w:cs="Calibri"/>
                <w:sz w:val="24"/>
                <w:szCs w:val="24"/>
              </w:rPr>
              <w:t>2</w:t>
            </w:r>
            <w:r w:rsidRPr="00D523A2">
              <w:rPr>
                <w:rFonts w:ascii="Calibri" w:hAnsi="Calibri" w:cs="Calibri"/>
                <w:sz w:val="24"/>
                <w:szCs w:val="24"/>
              </w:rPr>
              <w:t xml:space="preserve">'s foster carers. They remained an important protective factor, but escalating behaviour and limited respite or community options placed additional pressure on the placement. Relationship-based practice required me to acknowledge their experience without allowing adult anxiety to displace Child </w:t>
            </w:r>
            <w:r>
              <w:rPr>
                <w:rFonts w:ascii="Calibri" w:hAnsi="Calibri" w:cs="Calibri"/>
                <w:sz w:val="24"/>
                <w:szCs w:val="24"/>
              </w:rPr>
              <w:t>2</w:t>
            </w:r>
            <w:r w:rsidRPr="00D523A2">
              <w:rPr>
                <w:rFonts w:ascii="Calibri" w:hAnsi="Calibri" w:cs="Calibri"/>
                <w:sz w:val="24"/>
                <w:szCs w:val="24"/>
              </w:rPr>
              <w:t xml:space="preserve">'s needs. Ruch et al. (2018) emphasise the value of relationships and the knowledge held by those closest to a child. Their observations were therefore an important source of evidence, but, as with professional opinion, they required analysis alongside Child </w:t>
            </w:r>
            <w:r>
              <w:rPr>
                <w:rFonts w:ascii="Calibri" w:hAnsi="Calibri" w:cs="Calibri"/>
                <w:sz w:val="24"/>
                <w:szCs w:val="24"/>
              </w:rPr>
              <w:t>2</w:t>
            </w:r>
            <w:r w:rsidRPr="00D523A2">
              <w:rPr>
                <w:rFonts w:ascii="Calibri" w:hAnsi="Calibri" w:cs="Calibri"/>
                <w:sz w:val="24"/>
                <w:szCs w:val="24"/>
              </w:rPr>
              <w:t xml:space="preserve">'s own account. Maintaining placement stability was not simply an organisational objective; disruption could represent another experience of rejection for Child </w:t>
            </w:r>
            <w:r>
              <w:rPr>
                <w:rFonts w:ascii="Calibri" w:hAnsi="Calibri" w:cs="Calibri"/>
                <w:sz w:val="24"/>
                <w:szCs w:val="24"/>
              </w:rPr>
              <w:t>2</w:t>
            </w:r>
            <w:r w:rsidRPr="00D523A2">
              <w:rPr>
                <w:rFonts w:ascii="Calibri" w:hAnsi="Calibri" w:cs="Calibri"/>
                <w:sz w:val="24"/>
                <w:szCs w:val="24"/>
              </w:rPr>
              <w:t>. This reinforced the need for intervention that supported the carers as part of safeguarding him rather than treating placement difficulties as evidence that he alone needed to change.</w:t>
            </w:r>
          </w:p>
          <w:p w14:paraId="54598AA0" w14:textId="77777777" w:rsidR="00B91868" w:rsidRPr="00D523A2" w:rsidRDefault="00B91868" w:rsidP="00B91868">
            <w:pPr>
              <w:jc w:val="both"/>
              <w:rPr>
                <w:rFonts w:ascii="Calibri" w:hAnsi="Calibri" w:cs="Calibri"/>
                <w:sz w:val="24"/>
                <w:szCs w:val="24"/>
              </w:rPr>
            </w:pPr>
          </w:p>
          <w:p w14:paraId="0A2803AE" w14:textId="77777777" w:rsidR="00B91868" w:rsidRDefault="00B91868" w:rsidP="00B91868">
            <w:pPr>
              <w:jc w:val="both"/>
              <w:rPr>
                <w:rFonts w:ascii="Calibri" w:hAnsi="Calibri" w:cs="Calibri"/>
                <w:sz w:val="24"/>
                <w:szCs w:val="24"/>
              </w:rPr>
            </w:pPr>
            <w:r w:rsidRPr="00D523A2">
              <w:rPr>
                <w:rFonts w:ascii="Calibri" w:hAnsi="Calibri" w:cs="Calibri"/>
                <w:sz w:val="24"/>
                <w:szCs w:val="24"/>
              </w:rPr>
              <w:t>Legislation provided an important framework for these decisions. Section 47 of the Children Act 1989 places duties on local authorities where there is reasonable cause to suspect significant harm, while the Social Services and Well-being (Wales) Act 2014 requires practitioners to promote wellbeing and work collaboratively. The case also demonstrated the relationship between Welsh, UK and international frameworks. Although social care policy has a specifically Welsh context, the Children Act 1989 remains relevant, while the UNCRC provides an international rights framework and has been embedded in Welsh decision-making through the Rights of Children and Young Persons (Wales) Measure 2011. These frameworks required me to consider protection, participation and wellbeing together rather than treating safeguarding only as control of risk.</w:t>
            </w:r>
          </w:p>
          <w:p w14:paraId="3C21DEBC" w14:textId="77777777" w:rsidR="00B91868" w:rsidRDefault="00B91868" w:rsidP="00B91868">
            <w:pPr>
              <w:jc w:val="both"/>
              <w:rPr>
                <w:rFonts w:ascii="Calibri" w:hAnsi="Calibri" w:cs="Calibri"/>
                <w:sz w:val="24"/>
                <w:szCs w:val="24"/>
              </w:rPr>
            </w:pPr>
          </w:p>
          <w:p w14:paraId="7A6AB8CC" w14:textId="77777777" w:rsidR="00B91868" w:rsidRPr="00793DF0" w:rsidRDefault="00B91868" w:rsidP="00B91868">
            <w:pPr>
              <w:jc w:val="both"/>
              <w:rPr>
                <w:rFonts w:ascii="Calibri" w:hAnsi="Calibri" w:cs="Calibri"/>
                <w:sz w:val="24"/>
                <w:szCs w:val="24"/>
              </w:rPr>
            </w:pPr>
            <w:r w:rsidRPr="00793DF0">
              <w:rPr>
                <w:rFonts w:ascii="Calibri" w:hAnsi="Calibri" w:cs="Calibri"/>
                <w:sz w:val="24"/>
                <w:szCs w:val="24"/>
              </w:rPr>
              <w:t xml:space="preserve">In addition, the Human Rights Act 1998 informed my consideration of proportionality throughout the assessment. Article 8 provides the right to respect for private and family life, while Article 5 protects the right to liberty and security. These rights were particularly relevant when considering whether restrictions should be placed upon Child </w:t>
            </w:r>
            <w:r>
              <w:rPr>
                <w:rFonts w:ascii="Calibri" w:hAnsi="Calibri" w:cs="Calibri"/>
                <w:sz w:val="24"/>
                <w:szCs w:val="24"/>
              </w:rPr>
              <w:t>2</w:t>
            </w:r>
            <w:r w:rsidRPr="00793DF0">
              <w:rPr>
                <w:rFonts w:ascii="Calibri" w:hAnsi="Calibri" w:cs="Calibri"/>
                <w:sz w:val="24"/>
                <w:szCs w:val="24"/>
              </w:rPr>
              <w:t xml:space="preserve">'s access to the community. Whilst safeguarding concerns required careful risk assessment, any limitation of his freedom needed to be lawful, necessary and proportionate. The Human Rights Act 1998 therefore reinforced the importance of balancing protection from harm with respect for Child </w:t>
            </w:r>
            <w:r>
              <w:rPr>
                <w:rFonts w:ascii="Calibri" w:hAnsi="Calibri" w:cs="Calibri"/>
                <w:sz w:val="24"/>
                <w:szCs w:val="24"/>
              </w:rPr>
              <w:t>2</w:t>
            </w:r>
            <w:r w:rsidRPr="00793DF0">
              <w:rPr>
                <w:rFonts w:ascii="Calibri" w:hAnsi="Calibri" w:cs="Calibri"/>
                <w:sz w:val="24"/>
                <w:szCs w:val="24"/>
              </w:rPr>
              <w:t>'s rights, autonomy and dignity. It reminded me that safeguarding interventions should be the least restrictive necessary to achieve safety and that professional concerns alone are not sufficient justification for limiting a child's liberty.</w:t>
            </w:r>
          </w:p>
          <w:p w14:paraId="6B405687" w14:textId="77777777" w:rsidR="00B91868" w:rsidRPr="00D523A2" w:rsidRDefault="00B91868" w:rsidP="00B91868">
            <w:pPr>
              <w:jc w:val="both"/>
              <w:rPr>
                <w:rFonts w:ascii="Calibri" w:hAnsi="Calibri" w:cs="Calibri"/>
                <w:sz w:val="24"/>
                <w:szCs w:val="24"/>
              </w:rPr>
            </w:pPr>
          </w:p>
          <w:p w14:paraId="1E4472F4"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Through reflection-on-action, I recognise that one of my strongest learning points concerns uncertainty. At the beginning of the assessment, I was more inclined to seek a clear explanation for Child </w:t>
            </w:r>
            <w:r>
              <w:rPr>
                <w:rFonts w:ascii="Calibri" w:hAnsi="Calibri" w:cs="Calibri"/>
                <w:sz w:val="24"/>
                <w:szCs w:val="24"/>
              </w:rPr>
              <w:t>2</w:t>
            </w:r>
            <w:r w:rsidRPr="00D523A2">
              <w:rPr>
                <w:rFonts w:ascii="Calibri" w:hAnsi="Calibri" w:cs="Calibri"/>
                <w:sz w:val="24"/>
                <w:szCs w:val="24"/>
              </w:rPr>
              <w:t>'s behaviour and a clear level of risk. The assessment demonstrated that such certainty was not available. Autism, cognition, trauma, bullying, social exclusion, mental health and behavioural choice interacted, while different agencies held only parts of the overall picture. My judgement became stronger when I stopped trying to identify one definitive cause and instead considered how different factors could operate simultaneously.</w:t>
            </w:r>
          </w:p>
          <w:p w14:paraId="42FAC27F" w14:textId="77777777" w:rsidR="00B91868" w:rsidRPr="00D523A2" w:rsidRDefault="00B91868" w:rsidP="00B91868">
            <w:pPr>
              <w:jc w:val="both"/>
              <w:rPr>
                <w:rFonts w:ascii="Calibri" w:hAnsi="Calibri" w:cs="Calibri"/>
                <w:sz w:val="24"/>
                <w:szCs w:val="24"/>
              </w:rPr>
            </w:pPr>
          </w:p>
          <w:p w14:paraId="29046365"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I also recognise that professional challenge should have been more explicit earlier in the process. Respect for specialist colleagues initially made me cautious about questioning clinical interpretations, yet the social work contribution was precisely to bring together psychological, developmental, relational and environmental information. In future multi-agency work I would more confidently ask what evidence supports a particular formulation, what alternative explanations have been considered, whose perspective is missing, and what unintended consequences may follow from a proposed intervention. This is not opposition to other professionals; it is part of accountable collaborative practice.</w:t>
            </w:r>
          </w:p>
          <w:p w14:paraId="2865EAB1" w14:textId="77777777" w:rsidR="00B91868" w:rsidRPr="00D523A2" w:rsidRDefault="00B91868" w:rsidP="00B91868">
            <w:pPr>
              <w:jc w:val="both"/>
              <w:rPr>
                <w:rFonts w:ascii="Calibri" w:hAnsi="Calibri" w:cs="Calibri"/>
                <w:sz w:val="24"/>
                <w:szCs w:val="24"/>
              </w:rPr>
            </w:pPr>
          </w:p>
          <w:p w14:paraId="68E94956"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The assessment resulted in recommendations for specialist forensic CAMHS involvement, enhanced educational and mental health support, stronger safety planning and coordinated multi-agency intervention. Not every identified outcome could be achieved because of local service limitations, and risk could not be completely removed. Nevertheless, the assessment moved beyond listing concerns by linking information to intervention and by continually reviewing whether proposed actions were proportionate to Child </w:t>
            </w:r>
            <w:r>
              <w:rPr>
                <w:rFonts w:ascii="Calibri" w:hAnsi="Calibri" w:cs="Calibri"/>
                <w:sz w:val="24"/>
                <w:szCs w:val="24"/>
              </w:rPr>
              <w:t>2</w:t>
            </w:r>
            <w:r w:rsidRPr="00D523A2">
              <w:rPr>
                <w:rFonts w:ascii="Calibri" w:hAnsi="Calibri" w:cs="Calibri"/>
                <w:sz w:val="24"/>
                <w:szCs w:val="24"/>
              </w:rPr>
              <w:t>'s needs and the risks identified.</w:t>
            </w:r>
          </w:p>
          <w:p w14:paraId="58AF5B8E" w14:textId="77777777" w:rsidR="00B91868" w:rsidRPr="00D523A2" w:rsidRDefault="00B91868" w:rsidP="00B91868">
            <w:pPr>
              <w:jc w:val="both"/>
              <w:rPr>
                <w:rFonts w:ascii="Calibri" w:hAnsi="Calibri" w:cs="Calibri"/>
                <w:sz w:val="24"/>
                <w:szCs w:val="24"/>
              </w:rPr>
            </w:pPr>
          </w:p>
          <w:p w14:paraId="5A584554" w14:textId="77777777" w:rsidR="00B91868" w:rsidRDefault="00B91868" w:rsidP="00B91868">
            <w:pPr>
              <w:jc w:val="both"/>
              <w:rPr>
                <w:rFonts w:ascii="Calibri" w:hAnsi="Calibri" w:cs="Calibri"/>
                <w:sz w:val="24"/>
                <w:szCs w:val="24"/>
              </w:rPr>
            </w:pPr>
            <w:r w:rsidRPr="00D523A2">
              <w:rPr>
                <w:rFonts w:ascii="Calibri" w:hAnsi="Calibri" w:cs="Calibri"/>
                <w:sz w:val="24"/>
                <w:szCs w:val="24"/>
              </w:rPr>
              <w:t>Supervision was important in helping me examine the emotional impact of the case and avoid responding defensively to uncertainty. The combination of self-harm, threats, aggression and concern for other children created pressure to identify an intervention that would make everyone safe. On reflection, that expectation was unrealistic. Safeguarding practice can reduce and manage risk but cannot always remove it. Supervision helped me separate the understandable desire for certainty from evidence-based professional judgement and consider whether my own anxiety might make restrictive or professionally authoritative recommendations feel more attractive. This supported a more proportionate approach and reinforced Schön's argument that professional learning develops when practitioners examine not only what they did, but how their assumptions and responses shaped action.</w:t>
            </w:r>
          </w:p>
          <w:p w14:paraId="07689331" w14:textId="77777777" w:rsidR="00B91868" w:rsidRPr="00793DF0" w:rsidRDefault="00B91868" w:rsidP="00B91868">
            <w:pPr>
              <w:jc w:val="both"/>
              <w:rPr>
                <w:rFonts w:ascii="Calibri" w:hAnsi="Calibri" w:cs="Calibri"/>
                <w:sz w:val="24"/>
                <w:szCs w:val="24"/>
              </w:rPr>
            </w:pPr>
            <w:r w:rsidRPr="00793DF0">
              <w:rPr>
                <w:rFonts w:ascii="Calibri" w:hAnsi="Calibri" w:cs="Calibri"/>
                <w:sz w:val="24"/>
                <w:szCs w:val="24"/>
              </w:rPr>
              <w:t xml:space="preserve">Through reflection-on-action, I also considered the usefulness and limitations of the theories that informed my assessment. Bronfenbrenner's (1979) Ecological Systems Theory was particularly valuable because it encouraged me to consider the wider influences affecting Child </w:t>
            </w:r>
            <w:r>
              <w:rPr>
                <w:rFonts w:ascii="Calibri" w:hAnsi="Calibri" w:cs="Calibri"/>
                <w:sz w:val="24"/>
                <w:szCs w:val="24"/>
              </w:rPr>
              <w:t>2</w:t>
            </w:r>
            <w:r w:rsidRPr="00793DF0">
              <w:rPr>
                <w:rFonts w:ascii="Calibri" w:hAnsi="Calibri" w:cs="Calibri"/>
                <w:sz w:val="24"/>
                <w:szCs w:val="24"/>
              </w:rPr>
              <w:t xml:space="preserve">, rather than locating concerns solely within him. Similarly, strengths-based practice helped me maintain a balanced perspective by recognising resilience, positive relationships and protective factors alongside risk. Trauma-informed approaches and PACE supported empathetic engagement and encouraged curiosity about the meaning behind behaviour rather than focusing exclusively on managing presenting concerns. However, I also recognised that no single theory provided a complete explanation of Child </w:t>
            </w:r>
            <w:r>
              <w:rPr>
                <w:rFonts w:ascii="Calibri" w:hAnsi="Calibri" w:cs="Calibri"/>
                <w:sz w:val="24"/>
                <w:szCs w:val="24"/>
              </w:rPr>
              <w:t>2</w:t>
            </w:r>
            <w:r w:rsidRPr="00793DF0">
              <w:rPr>
                <w:rFonts w:ascii="Calibri" w:hAnsi="Calibri" w:cs="Calibri"/>
                <w:sz w:val="24"/>
                <w:szCs w:val="24"/>
              </w:rPr>
              <w:t xml:space="preserve">'s circumstances. For example, while Bronfenbrenner helped explain environmental influences, it did not fully account for individual cognitive functioning or emotional processes. Maslow's Hierarchy of Needs provided a useful framework for considering unmet needs, but its linear structure has been criticised for oversimplifying human development. Reflecting on this has reinforced my understanding that social work assessments are strengthened when multiple theoretical perspectives are used together. Drawing on a range of theories enabled me to develop a more nuanced understanding of Child </w:t>
            </w:r>
            <w:r>
              <w:rPr>
                <w:rFonts w:ascii="Calibri" w:hAnsi="Calibri" w:cs="Calibri"/>
                <w:sz w:val="24"/>
                <w:szCs w:val="24"/>
              </w:rPr>
              <w:t>2</w:t>
            </w:r>
            <w:r w:rsidRPr="00793DF0">
              <w:rPr>
                <w:rFonts w:ascii="Calibri" w:hAnsi="Calibri" w:cs="Calibri"/>
                <w:sz w:val="24"/>
                <w:szCs w:val="24"/>
              </w:rPr>
              <w:t>'s experiences, needs and risks, whilst reducing the likelihood of relying too heavily on one explanation or professional viewpoint. In future practice, I will continue to use theory as a guide to critical thinking rather than as a framework that provides definitive answers.</w:t>
            </w:r>
          </w:p>
          <w:p w14:paraId="51E372F3" w14:textId="77777777" w:rsidR="00B91868" w:rsidRPr="00D523A2" w:rsidRDefault="00B91868" w:rsidP="00B91868">
            <w:pPr>
              <w:jc w:val="both"/>
              <w:rPr>
                <w:rFonts w:ascii="Calibri" w:hAnsi="Calibri" w:cs="Calibri"/>
                <w:sz w:val="24"/>
                <w:szCs w:val="24"/>
              </w:rPr>
            </w:pPr>
          </w:p>
          <w:p w14:paraId="1DBDBE4E" w14:textId="77777777" w:rsidR="00B91868" w:rsidRPr="00D523A2" w:rsidRDefault="00B91868" w:rsidP="00B91868">
            <w:pPr>
              <w:jc w:val="both"/>
              <w:rPr>
                <w:rFonts w:ascii="Calibri" w:hAnsi="Calibri" w:cs="Calibri"/>
                <w:sz w:val="24"/>
                <w:szCs w:val="24"/>
              </w:rPr>
            </w:pPr>
          </w:p>
          <w:p w14:paraId="133A6AA4"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In conclusion, this case changed my understanding of safeguarding as a process of holding competing truths rather than identifying a single source of risk. Child </w:t>
            </w:r>
            <w:r>
              <w:rPr>
                <w:rFonts w:ascii="Calibri" w:hAnsi="Calibri" w:cs="Calibri"/>
                <w:sz w:val="24"/>
                <w:szCs w:val="24"/>
              </w:rPr>
              <w:t>2</w:t>
            </w:r>
            <w:r w:rsidRPr="00D523A2">
              <w:rPr>
                <w:rFonts w:ascii="Calibri" w:hAnsi="Calibri" w:cs="Calibri"/>
                <w:sz w:val="24"/>
                <w:szCs w:val="24"/>
              </w:rPr>
              <w:t xml:space="preserve"> could be vulnerable to bullying, trauma, isolation and unmet need whilst also presenting behaviour that frightened or potentially harmed others. Bronfenbrenner's ecological perspective, strengths-based and trauma-informed practice, PACE and Schön's reflective framework helped me move from a behaviour-focused understanding towards a more holistic analysis without losing sight of public and individual safety.</w:t>
            </w:r>
          </w:p>
          <w:p w14:paraId="4319C0D0" w14:textId="77777777" w:rsidR="00B91868" w:rsidRPr="00D523A2" w:rsidRDefault="00B91868" w:rsidP="00B91868">
            <w:pPr>
              <w:jc w:val="both"/>
              <w:rPr>
                <w:rFonts w:ascii="Calibri" w:hAnsi="Calibri" w:cs="Calibri"/>
                <w:sz w:val="24"/>
                <w:szCs w:val="24"/>
              </w:rPr>
            </w:pPr>
          </w:p>
          <w:p w14:paraId="4E06BDFC" w14:textId="77777777" w:rsidR="00B91868" w:rsidRPr="00D523A2" w:rsidRDefault="00B91868" w:rsidP="00B91868">
            <w:pPr>
              <w:jc w:val="both"/>
              <w:rPr>
                <w:rFonts w:ascii="Calibri" w:hAnsi="Calibri" w:cs="Calibri"/>
                <w:sz w:val="24"/>
                <w:szCs w:val="24"/>
              </w:rPr>
            </w:pPr>
            <w:r w:rsidRPr="00D523A2">
              <w:rPr>
                <w:rFonts w:ascii="Calibri" w:hAnsi="Calibri" w:cs="Calibri"/>
                <w:sz w:val="24"/>
                <w:szCs w:val="24"/>
              </w:rPr>
              <w:t xml:space="preserve">The case also demonstrated that multi-agency working is most effective when it includes professional challenge rather than automatic consensus. Specialist expertise from CAMHS and police was essential, but social work analysis added consideration of cognition, relationships, environment, rights and the unintended consequences of intervention. Rural service limitations further demonstrated that good assessment does not guarantee that identified outcomes can be met. Most importantly, reflection-on-action has reinforced my responsibility to remain curious, acknowledge uncertainty, challenge </w:t>
            </w:r>
            <w:r w:rsidRPr="00D523A2">
              <w:rPr>
                <w:rFonts w:ascii="Calibri" w:hAnsi="Calibri" w:cs="Calibri"/>
                <w:sz w:val="24"/>
                <w:szCs w:val="24"/>
              </w:rPr>
              <w:lastRenderedPageBreak/>
              <w:t xml:space="preserve">professional hierarchies respectfully and ensure that risk management does not eclipse Child </w:t>
            </w:r>
            <w:r>
              <w:rPr>
                <w:rFonts w:ascii="Calibri" w:hAnsi="Calibri" w:cs="Calibri"/>
                <w:sz w:val="24"/>
                <w:szCs w:val="24"/>
              </w:rPr>
              <w:t>2</w:t>
            </w:r>
            <w:r w:rsidRPr="00D523A2">
              <w:rPr>
                <w:rFonts w:ascii="Calibri" w:hAnsi="Calibri" w:cs="Calibri"/>
                <w:sz w:val="24"/>
                <w:szCs w:val="24"/>
              </w:rPr>
              <w:t>'s voice, rights and lived experience.</w:t>
            </w:r>
          </w:p>
          <w:p w14:paraId="73B33EE4" w14:textId="77777777" w:rsidR="00B91868" w:rsidRPr="00D523A2" w:rsidRDefault="00B91868" w:rsidP="00B91868">
            <w:pPr>
              <w:jc w:val="both"/>
              <w:rPr>
                <w:rFonts w:ascii="Calibri" w:hAnsi="Calibri" w:cs="Calibri"/>
                <w:sz w:val="24"/>
                <w:szCs w:val="24"/>
              </w:rPr>
            </w:pPr>
          </w:p>
          <w:p w14:paraId="701D8D4D" w14:textId="3E80A292" w:rsidR="00D3203C" w:rsidRPr="00B91868" w:rsidRDefault="00B91868" w:rsidP="00B91868">
            <w:pPr>
              <w:jc w:val="both"/>
              <w:rPr>
                <w:iCs/>
                <w:sz w:val="24"/>
                <w:szCs w:val="24"/>
              </w:rPr>
            </w:pPr>
            <w:r w:rsidRPr="00D523A2">
              <w:rPr>
                <w:rFonts w:ascii="Calibri" w:hAnsi="Calibri" w:cs="Calibri"/>
                <w:sz w:val="24"/>
                <w:szCs w:val="24"/>
              </w:rPr>
              <w:t>Word count- 3,</w:t>
            </w:r>
            <w:r>
              <w:rPr>
                <w:rFonts w:ascii="Calibri" w:hAnsi="Calibri" w:cs="Calibri"/>
                <w:sz w:val="24"/>
                <w:szCs w:val="24"/>
              </w:rPr>
              <w:t>841</w:t>
            </w: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footerReference w:type="default" r:id="rId1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D0158" w14:textId="77777777" w:rsidR="00E675CB" w:rsidRDefault="00E675CB">
      <w:r>
        <w:separator/>
      </w:r>
    </w:p>
  </w:endnote>
  <w:endnote w:type="continuationSeparator" w:id="0">
    <w:p w14:paraId="59359A44" w14:textId="77777777" w:rsidR="00E675CB" w:rsidRDefault="00E67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F867F" w14:textId="77777777" w:rsidR="00E675CB" w:rsidRDefault="00E675CB">
      <w:r>
        <w:separator/>
      </w:r>
    </w:p>
  </w:footnote>
  <w:footnote w:type="continuationSeparator" w:id="0">
    <w:p w14:paraId="06C7A32F" w14:textId="77777777" w:rsidR="00E675CB" w:rsidRDefault="00E675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574"/>
    <w:rsid w:val="001447F6"/>
    <w:rsid w:val="00147DE3"/>
    <w:rsid w:val="00150794"/>
    <w:rsid w:val="00151DA6"/>
    <w:rsid w:val="001608C4"/>
    <w:rsid w:val="00164832"/>
    <w:rsid w:val="00166331"/>
    <w:rsid w:val="00171418"/>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06A4C"/>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2A24"/>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5709"/>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7EAB"/>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071D4"/>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383"/>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1868"/>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5754C"/>
    <w:rsid w:val="00E60F42"/>
    <w:rsid w:val="00E6746C"/>
    <w:rsid w:val="00E675CB"/>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4320</Words>
  <Characters>24625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Cerys Henry</cp:lastModifiedBy>
  <cp:revision>4</cp:revision>
  <cp:lastPrinted>2020-02-11T19:20:00Z</cp:lastPrinted>
  <dcterms:created xsi:type="dcterms:W3CDTF">2026-10-04T14:37:00Z</dcterms:created>
  <dcterms:modified xsi:type="dcterms:W3CDTF">2026-10-06T17:32:00Z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