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79505" w14:textId="6778919E" w:rsidR="00FD06F3" w:rsidRPr="001C06EA" w:rsidRDefault="00965B7B" w:rsidP="00965B7B">
      <w:pPr>
        <w:rPr>
          <w:rFonts w:ascii="Times New Roman" w:hAnsi="Times New Roman" w:cs="Times New Roman"/>
          <w:color w:val="153D63" w:themeColor="text2" w:themeTint="E6"/>
          <w:sz w:val="28"/>
          <w:szCs w:val="28"/>
        </w:rPr>
      </w:pPr>
      <w:r>
        <w:rPr>
          <w:color w:val="153D63" w:themeColor="text2" w:themeTint="E6"/>
          <w:sz w:val="28"/>
          <w:szCs w:val="28"/>
        </w:rPr>
        <w:t xml:space="preserve">             </w:t>
      </w:r>
      <w:r w:rsidR="004511F2">
        <w:rPr>
          <w:color w:val="153D63" w:themeColor="text2" w:themeTint="E6"/>
          <w:sz w:val="28"/>
          <w:szCs w:val="28"/>
        </w:rPr>
        <w:t xml:space="preserve">   </w:t>
      </w:r>
      <w:r>
        <w:rPr>
          <w:color w:val="153D63" w:themeColor="text2" w:themeTint="E6"/>
          <w:sz w:val="28"/>
          <w:szCs w:val="28"/>
        </w:rPr>
        <w:t xml:space="preserve">     </w:t>
      </w:r>
      <w:r w:rsidR="00DB66EE">
        <w:rPr>
          <w:color w:val="153D63" w:themeColor="text2" w:themeTint="E6"/>
          <w:sz w:val="28"/>
          <w:szCs w:val="28"/>
        </w:rPr>
        <w:t xml:space="preserve">    </w:t>
      </w:r>
      <w:r w:rsidR="00FD06F3" w:rsidRPr="001C06EA">
        <w:rPr>
          <w:rFonts w:ascii="Times New Roman" w:hAnsi="Times New Roman" w:cs="Times New Roman"/>
          <w:color w:val="153D63" w:themeColor="text2" w:themeTint="E6"/>
          <w:sz w:val="28"/>
          <w:szCs w:val="28"/>
        </w:rPr>
        <w:t>UNIVERSITY OF WALES TRINITY SAINT DAVID</w:t>
      </w:r>
    </w:p>
    <w:p w14:paraId="08231225" w14:textId="77777777" w:rsidR="00FD06F3" w:rsidRDefault="00FD06F3"/>
    <w:p w14:paraId="5DD19A48" w14:textId="77777777" w:rsidR="00FD06F3" w:rsidRDefault="00FD06F3"/>
    <w:p w14:paraId="43B7E3E1" w14:textId="77777777" w:rsidR="00FD06F3" w:rsidRDefault="00FD06F3"/>
    <w:p w14:paraId="2C898A19" w14:textId="77777777" w:rsidR="00FD06F3" w:rsidRDefault="00FD06F3"/>
    <w:p w14:paraId="5E5F1BA6" w14:textId="77777777" w:rsidR="00FD06F3" w:rsidRDefault="00FD06F3"/>
    <w:p w14:paraId="0989095A" w14:textId="77777777" w:rsidR="00FD06F3" w:rsidRDefault="00FD06F3"/>
    <w:p w14:paraId="3707F53C" w14:textId="77777777" w:rsidR="00FD06F3" w:rsidRDefault="00FD06F3"/>
    <w:p w14:paraId="362C41B7" w14:textId="77777777" w:rsidR="00C852A9" w:rsidRDefault="00C852A9"/>
    <w:p w14:paraId="5452232C" w14:textId="45C88DE5" w:rsidR="00A733C1" w:rsidRDefault="00E61698" w:rsidP="00E61698">
      <w:pPr>
        <w:ind w:left="2160" w:firstLine="720"/>
      </w:pPr>
      <w:r>
        <w:t xml:space="preserve">       </w:t>
      </w:r>
    </w:p>
    <w:p w14:paraId="5FF7A67A" w14:textId="3EF8DACE" w:rsidR="00A733C1" w:rsidRDefault="00E61698" w:rsidP="00A733C1">
      <w:r>
        <w:t xml:space="preserve">   </w:t>
      </w:r>
      <w:r w:rsidR="00A733C1">
        <w:tab/>
      </w:r>
      <w:r w:rsidR="00A733C1">
        <w:tab/>
      </w:r>
      <w:r w:rsidR="00A733C1">
        <w:tab/>
      </w:r>
      <w:r w:rsidR="00A733C1">
        <w:tab/>
      </w:r>
      <w:r w:rsidR="00A733C1">
        <w:tab/>
      </w:r>
    </w:p>
    <w:p w14:paraId="6F04EFEC" w14:textId="7790EAA1" w:rsidR="00CD3E2B" w:rsidRDefault="001C7E5C" w:rsidP="00A733C1">
      <w:r>
        <w:rPr>
          <w:noProof/>
        </w:rPr>
        <mc:AlternateContent>
          <mc:Choice Requires="wps">
            <w:drawing>
              <wp:anchor distT="0" distB="0" distL="114300" distR="114300" simplePos="0" relativeHeight="251659264" behindDoc="0" locked="0" layoutInCell="1" allowOverlap="1" wp14:anchorId="07BD3607" wp14:editId="3CBC6C5E">
                <wp:simplePos x="0" y="0"/>
                <wp:positionH relativeFrom="column">
                  <wp:posOffset>-762000</wp:posOffset>
                </wp:positionH>
                <wp:positionV relativeFrom="paragraph">
                  <wp:posOffset>271780</wp:posOffset>
                </wp:positionV>
                <wp:extent cx="5549900" cy="2070100"/>
                <wp:effectExtent l="0" t="0" r="0" b="0"/>
                <wp:wrapNone/>
                <wp:docPr id="406383274" name="Text Box 1"/>
                <wp:cNvGraphicFramePr/>
                <a:graphic xmlns:a="http://schemas.openxmlformats.org/drawingml/2006/main">
                  <a:graphicData uri="http://schemas.microsoft.com/office/word/2010/wordprocessingShape">
                    <wps:wsp>
                      <wps:cNvSpPr txBox="1"/>
                      <wps:spPr>
                        <a:xfrm>
                          <a:off x="0" y="0"/>
                          <a:ext cx="5549900" cy="2070100"/>
                        </a:xfrm>
                        <a:prstGeom prst="rect">
                          <a:avLst/>
                        </a:prstGeom>
                        <a:solidFill>
                          <a:schemeClr val="lt1"/>
                        </a:solidFill>
                        <a:ln w="6350">
                          <a:noFill/>
                        </a:ln>
                      </wps:spPr>
                      <wps:txbx>
                        <w:txbxContent>
                          <w:p w14:paraId="1B6DB0CE" w14:textId="250B83B5" w:rsidR="0023606E" w:rsidRPr="00E053CC" w:rsidRDefault="0023606E" w:rsidP="0023606E">
                            <w:pPr>
                              <w:ind w:left="2160" w:firstLine="720"/>
                              <w:rPr>
                                <w:rFonts w:ascii="Times New Roman" w:hAnsi="Times New Roman" w:cs="Times New Roman"/>
                                <w:color w:val="156082" w:themeColor="accent1"/>
                                <w:sz w:val="48"/>
                                <w:szCs w:val="48"/>
                                <w:u w:val="single"/>
                              </w:rPr>
                            </w:pPr>
                            <w:r w:rsidRPr="00A85363">
                              <w:rPr>
                                <w:sz w:val="48"/>
                                <w:szCs w:val="48"/>
                              </w:rPr>
                              <w:t xml:space="preserve">             </w:t>
                            </w:r>
                            <w:r w:rsidR="001C7E5C">
                              <w:rPr>
                                <w:sz w:val="48"/>
                                <w:szCs w:val="48"/>
                              </w:rPr>
                              <w:t xml:space="preserve">  </w:t>
                            </w:r>
                            <w:r w:rsidRPr="00E053CC">
                              <w:rPr>
                                <w:rFonts w:ascii="Times New Roman" w:hAnsi="Times New Roman" w:cs="Times New Roman"/>
                                <w:color w:val="156082" w:themeColor="accent1"/>
                                <w:sz w:val="48"/>
                                <w:szCs w:val="48"/>
                                <w:u w:val="single"/>
                              </w:rPr>
                              <w:t>Assignment 1</w:t>
                            </w:r>
                          </w:p>
                          <w:p w14:paraId="5A24A1A1" w14:textId="77777777"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Primary source Analysis</w:t>
                            </w:r>
                          </w:p>
                          <w:p w14:paraId="4A5992AD" w14:textId="176FC8A4"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001C7E5C"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40% WEIGHTING</w:t>
                            </w:r>
                          </w:p>
                          <w:p w14:paraId="090DAB14" w14:textId="77777777" w:rsidR="0023606E" w:rsidRDefault="002360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BD3607" id="_x0000_t202" coordsize="21600,21600" o:spt="202" path="m,l,21600r21600,l21600,xe">
                <v:stroke joinstyle="miter"/>
                <v:path gradientshapeok="t" o:connecttype="rect"/>
              </v:shapetype>
              <v:shape id="Text Box 1" o:spid="_x0000_s1026" type="#_x0000_t202" style="position:absolute;margin-left:-60pt;margin-top:21.4pt;width:437pt;height:1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" fillcolor="white [3201]" stroked="f" strokeweight=".5pt">
                <v:textbox>
                  <w:txbxContent>
                    <w:p w14:paraId="1B6DB0CE" w14:textId="250B83B5" w:rsidR="0023606E" w:rsidRPr="00E053CC" w:rsidRDefault="0023606E" w:rsidP="0023606E">
                      <w:pPr>
                        <w:ind w:left="2160" w:firstLine="720"/>
                        <w:rPr>
                          <w:rFonts w:ascii="Times New Roman" w:hAnsi="Times New Roman" w:cs="Times New Roman"/>
                          <w:color w:val="156082" w:themeColor="accent1"/>
                          <w:sz w:val="48"/>
                          <w:szCs w:val="48"/>
                          <w:u w:val="single"/>
                        </w:rPr>
                      </w:pPr>
                      <w:r w:rsidRPr="00A85363">
                        <w:rPr>
                          <w:sz w:val="48"/>
                          <w:szCs w:val="48"/>
                        </w:rPr>
                        <w:t xml:space="preserve">             </w:t>
                      </w:r>
                      <w:r w:rsidR="001C7E5C">
                        <w:rPr>
                          <w:sz w:val="48"/>
                          <w:szCs w:val="48"/>
                        </w:rPr>
                        <w:t xml:space="preserve">  </w:t>
                      </w:r>
                      <w:r w:rsidRPr="00E053CC">
                        <w:rPr>
                          <w:rFonts w:ascii="Times New Roman" w:hAnsi="Times New Roman" w:cs="Times New Roman"/>
                          <w:color w:val="156082" w:themeColor="accent1"/>
                          <w:sz w:val="48"/>
                          <w:szCs w:val="48"/>
                          <w:u w:val="single"/>
                        </w:rPr>
                        <w:t>Assignment 1</w:t>
                      </w:r>
                    </w:p>
                    <w:p w14:paraId="5A24A1A1" w14:textId="77777777"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Primary source Analysis</w:t>
                      </w:r>
                    </w:p>
                    <w:p w14:paraId="4A5992AD" w14:textId="176FC8A4" w:rsidR="0023606E" w:rsidRPr="00E053CC" w:rsidRDefault="0023606E" w:rsidP="0023606E">
                      <w:pPr>
                        <w:ind w:left="2160" w:firstLine="720"/>
                        <w:rPr>
                          <w:rFonts w:ascii="Times New Roman" w:hAnsi="Times New Roman" w:cs="Times New Roman"/>
                          <w:color w:val="156082" w:themeColor="accent1"/>
                          <w:sz w:val="48"/>
                          <w:szCs w:val="48"/>
                          <w:u w:val="single"/>
                        </w:rPr>
                      </w:pPr>
                      <w:r w:rsidRPr="00E053CC">
                        <w:rPr>
                          <w:rFonts w:ascii="Times New Roman" w:hAnsi="Times New Roman" w:cs="Times New Roman"/>
                          <w:color w:val="156082" w:themeColor="accent1"/>
                          <w:sz w:val="48"/>
                          <w:szCs w:val="48"/>
                        </w:rPr>
                        <w:t xml:space="preserve">      </w:t>
                      </w:r>
                      <w:r w:rsidR="001C7E5C" w:rsidRPr="00E053CC">
                        <w:rPr>
                          <w:rFonts w:ascii="Times New Roman" w:hAnsi="Times New Roman" w:cs="Times New Roman"/>
                          <w:color w:val="156082" w:themeColor="accent1"/>
                          <w:sz w:val="48"/>
                          <w:szCs w:val="48"/>
                        </w:rPr>
                        <w:t xml:space="preserve"> </w:t>
                      </w:r>
                      <w:r w:rsidRPr="00E053CC">
                        <w:rPr>
                          <w:rFonts w:ascii="Times New Roman" w:hAnsi="Times New Roman" w:cs="Times New Roman"/>
                          <w:color w:val="156082" w:themeColor="accent1"/>
                          <w:sz w:val="48"/>
                          <w:szCs w:val="48"/>
                          <w:u w:val="single"/>
                        </w:rPr>
                        <w:t>40% WEIGHTING</w:t>
                      </w:r>
                    </w:p>
                    <w:p w14:paraId="090DAB14" w14:textId="77777777" w:rsidR="0023606E" w:rsidRDefault="0023606E"/>
                  </w:txbxContent>
                </v:textbox>
              </v:shape>
            </w:pict>
          </mc:Fallback>
        </mc:AlternateContent>
      </w:r>
    </w:p>
    <w:p w14:paraId="45DB474A" w14:textId="14F3F69F" w:rsidR="00CD3E2B" w:rsidRPr="00965B7B" w:rsidRDefault="00CD3E2B" w:rsidP="00A733C1">
      <w:pPr>
        <w:rPr>
          <w:sz w:val="36"/>
          <w:szCs w:val="36"/>
        </w:rPr>
      </w:pPr>
    </w:p>
    <w:p w14:paraId="4321F86C" w14:textId="30EFB8CA" w:rsidR="008F24BC" w:rsidRDefault="008F24BC"/>
    <w:p w14:paraId="147F358B" w14:textId="5F7FE2F6" w:rsidR="008F24BC" w:rsidRDefault="008F24BC"/>
    <w:p w14:paraId="00CFE314" w14:textId="181FF3B8" w:rsidR="008F24BC" w:rsidRDefault="008F24BC"/>
    <w:p w14:paraId="3C7E4DB3" w14:textId="31534E87" w:rsidR="008F24BC" w:rsidRDefault="008F24BC"/>
    <w:p w14:paraId="0E56997C" w14:textId="2474EE2A" w:rsidR="008F24BC" w:rsidRDefault="008F24BC"/>
    <w:p w14:paraId="74F86EA1" w14:textId="77777777" w:rsidR="008F24BC" w:rsidRDefault="008F24BC"/>
    <w:p w14:paraId="4B918284" w14:textId="77777777" w:rsidR="008F24BC" w:rsidRDefault="008F24BC"/>
    <w:p w14:paraId="10807143" w14:textId="603B4202" w:rsidR="008F24BC" w:rsidRDefault="008F24BC"/>
    <w:p w14:paraId="53A87717" w14:textId="4CC39D3C" w:rsidR="00A733C1" w:rsidRDefault="00E61698" w:rsidP="00E61698">
      <w:pPr>
        <w:ind w:left="2160" w:firstLine="720"/>
      </w:pPr>
      <w:r>
        <w:t xml:space="preserve">   </w:t>
      </w:r>
    </w:p>
    <w:p w14:paraId="36EEF23A" w14:textId="3009DF84" w:rsidR="00A733C1" w:rsidRDefault="00A733C1" w:rsidP="00E61698">
      <w:pPr>
        <w:ind w:left="2160" w:firstLine="720"/>
      </w:pPr>
    </w:p>
    <w:p w14:paraId="3E405AB6" w14:textId="0208C166" w:rsidR="00A733C1" w:rsidRDefault="00A733C1" w:rsidP="00E61698">
      <w:pPr>
        <w:ind w:left="2160" w:firstLine="720"/>
      </w:pPr>
    </w:p>
    <w:p w14:paraId="740A302F" w14:textId="25A33FCA" w:rsidR="00A733C1" w:rsidRDefault="00A733C1" w:rsidP="00E61698">
      <w:pPr>
        <w:ind w:left="2160" w:firstLine="720"/>
      </w:pPr>
    </w:p>
    <w:p w14:paraId="5C7F83D1" w14:textId="5EDEC1EE" w:rsidR="00A733C1" w:rsidRDefault="00A733C1" w:rsidP="00E61698">
      <w:pPr>
        <w:ind w:left="2160" w:firstLine="720"/>
      </w:pPr>
    </w:p>
    <w:p w14:paraId="1EDFCF5B" w14:textId="710F00C4" w:rsidR="008F24BC" w:rsidRDefault="00CD3E2B">
      <w:r>
        <w:t xml:space="preserve">    </w:t>
      </w:r>
    </w:p>
    <w:p w14:paraId="4BD726D5" w14:textId="03E1C622" w:rsidR="008F24BC" w:rsidRDefault="008F24BC"/>
    <w:p w14:paraId="447A2357" w14:textId="6E5F8A3E" w:rsidR="008F24BC" w:rsidRDefault="00453188">
      <w:r>
        <w:rPr>
          <w:noProof/>
        </w:rPr>
        <mc:AlternateContent>
          <mc:Choice Requires="wps">
            <w:drawing>
              <wp:anchor distT="0" distB="0" distL="114300" distR="114300" simplePos="0" relativeHeight="251660288" behindDoc="0" locked="0" layoutInCell="1" allowOverlap="1" wp14:anchorId="7215945A" wp14:editId="373B95AE">
                <wp:simplePos x="0" y="0"/>
                <wp:positionH relativeFrom="column">
                  <wp:posOffset>1778000</wp:posOffset>
                </wp:positionH>
                <wp:positionV relativeFrom="paragraph">
                  <wp:posOffset>140335</wp:posOffset>
                </wp:positionV>
                <wp:extent cx="3784600" cy="558800"/>
                <wp:effectExtent l="0" t="0" r="0" b="0"/>
                <wp:wrapNone/>
                <wp:docPr id="1082436388" name="Text Box 2"/>
                <wp:cNvGraphicFramePr/>
                <a:graphic xmlns:a="http://schemas.openxmlformats.org/drawingml/2006/main">
                  <a:graphicData uri="http://schemas.microsoft.com/office/word/2010/wordprocessingShape">
                    <wps:wsp>
                      <wps:cNvSpPr txBox="1"/>
                      <wps:spPr>
                        <a:xfrm>
                          <a:off x="0" y="0"/>
                          <a:ext cx="3784600" cy="558800"/>
                        </a:xfrm>
                        <a:prstGeom prst="rect">
                          <a:avLst/>
                        </a:prstGeom>
                        <a:solidFill>
                          <a:schemeClr val="lt1"/>
                        </a:solidFill>
                        <a:ln w="6350">
                          <a:noFill/>
                        </a:ln>
                      </wps:spPr>
                      <wps:txbx>
                        <w:txbxContent>
                          <w:p w14:paraId="7ED6771D" w14:textId="77777777" w:rsidR="008A2E0B" w:rsidRPr="00E053CC" w:rsidRDefault="0023606E"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GLOBAL GENOCI</w:t>
                            </w:r>
                            <w:r w:rsidR="008A2E0B" w:rsidRPr="00E053CC">
                              <w:rPr>
                                <w:rFonts w:ascii="Times New Roman" w:hAnsi="Times New Roman" w:cs="Times New Roman"/>
                                <w:b/>
                                <w:bCs/>
                                <w:color w:val="156082" w:themeColor="accent1"/>
                                <w:sz w:val="32"/>
                                <w:szCs w:val="32"/>
                              </w:rPr>
                              <w:t>DES</w:t>
                            </w:r>
                          </w:p>
                          <w:p w14:paraId="6C602F9F" w14:textId="4E96A95C" w:rsidR="0023606E" w:rsidRPr="00E053CC" w:rsidRDefault="008A2E0B"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 xml:space="preserve">           </w:t>
                            </w:r>
                            <w:r w:rsidR="0023606E" w:rsidRPr="00E053CC">
                              <w:rPr>
                                <w:rFonts w:ascii="Times New Roman" w:hAnsi="Times New Roman" w:cs="Times New Roman"/>
                                <w:b/>
                                <w:bCs/>
                                <w:color w:val="156082" w:themeColor="accent1"/>
                                <w:sz w:val="32"/>
                                <w:szCs w:val="32"/>
                              </w:rPr>
                              <w:t xml:space="preserve"> HPHI6029</w:t>
                            </w:r>
                          </w:p>
                          <w:p w14:paraId="73973403" w14:textId="77777777" w:rsidR="0023606E" w:rsidRDefault="002360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5945A" id="Text Box 2" o:spid="_x0000_s1027" type="#_x0000_t202" style="position:absolute;margin-left:140pt;margin-top:11.05pt;width:298pt;height: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" fillcolor="white [3201]" stroked="f" strokeweight=".5pt">
                <v:textbox>
                  <w:txbxContent>
                    <w:p w14:paraId="7ED6771D" w14:textId="77777777" w:rsidR="008A2E0B" w:rsidRPr="00E053CC" w:rsidRDefault="0023606E"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GLOBAL GENOCI</w:t>
                      </w:r>
                      <w:r w:rsidR="008A2E0B" w:rsidRPr="00E053CC">
                        <w:rPr>
                          <w:rFonts w:ascii="Times New Roman" w:hAnsi="Times New Roman" w:cs="Times New Roman"/>
                          <w:b/>
                          <w:bCs/>
                          <w:color w:val="156082" w:themeColor="accent1"/>
                          <w:sz w:val="32"/>
                          <w:szCs w:val="32"/>
                        </w:rPr>
                        <w:t>DES</w:t>
                      </w:r>
                    </w:p>
                    <w:p w14:paraId="6C602F9F" w14:textId="4E96A95C" w:rsidR="0023606E" w:rsidRPr="00E053CC" w:rsidRDefault="008A2E0B" w:rsidP="008A2E0B">
                      <w:pPr>
                        <w:rPr>
                          <w:rFonts w:ascii="Times New Roman" w:hAnsi="Times New Roman" w:cs="Times New Roman"/>
                          <w:b/>
                          <w:bCs/>
                          <w:color w:val="156082" w:themeColor="accent1"/>
                          <w:sz w:val="32"/>
                          <w:szCs w:val="32"/>
                        </w:rPr>
                      </w:pPr>
                      <w:r w:rsidRPr="00E053CC">
                        <w:rPr>
                          <w:rFonts w:ascii="Times New Roman" w:hAnsi="Times New Roman" w:cs="Times New Roman"/>
                          <w:b/>
                          <w:bCs/>
                          <w:color w:val="156082" w:themeColor="accent1"/>
                          <w:sz w:val="32"/>
                          <w:szCs w:val="32"/>
                        </w:rPr>
                        <w:t xml:space="preserve">           </w:t>
                      </w:r>
                      <w:r w:rsidR="0023606E" w:rsidRPr="00E053CC">
                        <w:rPr>
                          <w:rFonts w:ascii="Times New Roman" w:hAnsi="Times New Roman" w:cs="Times New Roman"/>
                          <w:b/>
                          <w:bCs/>
                          <w:color w:val="156082" w:themeColor="accent1"/>
                          <w:sz w:val="32"/>
                          <w:szCs w:val="32"/>
                        </w:rPr>
                        <w:t xml:space="preserve"> HPHI6029</w:t>
                      </w:r>
                    </w:p>
                    <w:p w14:paraId="73973403" w14:textId="77777777" w:rsidR="0023606E" w:rsidRDefault="0023606E"/>
                  </w:txbxContent>
                </v:textbox>
              </v:shape>
            </w:pict>
          </mc:Fallback>
        </mc:AlternateContent>
      </w:r>
    </w:p>
    <w:p w14:paraId="79C92361" w14:textId="25E8C879" w:rsidR="00A733C1" w:rsidRDefault="00A733C1" w:rsidP="00E61698">
      <w:pPr>
        <w:ind w:left="2880" w:firstLine="720"/>
      </w:pPr>
    </w:p>
    <w:p w14:paraId="43CDD118" w14:textId="08B82E71" w:rsidR="00A733C1" w:rsidRDefault="00A733C1" w:rsidP="00E61698">
      <w:pPr>
        <w:ind w:left="2880" w:firstLine="720"/>
      </w:pPr>
    </w:p>
    <w:p w14:paraId="7E3BB625" w14:textId="60AEE4C3" w:rsidR="00A733C1" w:rsidRDefault="00A733C1" w:rsidP="00E61698">
      <w:pPr>
        <w:ind w:left="2880" w:firstLine="720"/>
      </w:pPr>
    </w:p>
    <w:p w14:paraId="2EF782C7" w14:textId="77777777" w:rsidR="00A733C1" w:rsidRDefault="00A733C1" w:rsidP="00E61698">
      <w:pPr>
        <w:ind w:left="2880" w:firstLine="720"/>
      </w:pPr>
    </w:p>
    <w:p w14:paraId="6580F984" w14:textId="77777777" w:rsidR="00A733C1" w:rsidRDefault="00A733C1" w:rsidP="00E61698">
      <w:pPr>
        <w:ind w:left="2880" w:firstLine="720"/>
      </w:pPr>
    </w:p>
    <w:p w14:paraId="03AD25C0" w14:textId="6782778D" w:rsidR="00A733C1" w:rsidRDefault="00A733C1" w:rsidP="00E61698">
      <w:pPr>
        <w:ind w:left="2880" w:firstLine="720"/>
      </w:pPr>
    </w:p>
    <w:p w14:paraId="75B849B6" w14:textId="23E836B1" w:rsidR="00A733C1" w:rsidRDefault="00A733C1" w:rsidP="00E61698">
      <w:pPr>
        <w:ind w:left="2880" w:firstLine="720"/>
      </w:pPr>
    </w:p>
    <w:p w14:paraId="630B991C" w14:textId="087B3832" w:rsidR="00A733C1" w:rsidRDefault="00A733C1" w:rsidP="00E61698">
      <w:pPr>
        <w:ind w:left="2880" w:firstLine="720"/>
      </w:pPr>
    </w:p>
    <w:p w14:paraId="75A90425" w14:textId="424C31A8" w:rsidR="00A733C1" w:rsidRDefault="00A733C1" w:rsidP="00E61698">
      <w:pPr>
        <w:ind w:left="2880" w:firstLine="720"/>
      </w:pPr>
    </w:p>
    <w:p w14:paraId="132D198E" w14:textId="7A2779D4" w:rsidR="001A2446" w:rsidRDefault="00453188">
      <w:r>
        <w:rPr>
          <w:noProof/>
        </w:rPr>
        <mc:AlternateContent>
          <mc:Choice Requires="wps">
            <w:drawing>
              <wp:anchor distT="0" distB="0" distL="114300" distR="114300" simplePos="0" relativeHeight="251661312" behindDoc="0" locked="0" layoutInCell="1" allowOverlap="1" wp14:anchorId="7E5A70AB" wp14:editId="77C04EFB">
                <wp:simplePos x="0" y="0"/>
                <wp:positionH relativeFrom="column">
                  <wp:posOffset>2311400</wp:posOffset>
                </wp:positionH>
                <wp:positionV relativeFrom="paragraph">
                  <wp:posOffset>248920</wp:posOffset>
                </wp:positionV>
                <wp:extent cx="1524000" cy="850900"/>
                <wp:effectExtent l="0" t="0" r="0" b="0"/>
                <wp:wrapNone/>
                <wp:docPr id="1716587629" name="Text Box 3"/>
                <wp:cNvGraphicFramePr/>
                <a:graphic xmlns:a="http://schemas.openxmlformats.org/drawingml/2006/main">
                  <a:graphicData uri="http://schemas.microsoft.com/office/word/2010/wordprocessingShape">
                    <wps:wsp>
                      <wps:cNvSpPr txBox="1"/>
                      <wps:spPr>
                        <a:xfrm>
                          <a:off x="0" y="0"/>
                          <a:ext cx="1524000" cy="850900"/>
                        </a:xfrm>
                        <a:prstGeom prst="rect">
                          <a:avLst/>
                        </a:prstGeom>
                        <a:solidFill>
                          <a:schemeClr val="lt1"/>
                        </a:solidFill>
                        <a:ln w="6350">
                          <a:noFill/>
                        </a:ln>
                      </wps:spPr>
                      <wps:txbx>
                        <w:txbxContent>
                          <w:p w14:paraId="37E5B089" w14:textId="77777777" w:rsidR="008A2E0B" w:rsidRPr="001C7E5C" w:rsidRDefault="0023606E" w:rsidP="008A2E0B">
                            <w:pPr>
                              <w:rPr>
                                <w:rFonts w:ascii="Times New Roman" w:hAnsi="Times New Roman" w:cs="Times New Roman"/>
                                <w:i/>
                                <w:iCs/>
                                <w:sz w:val="32"/>
                                <w:szCs w:val="32"/>
                              </w:rPr>
                            </w:pPr>
                            <w:r w:rsidRPr="001C7E5C">
                              <w:rPr>
                                <w:rFonts w:ascii="Times New Roman" w:hAnsi="Times New Roman" w:cs="Times New Roman"/>
                                <w:i/>
                                <w:iCs/>
                                <w:sz w:val="32"/>
                                <w:szCs w:val="32"/>
                              </w:rPr>
                              <w:t>Caitlin Re</w:t>
                            </w:r>
                            <w:r w:rsidR="008A2E0B" w:rsidRPr="001C7E5C">
                              <w:rPr>
                                <w:rFonts w:ascii="Times New Roman" w:hAnsi="Times New Roman" w:cs="Times New Roman"/>
                                <w:i/>
                                <w:iCs/>
                                <w:sz w:val="32"/>
                                <w:szCs w:val="32"/>
                              </w:rPr>
                              <w:t>gola</w:t>
                            </w:r>
                          </w:p>
                          <w:p w14:paraId="0F4E681E" w14:textId="0C810A38" w:rsidR="0023606E" w:rsidRPr="001C7E5C" w:rsidRDefault="008A2E0B" w:rsidP="008A2E0B">
                            <w:pPr>
                              <w:rPr>
                                <w:rFonts w:ascii="Times New Roman" w:hAnsi="Times New Roman" w:cs="Times New Roman"/>
                                <w:i/>
                                <w:iCs/>
                                <w:sz w:val="32"/>
                                <w:szCs w:val="32"/>
                              </w:rPr>
                            </w:pPr>
                            <w:r w:rsidRPr="001C7E5C">
                              <w:rPr>
                                <w:rFonts w:ascii="Times New Roman" w:hAnsi="Times New Roman" w:cs="Times New Roman"/>
                                <w:i/>
                                <w:iCs/>
                                <w:sz w:val="32"/>
                                <w:szCs w:val="32"/>
                              </w:rPr>
                              <w:t xml:space="preserve">    </w:t>
                            </w:r>
                            <w:r w:rsidR="0023606E" w:rsidRPr="001C7E5C">
                              <w:rPr>
                                <w:rFonts w:ascii="Times New Roman" w:hAnsi="Times New Roman" w:cs="Times New Roman"/>
                                <w:i/>
                                <w:iCs/>
                                <w:sz w:val="32"/>
                                <w:szCs w:val="32"/>
                              </w:rPr>
                              <w:t>1902488</w:t>
                            </w:r>
                          </w:p>
                          <w:p w14:paraId="2A25B30C" w14:textId="77777777" w:rsidR="0023606E" w:rsidRDefault="002360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A70AB" id="Text Box 3" o:spid="_x0000_s1028" type="#_x0000_t202" style="position:absolute;margin-left:182pt;margin-top:19.6pt;width:120pt;height: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" fillcolor="white [3201]" stroked="f" strokeweight=".5pt">
                <v:textbox>
                  <w:txbxContent>
                    <w:p w14:paraId="37E5B089" w14:textId="77777777" w:rsidR="008A2E0B" w:rsidRPr="001C7E5C" w:rsidRDefault="0023606E" w:rsidP="008A2E0B">
                      <w:pPr>
                        <w:rPr>
                          <w:rFonts w:ascii="Times New Roman" w:hAnsi="Times New Roman" w:cs="Times New Roman"/>
                          <w:i/>
                          <w:iCs/>
                          <w:sz w:val="32"/>
                          <w:szCs w:val="32"/>
                        </w:rPr>
                      </w:pPr>
                      <w:r w:rsidRPr="001C7E5C">
                        <w:rPr>
                          <w:rFonts w:ascii="Times New Roman" w:hAnsi="Times New Roman" w:cs="Times New Roman"/>
                          <w:i/>
                          <w:iCs/>
                          <w:sz w:val="32"/>
                          <w:szCs w:val="32"/>
                        </w:rPr>
                        <w:t>Caitlin Re</w:t>
                      </w:r>
                      <w:r w:rsidR="008A2E0B" w:rsidRPr="001C7E5C">
                        <w:rPr>
                          <w:rFonts w:ascii="Times New Roman" w:hAnsi="Times New Roman" w:cs="Times New Roman"/>
                          <w:i/>
                          <w:iCs/>
                          <w:sz w:val="32"/>
                          <w:szCs w:val="32"/>
                        </w:rPr>
                        <w:t>gola</w:t>
                      </w:r>
                    </w:p>
                    <w:p w14:paraId="0F4E681E" w14:textId="0C810A38" w:rsidR="0023606E" w:rsidRPr="001C7E5C" w:rsidRDefault="008A2E0B" w:rsidP="008A2E0B">
                      <w:pPr>
                        <w:rPr>
                          <w:rFonts w:ascii="Times New Roman" w:hAnsi="Times New Roman" w:cs="Times New Roman"/>
                          <w:i/>
                          <w:iCs/>
                          <w:sz w:val="32"/>
                          <w:szCs w:val="32"/>
                        </w:rPr>
                      </w:pPr>
                      <w:r w:rsidRPr="001C7E5C">
                        <w:rPr>
                          <w:rFonts w:ascii="Times New Roman" w:hAnsi="Times New Roman" w:cs="Times New Roman"/>
                          <w:i/>
                          <w:iCs/>
                          <w:sz w:val="32"/>
                          <w:szCs w:val="32"/>
                        </w:rPr>
                        <w:t xml:space="preserve">    </w:t>
                      </w:r>
                      <w:r w:rsidR="0023606E" w:rsidRPr="001C7E5C">
                        <w:rPr>
                          <w:rFonts w:ascii="Times New Roman" w:hAnsi="Times New Roman" w:cs="Times New Roman"/>
                          <w:i/>
                          <w:iCs/>
                          <w:sz w:val="32"/>
                          <w:szCs w:val="32"/>
                        </w:rPr>
                        <w:t>1902488</w:t>
                      </w:r>
                    </w:p>
                    <w:p w14:paraId="2A25B30C" w14:textId="77777777" w:rsidR="0023606E" w:rsidRDefault="0023606E"/>
                  </w:txbxContent>
                </v:textbox>
              </v:shape>
            </w:pict>
          </mc:Fallback>
        </mc:AlternateContent>
      </w:r>
    </w:p>
    <w:p w14:paraId="794D0E07" w14:textId="77777777" w:rsidR="001A2446" w:rsidRDefault="001A2446" w:rsidP="001A2446">
      <w:pPr>
        <w:pStyle w:val="Heading2"/>
        <w:rPr>
          <w:lang w:val="en-US"/>
        </w:rPr>
      </w:pPr>
    </w:p>
    <w:p w14:paraId="642AF9BE" w14:textId="77777777" w:rsidR="00684E54" w:rsidRDefault="00684E54" w:rsidP="001A2446">
      <w:pPr>
        <w:pStyle w:val="Heading2"/>
        <w:rPr>
          <w:lang w:val="en-US"/>
        </w:rPr>
      </w:pPr>
    </w:p>
    <w:p w14:paraId="221AC905" w14:textId="77777777" w:rsidR="00684E54" w:rsidRPr="00684E54" w:rsidRDefault="00684E54" w:rsidP="00684E54">
      <w:pPr>
        <w:rPr>
          <w:lang w:val="en-US"/>
        </w:rPr>
      </w:pPr>
    </w:p>
    <w:p w14:paraId="242609E9" w14:textId="77777777" w:rsidR="009773A4" w:rsidRDefault="009773A4" w:rsidP="001A2446">
      <w:pPr>
        <w:pStyle w:val="Heading2"/>
        <w:rPr>
          <w:rFonts w:ascii="Times New Roman" w:hAnsi="Times New Roman" w:cs="Times New Roman"/>
          <w:lang w:val="en-US"/>
        </w:rPr>
      </w:pPr>
    </w:p>
    <w:p w14:paraId="3B98BF52" w14:textId="77777777" w:rsidR="009773A4" w:rsidRDefault="009773A4" w:rsidP="001A2446">
      <w:pPr>
        <w:pStyle w:val="Heading2"/>
        <w:rPr>
          <w:rFonts w:ascii="Times New Roman" w:hAnsi="Times New Roman" w:cs="Times New Roman"/>
          <w:lang w:val="en-US"/>
        </w:rPr>
      </w:pPr>
    </w:p>
    <w:p w14:paraId="3E8C4A1E" w14:textId="77777777" w:rsidR="009773A4" w:rsidRDefault="009773A4" w:rsidP="001A2446">
      <w:pPr>
        <w:pStyle w:val="Heading2"/>
        <w:rPr>
          <w:rFonts w:ascii="Times New Roman" w:hAnsi="Times New Roman" w:cs="Times New Roman"/>
          <w:lang w:val="en-US"/>
        </w:rPr>
      </w:pPr>
    </w:p>
    <w:p w14:paraId="680F2106" w14:textId="6DF080DB" w:rsidR="001A2446" w:rsidRPr="00DA1B3A" w:rsidRDefault="001A2446" w:rsidP="001A2446">
      <w:pPr>
        <w:pStyle w:val="Heading2"/>
        <w:rPr>
          <w:rFonts w:ascii="Times New Roman" w:hAnsi="Times New Roman" w:cs="Times New Roman"/>
          <w:lang w:val="en-US"/>
        </w:rPr>
      </w:pPr>
      <w:r w:rsidRPr="00DA1B3A">
        <w:rPr>
          <w:rFonts w:ascii="Times New Roman" w:hAnsi="Times New Roman" w:cs="Times New Roman"/>
          <w:lang w:val="en-US"/>
        </w:rPr>
        <w:t xml:space="preserve">‘Hutu Ten Commandments’, </w:t>
      </w:r>
      <w:proofErr w:type="spellStart"/>
      <w:r w:rsidRPr="00DA1B3A">
        <w:rPr>
          <w:rFonts w:ascii="Times New Roman" w:hAnsi="Times New Roman" w:cs="Times New Roman"/>
          <w:i/>
          <w:iCs/>
          <w:lang w:val="en-US"/>
        </w:rPr>
        <w:t>Kangura</w:t>
      </w:r>
      <w:proofErr w:type="spellEnd"/>
      <w:r w:rsidRPr="00DA1B3A">
        <w:rPr>
          <w:rFonts w:ascii="Times New Roman" w:hAnsi="Times New Roman" w:cs="Times New Roman"/>
          <w:i/>
          <w:iCs/>
          <w:lang w:val="en-US"/>
        </w:rPr>
        <w:t xml:space="preserve">, </w:t>
      </w:r>
      <w:r w:rsidRPr="00DA1B3A">
        <w:rPr>
          <w:rFonts w:ascii="Times New Roman" w:hAnsi="Times New Roman" w:cs="Times New Roman"/>
          <w:lang w:val="en-US"/>
        </w:rPr>
        <w:t>December 1990.</w:t>
      </w:r>
    </w:p>
    <w:p w14:paraId="2772D66C" w14:textId="77777777" w:rsidR="001A2446" w:rsidRPr="00DA1B3A" w:rsidRDefault="001A2446" w:rsidP="001A2446">
      <w:pPr>
        <w:rPr>
          <w:rFonts w:ascii="Times New Roman" w:hAnsi="Times New Roman" w:cs="Times New Roman"/>
          <w:lang w:val="en-US"/>
        </w:rPr>
      </w:pPr>
      <w:r w:rsidRPr="00DA1B3A">
        <w:rPr>
          <w:rFonts w:ascii="Times New Roman" w:hAnsi="Times New Roman" w:cs="Times New Roman"/>
          <w:lang w:val="en-US"/>
        </w:rPr>
        <w:t>HUTU TEN COMMANDMENTS</w:t>
      </w:r>
    </w:p>
    <w:p w14:paraId="7B98BA1C"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Every Hutu should know that a Tutsi woman, whoever she is, works for the interest of her Tutsi ethnic group. As a result, we shall consider a traitor any Hutu who</w:t>
      </w:r>
    </w:p>
    <w:p w14:paraId="2D28ABF3" w14:textId="77777777" w:rsidR="001A2446" w:rsidRPr="00DA1B3A" w:rsidRDefault="001A2446" w:rsidP="001A2446">
      <w:pPr>
        <w:pStyle w:val="ListParagraph"/>
        <w:numPr>
          <w:ilvl w:val="0"/>
          <w:numId w:val="2"/>
        </w:numPr>
        <w:spacing w:after="160" w:line="278" w:lineRule="auto"/>
        <w:rPr>
          <w:rFonts w:ascii="Times New Roman" w:hAnsi="Times New Roman" w:cs="Times New Roman"/>
          <w:lang w:val="en-US"/>
        </w:rPr>
      </w:pPr>
      <w:r w:rsidRPr="00DA1B3A">
        <w:rPr>
          <w:rFonts w:ascii="Times New Roman" w:hAnsi="Times New Roman" w:cs="Times New Roman"/>
          <w:lang w:val="en-US"/>
        </w:rPr>
        <w:t>Marries a Tutsi woman</w:t>
      </w:r>
    </w:p>
    <w:p w14:paraId="0C5952C9" w14:textId="77777777" w:rsidR="001A2446" w:rsidRPr="00DA1B3A" w:rsidRDefault="001A2446" w:rsidP="001A2446">
      <w:pPr>
        <w:pStyle w:val="ListParagraph"/>
        <w:numPr>
          <w:ilvl w:val="0"/>
          <w:numId w:val="2"/>
        </w:numPr>
        <w:spacing w:after="160" w:line="278" w:lineRule="auto"/>
        <w:rPr>
          <w:rFonts w:ascii="Times New Roman" w:hAnsi="Times New Roman" w:cs="Times New Roman"/>
          <w:lang w:val="en-US"/>
        </w:rPr>
      </w:pPr>
      <w:r w:rsidRPr="00DA1B3A">
        <w:rPr>
          <w:rFonts w:ascii="Times New Roman" w:hAnsi="Times New Roman" w:cs="Times New Roman"/>
          <w:lang w:val="en-US"/>
        </w:rPr>
        <w:t>Befriends a Tutsi woman</w:t>
      </w:r>
    </w:p>
    <w:p w14:paraId="59C9A3C3" w14:textId="77777777" w:rsidR="001A2446" w:rsidRPr="00DA1B3A" w:rsidRDefault="001A2446" w:rsidP="001A2446">
      <w:pPr>
        <w:pStyle w:val="ListParagraph"/>
        <w:numPr>
          <w:ilvl w:val="0"/>
          <w:numId w:val="2"/>
        </w:numPr>
        <w:spacing w:after="160" w:line="278" w:lineRule="auto"/>
        <w:rPr>
          <w:rFonts w:ascii="Times New Roman" w:hAnsi="Times New Roman" w:cs="Times New Roman"/>
          <w:lang w:val="en-US"/>
        </w:rPr>
      </w:pPr>
      <w:r w:rsidRPr="00DA1B3A">
        <w:rPr>
          <w:rFonts w:ascii="Times New Roman" w:hAnsi="Times New Roman" w:cs="Times New Roman"/>
          <w:lang w:val="en-US"/>
        </w:rPr>
        <w:t>Employs a Tutsi woman as a secretary or a concubine.</w:t>
      </w:r>
    </w:p>
    <w:p w14:paraId="279C5944"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Every Hutu should know that our Hutu daughters are more suitable and conscientious in their role as a woman, wife and mother of the family. Are they not beautiful, good secretaries and more honest?</w:t>
      </w:r>
    </w:p>
    <w:p w14:paraId="34194EFC"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Hutu women, be vigilant and try to bring your husbands, brothers and sons back to reason.</w:t>
      </w:r>
    </w:p>
    <w:p w14:paraId="49F7E5C0"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Every Hutu should know that every Tutsi is dishonest in business. His only aim is the supremacy of his ethnic group. As a result, any Hutu who does the following is a traitor:</w:t>
      </w:r>
    </w:p>
    <w:p w14:paraId="4635C62D"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Makes a partnership with Tutsi in business</w:t>
      </w:r>
    </w:p>
    <w:p w14:paraId="18007482"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Invests his money or the government’s money in a Tutsi enterprise</w:t>
      </w:r>
    </w:p>
    <w:p w14:paraId="64824FA1"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Lends or borrows money from a Tutsi</w:t>
      </w:r>
    </w:p>
    <w:p w14:paraId="7635BA5D" w14:textId="77777777" w:rsidR="001A2446" w:rsidRPr="00DA1B3A" w:rsidRDefault="001A2446" w:rsidP="001A2446">
      <w:pPr>
        <w:pStyle w:val="ListParagraph"/>
        <w:numPr>
          <w:ilvl w:val="0"/>
          <w:numId w:val="3"/>
        </w:numPr>
        <w:spacing w:after="160" w:line="278" w:lineRule="auto"/>
        <w:rPr>
          <w:rFonts w:ascii="Times New Roman" w:hAnsi="Times New Roman" w:cs="Times New Roman"/>
          <w:lang w:val="en-US"/>
        </w:rPr>
      </w:pPr>
      <w:r w:rsidRPr="00DA1B3A">
        <w:rPr>
          <w:rFonts w:ascii="Times New Roman" w:hAnsi="Times New Roman" w:cs="Times New Roman"/>
          <w:lang w:val="en-US"/>
        </w:rPr>
        <w:t xml:space="preserve">Gives </w:t>
      </w:r>
      <w:proofErr w:type="spellStart"/>
      <w:r w:rsidRPr="00DA1B3A">
        <w:rPr>
          <w:rFonts w:ascii="Times New Roman" w:hAnsi="Times New Roman" w:cs="Times New Roman"/>
          <w:lang w:val="en-US"/>
        </w:rPr>
        <w:t>favours</w:t>
      </w:r>
      <w:proofErr w:type="spellEnd"/>
      <w:r w:rsidRPr="00DA1B3A">
        <w:rPr>
          <w:rFonts w:ascii="Times New Roman" w:hAnsi="Times New Roman" w:cs="Times New Roman"/>
          <w:lang w:val="en-US"/>
        </w:rPr>
        <w:t xml:space="preserve"> to Tutsi in business (obtaining import licenses, bank loans, construction sites, public markets, etc.)</w:t>
      </w:r>
    </w:p>
    <w:p w14:paraId="063B6AB0"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All strategic positions, political, administrative, economic, military and security should be only to Hutu.</w:t>
      </w:r>
    </w:p>
    <w:p w14:paraId="3078A0CE"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education sector (school pupils, students, teachers) must be majority Hutu.</w:t>
      </w:r>
    </w:p>
    <w:p w14:paraId="1EBDC186"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Rwandan Armed Forces should be exclusively Hutu. The experience of the October 1990 war has taught us a lesson. No member of the military shall marry a Tutsi.</w:t>
      </w:r>
    </w:p>
    <w:p w14:paraId="70B5FE7B"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Hutu should stop having mercy on the Tutsi.</w:t>
      </w:r>
    </w:p>
    <w:p w14:paraId="10F0957F"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Hutu, wherever they are, must have unity and solidarity and be concerned with the fate of their Hutu brothers.</w:t>
      </w:r>
    </w:p>
    <w:p w14:paraId="78A3D052" w14:textId="77777777" w:rsidR="001A2446" w:rsidRPr="00DA1B3A" w:rsidRDefault="001A2446" w:rsidP="001A2446">
      <w:pPr>
        <w:pStyle w:val="ListParagraph"/>
        <w:numPr>
          <w:ilvl w:val="0"/>
          <w:numId w:val="4"/>
        </w:numPr>
        <w:spacing w:after="160" w:line="278" w:lineRule="auto"/>
        <w:rPr>
          <w:rFonts w:ascii="Times New Roman" w:hAnsi="Times New Roman" w:cs="Times New Roman"/>
          <w:lang w:val="en-US"/>
        </w:rPr>
      </w:pPr>
      <w:r w:rsidRPr="00DA1B3A">
        <w:rPr>
          <w:rFonts w:ascii="Times New Roman" w:hAnsi="Times New Roman" w:cs="Times New Roman"/>
          <w:lang w:val="en-US"/>
        </w:rPr>
        <w:t>The Hutu inside and outside Rwanda must constantly look for friends and allies for the Hutu cause, starting with their Hutu brothers</w:t>
      </w:r>
    </w:p>
    <w:p w14:paraId="3F7BD9EB" w14:textId="77777777" w:rsidR="001A2446" w:rsidRPr="00DA1B3A" w:rsidRDefault="001A2446" w:rsidP="001A2446">
      <w:pPr>
        <w:pStyle w:val="ListParagraph"/>
        <w:numPr>
          <w:ilvl w:val="0"/>
          <w:numId w:val="4"/>
        </w:numPr>
        <w:spacing w:after="160" w:line="278" w:lineRule="auto"/>
        <w:rPr>
          <w:rFonts w:ascii="Times New Roman" w:hAnsi="Times New Roman" w:cs="Times New Roman"/>
          <w:lang w:val="en-US"/>
        </w:rPr>
      </w:pPr>
      <w:r w:rsidRPr="00DA1B3A">
        <w:rPr>
          <w:rFonts w:ascii="Times New Roman" w:hAnsi="Times New Roman" w:cs="Times New Roman"/>
          <w:lang w:val="en-US"/>
        </w:rPr>
        <w:t>They must constantly counteract Tutsi propaganda.</w:t>
      </w:r>
    </w:p>
    <w:p w14:paraId="0D63D714" w14:textId="77777777" w:rsidR="001A2446" w:rsidRPr="00DA1B3A" w:rsidRDefault="001A2446" w:rsidP="001A2446">
      <w:pPr>
        <w:pStyle w:val="ListParagraph"/>
        <w:numPr>
          <w:ilvl w:val="0"/>
          <w:numId w:val="4"/>
        </w:numPr>
        <w:spacing w:after="160" w:line="278" w:lineRule="auto"/>
        <w:rPr>
          <w:rFonts w:ascii="Times New Roman" w:hAnsi="Times New Roman" w:cs="Times New Roman"/>
          <w:lang w:val="en-US"/>
        </w:rPr>
      </w:pPr>
      <w:r w:rsidRPr="00DA1B3A">
        <w:rPr>
          <w:rFonts w:ascii="Times New Roman" w:hAnsi="Times New Roman" w:cs="Times New Roman"/>
          <w:lang w:val="en-US"/>
        </w:rPr>
        <w:t>The Hutu must be firm and vigilant against their common Tutsi enemy.</w:t>
      </w:r>
    </w:p>
    <w:p w14:paraId="4A3ED16A" w14:textId="77777777" w:rsidR="001A2446" w:rsidRPr="00DA1B3A" w:rsidRDefault="001A2446" w:rsidP="001A2446">
      <w:pPr>
        <w:pStyle w:val="ListParagraph"/>
        <w:numPr>
          <w:ilvl w:val="0"/>
          <w:numId w:val="1"/>
        </w:numPr>
        <w:spacing w:after="160" w:line="278" w:lineRule="auto"/>
        <w:rPr>
          <w:rFonts w:ascii="Times New Roman" w:hAnsi="Times New Roman" w:cs="Times New Roman"/>
          <w:lang w:val="en-US"/>
        </w:rPr>
      </w:pPr>
      <w:r w:rsidRPr="00DA1B3A">
        <w:rPr>
          <w:rFonts w:ascii="Times New Roman" w:hAnsi="Times New Roman" w:cs="Times New Roman"/>
          <w:lang w:val="en-US"/>
        </w:rPr>
        <w:t>The Social Revolution of 1959, the Referendum of 1961, and the Hutu ideology, must be taught to Hutu at every level. Every Hutu must spread this ideology widely. Any Hutu who persecutes his brother Hutu for having read, spread, and taught this ideology is a traitor.</w:t>
      </w:r>
    </w:p>
    <w:p w14:paraId="01565532" w14:textId="77777777" w:rsidR="001A2446" w:rsidRDefault="001A2446"/>
    <w:p w14:paraId="4B51DFED" w14:textId="77777777" w:rsidR="002658D6" w:rsidRDefault="002658D6"/>
    <w:p w14:paraId="4E8368A2" w14:textId="77777777" w:rsidR="00DA1B3A" w:rsidRDefault="00DA1B3A"/>
    <w:p w14:paraId="3C137791" w14:textId="77777777" w:rsidR="00DA1B3A" w:rsidRDefault="00DA1B3A"/>
    <w:p w14:paraId="6BD46C3C" w14:textId="77777777" w:rsidR="00DA1B3A" w:rsidRDefault="00DA1B3A"/>
    <w:p w14:paraId="692ACD2B" w14:textId="77777777" w:rsidR="0087570B" w:rsidRDefault="0087570B" w:rsidP="0087570B">
      <w:pPr>
        <w:rPr>
          <w:rFonts w:ascii="Times New Roman" w:hAnsi="Times New Roman" w:cs="Times New Roman"/>
          <w:u w:val="single"/>
        </w:rPr>
      </w:pPr>
      <w:r w:rsidRPr="006D3C52">
        <w:rPr>
          <w:rFonts w:ascii="Times New Roman" w:hAnsi="Times New Roman" w:cs="Times New Roman"/>
          <w:u w:val="single"/>
        </w:rPr>
        <w:t>Introduction</w:t>
      </w:r>
    </w:p>
    <w:p w14:paraId="2A0DDCE3" w14:textId="77777777" w:rsidR="0087570B" w:rsidRPr="006D3C52" w:rsidRDefault="0087570B" w:rsidP="0087570B">
      <w:pPr>
        <w:rPr>
          <w:rFonts w:ascii="Times New Roman" w:hAnsi="Times New Roman" w:cs="Times New Roman"/>
          <w:u w:val="single"/>
        </w:rPr>
      </w:pPr>
    </w:p>
    <w:p w14:paraId="70DFCA60" w14:textId="77777777" w:rsidR="0087570B" w:rsidRPr="006D3C52" w:rsidRDefault="0087570B" w:rsidP="0087570B">
      <w:pPr>
        <w:rPr>
          <w:rFonts w:ascii="Times New Roman" w:eastAsia="Times New Roman" w:hAnsi="Times New Roman" w:cs="Times New Roman"/>
          <w:color w:val="000000"/>
          <w:kern w:val="0"/>
          <w:sz w:val="22"/>
          <w:szCs w:val="22"/>
          <w:lang w:eastAsia="en-GB"/>
          <w14:ligatures w14:val="none"/>
        </w:rPr>
      </w:pPr>
      <w:r w:rsidRPr="0060726A">
        <w:rPr>
          <w:rFonts w:ascii="Times New Roman" w:hAnsi="Times New Roman" w:cs="Times New Roman"/>
          <w:color w:val="000000"/>
        </w:rPr>
        <w:t xml:space="preserve">This primary source analysis aims to understand its relevance at the time of the Rwandan Genocide, and its historical value. How the ‘Hutu Ten Commandments’ which was featured in the Kangura, a Magazine created to spread dehumanising ethnic hatred across Rwanda, could help understand the Genocide today. In aiding to understand the significance of the Ten Commandments, the analysis will first explore the background. This will entail what </w:t>
      </w:r>
      <w:r>
        <w:rPr>
          <w:rFonts w:ascii="Times New Roman" w:hAnsi="Times New Roman" w:cs="Times New Roman"/>
          <w:color w:val="000000"/>
        </w:rPr>
        <w:t xml:space="preserve">led to </w:t>
      </w:r>
      <w:r w:rsidRPr="0060726A">
        <w:rPr>
          <w:rFonts w:ascii="Times New Roman" w:hAnsi="Times New Roman" w:cs="Times New Roman"/>
          <w:color w:val="000000"/>
        </w:rPr>
        <w:t>the creation of the Kangura magazine, the living conditions of both Tutsi and Hutu and the colonial history that paved the way to the creation. Then, the contents are followed by an analysis</w:t>
      </w:r>
      <w:r>
        <w:rPr>
          <w:rFonts w:ascii="Times New Roman" w:hAnsi="Times New Roman" w:cs="Times New Roman"/>
          <w:color w:val="000000"/>
        </w:rPr>
        <w:t xml:space="preserve"> of the Hutu Ten Commandments. This will look directly at language, placement of each commandment and possible indicators of gendered violence</w:t>
      </w:r>
      <w:r w:rsidRPr="0060726A">
        <w:rPr>
          <w:rFonts w:ascii="Times New Roman" w:hAnsi="Times New Roman" w:cs="Times New Roman"/>
          <w:color w:val="000000"/>
        </w:rPr>
        <w:t xml:space="preserve">. Lastly, an analysis of the effectiveness </w:t>
      </w:r>
      <w:r>
        <w:rPr>
          <w:rFonts w:ascii="Times New Roman" w:hAnsi="Times New Roman" w:cs="Times New Roman"/>
          <w:color w:val="000000"/>
        </w:rPr>
        <w:t xml:space="preserve">of the Hutu Ten Commandments and violent participation </w:t>
      </w:r>
      <w:r w:rsidRPr="0060726A">
        <w:rPr>
          <w:rFonts w:ascii="Times New Roman" w:hAnsi="Times New Roman" w:cs="Times New Roman"/>
          <w:color w:val="000000"/>
        </w:rPr>
        <w:t xml:space="preserve">will </w:t>
      </w:r>
      <w:r>
        <w:rPr>
          <w:rFonts w:ascii="Times New Roman" w:hAnsi="Times New Roman" w:cs="Times New Roman"/>
          <w:color w:val="000000"/>
        </w:rPr>
        <w:t xml:space="preserve">also </w:t>
      </w:r>
      <w:r w:rsidRPr="0060726A">
        <w:rPr>
          <w:rFonts w:ascii="Times New Roman" w:hAnsi="Times New Roman" w:cs="Times New Roman"/>
          <w:color w:val="000000"/>
        </w:rPr>
        <w:t>look at the aftermath and its role in the Rwandan Genocide. Ultimately each section will aim to understand the relevance, but the aftermath specifically will try to help understand the role of propaganda that the press, radio and magazines played in installing fear into the lives of not only the Tutsi but the Hutu too.</w:t>
      </w:r>
      <w:r w:rsidRPr="006D3C52">
        <w:rPr>
          <w:rFonts w:ascii="Times New Roman" w:eastAsia="Times New Roman" w:hAnsi="Times New Roman" w:cs="Times New Roman"/>
          <w:color w:val="000000"/>
          <w:kern w:val="0"/>
          <w:sz w:val="22"/>
          <w:szCs w:val="22"/>
          <w:lang w:eastAsia="en-GB"/>
          <w14:ligatures w14:val="none"/>
        </w:rPr>
        <w:t> </w:t>
      </w:r>
    </w:p>
    <w:p w14:paraId="5463C3E1" w14:textId="77777777" w:rsidR="0087570B" w:rsidRDefault="0087570B" w:rsidP="0087570B">
      <w:pPr>
        <w:rPr>
          <w:rFonts w:ascii="Times New Roman" w:eastAsia="Times New Roman" w:hAnsi="Times New Roman" w:cs="Times New Roman"/>
          <w:color w:val="000000"/>
          <w:kern w:val="0"/>
          <w:u w:val="single"/>
          <w:lang w:eastAsia="en-GB"/>
          <w14:ligatures w14:val="none"/>
        </w:rPr>
      </w:pPr>
    </w:p>
    <w:p w14:paraId="125E6416"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Background</w:t>
      </w:r>
    </w:p>
    <w:p w14:paraId="4A324F32"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07151BA4"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For a long time, the Rwandan genocide was presented as a tribal conflict thus fuelling a narrative that the outside world bore no responsibility to intervene. Chossudovsky (1996) and Prunier (1995)</w:t>
      </w:r>
      <w:r>
        <w:rPr>
          <w:rFonts w:ascii="Times New Roman" w:eastAsia="Times New Roman" w:hAnsi="Times New Roman" w:cs="Times New Roman"/>
          <w:color w:val="000000"/>
          <w:kern w:val="0"/>
          <w:lang w:eastAsia="en-GB"/>
          <w14:ligatures w14:val="none"/>
        </w:rPr>
        <w:t xml:space="preserve"> </w:t>
      </w:r>
      <w:r w:rsidRPr="006D3C52">
        <w:rPr>
          <w:rFonts w:ascii="Times New Roman" w:eastAsia="Times New Roman" w:hAnsi="Times New Roman" w:cs="Times New Roman"/>
          <w:color w:val="000000"/>
          <w:kern w:val="0"/>
          <w:lang w:eastAsia="en-GB"/>
          <w14:ligatures w14:val="none"/>
        </w:rPr>
        <w:t>both argue that the opposite is true, that former colonial powers such as the legacy of Belgium and Germany and institutions such as the IMF and World Bank, created the financial and social instability that would allow for the genocide. From the beginning the Tutsi and Hutu were categorized based on their physical features, the Tutsi being described as a ‘good race’, tall, slim and the women light skin whilst the Hutu were described as short, extroverted people with a wide nose and a jovial expression (Prunier, 1995, p 6.). This would then set the tone for the difference in lifestyle both groups would live. The Hutu lived as a lower-class agricultural group, the Tutsi as leaders and higher-class citizens. The colonial powers created a divide within social groups, creating a hierarchy that would last for decades and ultimately lead to a consensus feeling of resentment from one group to the other. </w:t>
      </w:r>
    </w:p>
    <w:p w14:paraId="4FD21A53"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4A48C163"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The classic ‘divide and conquer’ method used by colonial powers then and now, did as both Prunier and Chossudovsky argue, create the unstable reality for both social groups. Since the Rwandan independence from Belgium in 1962, Rwanda became predominately Hutu with a dominant Hutu party ruling. Social and economic life in Rwanda seemed relatively stable, until the beginning of violence between the Hutu and Tutsi in Burundi began pouring its way from Burundi and into the border (Yanagizawa-Drott, 2014). However, this should not be mistaken with sympathies to the Hutu’s Ten Commandments but should be used to understand the role that colonial projects and economic distress played a vital role in what came. The Hutus, as mentioned, were second-class citizens characterised as ‘dominated caste’ whilst the Tutsi were educated and part of an ‘aristocratic dynasty’ (Chossudovsky, 1996, p 939). As most cases of Genocide show, social exclusion and low living conditions are key components in driving Genocide (Bowles et al, 2012, p 437). Therefore, it is no surprise, following the lessons of Nazi Germany’s ‘master race’ and many other Genocides before the </w:t>
      </w:r>
      <w:r w:rsidRPr="006D3C52">
        <w:rPr>
          <w:rFonts w:ascii="Times New Roman" w:eastAsia="Times New Roman" w:hAnsi="Times New Roman" w:cs="Times New Roman"/>
          <w:color w:val="000000"/>
          <w:kern w:val="0"/>
          <w:lang w:eastAsia="en-GB"/>
          <w14:ligatures w14:val="none"/>
        </w:rPr>
        <w:lastRenderedPageBreak/>
        <w:t>Rwandan Genocide, that the Hutu’s Ten Commandments would very plainly show the warning signs for Genocide. </w:t>
      </w:r>
    </w:p>
    <w:p w14:paraId="642FC7A2"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180A756F"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Contents and Analysis</w:t>
      </w:r>
    </w:p>
    <w:p w14:paraId="6447E629"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5558DA2"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The Hutu Ten Commandments appeared in the Kangura; a widely circulated paper created as a tool to spread Hutu propaganda. The co-founder and author of the Hutu Ten Commandments is Hassan Ngeze (Prunier, 1995, p 165).  Hassan Ngeze, at the time, was a highly respected journalist and advisor to the Coalition for the Defence of the Republic (known as the CDR) (Thompson et al, 2007, p 78.). </w:t>
      </w:r>
      <w:proofErr w:type="spellStart"/>
      <w:r w:rsidRPr="006D3C52">
        <w:rPr>
          <w:rFonts w:ascii="Times New Roman" w:eastAsia="Times New Roman" w:hAnsi="Times New Roman" w:cs="Times New Roman"/>
          <w:color w:val="000000"/>
          <w:kern w:val="0"/>
          <w:lang w:eastAsia="en-GB"/>
          <w14:ligatures w14:val="none"/>
        </w:rPr>
        <w:t>Nqeze’s</w:t>
      </w:r>
      <w:proofErr w:type="spellEnd"/>
      <w:r w:rsidRPr="006D3C52">
        <w:rPr>
          <w:rFonts w:ascii="Times New Roman" w:eastAsia="Times New Roman" w:hAnsi="Times New Roman" w:cs="Times New Roman"/>
          <w:color w:val="000000"/>
          <w:kern w:val="0"/>
          <w:lang w:eastAsia="en-GB"/>
          <w14:ligatures w14:val="none"/>
        </w:rPr>
        <w:t xml:space="preserve"> aim with the Ten Commandments is very clear, to ensure that all Tutsi are deemed a threat, and anyone who associates with them a traitor. The first Commandment until the third commandment mentions only women. The first two dehumanize Tutsi women and the third is a direct order to Hutu women as a way of a last resort to save the Hutu men from becoming traitors. The placement of the mentioning of women in the list is unlikely a coincidence. During the genocide, sexual violence was rampant. Women were not the only victims, of course, men suffered too, but there is evidence that women disproportionately suffered unique atrocities (Herrmann-Rafferty, 2025). The Hutu Ten Commandments have an obvious idea of what a woman’s role is in society. The third commandment describes Hutu daughters as suitable and conscientious in their roles as wives, mothers and women. They are described as ‘…beautiful, good secretaries and more honest’ (Kangura, 1990). Arguably, the Ten Commandments aim is not only to establish a Hutu majority country but to also keep women in specific roles, creating a ruling class of Hutu men. </w:t>
      </w:r>
    </w:p>
    <w:p w14:paraId="2E27586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677CF2C"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Commandments 4 to 7 describe roles in society, government and business which should only be ‘entrusted’ to Hutu. Although it does not explicitly say Hutu men in the commandment, there is an obvious divide expected in roles between the men and women of Hutu society that the Kangura is not shy in expressing. Commandment 8, the shortest written commandment but one of high demand, calls for no mercy on Tutsi. This is after explaining earlier in the commandments that Tutsi are dishonest, with the only aim of the Tutsi being the supremacy of their ethnic group. It is also listed directly after the reminder of the October 1990 war. The October 1990 war, which happened just two months before the Kangura released the Hutu Ten Commandments, had created tensions between the Hutu and Tutsi. Tutsi were labelled as RPF sympathisers, and untrustworthy, suspects and were discriminated against (Newbury, 1995). The October 1990 war is mentioned to antagonise Hutu who were impacted, using emotional and possibly physical pain caused by the war as fuel for hatred against the Tutsis. The final two commandments, number 8 and 9, reiterate the propaganda that has been fed in previous commandments. Commandment 9 attempts to unite Hutu men or ‘brothers’ against their ‘common Tutsi enemy’ a kind of pre-emptive war cry. The word ‘must’ </w:t>
      </w:r>
      <w:proofErr w:type="gramStart"/>
      <w:r w:rsidRPr="006D3C52">
        <w:rPr>
          <w:rFonts w:ascii="Times New Roman" w:eastAsia="Times New Roman" w:hAnsi="Times New Roman" w:cs="Times New Roman"/>
          <w:color w:val="000000"/>
          <w:kern w:val="0"/>
          <w:lang w:eastAsia="en-GB"/>
          <w14:ligatures w14:val="none"/>
        </w:rPr>
        <w:t>is</w:t>
      </w:r>
      <w:proofErr w:type="gramEnd"/>
      <w:r w:rsidRPr="006D3C52">
        <w:rPr>
          <w:rFonts w:ascii="Times New Roman" w:eastAsia="Times New Roman" w:hAnsi="Times New Roman" w:cs="Times New Roman"/>
          <w:color w:val="000000"/>
          <w:kern w:val="0"/>
          <w:lang w:eastAsia="en-GB"/>
          <w14:ligatures w14:val="none"/>
        </w:rPr>
        <w:t xml:space="preserve"> used, although a simple word, it highlights the importance of these tasks to the Kangura cause/propaganda. It is very clear what is expected of Hutu men and women. It is written plainly enough that anyone with any level of education could understand. Catered for all and every Hutu whilst simultaneously sending fear and discrimination to the Tutsi. The last word used in the Ten Commandments is Traitor. This word is used three times throughout, ensuring it is echoed in the mind of every Hutu who reads. The targeted audience for the Ten Commandments may not be as simple as choosing Hutu or Tutsi. But one thing is clear, the driving force of this article is to incite fear in both groups. It is a warning for either side, there is no safe option for either Tutsi or Hutu. </w:t>
      </w:r>
    </w:p>
    <w:p w14:paraId="2D539DB5"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7BD5F09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597C71ED"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lastRenderedPageBreak/>
        <w:t> </w:t>
      </w:r>
    </w:p>
    <w:p w14:paraId="162B8876"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Effectiveness and Aftermath</w:t>
      </w:r>
    </w:p>
    <w:p w14:paraId="1F1ED7E8"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7D4DAC3B" w14:textId="1BC2356F"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The publication of the Ten Commandments as an individual piece was not enough to draw in followers to commit acts of violence against the Tutsi (Thompson et al, 2007, p63.). In 1991 the literacy rate in Rwanda for over 15’s, according to the World Bank, was 58% (World Bank, 2024). The CDR, of whom Ngeze was an advisor, had utilized the Ten Commandments and it would be interpreted as a manifesto. It is also worth noting, Ngeze in 1994 became associated with the Radio Television Libre del Mille </w:t>
      </w:r>
      <w:proofErr w:type="spellStart"/>
      <w:r w:rsidRPr="006D3C52">
        <w:rPr>
          <w:rFonts w:ascii="Times New Roman" w:eastAsia="Times New Roman" w:hAnsi="Times New Roman" w:cs="Times New Roman"/>
          <w:color w:val="000000"/>
          <w:kern w:val="0"/>
          <w:lang w:eastAsia="en-GB"/>
          <w14:ligatures w14:val="none"/>
        </w:rPr>
        <w:t>Collines</w:t>
      </w:r>
      <w:proofErr w:type="spellEnd"/>
      <w:r w:rsidRPr="006D3C52">
        <w:rPr>
          <w:rFonts w:ascii="Times New Roman" w:eastAsia="Times New Roman" w:hAnsi="Times New Roman" w:cs="Times New Roman"/>
          <w:color w:val="000000"/>
          <w:kern w:val="0"/>
          <w:lang w:eastAsia="en-GB"/>
          <w14:ligatures w14:val="none"/>
        </w:rPr>
        <w:t xml:space="preserve"> (RTLM)</w:t>
      </w:r>
      <w:r w:rsidR="00975BD1">
        <w:rPr>
          <w:rFonts w:ascii="Times New Roman" w:eastAsia="Times New Roman" w:hAnsi="Times New Roman" w:cs="Times New Roman"/>
          <w:color w:val="000000"/>
          <w:kern w:val="0"/>
          <w:lang w:eastAsia="en-GB"/>
          <w14:ligatures w14:val="none"/>
        </w:rPr>
        <w:t xml:space="preserve">. </w:t>
      </w:r>
      <w:r w:rsidRPr="006D3C52">
        <w:rPr>
          <w:rFonts w:ascii="Times New Roman" w:eastAsia="Times New Roman" w:hAnsi="Times New Roman" w:cs="Times New Roman"/>
          <w:color w:val="000000"/>
          <w:kern w:val="0"/>
          <w:lang w:eastAsia="en-GB"/>
          <w14:ligatures w14:val="none"/>
        </w:rPr>
        <w:t xml:space="preserve">The Ten Commandments, although there is no evidence of it being read out on the radio, could have been a vital source for fear-mongering and dehumanizing Tutsi on the radio because of </w:t>
      </w:r>
      <w:proofErr w:type="spellStart"/>
      <w:r w:rsidRPr="006D3C52">
        <w:rPr>
          <w:rFonts w:ascii="Times New Roman" w:eastAsia="Times New Roman" w:hAnsi="Times New Roman" w:cs="Times New Roman"/>
          <w:color w:val="000000"/>
          <w:kern w:val="0"/>
          <w:lang w:eastAsia="en-GB"/>
          <w14:ligatures w14:val="none"/>
        </w:rPr>
        <w:t>Ngeze’s</w:t>
      </w:r>
      <w:proofErr w:type="spellEnd"/>
      <w:r w:rsidRPr="006D3C52">
        <w:rPr>
          <w:rFonts w:ascii="Times New Roman" w:eastAsia="Times New Roman" w:hAnsi="Times New Roman" w:cs="Times New Roman"/>
          <w:color w:val="000000"/>
          <w:kern w:val="0"/>
          <w:lang w:eastAsia="en-GB"/>
          <w14:ligatures w14:val="none"/>
        </w:rPr>
        <w:t xml:space="preserve"> role in both propaganda media. Ngeze was interviewed various times on the Radio himself, playing a vital role in the Rwandan Genocide. Ngeze was not the only link between the Kangura and the RTLM. Former multimillionaire </w:t>
      </w:r>
      <w:proofErr w:type="spellStart"/>
      <w:r w:rsidRPr="006D3C52">
        <w:rPr>
          <w:rFonts w:ascii="Times New Roman" w:eastAsia="Times New Roman" w:hAnsi="Times New Roman" w:cs="Times New Roman"/>
          <w:color w:val="000000"/>
          <w:kern w:val="0"/>
          <w:lang w:eastAsia="en-GB"/>
          <w14:ligatures w14:val="none"/>
        </w:rPr>
        <w:t>Félicien</w:t>
      </w:r>
      <w:proofErr w:type="spellEnd"/>
      <w:r w:rsidRPr="006D3C52">
        <w:rPr>
          <w:rFonts w:ascii="Times New Roman" w:eastAsia="Times New Roman" w:hAnsi="Times New Roman" w:cs="Times New Roman"/>
          <w:color w:val="000000"/>
          <w:kern w:val="0"/>
          <w:lang w:eastAsia="en-GB"/>
          <w14:ligatures w14:val="none"/>
        </w:rPr>
        <w:t xml:space="preserve"> Kabuga was associated with both the radio and Kangura (Trial, 2016). Both RTLM and the Kangura were large tools for spreading hate and propaganda, in terms of effectiveness, Thompson (2007) argues that the low level of literate Rwandans meant the radio would reach a wider audience. The Radio was not utilised as a direct incentive for Hutu to kill Tutsi until March 1992, two years before the genocide. </w:t>
      </w:r>
    </w:p>
    <w:p w14:paraId="27D5422E"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B58A405" w14:textId="100410BC"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The number of Tutsi and Hutu moderates killed is estimated between 800,000 and 1,000,000, although the actual number could be higher (</w:t>
      </w:r>
      <w:proofErr w:type="spellStart"/>
      <w:r w:rsidRPr="006D3C52">
        <w:rPr>
          <w:rFonts w:ascii="Times New Roman" w:eastAsia="Times New Roman" w:hAnsi="Times New Roman" w:cs="Times New Roman"/>
          <w:color w:val="000000"/>
          <w:kern w:val="0"/>
          <w:lang w:eastAsia="en-GB"/>
          <w14:ligatures w14:val="none"/>
        </w:rPr>
        <w:t>Meierhenrich</w:t>
      </w:r>
      <w:proofErr w:type="spellEnd"/>
      <w:r w:rsidRPr="006D3C52">
        <w:rPr>
          <w:rFonts w:ascii="Times New Roman" w:eastAsia="Times New Roman" w:hAnsi="Times New Roman" w:cs="Times New Roman"/>
          <w:color w:val="000000"/>
          <w:kern w:val="0"/>
          <w:lang w:eastAsia="en-GB"/>
          <w14:ligatures w14:val="none"/>
        </w:rPr>
        <w:t xml:space="preserve">, 2020). This happened in 100 days, which equates to 5,000 to 10,000 killings per day for 100 days. In a journal article written by David Yanagizawa-Drott, (2014), Yanagizawa-Drott claims evidence shows radio broadcasts of anti-Tutsi propaganda played a vital role in participation in </w:t>
      </w:r>
      <w:r w:rsidR="00F80070">
        <w:rPr>
          <w:rFonts w:ascii="Times New Roman" w:eastAsia="Times New Roman" w:hAnsi="Times New Roman" w:cs="Times New Roman"/>
          <w:color w:val="000000"/>
          <w:kern w:val="0"/>
          <w:lang w:eastAsia="en-GB"/>
          <w14:ligatures w14:val="none"/>
        </w:rPr>
        <w:t>v</w:t>
      </w:r>
      <w:r w:rsidRPr="006D3C52">
        <w:rPr>
          <w:rFonts w:ascii="Times New Roman" w:eastAsia="Times New Roman" w:hAnsi="Times New Roman" w:cs="Times New Roman"/>
          <w:color w:val="000000"/>
          <w:kern w:val="0"/>
          <w:lang w:eastAsia="en-GB"/>
          <w14:ligatures w14:val="none"/>
        </w:rPr>
        <w:t xml:space="preserve">iolence. He goes on to say that at least ten per cent of overall participation and almost one-third of the violence by militias can be attributed to the radio’s broadcasts. The data also shows an increase in violence in certain villages with good radio reception meant a spillover of violence in a neighbouring village. The UN Force Commander Romeo </w:t>
      </w:r>
      <w:proofErr w:type="spellStart"/>
      <w:r w:rsidRPr="006D3C52">
        <w:rPr>
          <w:rFonts w:ascii="Times New Roman" w:eastAsia="Times New Roman" w:hAnsi="Times New Roman" w:cs="Times New Roman"/>
          <w:color w:val="000000"/>
          <w:kern w:val="0"/>
          <w:lang w:eastAsia="en-GB"/>
          <w14:ligatures w14:val="none"/>
        </w:rPr>
        <w:t>Dallaire</w:t>
      </w:r>
      <w:proofErr w:type="spellEnd"/>
      <w:r w:rsidRPr="006D3C52">
        <w:rPr>
          <w:rFonts w:ascii="Times New Roman" w:eastAsia="Times New Roman" w:hAnsi="Times New Roman" w:cs="Times New Roman"/>
          <w:color w:val="000000"/>
          <w:kern w:val="0"/>
          <w:lang w:eastAsia="en-GB"/>
          <w14:ligatures w14:val="none"/>
        </w:rPr>
        <w:t xml:space="preserve"> urged the outside world to block RTLM signals (Yanagizawa-Drott, 2014, p), although this was ignored, this could have had significant differences to the violence during the genocide according to the evidence given by Yanagizawa-Drott. In comparison to the effectiveness of the Kangura magazine propaganda, it seems evident that while the Hutu Ten Commandments were utilized in more ways than just a piece in the K</w:t>
      </w:r>
      <w:r w:rsidR="00F80070">
        <w:rPr>
          <w:rFonts w:ascii="Times New Roman" w:eastAsia="Times New Roman" w:hAnsi="Times New Roman" w:cs="Times New Roman"/>
          <w:color w:val="000000"/>
          <w:kern w:val="0"/>
          <w:lang w:eastAsia="en-GB"/>
          <w14:ligatures w14:val="none"/>
        </w:rPr>
        <w:t>a</w:t>
      </w:r>
      <w:r w:rsidRPr="006D3C52">
        <w:rPr>
          <w:rFonts w:ascii="Times New Roman" w:eastAsia="Times New Roman" w:hAnsi="Times New Roman" w:cs="Times New Roman"/>
          <w:color w:val="000000"/>
          <w:kern w:val="0"/>
          <w:lang w:eastAsia="en-GB"/>
          <w14:ligatures w14:val="none"/>
        </w:rPr>
        <w:t>ngura magazine, the media that caught the attention of more people, Tutsi and Hutu included was the radio. </w:t>
      </w:r>
    </w:p>
    <w:p w14:paraId="52992E54"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5993368A"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xml:space="preserve">The International Criminal Tribunal for Rwanda (ICTR) was created by the UN to deal with the Rwandan genocide and process the many participants. During the legal process, Ngeze and Ferdinand Nahimana, founder of RTLM, were held guilty firstly of genocide, then they were found guilty of individual criminal responsibility such as involvement in the Kangura, RTLM and physical violence/murder (The Harvard Law Review Association, 2004, p 2771). During the tribunal, it was noted the significance of media and propaganda during the genocide. It could be argued that because of </w:t>
      </w:r>
      <w:proofErr w:type="spellStart"/>
      <w:r w:rsidRPr="006D3C52">
        <w:rPr>
          <w:rFonts w:ascii="Times New Roman" w:eastAsia="Times New Roman" w:hAnsi="Times New Roman" w:cs="Times New Roman"/>
          <w:color w:val="000000"/>
          <w:kern w:val="0"/>
          <w:lang w:eastAsia="en-GB"/>
          <w14:ligatures w14:val="none"/>
        </w:rPr>
        <w:t>Ngeze’s</w:t>
      </w:r>
      <w:proofErr w:type="spellEnd"/>
      <w:r w:rsidRPr="006D3C52">
        <w:rPr>
          <w:rFonts w:ascii="Times New Roman" w:eastAsia="Times New Roman" w:hAnsi="Times New Roman" w:cs="Times New Roman"/>
          <w:color w:val="000000"/>
          <w:kern w:val="0"/>
          <w:lang w:eastAsia="en-GB"/>
          <w14:ligatures w14:val="none"/>
        </w:rPr>
        <w:t xml:space="preserve"> role in both the Kangura and RTLM, it has been easier to trace his involvement and complicity in the genocide. At the time of this essay, Ngeze and many other extremists, sit in their cell. </w:t>
      </w:r>
      <w:r>
        <w:rPr>
          <w:rFonts w:ascii="Times New Roman" w:eastAsia="Times New Roman" w:hAnsi="Times New Roman" w:cs="Times New Roman"/>
          <w:color w:val="000000"/>
          <w:kern w:val="0"/>
          <w:lang w:eastAsia="en-GB"/>
          <w14:ligatures w14:val="none"/>
        </w:rPr>
        <w:t xml:space="preserve"> </w:t>
      </w:r>
    </w:p>
    <w:p w14:paraId="7FA026CB"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DFD31B5"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3568BF40"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u w:val="single"/>
          <w:lang w:eastAsia="en-GB"/>
          <w14:ligatures w14:val="none"/>
        </w:rPr>
        <w:t>Conclusion</w:t>
      </w:r>
    </w:p>
    <w:p w14:paraId="0E7DD391" w14:textId="77777777" w:rsidR="0087570B" w:rsidRPr="006D3C52" w:rsidRDefault="0087570B" w:rsidP="0087570B">
      <w:pPr>
        <w:rPr>
          <w:rFonts w:ascii="Times New Roman" w:eastAsia="Times New Roman" w:hAnsi="Times New Roman" w:cs="Times New Roman"/>
          <w:color w:val="000000"/>
          <w:kern w:val="0"/>
          <w:lang w:eastAsia="en-GB"/>
          <w14:ligatures w14:val="none"/>
        </w:rPr>
      </w:pPr>
      <w:r w:rsidRPr="006D3C52">
        <w:rPr>
          <w:rFonts w:ascii="Times New Roman" w:eastAsia="Times New Roman" w:hAnsi="Times New Roman" w:cs="Times New Roman"/>
          <w:color w:val="000000"/>
          <w:kern w:val="0"/>
          <w:lang w:eastAsia="en-GB"/>
          <w14:ligatures w14:val="none"/>
        </w:rPr>
        <w:t> </w:t>
      </w:r>
    </w:p>
    <w:p w14:paraId="0C2A28F0" w14:textId="77777777" w:rsidR="0087570B" w:rsidRDefault="0087570B" w:rsidP="0087570B">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lastRenderedPageBreak/>
        <w:t>To conclude, t</w:t>
      </w:r>
      <w:r w:rsidRPr="006D3C52">
        <w:rPr>
          <w:rFonts w:ascii="Times New Roman" w:eastAsia="Times New Roman" w:hAnsi="Times New Roman" w:cs="Times New Roman"/>
          <w:color w:val="000000"/>
          <w:kern w:val="0"/>
          <w:lang w:eastAsia="en-GB"/>
          <w14:ligatures w14:val="none"/>
        </w:rPr>
        <w:t xml:space="preserve">he Hutu’s Ten Commandments is quite easily a sign of the atrocities that were to come, and even more of a </w:t>
      </w:r>
      <w:r>
        <w:rPr>
          <w:rFonts w:ascii="Times New Roman" w:eastAsia="Times New Roman" w:hAnsi="Times New Roman" w:cs="Times New Roman"/>
          <w:color w:val="000000"/>
          <w:kern w:val="0"/>
          <w:lang w:eastAsia="en-GB"/>
          <w14:ligatures w14:val="none"/>
        </w:rPr>
        <w:t>call for</w:t>
      </w:r>
      <w:r w:rsidRPr="006D3C52">
        <w:rPr>
          <w:rFonts w:ascii="Times New Roman" w:eastAsia="Times New Roman" w:hAnsi="Times New Roman" w:cs="Times New Roman"/>
          <w:color w:val="000000"/>
          <w:kern w:val="0"/>
          <w:lang w:eastAsia="en-GB"/>
          <w14:ligatures w14:val="none"/>
        </w:rPr>
        <w:t xml:space="preserve"> intervention four years before the Genocide officially was recognised as beginning.</w:t>
      </w:r>
      <w:r>
        <w:rPr>
          <w:rFonts w:ascii="Times New Roman" w:eastAsia="Times New Roman" w:hAnsi="Times New Roman" w:cs="Times New Roman"/>
          <w:color w:val="000000"/>
          <w:kern w:val="0"/>
          <w:lang w:eastAsia="en-GB"/>
          <w14:ligatures w14:val="none"/>
        </w:rPr>
        <w:t xml:space="preserve"> As a historical piece, it may be more effective to use the Ten Commandments to understand warning signs for other conflicts in global politics. As mentioned, genocide is a calculated process, it is not something that happens by chance. There is a reason it is not mentioned in every war and conflict, for genocide always comes with warning signs. If there is anything to be learnt from magazines such as the Kangura, it is not to take lightly extreme right-wing ideologies and narratives. It is important to note the living conditions of the Hutu and the Tutsi royalty dynasty, although many Tutsis were also poor, that led to the Rwandan Genocide. </w:t>
      </w:r>
    </w:p>
    <w:p w14:paraId="487128B3" w14:textId="77777777" w:rsidR="0087570B" w:rsidRDefault="0087570B" w:rsidP="0087570B">
      <w:pPr>
        <w:rPr>
          <w:rFonts w:ascii="Times New Roman" w:eastAsia="Times New Roman" w:hAnsi="Times New Roman" w:cs="Times New Roman"/>
          <w:color w:val="000000"/>
          <w:kern w:val="0"/>
          <w:lang w:eastAsia="en-GB"/>
          <w14:ligatures w14:val="none"/>
        </w:rPr>
      </w:pPr>
    </w:p>
    <w:p w14:paraId="383326A1" w14:textId="7FFDFA92" w:rsidR="0087570B" w:rsidRPr="006D3C52" w:rsidRDefault="0087570B" w:rsidP="0087570B">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Hutu Ten Commandments show directly the interests of CDR and what language was circulating right wing militia regarding the Tutsi people. If not for the Hutu Ten Commandments and </w:t>
      </w:r>
      <w:proofErr w:type="spellStart"/>
      <w:r>
        <w:rPr>
          <w:rFonts w:ascii="Times New Roman" w:eastAsia="Times New Roman" w:hAnsi="Times New Roman" w:cs="Times New Roman"/>
          <w:color w:val="000000"/>
          <w:kern w:val="0"/>
          <w:lang w:eastAsia="en-GB"/>
          <w14:ligatures w14:val="none"/>
        </w:rPr>
        <w:t>Ngeze’s</w:t>
      </w:r>
      <w:proofErr w:type="spellEnd"/>
      <w:r>
        <w:rPr>
          <w:rFonts w:ascii="Times New Roman" w:eastAsia="Times New Roman" w:hAnsi="Times New Roman" w:cs="Times New Roman"/>
          <w:color w:val="000000"/>
          <w:kern w:val="0"/>
          <w:lang w:eastAsia="en-GB"/>
          <w14:ligatures w14:val="none"/>
        </w:rPr>
        <w:t xml:space="preserve"> direct involvement in RTLM, there is a possibility that less people would have been found guilty of their crimes today. Although the Hutu Ten Commandments did not capture as many followers, whether by fear or propaganda, the media played a large role in inciting fear, hatred and violence towards the Tutsi people during the genocide</w:t>
      </w:r>
      <w:r w:rsidR="006D59CE">
        <w:rPr>
          <w:rFonts w:ascii="Times New Roman" w:eastAsia="Times New Roman" w:hAnsi="Times New Roman" w:cs="Times New Roman"/>
          <w:color w:val="000000"/>
          <w:kern w:val="0"/>
          <w:lang w:eastAsia="en-GB"/>
          <w14:ligatures w14:val="none"/>
        </w:rPr>
        <w:t xml:space="preserve"> </w:t>
      </w:r>
      <w:r w:rsidR="00255041" w:rsidRPr="00255041">
        <w:rPr>
          <w:rFonts w:ascii="Times New Roman" w:eastAsia="Times New Roman" w:hAnsi="Times New Roman" w:cs="Times New Roman"/>
          <w:color w:val="000000"/>
          <w:kern w:val="0"/>
          <w:lang w:eastAsia="en-GB"/>
          <w14:ligatures w14:val="none"/>
        </w:rPr>
        <w:t>(Thompson, 2007)</w:t>
      </w:r>
      <w:r w:rsidR="00255041">
        <w:rPr>
          <w:rFonts w:ascii="Times New Roman" w:eastAsia="Times New Roman" w:hAnsi="Times New Roman" w:cs="Times New Roman"/>
          <w:color w:val="000000"/>
          <w:kern w:val="0"/>
          <w:lang w:eastAsia="en-GB"/>
          <w14:ligatures w14:val="none"/>
        </w:rPr>
        <w:t xml:space="preserve">. </w:t>
      </w:r>
    </w:p>
    <w:p w14:paraId="1D5DD2E5" w14:textId="77777777" w:rsidR="0087570B" w:rsidRPr="006D3C52" w:rsidRDefault="0087570B" w:rsidP="0087570B">
      <w:pPr>
        <w:spacing w:after="240"/>
        <w:rPr>
          <w:rFonts w:ascii="Times New Roman" w:eastAsia="Times New Roman" w:hAnsi="Times New Roman" w:cs="Times New Roman"/>
          <w:kern w:val="0"/>
          <w:lang w:eastAsia="en-GB"/>
          <w14:ligatures w14:val="none"/>
        </w:rPr>
      </w:pPr>
    </w:p>
    <w:p w14:paraId="33705DF4" w14:textId="77777777" w:rsidR="0087570B" w:rsidRDefault="0087570B" w:rsidP="0087570B">
      <w:pPr>
        <w:rPr>
          <w:rFonts w:ascii="Times New Roman" w:eastAsia="Times New Roman" w:hAnsi="Times New Roman" w:cs="Times New Roman"/>
          <w:kern w:val="0"/>
          <w:u w:val="single"/>
          <w:lang w:eastAsia="en-GB"/>
          <w14:ligatures w14:val="none"/>
        </w:rPr>
      </w:pPr>
      <w:r w:rsidRPr="00D05A26">
        <w:rPr>
          <w:rFonts w:ascii="Times New Roman" w:eastAsia="Times New Roman" w:hAnsi="Times New Roman" w:cs="Times New Roman"/>
          <w:kern w:val="0"/>
          <w:u w:val="single"/>
          <w:lang w:eastAsia="en-GB"/>
          <w14:ligatures w14:val="none"/>
        </w:rPr>
        <w:t>Reference List</w:t>
      </w:r>
    </w:p>
    <w:p w14:paraId="4AEAA6B7" w14:textId="77777777" w:rsidR="0087570B" w:rsidRPr="00D05A26" w:rsidRDefault="0087570B" w:rsidP="0087570B">
      <w:pPr>
        <w:rPr>
          <w:u w:val="single"/>
        </w:rPr>
      </w:pPr>
    </w:p>
    <w:p w14:paraId="3D5AB119" w14:textId="77777777" w:rsidR="0087570B" w:rsidRDefault="0087570B" w:rsidP="0087570B">
      <w:pPr>
        <w:pStyle w:val="NormalWeb"/>
        <w:spacing w:before="0" w:beforeAutospacing="0" w:after="240" w:afterAutospacing="0" w:line="360" w:lineRule="atLeast"/>
        <w:rPr>
          <w:color w:val="000000"/>
        </w:rPr>
      </w:pPr>
      <w:r>
        <w:rPr>
          <w:sz w:val="28"/>
          <w:szCs w:val="28"/>
        </w:rPr>
        <w:t xml:space="preserve"> </w:t>
      </w:r>
      <w:r>
        <w:rPr>
          <w:color w:val="000000"/>
        </w:rPr>
        <w:t>Bowles, D.C. and Macgregor, I. (2012).</w:t>
      </w:r>
      <w:r>
        <w:rPr>
          <w:rStyle w:val="apple-converted-space"/>
          <w:rFonts w:eastAsiaTheme="majorEastAsia"/>
          <w:color w:val="000000"/>
        </w:rPr>
        <w:t> </w:t>
      </w:r>
      <w:r>
        <w:rPr>
          <w:i/>
          <w:iCs/>
          <w:color w:val="000000"/>
        </w:rPr>
        <w:t>Essays on Holocaust and genocide</w:t>
      </w:r>
      <w:r>
        <w:rPr>
          <w:color w:val="000000"/>
        </w:rPr>
        <w:t xml:space="preserve">. [online] Sydney: </w:t>
      </w:r>
      <w:proofErr w:type="spellStart"/>
      <w:r>
        <w:rPr>
          <w:color w:val="000000"/>
        </w:rPr>
        <w:t>Utsepress</w:t>
      </w:r>
      <w:proofErr w:type="spellEnd"/>
      <w:r>
        <w:rPr>
          <w:color w:val="000000"/>
        </w:rPr>
        <w:t>. Available at: https://www.jstor.org/stable/pdf/j.ctv1w36pg8.15.pdf?refreqid=fastly-default%3Acb7d93f29e3e2deb1ccfa0eadb065e8f&amp;ab_segments=0%2Fbasic_search_gsv2%2Fcontrol&amp;initiator=&amp;acceptTC=1 [Accessed 14 Feb. 2025].</w:t>
      </w:r>
    </w:p>
    <w:p w14:paraId="175E7843" w14:textId="77777777" w:rsidR="0087570B" w:rsidRDefault="0087570B" w:rsidP="0087570B">
      <w:pPr>
        <w:pStyle w:val="NormalWeb"/>
        <w:spacing w:before="0" w:beforeAutospacing="0" w:after="240" w:afterAutospacing="0" w:line="360" w:lineRule="atLeast"/>
        <w:rPr>
          <w:color w:val="000000"/>
        </w:rPr>
      </w:pPr>
      <w:r>
        <w:rPr>
          <w:color w:val="000000"/>
        </w:rPr>
        <w:t>Chossudovsky, M. (1996). Economic Genocide in Rwanda.</w:t>
      </w:r>
      <w:r>
        <w:rPr>
          <w:rStyle w:val="apple-converted-space"/>
          <w:rFonts w:eastAsiaTheme="majorEastAsia"/>
          <w:color w:val="000000"/>
        </w:rPr>
        <w:t> </w:t>
      </w:r>
      <w:r>
        <w:rPr>
          <w:i/>
          <w:iCs/>
          <w:color w:val="000000"/>
        </w:rPr>
        <w:t>Economic and Political Weekly</w:t>
      </w:r>
      <w:r>
        <w:rPr>
          <w:color w:val="000000"/>
        </w:rPr>
        <w:t>, [online] 31(15), pp.938–941. Available at: https://www.jstor.org/stable/4404024 [Accessed 13 Feb. 2025].</w:t>
      </w:r>
    </w:p>
    <w:p w14:paraId="1E385E49" w14:textId="77777777" w:rsidR="0087570B" w:rsidRDefault="0087570B" w:rsidP="0087570B">
      <w:pPr>
        <w:pStyle w:val="NormalWeb"/>
        <w:spacing w:before="0" w:beforeAutospacing="0" w:after="240" w:afterAutospacing="0" w:line="360" w:lineRule="atLeast"/>
        <w:rPr>
          <w:color w:val="000000"/>
        </w:rPr>
      </w:pPr>
      <w:r>
        <w:rPr>
          <w:color w:val="000000"/>
        </w:rPr>
        <w:t>Herrmann-Rafferty, J. (2025). Micro-Analysis of Victim-Survivors’ Stories: Nuancing the Dynamics and Complexities of Sexual Violence During the Genocide Against the Tutsi.</w:t>
      </w:r>
      <w:r>
        <w:rPr>
          <w:rStyle w:val="apple-converted-space"/>
          <w:rFonts w:eastAsiaTheme="majorEastAsia"/>
          <w:color w:val="000000"/>
        </w:rPr>
        <w:t> </w:t>
      </w:r>
      <w:r>
        <w:rPr>
          <w:i/>
          <w:iCs/>
          <w:color w:val="000000"/>
        </w:rPr>
        <w:t>Journal of Genocide Research</w:t>
      </w:r>
      <w:r>
        <w:rPr>
          <w:color w:val="000000"/>
        </w:rPr>
        <w:t xml:space="preserve">, [online] pp.1–20. </w:t>
      </w:r>
      <w:proofErr w:type="spellStart"/>
      <w:proofErr w:type="gramStart"/>
      <w:r>
        <w:rPr>
          <w:color w:val="000000"/>
        </w:rPr>
        <w:t>doi:https</w:t>
      </w:r>
      <w:proofErr w:type="spellEnd"/>
      <w:r>
        <w:rPr>
          <w:color w:val="000000"/>
        </w:rPr>
        <w:t>://doi.org/10.1080/14623528.2025.2470509</w:t>
      </w:r>
      <w:proofErr w:type="gramEnd"/>
      <w:r>
        <w:rPr>
          <w:color w:val="000000"/>
        </w:rPr>
        <w:t>.</w:t>
      </w:r>
    </w:p>
    <w:p w14:paraId="7385D5FB" w14:textId="77777777" w:rsidR="0087570B" w:rsidRDefault="0087570B" w:rsidP="0087570B">
      <w:pPr>
        <w:pStyle w:val="NormalWeb"/>
        <w:spacing w:before="0" w:beforeAutospacing="0" w:after="240" w:afterAutospacing="0" w:line="360" w:lineRule="atLeast"/>
        <w:rPr>
          <w:color w:val="000000"/>
        </w:rPr>
      </w:pPr>
      <w:r>
        <w:rPr>
          <w:color w:val="000000"/>
        </w:rPr>
        <w:t>Kangura (1990). Hutu Ten Commandments.</w:t>
      </w:r>
      <w:r>
        <w:rPr>
          <w:rStyle w:val="apple-converted-space"/>
          <w:rFonts w:eastAsiaTheme="majorEastAsia"/>
          <w:color w:val="000000"/>
        </w:rPr>
        <w:t> </w:t>
      </w:r>
      <w:r>
        <w:rPr>
          <w:i/>
          <w:iCs/>
          <w:color w:val="000000"/>
        </w:rPr>
        <w:t>Kangura</w:t>
      </w:r>
      <w:r>
        <w:rPr>
          <w:color w:val="000000"/>
        </w:rPr>
        <w:t>. Jan.</w:t>
      </w:r>
    </w:p>
    <w:p w14:paraId="706EF89D" w14:textId="77777777" w:rsidR="0087570B" w:rsidRDefault="0087570B" w:rsidP="0087570B">
      <w:pPr>
        <w:pStyle w:val="NormalWeb"/>
        <w:spacing w:before="0" w:beforeAutospacing="0" w:after="240" w:afterAutospacing="0" w:line="360" w:lineRule="atLeast"/>
        <w:rPr>
          <w:color w:val="000000"/>
        </w:rPr>
      </w:pPr>
      <w:proofErr w:type="spellStart"/>
      <w:r>
        <w:rPr>
          <w:color w:val="000000"/>
        </w:rPr>
        <w:t>Meierhenrich</w:t>
      </w:r>
      <w:proofErr w:type="spellEnd"/>
      <w:r>
        <w:rPr>
          <w:color w:val="000000"/>
        </w:rPr>
        <w:t>, J. (2020). How Many Victims Were There in the Rwandan Genocide? A Statistical Debate.</w:t>
      </w:r>
      <w:r>
        <w:rPr>
          <w:rStyle w:val="apple-converted-space"/>
          <w:rFonts w:eastAsiaTheme="majorEastAsia"/>
          <w:color w:val="000000"/>
        </w:rPr>
        <w:t> </w:t>
      </w:r>
      <w:r>
        <w:rPr>
          <w:i/>
          <w:iCs/>
          <w:color w:val="000000"/>
        </w:rPr>
        <w:t>Journal of Genocide Research</w:t>
      </w:r>
      <w:r>
        <w:rPr>
          <w:color w:val="000000"/>
        </w:rPr>
        <w:t xml:space="preserve">, [online] 22(1), pp.72–82. </w:t>
      </w:r>
      <w:proofErr w:type="spellStart"/>
      <w:proofErr w:type="gramStart"/>
      <w:r>
        <w:rPr>
          <w:color w:val="000000"/>
        </w:rPr>
        <w:t>doi:https</w:t>
      </w:r>
      <w:proofErr w:type="spellEnd"/>
      <w:r>
        <w:rPr>
          <w:color w:val="000000"/>
        </w:rPr>
        <w:t>://doi.org/10.1080/14623528.2019.1709611</w:t>
      </w:r>
      <w:proofErr w:type="gramEnd"/>
      <w:r>
        <w:rPr>
          <w:color w:val="000000"/>
        </w:rPr>
        <w:t>.</w:t>
      </w:r>
    </w:p>
    <w:p w14:paraId="6C449798" w14:textId="77777777" w:rsidR="0087570B" w:rsidRDefault="0087570B" w:rsidP="0087570B">
      <w:pPr>
        <w:pStyle w:val="NormalWeb"/>
        <w:spacing w:before="0" w:beforeAutospacing="0" w:after="240" w:afterAutospacing="0" w:line="360" w:lineRule="atLeast"/>
        <w:rPr>
          <w:color w:val="000000"/>
        </w:rPr>
      </w:pPr>
      <w:r>
        <w:rPr>
          <w:color w:val="000000"/>
        </w:rPr>
        <w:t>Newbury, C. (1995). Background to Genocide: Rwanda.</w:t>
      </w:r>
      <w:r>
        <w:rPr>
          <w:rStyle w:val="apple-converted-space"/>
          <w:rFonts w:eastAsiaTheme="majorEastAsia"/>
          <w:color w:val="000000"/>
        </w:rPr>
        <w:t> </w:t>
      </w:r>
      <w:r>
        <w:rPr>
          <w:i/>
          <w:iCs/>
          <w:color w:val="000000"/>
        </w:rPr>
        <w:t>African Issues</w:t>
      </w:r>
      <w:r>
        <w:rPr>
          <w:color w:val="000000"/>
        </w:rPr>
        <w:t xml:space="preserve">, [online] 23(2), pp.12–17. </w:t>
      </w:r>
      <w:proofErr w:type="spellStart"/>
      <w:proofErr w:type="gramStart"/>
      <w:r>
        <w:rPr>
          <w:color w:val="000000"/>
        </w:rPr>
        <w:t>doi:https</w:t>
      </w:r>
      <w:proofErr w:type="spellEnd"/>
      <w:r>
        <w:rPr>
          <w:color w:val="000000"/>
        </w:rPr>
        <w:t>://doi.org/10.1017/S1548450500004741</w:t>
      </w:r>
      <w:proofErr w:type="gramEnd"/>
      <w:r>
        <w:rPr>
          <w:color w:val="000000"/>
        </w:rPr>
        <w:t>.</w:t>
      </w:r>
    </w:p>
    <w:p w14:paraId="1E78861A" w14:textId="77777777" w:rsidR="0087570B" w:rsidRDefault="0087570B" w:rsidP="0087570B">
      <w:pPr>
        <w:pStyle w:val="NormalWeb"/>
        <w:spacing w:before="0" w:beforeAutospacing="0" w:after="240" w:afterAutospacing="0" w:line="360" w:lineRule="atLeast"/>
        <w:rPr>
          <w:color w:val="000000"/>
        </w:rPr>
      </w:pPr>
      <w:r>
        <w:rPr>
          <w:color w:val="000000"/>
        </w:rPr>
        <w:lastRenderedPageBreak/>
        <w:t>Prunier, G. (1995).</w:t>
      </w:r>
      <w:r>
        <w:rPr>
          <w:rStyle w:val="apple-converted-space"/>
          <w:rFonts w:eastAsiaTheme="majorEastAsia"/>
          <w:color w:val="000000"/>
        </w:rPr>
        <w:t> </w:t>
      </w:r>
      <w:r>
        <w:rPr>
          <w:i/>
          <w:iCs/>
          <w:color w:val="000000"/>
        </w:rPr>
        <w:t>The Rwanda Crisis: History of a Genocide</w:t>
      </w:r>
      <w:r>
        <w:rPr>
          <w:color w:val="000000"/>
        </w:rPr>
        <w:t>. UK: London Hurst &amp; Company.</w:t>
      </w:r>
    </w:p>
    <w:p w14:paraId="10BD4BDF" w14:textId="77777777" w:rsidR="0087570B" w:rsidRDefault="0087570B" w:rsidP="0087570B">
      <w:pPr>
        <w:pStyle w:val="NormalWeb"/>
        <w:spacing w:before="0" w:beforeAutospacing="0" w:after="240" w:afterAutospacing="0" w:line="360" w:lineRule="atLeast"/>
        <w:rPr>
          <w:color w:val="000000"/>
        </w:rPr>
      </w:pPr>
      <w:r>
        <w:rPr>
          <w:color w:val="000000"/>
        </w:rPr>
        <w:t xml:space="preserve">The Harvard Law Review Association (2004). International Law. Genocide. U.N. Tribunal Finds That Mass Media Hate Speech Constitutes Genocide, Incitement to Genocide, and Crimes against Humanity. Prosecutor v. Nahimana, </w:t>
      </w:r>
      <w:proofErr w:type="spellStart"/>
      <w:r>
        <w:rPr>
          <w:color w:val="000000"/>
        </w:rPr>
        <w:t>Barayagwiza</w:t>
      </w:r>
      <w:proofErr w:type="spellEnd"/>
      <w:r>
        <w:rPr>
          <w:color w:val="000000"/>
        </w:rPr>
        <w:t>, and Ngeze (Media Case), Case no. ICTR-99-52-T (Int’l Crim. Trib. for Rwanda Trial Chamber I Dec. 3, 2003).</w:t>
      </w:r>
      <w:r>
        <w:rPr>
          <w:rStyle w:val="apple-converted-space"/>
          <w:rFonts w:eastAsiaTheme="majorEastAsia"/>
          <w:color w:val="000000"/>
        </w:rPr>
        <w:t> </w:t>
      </w:r>
      <w:r>
        <w:rPr>
          <w:i/>
          <w:iCs/>
          <w:color w:val="000000"/>
        </w:rPr>
        <w:t>Harvard Law Review</w:t>
      </w:r>
      <w:r>
        <w:rPr>
          <w:color w:val="000000"/>
        </w:rPr>
        <w:t xml:space="preserve">, [online] 117(8), p.2769. </w:t>
      </w:r>
      <w:proofErr w:type="spellStart"/>
      <w:proofErr w:type="gramStart"/>
      <w:r>
        <w:rPr>
          <w:color w:val="000000"/>
        </w:rPr>
        <w:t>doi:https</w:t>
      </w:r>
      <w:proofErr w:type="spellEnd"/>
      <w:r>
        <w:rPr>
          <w:color w:val="000000"/>
        </w:rPr>
        <w:t>://doi.org/10.2307/4093416</w:t>
      </w:r>
      <w:proofErr w:type="gramEnd"/>
      <w:r>
        <w:rPr>
          <w:color w:val="000000"/>
        </w:rPr>
        <w:t>.</w:t>
      </w:r>
    </w:p>
    <w:p w14:paraId="491454DF" w14:textId="77777777" w:rsidR="0087570B" w:rsidRDefault="0087570B" w:rsidP="0087570B">
      <w:pPr>
        <w:pStyle w:val="NormalWeb"/>
        <w:spacing w:before="0" w:beforeAutospacing="0" w:after="240" w:afterAutospacing="0" w:line="360" w:lineRule="atLeast"/>
        <w:rPr>
          <w:color w:val="000000"/>
        </w:rPr>
      </w:pPr>
      <w:r>
        <w:rPr>
          <w:color w:val="000000"/>
        </w:rPr>
        <w:t>Thompson, A. (2007).</w:t>
      </w:r>
      <w:r>
        <w:rPr>
          <w:rStyle w:val="apple-converted-space"/>
          <w:rFonts w:eastAsiaTheme="majorEastAsia"/>
          <w:color w:val="000000"/>
        </w:rPr>
        <w:t> </w:t>
      </w:r>
      <w:r>
        <w:rPr>
          <w:i/>
          <w:iCs/>
          <w:color w:val="000000"/>
        </w:rPr>
        <w:t>The media and the Rwanda genocide</w:t>
      </w:r>
      <w:r>
        <w:rPr>
          <w:color w:val="000000"/>
        </w:rPr>
        <w:t>. [online] London: Pluto Press. Available at: https://web.archive.org/web/20131112013825/http://idl-bnc.idrc.ca/dspace/bitstream/10625/30283/9/123840.pdf [Accessed 14 Feb. 2025].</w:t>
      </w:r>
    </w:p>
    <w:p w14:paraId="2C08C4F5" w14:textId="77777777" w:rsidR="0087570B" w:rsidRDefault="0087570B" w:rsidP="0087570B">
      <w:pPr>
        <w:pStyle w:val="NormalWeb"/>
        <w:spacing w:before="0" w:beforeAutospacing="0" w:after="240" w:afterAutospacing="0" w:line="360" w:lineRule="atLeast"/>
        <w:rPr>
          <w:color w:val="000000"/>
        </w:rPr>
      </w:pPr>
      <w:r>
        <w:rPr>
          <w:color w:val="000000"/>
        </w:rPr>
        <w:t>Trial (2016).</w:t>
      </w:r>
      <w:r>
        <w:rPr>
          <w:rStyle w:val="apple-converted-space"/>
          <w:rFonts w:eastAsiaTheme="majorEastAsia"/>
          <w:color w:val="000000"/>
        </w:rPr>
        <w:t> </w:t>
      </w:r>
      <w:r>
        <w:rPr>
          <w:i/>
          <w:iCs/>
          <w:color w:val="000000"/>
        </w:rPr>
        <w:t>Felicien Kabuga - TRIAL International</w:t>
      </w:r>
      <w:r>
        <w:rPr>
          <w:color w:val="000000"/>
        </w:rPr>
        <w:t>. [online] TRIAL International. Available at: https://web.archive.org/web/20191027015941/https://trialinternational.org/latest-post/felicien-kabuga/ [Accessed 8 Mar. 2025].</w:t>
      </w:r>
    </w:p>
    <w:p w14:paraId="6778AB97" w14:textId="77777777" w:rsidR="0087570B" w:rsidRDefault="0087570B" w:rsidP="0087570B">
      <w:pPr>
        <w:pStyle w:val="NormalWeb"/>
        <w:spacing w:before="0" w:beforeAutospacing="0" w:after="240" w:afterAutospacing="0" w:line="360" w:lineRule="atLeast"/>
        <w:rPr>
          <w:color w:val="000000"/>
        </w:rPr>
      </w:pPr>
      <w:r>
        <w:rPr>
          <w:color w:val="000000"/>
        </w:rPr>
        <w:t>World Bank (2024).</w:t>
      </w:r>
      <w:r>
        <w:rPr>
          <w:rStyle w:val="apple-converted-space"/>
          <w:rFonts w:eastAsiaTheme="majorEastAsia"/>
          <w:color w:val="000000"/>
        </w:rPr>
        <w:t> </w:t>
      </w:r>
      <w:r>
        <w:rPr>
          <w:i/>
          <w:iCs/>
          <w:color w:val="000000"/>
        </w:rPr>
        <w:t>Literacy rate, adult total (% of people ages 15 and above) - Rwanda | Data</w:t>
      </w:r>
      <w:r>
        <w:rPr>
          <w:color w:val="000000"/>
        </w:rPr>
        <w:t>. [online] data.worldbank.org. Available at: https://data.worldbank.org/indicator/SE.ADT.LITR.ZS?locations=RW [Accessed 13 Feb. 2025].</w:t>
      </w:r>
    </w:p>
    <w:p w14:paraId="1B5BAFBA" w14:textId="77777777" w:rsidR="0087570B" w:rsidRDefault="0087570B" w:rsidP="0087570B">
      <w:pPr>
        <w:pStyle w:val="NormalWeb"/>
        <w:spacing w:before="0" w:beforeAutospacing="0" w:after="240" w:afterAutospacing="0" w:line="360" w:lineRule="atLeast"/>
        <w:rPr>
          <w:color w:val="000000"/>
        </w:rPr>
      </w:pPr>
      <w:r>
        <w:rPr>
          <w:color w:val="000000"/>
        </w:rPr>
        <w:t xml:space="preserve">Yanagizawa-Drott, D. (2014). Propaganda and conflict: evidence from the Rwandan </w:t>
      </w:r>
      <w:proofErr w:type="gramStart"/>
      <w:r>
        <w:rPr>
          <w:color w:val="000000"/>
        </w:rPr>
        <w:t>Genocide .</w:t>
      </w:r>
      <w:proofErr w:type="gramEnd"/>
      <w:r>
        <w:rPr>
          <w:rStyle w:val="apple-converted-space"/>
          <w:rFonts w:eastAsiaTheme="majorEastAsia"/>
          <w:color w:val="000000"/>
        </w:rPr>
        <w:t> </w:t>
      </w:r>
      <w:r>
        <w:rPr>
          <w:i/>
          <w:iCs/>
          <w:color w:val="000000"/>
        </w:rPr>
        <w:t>The Quarterly Journal of Economics</w:t>
      </w:r>
      <w:r>
        <w:rPr>
          <w:color w:val="000000"/>
        </w:rPr>
        <w:t xml:space="preserve">, [online] 129(4), pp.1947–1994. </w:t>
      </w:r>
      <w:proofErr w:type="spellStart"/>
      <w:proofErr w:type="gramStart"/>
      <w:r>
        <w:rPr>
          <w:color w:val="000000"/>
        </w:rPr>
        <w:t>doi:https</w:t>
      </w:r>
      <w:proofErr w:type="spellEnd"/>
      <w:r>
        <w:rPr>
          <w:color w:val="000000"/>
        </w:rPr>
        <w:t>://doi.org/10.1093/</w:t>
      </w:r>
      <w:proofErr w:type="spellStart"/>
      <w:r>
        <w:rPr>
          <w:color w:val="000000"/>
        </w:rPr>
        <w:t>qje</w:t>
      </w:r>
      <w:proofErr w:type="spellEnd"/>
      <w:r>
        <w:rPr>
          <w:color w:val="000000"/>
        </w:rPr>
        <w:t>/qju020</w:t>
      </w:r>
      <w:proofErr w:type="gramEnd"/>
      <w:r>
        <w:rPr>
          <w:color w:val="000000"/>
        </w:rPr>
        <w:t>.</w:t>
      </w:r>
    </w:p>
    <w:p w14:paraId="6EA79B3B" w14:textId="27712D51" w:rsidR="00E221A0" w:rsidRPr="00DA1B3A" w:rsidRDefault="00E221A0">
      <w:pPr>
        <w:rPr>
          <w:rFonts w:ascii="Times New Roman" w:hAnsi="Times New Roman" w:cs="Times New Roman"/>
          <w:sz w:val="28"/>
          <w:szCs w:val="28"/>
        </w:rPr>
      </w:pPr>
    </w:p>
    <w:sectPr w:rsidR="00E221A0" w:rsidRPr="00DA1B3A" w:rsidSect="00225B89">
      <w:footerReference w:type="even" r:id="rId7"/>
      <w:footerReference w:type="default" r:id="rId8"/>
      <w:pgSz w:w="11906" w:h="16838"/>
      <w:pgMar w:top="1440" w:right="1440" w:bottom="1440" w:left="1440" w:header="708" w:footer="708" w:gutter="0"/>
      <w:pgBorders w:display="firstPage" w:offsetFrom="page">
        <w:top w:val="single" w:sz="4" w:space="24" w:color="156082" w:themeColor="accent1"/>
        <w:left w:val="single" w:sz="4" w:space="24" w:color="156082" w:themeColor="accent1"/>
        <w:bottom w:val="single" w:sz="4" w:space="24" w:color="156082" w:themeColor="accent1"/>
        <w:right w:val="single" w:sz="4" w:space="24" w:color="156082"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1A2C77" w14:textId="77777777" w:rsidR="00CC7CAF" w:rsidRDefault="00CC7CAF" w:rsidP="00684E54">
      <w:r>
        <w:separator/>
      </w:r>
    </w:p>
  </w:endnote>
  <w:endnote w:type="continuationSeparator" w:id="0">
    <w:p w14:paraId="31B928E7" w14:textId="77777777" w:rsidR="00CC7CAF" w:rsidRDefault="00CC7CAF" w:rsidP="00684E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33201363"/>
      <w:docPartObj>
        <w:docPartGallery w:val="Page Numbers (Bottom of Page)"/>
        <w:docPartUnique/>
      </w:docPartObj>
    </w:sdtPr>
    <w:sdtContent>
      <w:p w14:paraId="7B1E568E" w14:textId="45929DE9" w:rsidR="00684E54" w:rsidRDefault="00684E54"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4ABC16" w14:textId="77777777" w:rsidR="00684E54" w:rsidRDefault="00684E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19601012"/>
      <w:docPartObj>
        <w:docPartGallery w:val="Page Numbers (Bottom of Page)"/>
        <w:docPartUnique/>
      </w:docPartObj>
    </w:sdtPr>
    <w:sdtContent>
      <w:p w14:paraId="25C65EDF" w14:textId="4608A825" w:rsidR="00684E54" w:rsidRDefault="00684E54"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70FDD3" w14:textId="77777777" w:rsidR="00684E54" w:rsidRDefault="00684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1DE060" w14:textId="77777777" w:rsidR="00CC7CAF" w:rsidRDefault="00CC7CAF" w:rsidP="00684E54">
      <w:r>
        <w:separator/>
      </w:r>
    </w:p>
  </w:footnote>
  <w:footnote w:type="continuationSeparator" w:id="0">
    <w:p w14:paraId="0787F8A4" w14:textId="77777777" w:rsidR="00CC7CAF" w:rsidRDefault="00CC7CAF" w:rsidP="00684E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B1154"/>
    <w:multiLevelType w:val="hybridMultilevel"/>
    <w:tmpl w:val="13504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CF4013"/>
    <w:multiLevelType w:val="hybridMultilevel"/>
    <w:tmpl w:val="15D28B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972CEB"/>
    <w:multiLevelType w:val="hybridMultilevel"/>
    <w:tmpl w:val="ED7E9C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35691E"/>
    <w:multiLevelType w:val="hybridMultilevel"/>
    <w:tmpl w:val="FCBA1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31696811">
    <w:abstractNumId w:val="1"/>
  </w:num>
  <w:num w:numId="2" w16cid:durableId="93595932">
    <w:abstractNumId w:val="2"/>
  </w:num>
  <w:num w:numId="3" w16cid:durableId="1570726657">
    <w:abstractNumId w:val="3"/>
  </w:num>
  <w:num w:numId="4" w16cid:durableId="1816600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ED2"/>
    <w:rsid w:val="00023D77"/>
    <w:rsid w:val="00025979"/>
    <w:rsid w:val="00034299"/>
    <w:rsid w:val="00046AFF"/>
    <w:rsid w:val="00064C7A"/>
    <w:rsid w:val="0007199D"/>
    <w:rsid w:val="00082C4B"/>
    <w:rsid w:val="000A33B1"/>
    <w:rsid w:val="000A5ED2"/>
    <w:rsid w:val="000C2BE3"/>
    <w:rsid w:val="000C4925"/>
    <w:rsid w:val="000D05F6"/>
    <w:rsid w:val="000E2FAC"/>
    <w:rsid w:val="000F7AD4"/>
    <w:rsid w:val="00105183"/>
    <w:rsid w:val="00111F94"/>
    <w:rsid w:val="00116208"/>
    <w:rsid w:val="001231AD"/>
    <w:rsid w:val="0013110A"/>
    <w:rsid w:val="001338BE"/>
    <w:rsid w:val="00147D49"/>
    <w:rsid w:val="00154A27"/>
    <w:rsid w:val="001A20DD"/>
    <w:rsid w:val="001A2233"/>
    <w:rsid w:val="001A2446"/>
    <w:rsid w:val="001C06EA"/>
    <w:rsid w:val="001C69F3"/>
    <w:rsid w:val="001C7E5C"/>
    <w:rsid w:val="001E081E"/>
    <w:rsid w:val="001F3819"/>
    <w:rsid w:val="00201170"/>
    <w:rsid w:val="00204EA2"/>
    <w:rsid w:val="00225B89"/>
    <w:rsid w:val="00233A2A"/>
    <w:rsid w:val="00234D78"/>
    <w:rsid w:val="0023606E"/>
    <w:rsid w:val="00255041"/>
    <w:rsid w:val="002658D6"/>
    <w:rsid w:val="00266EAA"/>
    <w:rsid w:val="0029271E"/>
    <w:rsid w:val="002A2593"/>
    <w:rsid w:val="002A3DBE"/>
    <w:rsid w:val="002B1999"/>
    <w:rsid w:val="002B7187"/>
    <w:rsid w:val="002D011E"/>
    <w:rsid w:val="002D18D6"/>
    <w:rsid w:val="002D1A66"/>
    <w:rsid w:val="002D4A65"/>
    <w:rsid w:val="002E3B03"/>
    <w:rsid w:val="002F52D0"/>
    <w:rsid w:val="00317978"/>
    <w:rsid w:val="0033711D"/>
    <w:rsid w:val="0035146A"/>
    <w:rsid w:val="003713E2"/>
    <w:rsid w:val="0038500D"/>
    <w:rsid w:val="003A2511"/>
    <w:rsid w:val="003A3685"/>
    <w:rsid w:val="003B3B32"/>
    <w:rsid w:val="003C19DC"/>
    <w:rsid w:val="003C62F0"/>
    <w:rsid w:val="003C6701"/>
    <w:rsid w:val="003C6EC0"/>
    <w:rsid w:val="003D4123"/>
    <w:rsid w:val="003E25E4"/>
    <w:rsid w:val="003F2F0E"/>
    <w:rsid w:val="00410761"/>
    <w:rsid w:val="00416D58"/>
    <w:rsid w:val="004511F2"/>
    <w:rsid w:val="00453188"/>
    <w:rsid w:val="0046160F"/>
    <w:rsid w:val="00481C64"/>
    <w:rsid w:val="004A0869"/>
    <w:rsid w:val="004A766C"/>
    <w:rsid w:val="004B5E9B"/>
    <w:rsid w:val="004D6D76"/>
    <w:rsid w:val="004D72AB"/>
    <w:rsid w:val="005159D5"/>
    <w:rsid w:val="00523977"/>
    <w:rsid w:val="00527284"/>
    <w:rsid w:val="00533774"/>
    <w:rsid w:val="00534D92"/>
    <w:rsid w:val="00573193"/>
    <w:rsid w:val="0058044B"/>
    <w:rsid w:val="0058146B"/>
    <w:rsid w:val="00592153"/>
    <w:rsid w:val="005942D1"/>
    <w:rsid w:val="005B12A1"/>
    <w:rsid w:val="005C2BD5"/>
    <w:rsid w:val="005D5199"/>
    <w:rsid w:val="005E39C2"/>
    <w:rsid w:val="005E3B28"/>
    <w:rsid w:val="00600DE8"/>
    <w:rsid w:val="00610CB5"/>
    <w:rsid w:val="00641292"/>
    <w:rsid w:val="00643C97"/>
    <w:rsid w:val="0066176D"/>
    <w:rsid w:val="00665798"/>
    <w:rsid w:val="006760BE"/>
    <w:rsid w:val="00684E54"/>
    <w:rsid w:val="006A532B"/>
    <w:rsid w:val="006B55D6"/>
    <w:rsid w:val="006C20AF"/>
    <w:rsid w:val="006D2146"/>
    <w:rsid w:val="006D59CE"/>
    <w:rsid w:val="006F3728"/>
    <w:rsid w:val="00745130"/>
    <w:rsid w:val="007555E7"/>
    <w:rsid w:val="007561EE"/>
    <w:rsid w:val="007704CC"/>
    <w:rsid w:val="00781568"/>
    <w:rsid w:val="00783295"/>
    <w:rsid w:val="007953F3"/>
    <w:rsid w:val="007C33AA"/>
    <w:rsid w:val="00800E8F"/>
    <w:rsid w:val="008022EA"/>
    <w:rsid w:val="008358C6"/>
    <w:rsid w:val="00846F72"/>
    <w:rsid w:val="008511E8"/>
    <w:rsid w:val="0087254B"/>
    <w:rsid w:val="0087570B"/>
    <w:rsid w:val="0088115C"/>
    <w:rsid w:val="0088409C"/>
    <w:rsid w:val="00895AEB"/>
    <w:rsid w:val="008A2E0B"/>
    <w:rsid w:val="008C6165"/>
    <w:rsid w:val="008D4B5E"/>
    <w:rsid w:val="008F24BC"/>
    <w:rsid w:val="008F628E"/>
    <w:rsid w:val="00903A52"/>
    <w:rsid w:val="00912DFE"/>
    <w:rsid w:val="00927C6E"/>
    <w:rsid w:val="00936D8C"/>
    <w:rsid w:val="009378A0"/>
    <w:rsid w:val="009551B7"/>
    <w:rsid w:val="00965B7B"/>
    <w:rsid w:val="00970BEC"/>
    <w:rsid w:val="00975BD1"/>
    <w:rsid w:val="009773A4"/>
    <w:rsid w:val="009955C9"/>
    <w:rsid w:val="009A3F6D"/>
    <w:rsid w:val="009A4530"/>
    <w:rsid w:val="009B2C77"/>
    <w:rsid w:val="009E4199"/>
    <w:rsid w:val="00A04B21"/>
    <w:rsid w:val="00A25B2C"/>
    <w:rsid w:val="00A32556"/>
    <w:rsid w:val="00A407DC"/>
    <w:rsid w:val="00A45C42"/>
    <w:rsid w:val="00A64BFF"/>
    <w:rsid w:val="00A65EFC"/>
    <w:rsid w:val="00A733C1"/>
    <w:rsid w:val="00A76BCE"/>
    <w:rsid w:val="00A85363"/>
    <w:rsid w:val="00AB220C"/>
    <w:rsid w:val="00AC3324"/>
    <w:rsid w:val="00B02FAB"/>
    <w:rsid w:val="00B1157F"/>
    <w:rsid w:val="00B177DE"/>
    <w:rsid w:val="00B278F6"/>
    <w:rsid w:val="00B27C31"/>
    <w:rsid w:val="00B40331"/>
    <w:rsid w:val="00B44907"/>
    <w:rsid w:val="00B509EE"/>
    <w:rsid w:val="00B628F7"/>
    <w:rsid w:val="00B700BD"/>
    <w:rsid w:val="00BA40DB"/>
    <w:rsid w:val="00BC4E34"/>
    <w:rsid w:val="00BE0166"/>
    <w:rsid w:val="00BE6A78"/>
    <w:rsid w:val="00BE7B33"/>
    <w:rsid w:val="00C37299"/>
    <w:rsid w:val="00C40F19"/>
    <w:rsid w:val="00C4595B"/>
    <w:rsid w:val="00C45D3C"/>
    <w:rsid w:val="00C54784"/>
    <w:rsid w:val="00C54F23"/>
    <w:rsid w:val="00C6182A"/>
    <w:rsid w:val="00C74A77"/>
    <w:rsid w:val="00C826C5"/>
    <w:rsid w:val="00C852A9"/>
    <w:rsid w:val="00C9426A"/>
    <w:rsid w:val="00CC7CAF"/>
    <w:rsid w:val="00CD3E2B"/>
    <w:rsid w:val="00CF5A56"/>
    <w:rsid w:val="00D025BE"/>
    <w:rsid w:val="00D11268"/>
    <w:rsid w:val="00D4053B"/>
    <w:rsid w:val="00D43A66"/>
    <w:rsid w:val="00D50296"/>
    <w:rsid w:val="00D638E9"/>
    <w:rsid w:val="00D6750E"/>
    <w:rsid w:val="00D70539"/>
    <w:rsid w:val="00DA1B3A"/>
    <w:rsid w:val="00DB66EE"/>
    <w:rsid w:val="00DE7AF4"/>
    <w:rsid w:val="00E02EBD"/>
    <w:rsid w:val="00E053CC"/>
    <w:rsid w:val="00E169E5"/>
    <w:rsid w:val="00E221A0"/>
    <w:rsid w:val="00E445D5"/>
    <w:rsid w:val="00E512C1"/>
    <w:rsid w:val="00E61698"/>
    <w:rsid w:val="00E62FAA"/>
    <w:rsid w:val="00E67675"/>
    <w:rsid w:val="00E73B6E"/>
    <w:rsid w:val="00E839AF"/>
    <w:rsid w:val="00EB7EC6"/>
    <w:rsid w:val="00EC1758"/>
    <w:rsid w:val="00EC4083"/>
    <w:rsid w:val="00F1209E"/>
    <w:rsid w:val="00F34DB9"/>
    <w:rsid w:val="00F357DF"/>
    <w:rsid w:val="00F80070"/>
    <w:rsid w:val="00FA3E04"/>
    <w:rsid w:val="00FA775D"/>
    <w:rsid w:val="00FB6053"/>
    <w:rsid w:val="00FD06F3"/>
    <w:rsid w:val="00FD7E0F"/>
    <w:rsid w:val="00FF0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FD046"/>
  <w15:chartTrackingRefBased/>
  <w15:docId w15:val="{CD632BE9-84D1-6541-B9B3-224270DEF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5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E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5E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ED2"/>
    <w:rPr>
      <w:rFonts w:eastAsiaTheme="majorEastAsia" w:cstheme="majorBidi"/>
      <w:color w:val="272727" w:themeColor="text1" w:themeTint="D8"/>
    </w:rPr>
  </w:style>
  <w:style w:type="paragraph" w:styleId="Title">
    <w:name w:val="Title"/>
    <w:basedOn w:val="Normal"/>
    <w:next w:val="Normal"/>
    <w:link w:val="TitleChar"/>
    <w:uiPriority w:val="10"/>
    <w:qFormat/>
    <w:rsid w:val="000A5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E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ED2"/>
    <w:rPr>
      <w:i/>
      <w:iCs/>
      <w:color w:val="404040" w:themeColor="text1" w:themeTint="BF"/>
    </w:rPr>
  </w:style>
  <w:style w:type="paragraph" w:styleId="ListParagraph">
    <w:name w:val="List Paragraph"/>
    <w:basedOn w:val="Normal"/>
    <w:uiPriority w:val="34"/>
    <w:qFormat/>
    <w:rsid w:val="000A5ED2"/>
    <w:pPr>
      <w:ind w:left="720"/>
      <w:contextualSpacing/>
    </w:pPr>
  </w:style>
  <w:style w:type="character" w:styleId="IntenseEmphasis">
    <w:name w:val="Intense Emphasis"/>
    <w:basedOn w:val="DefaultParagraphFont"/>
    <w:uiPriority w:val="21"/>
    <w:qFormat/>
    <w:rsid w:val="000A5ED2"/>
    <w:rPr>
      <w:i/>
      <w:iCs/>
      <w:color w:val="0F4761" w:themeColor="accent1" w:themeShade="BF"/>
    </w:rPr>
  </w:style>
  <w:style w:type="paragraph" w:styleId="IntenseQuote">
    <w:name w:val="Intense Quote"/>
    <w:basedOn w:val="Normal"/>
    <w:next w:val="Normal"/>
    <w:link w:val="IntenseQuoteChar"/>
    <w:uiPriority w:val="30"/>
    <w:qFormat/>
    <w:rsid w:val="000A5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ED2"/>
    <w:rPr>
      <w:i/>
      <w:iCs/>
      <w:color w:val="0F4761" w:themeColor="accent1" w:themeShade="BF"/>
    </w:rPr>
  </w:style>
  <w:style w:type="character" w:styleId="IntenseReference">
    <w:name w:val="Intense Reference"/>
    <w:basedOn w:val="DefaultParagraphFont"/>
    <w:uiPriority w:val="32"/>
    <w:qFormat/>
    <w:rsid w:val="000A5ED2"/>
    <w:rPr>
      <w:b/>
      <w:bCs/>
      <w:smallCaps/>
      <w:color w:val="0F4761" w:themeColor="accent1" w:themeShade="BF"/>
      <w:spacing w:val="5"/>
    </w:rPr>
  </w:style>
  <w:style w:type="paragraph" w:styleId="Footer">
    <w:name w:val="footer"/>
    <w:basedOn w:val="Normal"/>
    <w:link w:val="FooterChar"/>
    <w:uiPriority w:val="99"/>
    <w:unhideWhenUsed/>
    <w:rsid w:val="00684E54"/>
    <w:pPr>
      <w:tabs>
        <w:tab w:val="center" w:pos="4513"/>
        <w:tab w:val="right" w:pos="9026"/>
      </w:tabs>
    </w:pPr>
  </w:style>
  <w:style w:type="character" w:customStyle="1" w:styleId="FooterChar">
    <w:name w:val="Footer Char"/>
    <w:basedOn w:val="DefaultParagraphFont"/>
    <w:link w:val="Footer"/>
    <w:uiPriority w:val="99"/>
    <w:rsid w:val="00684E54"/>
  </w:style>
  <w:style w:type="character" w:styleId="PageNumber">
    <w:name w:val="page number"/>
    <w:basedOn w:val="DefaultParagraphFont"/>
    <w:uiPriority w:val="99"/>
    <w:semiHidden/>
    <w:unhideWhenUsed/>
    <w:rsid w:val="00684E54"/>
  </w:style>
  <w:style w:type="paragraph" w:styleId="NormalWeb">
    <w:name w:val="Normal (Web)"/>
    <w:basedOn w:val="Normal"/>
    <w:uiPriority w:val="99"/>
    <w:semiHidden/>
    <w:unhideWhenUsed/>
    <w:rsid w:val="0087570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75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95351">
      <w:bodyDiv w:val="1"/>
      <w:marLeft w:val="0"/>
      <w:marRight w:val="0"/>
      <w:marTop w:val="0"/>
      <w:marBottom w:val="0"/>
      <w:divBdr>
        <w:top w:val="none" w:sz="0" w:space="0" w:color="auto"/>
        <w:left w:val="none" w:sz="0" w:space="0" w:color="auto"/>
        <w:bottom w:val="none" w:sz="0" w:space="0" w:color="auto"/>
        <w:right w:val="none" w:sz="0" w:space="0" w:color="auto"/>
      </w:divBdr>
      <w:divsChild>
        <w:div w:id="1836414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400</TotalTime>
  <Pages>7</Pages>
  <Words>2535</Words>
  <Characters>14451</Characters>
  <Application>Microsoft Office Word</Application>
  <DocSecurity>0</DocSecurity>
  <Lines>120</Lines>
  <Paragraphs>33</Paragraphs>
  <ScaleCrop>false</ScaleCrop>
  <Company/>
  <LinksUpToDate>false</LinksUpToDate>
  <CharactersWithSpaces>16953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 (1902488)</dc:creator>
  <cp:keywords/>
  <dc:description/>
  <cp:lastModifiedBy>Caitlin Regola (1902488)</cp:lastModifiedBy>
  <cp:revision>211</cp:revision>
  <dcterms:created xsi:type="dcterms:W3CDTF">2025-02-07T15:17:00Z</dcterms:created>
  <dcterms:modified xsi:type="dcterms:W3CDTF">2025-03-09T09:07:00Z</dcterms:modified>
</cp:coreProperties>
</file>