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383F2" w14:textId="2AC59BEE" w:rsidR="00067306" w:rsidRPr="00067306" w:rsidRDefault="00067306" w:rsidP="00067306">
      <w:pPr>
        <w:spacing w:line="360" w:lineRule="auto"/>
        <w:jc w:val="both"/>
        <w:rPr>
          <w:rFonts w:ascii="Arial" w:hAnsi="Arial" w:cs="Arial"/>
          <w:sz w:val="22"/>
          <w:szCs w:val="22"/>
        </w:rPr>
      </w:pPr>
      <w:bookmarkStart w:id="0" w:name="_Hlk211175310"/>
      <w:bookmarkEnd w:id="0"/>
      <w:r>
        <w:rPr>
          <w:noProof/>
        </w:rPr>
        <w:drawing>
          <wp:inline distT="0" distB="0" distL="0" distR="0" wp14:anchorId="79FBD552" wp14:editId="4D339F27">
            <wp:extent cx="1104784" cy="1016217"/>
            <wp:effectExtent l="0" t="0" r="635" b="0"/>
            <wp:docPr id="538126316" name="Picture 1" descr="University of Wales Trinity Saint David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26316" name="Picture 1" descr="University of Wales Trinity Saint David | LinkedIn"/>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0317" cy="1048901"/>
                    </a:xfrm>
                    <a:prstGeom prst="rect">
                      <a:avLst/>
                    </a:prstGeom>
                    <a:noFill/>
                    <a:ln>
                      <a:noFill/>
                    </a:ln>
                  </pic:spPr>
                </pic:pic>
              </a:graphicData>
            </a:graphic>
          </wp:inline>
        </w:drawing>
      </w:r>
    </w:p>
    <w:p w14:paraId="6CB19060" w14:textId="584DB206" w:rsidR="00067306" w:rsidRPr="002F7BEB" w:rsidRDefault="00067306" w:rsidP="00067306">
      <w:pPr>
        <w:spacing w:line="360" w:lineRule="auto"/>
        <w:jc w:val="both"/>
        <w:rPr>
          <w:rFonts w:cs="Arial"/>
          <w:sz w:val="28"/>
          <w:szCs w:val="28"/>
          <w:lang w:val="en-US"/>
        </w:rPr>
      </w:pPr>
      <w:r w:rsidRPr="002F7BEB">
        <w:rPr>
          <w:rFonts w:ascii="Arial" w:hAnsi="Arial" w:cs="Arial"/>
          <w:b/>
          <w:bCs/>
          <w:sz w:val="28"/>
          <w:szCs w:val="28"/>
        </w:rPr>
        <w:t xml:space="preserve">Programme: </w:t>
      </w:r>
      <w:r w:rsidRPr="002F7BEB">
        <w:rPr>
          <w:rFonts w:ascii="Arial" w:hAnsi="Arial" w:cs="Arial"/>
          <w:bCs/>
          <w:sz w:val="28"/>
          <w:szCs w:val="28"/>
        </w:rPr>
        <w:t>BSc (Hons) Health and Social Care</w:t>
      </w:r>
    </w:p>
    <w:p w14:paraId="1287069C" w14:textId="77777777" w:rsidR="00067306" w:rsidRPr="002F7BEB" w:rsidRDefault="00067306" w:rsidP="00067306">
      <w:pPr>
        <w:spacing w:line="360" w:lineRule="auto"/>
        <w:jc w:val="both"/>
        <w:rPr>
          <w:rFonts w:ascii="Arial" w:hAnsi="Arial" w:cs="Arial"/>
          <w:b/>
          <w:sz w:val="28"/>
          <w:szCs w:val="28"/>
        </w:rPr>
      </w:pPr>
      <w:r w:rsidRPr="002F7BEB">
        <w:rPr>
          <w:rFonts w:ascii="Arial" w:hAnsi="Arial" w:cs="Arial"/>
          <w:b/>
          <w:bCs/>
          <w:sz w:val="28"/>
          <w:szCs w:val="28"/>
        </w:rPr>
        <w:t>Module Title:</w:t>
      </w:r>
      <w:r w:rsidRPr="002F7BEB">
        <w:rPr>
          <w:rFonts w:ascii="Arial" w:hAnsi="Arial" w:cs="Arial"/>
          <w:b/>
          <w:sz w:val="28"/>
          <w:szCs w:val="28"/>
        </w:rPr>
        <w:t xml:space="preserve"> </w:t>
      </w:r>
      <w:r w:rsidRPr="002F7BEB">
        <w:rPr>
          <w:rFonts w:ascii="Arial" w:hAnsi="Arial" w:cs="Arial"/>
          <w:sz w:val="28"/>
          <w:szCs w:val="28"/>
        </w:rPr>
        <w:t>Psychological Classifications and Provisions</w:t>
      </w:r>
    </w:p>
    <w:p w14:paraId="614F9087" w14:textId="11382A88" w:rsidR="00067306" w:rsidRPr="002F7BEB" w:rsidRDefault="00067306" w:rsidP="00067306">
      <w:pPr>
        <w:spacing w:line="360" w:lineRule="auto"/>
        <w:jc w:val="both"/>
        <w:rPr>
          <w:rFonts w:ascii="Arial" w:hAnsi="Arial" w:cs="Arial"/>
          <w:sz w:val="28"/>
          <w:szCs w:val="28"/>
        </w:rPr>
      </w:pPr>
      <w:r w:rsidRPr="002F7BEB">
        <w:rPr>
          <w:rFonts w:ascii="Arial" w:hAnsi="Arial" w:cs="Arial"/>
          <w:b/>
          <w:bCs/>
          <w:sz w:val="28"/>
          <w:szCs w:val="28"/>
        </w:rPr>
        <w:t xml:space="preserve">Module Code: </w:t>
      </w:r>
      <w:r w:rsidRPr="002F7BEB">
        <w:rPr>
          <w:rFonts w:ascii="Arial" w:hAnsi="Arial" w:cs="Arial"/>
          <w:sz w:val="28"/>
          <w:szCs w:val="28"/>
        </w:rPr>
        <w:t>BMHP6029</w:t>
      </w:r>
    </w:p>
    <w:p w14:paraId="44687E0F" w14:textId="480FAE90" w:rsidR="00067306" w:rsidRPr="002F7BEB" w:rsidRDefault="00067306" w:rsidP="00067306">
      <w:pPr>
        <w:spacing w:before="120" w:after="120" w:line="360" w:lineRule="auto"/>
        <w:jc w:val="both"/>
        <w:rPr>
          <w:rFonts w:ascii="Arial" w:hAnsi="Arial" w:cs="Arial"/>
          <w:b/>
          <w:sz w:val="28"/>
          <w:szCs w:val="28"/>
        </w:rPr>
      </w:pPr>
      <w:r w:rsidRPr="002F7BEB">
        <w:rPr>
          <w:rFonts w:ascii="Arial" w:hAnsi="Arial" w:cs="Arial"/>
          <w:b/>
          <w:bCs/>
          <w:sz w:val="28"/>
          <w:szCs w:val="28"/>
        </w:rPr>
        <w:t xml:space="preserve">Assignment Title: </w:t>
      </w:r>
      <w:r w:rsidRPr="002F7BEB">
        <w:rPr>
          <w:rFonts w:ascii="Arial" w:hAnsi="Arial" w:cs="Arial"/>
          <w:sz w:val="28"/>
          <w:szCs w:val="28"/>
        </w:rPr>
        <w:t>Component 2: Written Report</w:t>
      </w:r>
    </w:p>
    <w:p w14:paraId="77B8D851" w14:textId="77777777" w:rsidR="00067306" w:rsidRPr="002F7BEB" w:rsidRDefault="00067306" w:rsidP="00067306">
      <w:pPr>
        <w:spacing w:line="360" w:lineRule="auto"/>
        <w:jc w:val="both"/>
        <w:rPr>
          <w:rFonts w:ascii="Arial" w:hAnsi="Arial" w:cs="Arial"/>
          <w:sz w:val="28"/>
          <w:szCs w:val="28"/>
        </w:rPr>
      </w:pPr>
      <w:r w:rsidRPr="002F7BEB">
        <w:rPr>
          <w:rFonts w:ascii="Arial" w:hAnsi="Arial" w:cs="Arial"/>
          <w:b/>
          <w:bCs/>
          <w:sz w:val="28"/>
          <w:szCs w:val="28"/>
        </w:rPr>
        <w:t xml:space="preserve">Student Name: </w:t>
      </w:r>
      <w:r w:rsidRPr="002F7BEB">
        <w:rPr>
          <w:rFonts w:ascii="Arial" w:hAnsi="Arial" w:cs="Arial"/>
          <w:sz w:val="28"/>
          <w:szCs w:val="28"/>
        </w:rPr>
        <w:t>Mehwish Arshad</w:t>
      </w:r>
    </w:p>
    <w:p w14:paraId="094F9796" w14:textId="77777777" w:rsidR="00067306" w:rsidRPr="002F7BEB" w:rsidRDefault="00067306" w:rsidP="00067306">
      <w:pPr>
        <w:spacing w:line="360" w:lineRule="auto"/>
        <w:jc w:val="both"/>
        <w:rPr>
          <w:rFonts w:ascii="Arial" w:hAnsi="Arial" w:cs="Arial"/>
          <w:sz w:val="28"/>
          <w:szCs w:val="28"/>
        </w:rPr>
      </w:pPr>
      <w:r w:rsidRPr="002F7BEB">
        <w:rPr>
          <w:rFonts w:ascii="Arial" w:hAnsi="Arial" w:cs="Arial"/>
          <w:b/>
          <w:bCs/>
          <w:sz w:val="28"/>
          <w:szCs w:val="28"/>
        </w:rPr>
        <w:t xml:space="preserve">Student Number: </w:t>
      </w:r>
      <w:r w:rsidRPr="002F7BEB">
        <w:rPr>
          <w:rFonts w:ascii="Arial" w:hAnsi="Arial" w:cs="Arial"/>
          <w:sz w:val="28"/>
          <w:szCs w:val="28"/>
        </w:rPr>
        <w:t>2312904</w:t>
      </w:r>
    </w:p>
    <w:p w14:paraId="151D2B04" w14:textId="77777777" w:rsidR="00067306" w:rsidRPr="002F7BEB" w:rsidRDefault="00067306" w:rsidP="00067306">
      <w:pPr>
        <w:spacing w:line="360" w:lineRule="auto"/>
        <w:jc w:val="both"/>
        <w:rPr>
          <w:rFonts w:ascii="Arial" w:hAnsi="Arial" w:cs="Arial"/>
          <w:sz w:val="28"/>
          <w:szCs w:val="28"/>
        </w:rPr>
      </w:pPr>
      <w:r w:rsidRPr="002F7BEB">
        <w:rPr>
          <w:rFonts w:ascii="Arial" w:hAnsi="Arial" w:cs="Arial"/>
          <w:b/>
          <w:bCs/>
          <w:sz w:val="28"/>
          <w:szCs w:val="28"/>
        </w:rPr>
        <w:t xml:space="preserve">Lecturer’s Name: </w:t>
      </w:r>
      <w:r w:rsidRPr="002F7BEB">
        <w:rPr>
          <w:rFonts w:ascii="Arial" w:hAnsi="Arial" w:cs="Arial"/>
          <w:sz w:val="28"/>
          <w:szCs w:val="28"/>
        </w:rPr>
        <w:t xml:space="preserve">Tomy </w:t>
      </w:r>
      <w:proofErr w:type="spellStart"/>
      <w:r w:rsidRPr="002F7BEB">
        <w:rPr>
          <w:rFonts w:ascii="Arial" w:hAnsi="Arial" w:cs="Arial"/>
          <w:sz w:val="28"/>
          <w:szCs w:val="28"/>
        </w:rPr>
        <w:t>Adattu</w:t>
      </w:r>
      <w:proofErr w:type="spellEnd"/>
      <w:r w:rsidRPr="002F7BEB">
        <w:rPr>
          <w:rFonts w:ascii="Arial" w:hAnsi="Arial" w:cs="Arial"/>
          <w:sz w:val="28"/>
          <w:szCs w:val="28"/>
        </w:rPr>
        <w:t xml:space="preserve"> Chacko</w:t>
      </w:r>
    </w:p>
    <w:p w14:paraId="563ABA7C" w14:textId="77777777" w:rsidR="00067306" w:rsidRDefault="00067306" w:rsidP="00067306">
      <w:pPr>
        <w:spacing w:line="360" w:lineRule="auto"/>
        <w:jc w:val="both"/>
        <w:rPr>
          <w:rFonts w:ascii="Arial" w:hAnsi="Arial" w:cs="Arial"/>
          <w:sz w:val="22"/>
          <w:szCs w:val="22"/>
        </w:rPr>
      </w:pPr>
    </w:p>
    <w:p w14:paraId="786F72B3" w14:textId="77777777" w:rsidR="00067306" w:rsidRDefault="00067306" w:rsidP="00067306">
      <w:pPr>
        <w:spacing w:line="360" w:lineRule="auto"/>
        <w:jc w:val="both"/>
        <w:rPr>
          <w:rFonts w:ascii="Arial" w:hAnsi="Arial" w:cs="Arial"/>
          <w:sz w:val="22"/>
          <w:szCs w:val="22"/>
        </w:rPr>
      </w:pPr>
    </w:p>
    <w:p w14:paraId="43FA6FAB" w14:textId="77777777" w:rsidR="00067306" w:rsidRDefault="00067306" w:rsidP="00067306">
      <w:pPr>
        <w:spacing w:line="360" w:lineRule="auto"/>
        <w:jc w:val="both"/>
        <w:rPr>
          <w:rFonts w:ascii="Arial" w:hAnsi="Arial" w:cs="Arial"/>
          <w:sz w:val="22"/>
          <w:szCs w:val="22"/>
        </w:rPr>
      </w:pPr>
    </w:p>
    <w:p w14:paraId="40C4816A" w14:textId="77777777" w:rsidR="00067306" w:rsidRDefault="00067306" w:rsidP="00067306">
      <w:pPr>
        <w:spacing w:line="360" w:lineRule="auto"/>
        <w:jc w:val="both"/>
        <w:rPr>
          <w:rFonts w:ascii="Arial" w:hAnsi="Arial" w:cs="Arial"/>
          <w:sz w:val="22"/>
          <w:szCs w:val="22"/>
        </w:rPr>
      </w:pPr>
    </w:p>
    <w:p w14:paraId="62861932" w14:textId="77777777" w:rsidR="00067306" w:rsidRDefault="00067306" w:rsidP="00067306">
      <w:pPr>
        <w:spacing w:line="360" w:lineRule="auto"/>
        <w:jc w:val="both"/>
        <w:rPr>
          <w:rFonts w:ascii="Arial" w:hAnsi="Arial" w:cs="Arial"/>
          <w:sz w:val="22"/>
          <w:szCs w:val="22"/>
        </w:rPr>
      </w:pPr>
    </w:p>
    <w:p w14:paraId="7B957622" w14:textId="77777777" w:rsidR="00067306" w:rsidRDefault="00067306" w:rsidP="00067306">
      <w:pPr>
        <w:spacing w:line="360" w:lineRule="auto"/>
        <w:jc w:val="both"/>
        <w:rPr>
          <w:rFonts w:ascii="Arial" w:hAnsi="Arial" w:cs="Arial"/>
          <w:sz w:val="22"/>
          <w:szCs w:val="22"/>
        </w:rPr>
      </w:pPr>
    </w:p>
    <w:p w14:paraId="08B14EE0" w14:textId="77777777" w:rsidR="00067306" w:rsidRDefault="00067306" w:rsidP="00067306">
      <w:pPr>
        <w:spacing w:line="360" w:lineRule="auto"/>
        <w:jc w:val="both"/>
        <w:rPr>
          <w:rFonts w:ascii="Arial" w:hAnsi="Arial" w:cs="Arial"/>
          <w:sz w:val="22"/>
          <w:szCs w:val="22"/>
        </w:rPr>
      </w:pPr>
    </w:p>
    <w:p w14:paraId="4345615C" w14:textId="77777777" w:rsidR="00067306" w:rsidRDefault="00067306" w:rsidP="00067306">
      <w:pPr>
        <w:spacing w:line="360" w:lineRule="auto"/>
        <w:jc w:val="both"/>
        <w:rPr>
          <w:rFonts w:ascii="Arial" w:hAnsi="Arial" w:cs="Arial"/>
          <w:sz w:val="22"/>
          <w:szCs w:val="22"/>
        </w:rPr>
      </w:pPr>
    </w:p>
    <w:p w14:paraId="530EC4DD" w14:textId="77777777" w:rsidR="00067306" w:rsidRDefault="00067306" w:rsidP="00067306">
      <w:pPr>
        <w:spacing w:line="360" w:lineRule="auto"/>
        <w:jc w:val="both"/>
        <w:rPr>
          <w:rFonts w:ascii="Arial" w:hAnsi="Arial" w:cs="Arial"/>
          <w:sz w:val="22"/>
          <w:szCs w:val="22"/>
        </w:rPr>
      </w:pPr>
    </w:p>
    <w:p w14:paraId="257F0935" w14:textId="77777777" w:rsidR="00067306" w:rsidRDefault="00067306" w:rsidP="00067306">
      <w:pPr>
        <w:spacing w:line="360" w:lineRule="auto"/>
        <w:jc w:val="both"/>
        <w:rPr>
          <w:rFonts w:ascii="Arial" w:hAnsi="Arial" w:cs="Arial"/>
          <w:sz w:val="22"/>
          <w:szCs w:val="22"/>
        </w:rPr>
      </w:pPr>
    </w:p>
    <w:p w14:paraId="748E6F27" w14:textId="77777777" w:rsidR="00067306" w:rsidRDefault="00067306" w:rsidP="00067306">
      <w:pPr>
        <w:spacing w:line="360" w:lineRule="auto"/>
        <w:jc w:val="both"/>
        <w:rPr>
          <w:rFonts w:ascii="Arial" w:hAnsi="Arial" w:cs="Arial"/>
          <w:sz w:val="22"/>
          <w:szCs w:val="22"/>
        </w:rPr>
      </w:pPr>
    </w:p>
    <w:p w14:paraId="38BD796A" w14:textId="77777777" w:rsidR="00067306" w:rsidRDefault="00067306" w:rsidP="00067306">
      <w:pPr>
        <w:spacing w:line="360" w:lineRule="auto"/>
        <w:jc w:val="both"/>
        <w:rPr>
          <w:rFonts w:ascii="Arial" w:hAnsi="Arial" w:cs="Arial"/>
          <w:sz w:val="22"/>
          <w:szCs w:val="22"/>
        </w:rPr>
      </w:pPr>
    </w:p>
    <w:p w14:paraId="70154349" w14:textId="77777777" w:rsidR="00067306" w:rsidRDefault="00067306" w:rsidP="00067306">
      <w:pPr>
        <w:spacing w:line="360" w:lineRule="auto"/>
        <w:jc w:val="both"/>
        <w:rPr>
          <w:rFonts w:ascii="Arial" w:hAnsi="Arial" w:cs="Arial"/>
          <w:sz w:val="22"/>
          <w:szCs w:val="22"/>
        </w:rPr>
      </w:pPr>
    </w:p>
    <w:p w14:paraId="2C732645" w14:textId="77777777" w:rsidR="00067306" w:rsidRDefault="00067306" w:rsidP="00067306">
      <w:pPr>
        <w:spacing w:line="360" w:lineRule="auto"/>
        <w:jc w:val="both"/>
        <w:rPr>
          <w:rFonts w:ascii="Arial" w:hAnsi="Arial" w:cs="Arial"/>
          <w:sz w:val="22"/>
          <w:szCs w:val="22"/>
        </w:rPr>
      </w:pPr>
    </w:p>
    <w:p w14:paraId="23E0023C" w14:textId="77777777" w:rsidR="00067306" w:rsidRDefault="00067306" w:rsidP="00067306">
      <w:pPr>
        <w:spacing w:line="360" w:lineRule="auto"/>
        <w:jc w:val="both"/>
        <w:rPr>
          <w:rFonts w:ascii="Arial" w:hAnsi="Arial" w:cs="Arial"/>
          <w:sz w:val="22"/>
          <w:szCs w:val="22"/>
        </w:rPr>
      </w:pPr>
    </w:p>
    <w:sdt>
      <w:sdtPr>
        <w:rPr>
          <w:rFonts w:asciiTheme="minorHAnsi" w:eastAsiaTheme="minorHAnsi" w:hAnsiTheme="minorHAnsi" w:cstheme="minorBidi"/>
          <w:color w:val="auto"/>
          <w:kern w:val="2"/>
          <w:sz w:val="24"/>
          <w:szCs w:val="24"/>
          <w:lang w:val="en-GB"/>
          <w14:ligatures w14:val="standardContextual"/>
        </w:rPr>
        <w:id w:val="275914375"/>
        <w:docPartObj>
          <w:docPartGallery w:val="Table of Contents"/>
          <w:docPartUnique/>
        </w:docPartObj>
      </w:sdtPr>
      <w:sdtEndPr>
        <w:rPr>
          <w:bCs/>
          <w:noProof/>
        </w:rPr>
      </w:sdtEndPr>
      <w:sdtContent>
        <w:p w14:paraId="422EB286" w14:textId="44B5A99F" w:rsidR="00EA2703" w:rsidRDefault="00EA2703">
          <w:pPr>
            <w:pStyle w:val="TOCHeading"/>
          </w:pPr>
          <w:r>
            <w:t>Table of Contents</w:t>
          </w:r>
        </w:p>
        <w:p w14:paraId="11E12460" w14:textId="210D4C24" w:rsidR="002F7BEB" w:rsidRDefault="00EA27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053265" w:history="1">
            <w:r w:rsidR="002F7BEB" w:rsidRPr="00633C45">
              <w:rPr>
                <w:rStyle w:val="Hyperlink"/>
                <w:noProof/>
              </w:rPr>
              <w:t>Introduction</w:t>
            </w:r>
            <w:r w:rsidR="002F7BEB">
              <w:rPr>
                <w:noProof/>
                <w:webHidden/>
              </w:rPr>
              <w:tab/>
            </w:r>
            <w:r w:rsidR="002F7BEB">
              <w:rPr>
                <w:noProof/>
                <w:webHidden/>
              </w:rPr>
              <w:fldChar w:fldCharType="begin"/>
            </w:r>
            <w:r w:rsidR="002F7BEB">
              <w:rPr>
                <w:noProof/>
                <w:webHidden/>
              </w:rPr>
              <w:instrText xml:space="preserve"> PAGEREF _Toc214053265 \h </w:instrText>
            </w:r>
            <w:r w:rsidR="002F7BEB">
              <w:rPr>
                <w:noProof/>
                <w:webHidden/>
              </w:rPr>
            </w:r>
            <w:r w:rsidR="002F7BEB">
              <w:rPr>
                <w:noProof/>
                <w:webHidden/>
              </w:rPr>
              <w:fldChar w:fldCharType="separate"/>
            </w:r>
            <w:r w:rsidR="002F7BEB">
              <w:rPr>
                <w:noProof/>
                <w:webHidden/>
              </w:rPr>
              <w:t>3</w:t>
            </w:r>
            <w:r w:rsidR="002F7BEB">
              <w:rPr>
                <w:noProof/>
                <w:webHidden/>
              </w:rPr>
              <w:fldChar w:fldCharType="end"/>
            </w:r>
          </w:hyperlink>
        </w:p>
        <w:p w14:paraId="053D1F91" w14:textId="187B4124" w:rsidR="002F7BEB" w:rsidRDefault="002F7BEB">
          <w:pPr>
            <w:pStyle w:val="TOC1"/>
            <w:tabs>
              <w:tab w:val="right" w:leader="dot" w:pos="9016"/>
            </w:tabs>
            <w:rPr>
              <w:rFonts w:eastAsiaTheme="minorEastAsia"/>
              <w:noProof/>
              <w:lang w:eastAsia="en-GB"/>
            </w:rPr>
          </w:pPr>
          <w:hyperlink w:anchor="_Toc214053266" w:history="1">
            <w:r w:rsidRPr="00633C45">
              <w:rPr>
                <w:rStyle w:val="Hyperlink"/>
                <w:noProof/>
              </w:rPr>
              <w:t>Historical Context of Anorexia Nervosa</w:t>
            </w:r>
            <w:r>
              <w:rPr>
                <w:noProof/>
                <w:webHidden/>
              </w:rPr>
              <w:tab/>
            </w:r>
            <w:r>
              <w:rPr>
                <w:noProof/>
                <w:webHidden/>
              </w:rPr>
              <w:fldChar w:fldCharType="begin"/>
            </w:r>
            <w:r>
              <w:rPr>
                <w:noProof/>
                <w:webHidden/>
              </w:rPr>
              <w:instrText xml:space="preserve"> PAGEREF _Toc214053266 \h </w:instrText>
            </w:r>
            <w:r>
              <w:rPr>
                <w:noProof/>
                <w:webHidden/>
              </w:rPr>
            </w:r>
            <w:r>
              <w:rPr>
                <w:noProof/>
                <w:webHidden/>
              </w:rPr>
              <w:fldChar w:fldCharType="separate"/>
            </w:r>
            <w:r>
              <w:rPr>
                <w:noProof/>
                <w:webHidden/>
              </w:rPr>
              <w:t>3</w:t>
            </w:r>
            <w:r>
              <w:rPr>
                <w:noProof/>
                <w:webHidden/>
              </w:rPr>
              <w:fldChar w:fldCharType="end"/>
            </w:r>
          </w:hyperlink>
        </w:p>
        <w:p w14:paraId="14F0A2FE" w14:textId="583E4C4A" w:rsidR="002F7BEB" w:rsidRDefault="002F7BEB">
          <w:pPr>
            <w:pStyle w:val="TOC1"/>
            <w:tabs>
              <w:tab w:val="right" w:leader="dot" w:pos="9016"/>
            </w:tabs>
            <w:rPr>
              <w:rFonts w:eastAsiaTheme="minorEastAsia"/>
              <w:noProof/>
              <w:lang w:eastAsia="en-GB"/>
            </w:rPr>
          </w:pPr>
          <w:hyperlink w:anchor="_Toc214053267" w:history="1">
            <w:r w:rsidRPr="00633C45">
              <w:rPr>
                <w:rStyle w:val="Hyperlink"/>
                <w:noProof/>
              </w:rPr>
              <w:t>Classification and Diagnosis</w:t>
            </w:r>
            <w:r>
              <w:rPr>
                <w:noProof/>
                <w:webHidden/>
              </w:rPr>
              <w:tab/>
            </w:r>
            <w:r>
              <w:rPr>
                <w:noProof/>
                <w:webHidden/>
              </w:rPr>
              <w:fldChar w:fldCharType="begin"/>
            </w:r>
            <w:r>
              <w:rPr>
                <w:noProof/>
                <w:webHidden/>
              </w:rPr>
              <w:instrText xml:space="preserve"> PAGEREF _Toc214053267 \h </w:instrText>
            </w:r>
            <w:r>
              <w:rPr>
                <w:noProof/>
                <w:webHidden/>
              </w:rPr>
            </w:r>
            <w:r>
              <w:rPr>
                <w:noProof/>
                <w:webHidden/>
              </w:rPr>
              <w:fldChar w:fldCharType="separate"/>
            </w:r>
            <w:r>
              <w:rPr>
                <w:noProof/>
                <w:webHidden/>
              </w:rPr>
              <w:t>4</w:t>
            </w:r>
            <w:r>
              <w:rPr>
                <w:noProof/>
                <w:webHidden/>
              </w:rPr>
              <w:fldChar w:fldCharType="end"/>
            </w:r>
          </w:hyperlink>
        </w:p>
        <w:p w14:paraId="6EA9AF48" w14:textId="7DB98D45" w:rsidR="002F7BEB" w:rsidRDefault="002F7BEB">
          <w:pPr>
            <w:pStyle w:val="TOC1"/>
            <w:tabs>
              <w:tab w:val="right" w:leader="dot" w:pos="9016"/>
            </w:tabs>
            <w:rPr>
              <w:rFonts w:eastAsiaTheme="minorEastAsia"/>
              <w:noProof/>
              <w:lang w:eastAsia="en-GB"/>
            </w:rPr>
          </w:pPr>
          <w:hyperlink w:anchor="_Toc214053268" w:history="1">
            <w:r w:rsidRPr="00633C45">
              <w:rPr>
                <w:rStyle w:val="Hyperlink"/>
                <w:noProof/>
              </w:rPr>
              <w:t>Treatment and Rehabilitation</w:t>
            </w:r>
            <w:r>
              <w:rPr>
                <w:noProof/>
                <w:webHidden/>
              </w:rPr>
              <w:tab/>
            </w:r>
            <w:r>
              <w:rPr>
                <w:noProof/>
                <w:webHidden/>
              </w:rPr>
              <w:fldChar w:fldCharType="begin"/>
            </w:r>
            <w:r>
              <w:rPr>
                <w:noProof/>
                <w:webHidden/>
              </w:rPr>
              <w:instrText xml:space="preserve"> PAGEREF _Toc214053268 \h </w:instrText>
            </w:r>
            <w:r>
              <w:rPr>
                <w:noProof/>
                <w:webHidden/>
              </w:rPr>
            </w:r>
            <w:r>
              <w:rPr>
                <w:noProof/>
                <w:webHidden/>
              </w:rPr>
              <w:fldChar w:fldCharType="separate"/>
            </w:r>
            <w:r>
              <w:rPr>
                <w:noProof/>
                <w:webHidden/>
              </w:rPr>
              <w:t>5</w:t>
            </w:r>
            <w:r>
              <w:rPr>
                <w:noProof/>
                <w:webHidden/>
              </w:rPr>
              <w:fldChar w:fldCharType="end"/>
            </w:r>
          </w:hyperlink>
        </w:p>
        <w:p w14:paraId="7EB64228" w14:textId="4EA68B6F" w:rsidR="002F7BEB" w:rsidRDefault="002F7BEB">
          <w:pPr>
            <w:pStyle w:val="TOC1"/>
            <w:tabs>
              <w:tab w:val="right" w:leader="dot" w:pos="9016"/>
            </w:tabs>
            <w:rPr>
              <w:rFonts w:eastAsiaTheme="minorEastAsia"/>
              <w:noProof/>
              <w:lang w:eastAsia="en-GB"/>
            </w:rPr>
          </w:pPr>
          <w:hyperlink w:anchor="_Toc214053269" w:history="1">
            <w:r w:rsidRPr="00633C45">
              <w:rPr>
                <w:rStyle w:val="Hyperlink"/>
                <w:noProof/>
              </w:rPr>
              <w:t>Current Debates and Emerging Issues</w:t>
            </w:r>
            <w:r>
              <w:rPr>
                <w:noProof/>
                <w:webHidden/>
              </w:rPr>
              <w:tab/>
            </w:r>
            <w:r>
              <w:rPr>
                <w:noProof/>
                <w:webHidden/>
              </w:rPr>
              <w:fldChar w:fldCharType="begin"/>
            </w:r>
            <w:r>
              <w:rPr>
                <w:noProof/>
                <w:webHidden/>
              </w:rPr>
              <w:instrText xml:space="preserve"> PAGEREF _Toc214053269 \h </w:instrText>
            </w:r>
            <w:r>
              <w:rPr>
                <w:noProof/>
                <w:webHidden/>
              </w:rPr>
            </w:r>
            <w:r>
              <w:rPr>
                <w:noProof/>
                <w:webHidden/>
              </w:rPr>
              <w:fldChar w:fldCharType="separate"/>
            </w:r>
            <w:r>
              <w:rPr>
                <w:noProof/>
                <w:webHidden/>
              </w:rPr>
              <w:t>6</w:t>
            </w:r>
            <w:r>
              <w:rPr>
                <w:noProof/>
                <w:webHidden/>
              </w:rPr>
              <w:fldChar w:fldCharType="end"/>
            </w:r>
          </w:hyperlink>
        </w:p>
        <w:p w14:paraId="3114F30A" w14:textId="433F41A4" w:rsidR="002F7BEB" w:rsidRDefault="002F7BEB">
          <w:pPr>
            <w:pStyle w:val="TOC1"/>
            <w:tabs>
              <w:tab w:val="right" w:leader="dot" w:pos="9016"/>
            </w:tabs>
            <w:rPr>
              <w:rFonts w:eastAsiaTheme="minorEastAsia"/>
              <w:noProof/>
              <w:lang w:eastAsia="en-GB"/>
            </w:rPr>
          </w:pPr>
          <w:hyperlink w:anchor="_Toc214053270" w:history="1">
            <w:r w:rsidRPr="00633C45">
              <w:rPr>
                <w:rStyle w:val="Hyperlink"/>
                <w:noProof/>
              </w:rPr>
              <w:t>Policy and Legal Framework</w:t>
            </w:r>
            <w:r>
              <w:rPr>
                <w:noProof/>
                <w:webHidden/>
              </w:rPr>
              <w:tab/>
            </w:r>
            <w:r>
              <w:rPr>
                <w:noProof/>
                <w:webHidden/>
              </w:rPr>
              <w:fldChar w:fldCharType="begin"/>
            </w:r>
            <w:r>
              <w:rPr>
                <w:noProof/>
                <w:webHidden/>
              </w:rPr>
              <w:instrText xml:space="preserve"> PAGEREF _Toc214053270 \h </w:instrText>
            </w:r>
            <w:r>
              <w:rPr>
                <w:noProof/>
                <w:webHidden/>
              </w:rPr>
            </w:r>
            <w:r>
              <w:rPr>
                <w:noProof/>
                <w:webHidden/>
              </w:rPr>
              <w:fldChar w:fldCharType="separate"/>
            </w:r>
            <w:r>
              <w:rPr>
                <w:noProof/>
                <w:webHidden/>
              </w:rPr>
              <w:t>6</w:t>
            </w:r>
            <w:r>
              <w:rPr>
                <w:noProof/>
                <w:webHidden/>
              </w:rPr>
              <w:fldChar w:fldCharType="end"/>
            </w:r>
          </w:hyperlink>
        </w:p>
        <w:p w14:paraId="0BBC9FE0" w14:textId="03BE65BB" w:rsidR="002F7BEB" w:rsidRDefault="002F7BEB">
          <w:pPr>
            <w:pStyle w:val="TOC1"/>
            <w:tabs>
              <w:tab w:val="right" w:leader="dot" w:pos="9016"/>
            </w:tabs>
            <w:rPr>
              <w:rFonts w:eastAsiaTheme="minorEastAsia"/>
              <w:noProof/>
              <w:lang w:eastAsia="en-GB"/>
            </w:rPr>
          </w:pPr>
          <w:hyperlink w:anchor="_Toc214053271" w:history="1">
            <w:r w:rsidRPr="00633C45">
              <w:rPr>
                <w:rStyle w:val="Hyperlink"/>
                <w:noProof/>
              </w:rPr>
              <w:t>UK Data and Statistical Evidence</w:t>
            </w:r>
            <w:r>
              <w:rPr>
                <w:noProof/>
                <w:webHidden/>
              </w:rPr>
              <w:tab/>
            </w:r>
            <w:r>
              <w:rPr>
                <w:noProof/>
                <w:webHidden/>
              </w:rPr>
              <w:fldChar w:fldCharType="begin"/>
            </w:r>
            <w:r>
              <w:rPr>
                <w:noProof/>
                <w:webHidden/>
              </w:rPr>
              <w:instrText xml:space="preserve"> PAGEREF _Toc214053271 \h </w:instrText>
            </w:r>
            <w:r>
              <w:rPr>
                <w:noProof/>
                <w:webHidden/>
              </w:rPr>
            </w:r>
            <w:r>
              <w:rPr>
                <w:noProof/>
                <w:webHidden/>
              </w:rPr>
              <w:fldChar w:fldCharType="separate"/>
            </w:r>
            <w:r>
              <w:rPr>
                <w:noProof/>
                <w:webHidden/>
              </w:rPr>
              <w:t>7</w:t>
            </w:r>
            <w:r>
              <w:rPr>
                <w:noProof/>
                <w:webHidden/>
              </w:rPr>
              <w:fldChar w:fldCharType="end"/>
            </w:r>
          </w:hyperlink>
        </w:p>
        <w:p w14:paraId="5E4E14A9" w14:textId="5E38A92A" w:rsidR="002F7BEB" w:rsidRDefault="002F7BEB">
          <w:pPr>
            <w:pStyle w:val="TOC1"/>
            <w:tabs>
              <w:tab w:val="right" w:leader="dot" w:pos="9016"/>
            </w:tabs>
            <w:rPr>
              <w:rFonts w:eastAsiaTheme="minorEastAsia"/>
              <w:noProof/>
              <w:lang w:eastAsia="en-GB"/>
            </w:rPr>
          </w:pPr>
          <w:hyperlink w:anchor="_Toc214053272" w:history="1">
            <w:r w:rsidRPr="00633C45">
              <w:rPr>
                <w:rStyle w:val="Hyperlink"/>
                <w:noProof/>
              </w:rPr>
              <w:t>Recommendations</w:t>
            </w:r>
            <w:r>
              <w:rPr>
                <w:noProof/>
                <w:webHidden/>
              </w:rPr>
              <w:tab/>
            </w:r>
            <w:r>
              <w:rPr>
                <w:noProof/>
                <w:webHidden/>
              </w:rPr>
              <w:fldChar w:fldCharType="begin"/>
            </w:r>
            <w:r>
              <w:rPr>
                <w:noProof/>
                <w:webHidden/>
              </w:rPr>
              <w:instrText xml:space="preserve"> PAGEREF _Toc214053272 \h </w:instrText>
            </w:r>
            <w:r>
              <w:rPr>
                <w:noProof/>
                <w:webHidden/>
              </w:rPr>
            </w:r>
            <w:r>
              <w:rPr>
                <w:noProof/>
                <w:webHidden/>
              </w:rPr>
              <w:fldChar w:fldCharType="separate"/>
            </w:r>
            <w:r>
              <w:rPr>
                <w:noProof/>
                <w:webHidden/>
              </w:rPr>
              <w:t>8</w:t>
            </w:r>
            <w:r>
              <w:rPr>
                <w:noProof/>
                <w:webHidden/>
              </w:rPr>
              <w:fldChar w:fldCharType="end"/>
            </w:r>
          </w:hyperlink>
        </w:p>
        <w:p w14:paraId="747B91C0" w14:textId="2F03EFE9" w:rsidR="002F7BEB" w:rsidRDefault="002F7BEB">
          <w:pPr>
            <w:pStyle w:val="TOC1"/>
            <w:tabs>
              <w:tab w:val="right" w:leader="dot" w:pos="9016"/>
            </w:tabs>
            <w:rPr>
              <w:rFonts w:eastAsiaTheme="minorEastAsia"/>
              <w:noProof/>
              <w:lang w:eastAsia="en-GB"/>
            </w:rPr>
          </w:pPr>
          <w:hyperlink w:anchor="_Toc214053273" w:history="1">
            <w:r w:rsidRPr="00633C45">
              <w:rPr>
                <w:rStyle w:val="Hyperlink"/>
                <w:noProof/>
              </w:rPr>
              <w:t>Conclusion</w:t>
            </w:r>
            <w:r>
              <w:rPr>
                <w:noProof/>
                <w:webHidden/>
              </w:rPr>
              <w:tab/>
            </w:r>
            <w:r>
              <w:rPr>
                <w:noProof/>
                <w:webHidden/>
              </w:rPr>
              <w:fldChar w:fldCharType="begin"/>
            </w:r>
            <w:r>
              <w:rPr>
                <w:noProof/>
                <w:webHidden/>
              </w:rPr>
              <w:instrText xml:space="preserve"> PAGEREF _Toc214053273 \h </w:instrText>
            </w:r>
            <w:r>
              <w:rPr>
                <w:noProof/>
                <w:webHidden/>
              </w:rPr>
            </w:r>
            <w:r>
              <w:rPr>
                <w:noProof/>
                <w:webHidden/>
              </w:rPr>
              <w:fldChar w:fldCharType="separate"/>
            </w:r>
            <w:r>
              <w:rPr>
                <w:noProof/>
                <w:webHidden/>
              </w:rPr>
              <w:t>8</w:t>
            </w:r>
            <w:r>
              <w:rPr>
                <w:noProof/>
                <w:webHidden/>
              </w:rPr>
              <w:fldChar w:fldCharType="end"/>
            </w:r>
          </w:hyperlink>
        </w:p>
        <w:p w14:paraId="43936457" w14:textId="32F35A8D" w:rsidR="002F7BEB" w:rsidRDefault="002F7BEB">
          <w:pPr>
            <w:pStyle w:val="TOC1"/>
            <w:tabs>
              <w:tab w:val="right" w:leader="dot" w:pos="9016"/>
            </w:tabs>
            <w:rPr>
              <w:rFonts w:eastAsiaTheme="minorEastAsia"/>
              <w:noProof/>
              <w:lang w:eastAsia="en-GB"/>
            </w:rPr>
          </w:pPr>
          <w:hyperlink w:anchor="_Toc214053274" w:history="1">
            <w:r w:rsidRPr="00633C45">
              <w:rPr>
                <w:rStyle w:val="Hyperlink"/>
                <w:noProof/>
              </w:rPr>
              <w:t>Reference List</w:t>
            </w:r>
            <w:r>
              <w:rPr>
                <w:noProof/>
                <w:webHidden/>
              </w:rPr>
              <w:tab/>
            </w:r>
            <w:r>
              <w:rPr>
                <w:noProof/>
                <w:webHidden/>
              </w:rPr>
              <w:fldChar w:fldCharType="begin"/>
            </w:r>
            <w:r>
              <w:rPr>
                <w:noProof/>
                <w:webHidden/>
              </w:rPr>
              <w:instrText xml:space="preserve"> PAGEREF _Toc214053274 \h </w:instrText>
            </w:r>
            <w:r>
              <w:rPr>
                <w:noProof/>
                <w:webHidden/>
              </w:rPr>
            </w:r>
            <w:r>
              <w:rPr>
                <w:noProof/>
                <w:webHidden/>
              </w:rPr>
              <w:fldChar w:fldCharType="separate"/>
            </w:r>
            <w:r>
              <w:rPr>
                <w:noProof/>
                <w:webHidden/>
              </w:rPr>
              <w:t>10</w:t>
            </w:r>
            <w:r>
              <w:rPr>
                <w:noProof/>
                <w:webHidden/>
              </w:rPr>
              <w:fldChar w:fldCharType="end"/>
            </w:r>
          </w:hyperlink>
        </w:p>
        <w:p w14:paraId="148393BA" w14:textId="087D4589" w:rsidR="00EA2703" w:rsidRDefault="00EA2703">
          <w:r>
            <w:rPr>
              <w:b/>
              <w:bCs/>
              <w:noProof/>
              <w:lang w:val="en-US"/>
            </w:rPr>
            <w:fldChar w:fldCharType="end"/>
          </w:r>
        </w:p>
      </w:sdtContent>
    </w:sdt>
    <w:p w14:paraId="0D4FF57C" w14:textId="77777777" w:rsidR="00067306" w:rsidRPr="00067306" w:rsidRDefault="00067306" w:rsidP="00067306">
      <w:pPr>
        <w:spacing w:line="360" w:lineRule="auto"/>
        <w:jc w:val="both"/>
        <w:rPr>
          <w:rFonts w:ascii="Arial" w:hAnsi="Arial" w:cs="Arial"/>
          <w:sz w:val="22"/>
          <w:szCs w:val="22"/>
        </w:rPr>
      </w:pPr>
    </w:p>
    <w:p w14:paraId="6A83250E" w14:textId="1B080628" w:rsidR="00067306" w:rsidRDefault="00067306" w:rsidP="00067306">
      <w:pPr>
        <w:spacing w:line="360" w:lineRule="auto"/>
        <w:jc w:val="both"/>
        <w:rPr>
          <w:rFonts w:ascii="Arial" w:hAnsi="Arial" w:cs="Arial"/>
          <w:sz w:val="22"/>
          <w:szCs w:val="22"/>
        </w:rPr>
      </w:pPr>
    </w:p>
    <w:p w14:paraId="2CB1BE21" w14:textId="77777777" w:rsidR="00067306" w:rsidRDefault="00067306" w:rsidP="00067306">
      <w:pPr>
        <w:spacing w:line="360" w:lineRule="auto"/>
        <w:jc w:val="both"/>
        <w:rPr>
          <w:rFonts w:ascii="Arial" w:hAnsi="Arial" w:cs="Arial"/>
          <w:sz w:val="22"/>
          <w:szCs w:val="22"/>
        </w:rPr>
      </w:pPr>
    </w:p>
    <w:p w14:paraId="785FE2F7" w14:textId="77777777" w:rsidR="00EA2703" w:rsidRDefault="00EA2703" w:rsidP="00067306">
      <w:pPr>
        <w:spacing w:line="360" w:lineRule="auto"/>
        <w:jc w:val="both"/>
        <w:rPr>
          <w:rFonts w:ascii="Arial" w:hAnsi="Arial" w:cs="Arial"/>
          <w:sz w:val="22"/>
          <w:szCs w:val="22"/>
        </w:rPr>
      </w:pPr>
    </w:p>
    <w:p w14:paraId="5457A6EA" w14:textId="77777777" w:rsidR="00EA2703" w:rsidRDefault="00EA2703" w:rsidP="00067306">
      <w:pPr>
        <w:spacing w:line="360" w:lineRule="auto"/>
        <w:jc w:val="both"/>
        <w:rPr>
          <w:rFonts w:ascii="Arial" w:hAnsi="Arial" w:cs="Arial"/>
          <w:sz w:val="22"/>
          <w:szCs w:val="22"/>
        </w:rPr>
      </w:pPr>
    </w:p>
    <w:p w14:paraId="626E3A75" w14:textId="77777777" w:rsidR="00EA2703" w:rsidRDefault="00EA2703" w:rsidP="00067306">
      <w:pPr>
        <w:spacing w:line="360" w:lineRule="auto"/>
        <w:jc w:val="both"/>
        <w:rPr>
          <w:rFonts w:ascii="Arial" w:hAnsi="Arial" w:cs="Arial"/>
          <w:sz w:val="22"/>
          <w:szCs w:val="22"/>
        </w:rPr>
      </w:pPr>
    </w:p>
    <w:p w14:paraId="68FE6F44" w14:textId="77777777" w:rsidR="00EA2703" w:rsidRDefault="00EA2703" w:rsidP="00067306">
      <w:pPr>
        <w:spacing w:line="360" w:lineRule="auto"/>
        <w:jc w:val="both"/>
        <w:rPr>
          <w:rFonts w:ascii="Arial" w:hAnsi="Arial" w:cs="Arial"/>
          <w:sz w:val="22"/>
          <w:szCs w:val="22"/>
        </w:rPr>
      </w:pPr>
    </w:p>
    <w:p w14:paraId="79077465" w14:textId="77777777" w:rsidR="00EA2703" w:rsidRDefault="00EA2703" w:rsidP="00067306">
      <w:pPr>
        <w:spacing w:line="360" w:lineRule="auto"/>
        <w:jc w:val="both"/>
        <w:rPr>
          <w:rFonts w:ascii="Arial" w:hAnsi="Arial" w:cs="Arial"/>
          <w:sz w:val="22"/>
          <w:szCs w:val="22"/>
        </w:rPr>
      </w:pPr>
    </w:p>
    <w:p w14:paraId="3384814A" w14:textId="77777777" w:rsidR="00EA2703" w:rsidRDefault="00EA2703" w:rsidP="00067306">
      <w:pPr>
        <w:spacing w:line="360" w:lineRule="auto"/>
        <w:jc w:val="both"/>
        <w:rPr>
          <w:rFonts w:ascii="Arial" w:hAnsi="Arial" w:cs="Arial"/>
          <w:sz w:val="22"/>
          <w:szCs w:val="22"/>
        </w:rPr>
      </w:pPr>
    </w:p>
    <w:p w14:paraId="03A1BC53" w14:textId="77777777" w:rsidR="00EA2703" w:rsidRDefault="00EA2703" w:rsidP="00067306">
      <w:pPr>
        <w:spacing w:line="360" w:lineRule="auto"/>
        <w:jc w:val="both"/>
        <w:rPr>
          <w:rFonts w:ascii="Arial" w:hAnsi="Arial" w:cs="Arial"/>
          <w:sz w:val="22"/>
          <w:szCs w:val="22"/>
        </w:rPr>
      </w:pPr>
    </w:p>
    <w:p w14:paraId="35F071C3" w14:textId="77777777" w:rsidR="00EA2703" w:rsidRDefault="00EA2703" w:rsidP="00067306">
      <w:pPr>
        <w:spacing w:line="360" w:lineRule="auto"/>
        <w:jc w:val="both"/>
        <w:rPr>
          <w:rFonts w:ascii="Arial" w:hAnsi="Arial" w:cs="Arial"/>
          <w:sz w:val="22"/>
          <w:szCs w:val="22"/>
        </w:rPr>
      </w:pPr>
    </w:p>
    <w:p w14:paraId="63993028" w14:textId="77777777" w:rsidR="00EA2703" w:rsidRDefault="00EA2703" w:rsidP="00067306">
      <w:pPr>
        <w:spacing w:line="360" w:lineRule="auto"/>
        <w:jc w:val="both"/>
        <w:rPr>
          <w:rFonts w:ascii="Arial" w:hAnsi="Arial" w:cs="Arial"/>
          <w:sz w:val="22"/>
          <w:szCs w:val="22"/>
        </w:rPr>
      </w:pPr>
    </w:p>
    <w:p w14:paraId="5DB0BD05" w14:textId="77777777" w:rsidR="00EA2703" w:rsidRDefault="00EA2703" w:rsidP="00067306">
      <w:pPr>
        <w:spacing w:line="360" w:lineRule="auto"/>
        <w:jc w:val="both"/>
        <w:rPr>
          <w:rFonts w:ascii="Arial" w:hAnsi="Arial" w:cs="Arial"/>
          <w:sz w:val="22"/>
          <w:szCs w:val="22"/>
        </w:rPr>
      </w:pPr>
    </w:p>
    <w:p w14:paraId="13AD4B94" w14:textId="77777777" w:rsidR="006229DB" w:rsidRDefault="006229DB" w:rsidP="00BC68E5">
      <w:pPr>
        <w:spacing w:line="360" w:lineRule="auto"/>
        <w:jc w:val="both"/>
        <w:rPr>
          <w:rFonts w:ascii="Arial" w:hAnsi="Arial" w:cs="Arial"/>
          <w:sz w:val="22"/>
          <w:szCs w:val="22"/>
        </w:rPr>
      </w:pPr>
      <w:bookmarkStart w:id="1" w:name="_Hlk213931224"/>
    </w:p>
    <w:p w14:paraId="1B6AA535" w14:textId="77777777" w:rsidR="002F7BEB" w:rsidRDefault="002F7BEB" w:rsidP="00BC68E5">
      <w:pPr>
        <w:spacing w:line="360" w:lineRule="auto"/>
        <w:jc w:val="both"/>
        <w:rPr>
          <w:rFonts w:ascii="Arial" w:hAnsi="Arial" w:cs="Arial"/>
          <w:sz w:val="22"/>
          <w:szCs w:val="22"/>
        </w:rPr>
      </w:pPr>
    </w:p>
    <w:p w14:paraId="5EA78F1A" w14:textId="232111F3" w:rsidR="00C32BD2" w:rsidRDefault="00C32BD2" w:rsidP="00DE12F9">
      <w:pPr>
        <w:spacing w:line="360" w:lineRule="auto"/>
        <w:jc w:val="both"/>
        <w:rPr>
          <w:rFonts w:ascii="Arial" w:hAnsi="Arial" w:cs="Arial"/>
          <w:b/>
          <w:bCs/>
          <w:sz w:val="22"/>
          <w:szCs w:val="22"/>
        </w:rPr>
      </w:pPr>
      <w:r w:rsidRPr="00C32BD2">
        <w:rPr>
          <w:rFonts w:ascii="Arial" w:hAnsi="Arial" w:cs="Arial"/>
          <w:b/>
          <w:bCs/>
          <w:sz w:val="22"/>
          <w:szCs w:val="22"/>
        </w:rPr>
        <w:lastRenderedPageBreak/>
        <w:t>Eating Disorders: Anorexia Nervosa (ICD-11 6B80)</w:t>
      </w:r>
    </w:p>
    <w:p w14:paraId="11FB7105" w14:textId="2C980293" w:rsidR="00DE12F9" w:rsidRPr="002F7BEB" w:rsidRDefault="00DE12F9" w:rsidP="002F7BEB">
      <w:pPr>
        <w:pStyle w:val="Heading1"/>
      </w:pPr>
      <w:bookmarkStart w:id="2" w:name="_Toc214053265"/>
      <w:r w:rsidRPr="002F7BEB">
        <w:t>Introduction</w:t>
      </w:r>
      <w:bookmarkEnd w:id="2"/>
    </w:p>
    <w:p w14:paraId="4088619E" w14:textId="248C51DA" w:rsidR="006F3F27" w:rsidRPr="006F3F27" w:rsidRDefault="006F3F27" w:rsidP="00DE12F9">
      <w:pPr>
        <w:spacing w:line="360" w:lineRule="auto"/>
        <w:jc w:val="both"/>
        <w:rPr>
          <w:rFonts w:ascii="Arial" w:hAnsi="Arial" w:cs="Arial"/>
          <w:sz w:val="22"/>
          <w:szCs w:val="22"/>
        </w:rPr>
      </w:pPr>
      <w:r w:rsidRPr="006F3F27">
        <w:rPr>
          <w:rFonts w:ascii="Arial" w:hAnsi="Arial" w:cs="Arial"/>
          <w:sz w:val="22"/>
          <w:szCs w:val="22"/>
        </w:rPr>
        <w:t>Mental, behavioural, and neurodevelopmental disorders involve significant disruptions in thinking, emotion, or behaviour due to underlying psychological, biological, or developmental factors. These conditions cause distress or functional impairment across daily life, with the ICD-11 offering a standardised framework for their diagnosis (WHO, 2025).</w:t>
      </w:r>
    </w:p>
    <w:p w14:paraId="5BB9F27A" w14:textId="0ED11833" w:rsidR="00DE12F9" w:rsidRPr="00DE12F9" w:rsidRDefault="00DE12F9" w:rsidP="00DE12F9">
      <w:pPr>
        <w:spacing w:line="360" w:lineRule="auto"/>
        <w:jc w:val="both"/>
        <w:rPr>
          <w:rFonts w:ascii="Arial" w:hAnsi="Arial" w:cs="Arial"/>
          <w:sz w:val="22"/>
          <w:szCs w:val="22"/>
        </w:rPr>
      </w:pPr>
      <w:r w:rsidRPr="00DE12F9">
        <w:rPr>
          <w:rFonts w:ascii="Arial" w:hAnsi="Arial" w:cs="Arial"/>
          <w:sz w:val="22"/>
          <w:szCs w:val="22"/>
        </w:rPr>
        <w:t>Anorexia Nervosa (AN) is a serious mental health disorder characterised by persistent restriction of food intake, an intense fear of weight gain, and a distorted body image (WHO, 2025; Ahmad, 2022). It most commonly develops during adolescence or early adulthood and can lead to severe physical and psychological complications</w:t>
      </w:r>
      <w:r w:rsidRPr="00DE12F9">
        <w:rPr>
          <w:rFonts w:ascii="Arial" w:hAnsi="Arial" w:cs="Arial"/>
          <w:sz w:val="22"/>
          <w:szCs w:val="22"/>
        </w:rPr>
        <w:t>,</w:t>
      </w:r>
      <w:r w:rsidRPr="00DE12F9">
        <w:rPr>
          <w:rFonts w:ascii="Arial" w:hAnsi="Arial" w:cs="Arial"/>
          <w:sz w:val="22"/>
          <w:szCs w:val="22"/>
        </w:rPr>
        <w:t xml:space="preserve"> including cardiovascular, skeletal, and reproductive health problems. AN carries one of the highest mortality rates among psychiatric disorders and places increasing pressure on UK healthcare services.</w:t>
      </w:r>
    </w:p>
    <w:p w14:paraId="07980C50" w14:textId="77777777" w:rsidR="00DE12F9" w:rsidRPr="00DE12F9" w:rsidRDefault="00DE12F9" w:rsidP="00DE12F9">
      <w:pPr>
        <w:spacing w:line="360" w:lineRule="auto"/>
        <w:jc w:val="both"/>
        <w:rPr>
          <w:rFonts w:ascii="Arial" w:hAnsi="Arial" w:cs="Arial"/>
          <w:sz w:val="22"/>
          <w:szCs w:val="22"/>
        </w:rPr>
      </w:pPr>
      <w:r w:rsidRPr="00DE12F9">
        <w:rPr>
          <w:rFonts w:ascii="Arial" w:hAnsi="Arial" w:cs="Arial"/>
          <w:sz w:val="22"/>
          <w:szCs w:val="22"/>
        </w:rPr>
        <w:t>Feeding and Eating Disorders, the broader category to which AN belongs, involve atypical eating behaviours that are inconsistent with developmental or cultural norms (WHO, 2025). Feeding disorders do not relate to weight or shape, whereas eating disorders are characterised by excessive concern with food, weight, or body image. UK policy initiatives, including the NICE Guideline on Eating Disorders (2022) and the NHS Long Term Plan (2019), emphasise early detection, equitable access to psychological interventions, and community-based treatment as priorities for improving outcomes.</w:t>
      </w:r>
    </w:p>
    <w:p w14:paraId="6F1D124E" w14:textId="77777777" w:rsidR="00DE12F9" w:rsidRPr="00DE12F9" w:rsidRDefault="00DE12F9" w:rsidP="00DE12F9">
      <w:pPr>
        <w:spacing w:line="360" w:lineRule="auto"/>
        <w:jc w:val="both"/>
        <w:rPr>
          <w:rFonts w:ascii="Arial" w:hAnsi="Arial" w:cs="Arial"/>
          <w:sz w:val="22"/>
          <w:szCs w:val="22"/>
        </w:rPr>
      </w:pPr>
      <w:r w:rsidRPr="00DE12F9">
        <w:rPr>
          <w:rFonts w:ascii="Arial" w:hAnsi="Arial" w:cs="Arial"/>
          <w:sz w:val="22"/>
          <w:szCs w:val="22"/>
        </w:rPr>
        <w:t>This report critically examines Anorexia Nervosa within the UK context, exploring its classification, diagnosis, treatment, and rehabilitation, alongside emerging debates around gender, neurodivergence, and novel interventions. It concludes with evidence-informed recommendations to enhance clinical practice and patient care.</w:t>
      </w:r>
    </w:p>
    <w:p w14:paraId="697EF902" w14:textId="77777777" w:rsidR="00DE12F9" w:rsidRDefault="00DE12F9" w:rsidP="00BC68E5">
      <w:pPr>
        <w:spacing w:line="360" w:lineRule="auto"/>
        <w:jc w:val="both"/>
        <w:rPr>
          <w:rFonts w:ascii="Arial" w:hAnsi="Arial" w:cs="Arial"/>
          <w:sz w:val="22"/>
          <w:szCs w:val="22"/>
        </w:rPr>
      </w:pPr>
    </w:p>
    <w:p w14:paraId="48EB0F52" w14:textId="7B78EF3D" w:rsidR="00BC68E5" w:rsidRPr="00BC68E5" w:rsidRDefault="00BC68E5" w:rsidP="002F7BEB">
      <w:pPr>
        <w:pStyle w:val="Heading1"/>
      </w:pPr>
      <w:bookmarkStart w:id="3" w:name="_Toc214053266"/>
      <w:r w:rsidRPr="00BC68E5">
        <w:t>Historical Context of Anorexia Nervosa</w:t>
      </w:r>
      <w:bookmarkEnd w:id="3"/>
      <w:r w:rsidRPr="00BC68E5">
        <w:t xml:space="preserve"> </w:t>
      </w:r>
    </w:p>
    <w:p w14:paraId="63AAF8C8" w14:textId="77777777" w:rsidR="00D60180" w:rsidRDefault="000176A9" w:rsidP="008E317D">
      <w:pPr>
        <w:spacing w:line="360" w:lineRule="auto"/>
        <w:jc w:val="both"/>
        <w:rPr>
          <w:rFonts w:ascii="Arial" w:hAnsi="Arial" w:cs="Arial"/>
          <w:sz w:val="22"/>
          <w:szCs w:val="22"/>
        </w:rPr>
      </w:pPr>
      <w:r w:rsidRPr="000176A9">
        <w:rPr>
          <w:rFonts w:ascii="Arial" w:hAnsi="Arial" w:cs="Arial"/>
          <w:sz w:val="22"/>
          <w:szCs w:val="22"/>
        </w:rPr>
        <w:t xml:space="preserve">The understanding of Anorexia Nervosa (AN) has shifted from spiritual devotion to a recognised psychiatric disorder. In the Middle Ages, self-starvation, exemplified by figures like Catherine of Siena, was seen as an act of piety </w:t>
      </w:r>
      <w:r w:rsidR="005F6B11" w:rsidRPr="005F6B11">
        <w:rPr>
          <w:rFonts w:ascii="Arial" w:hAnsi="Arial" w:cs="Arial"/>
          <w:sz w:val="22"/>
          <w:szCs w:val="22"/>
        </w:rPr>
        <w:t xml:space="preserve">(Espi Forcen </w:t>
      </w:r>
      <w:r w:rsidR="005F6B11">
        <w:rPr>
          <w:rFonts w:ascii="Arial" w:hAnsi="Arial" w:cs="Arial"/>
          <w:sz w:val="22"/>
          <w:szCs w:val="22"/>
        </w:rPr>
        <w:t>and</w:t>
      </w:r>
      <w:r w:rsidR="005F6B11" w:rsidRPr="005F6B11">
        <w:rPr>
          <w:rFonts w:ascii="Arial" w:hAnsi="Arial" w:cs="Arial"/>
          <w:sz w:val="22"/>
          <w:szCs w:val="22"/>
        </w:rPr>
        <w:t xml:space="preserve"> Espi Forcen, 2015)</w:t>
      </w:r>
      <w:r w:rsidRPr="000176A9">
        <w:rPr>
          <w:rFonts w:ascii="Arial" w:hAnsi="Arial" w:cs="Arial"/>
          <w:sz w:val="22"/>
          <w:szCs w:val="22"/>
        </w:rPr>
        <w:t>. AN was first medically defined in 1873 by Sir William Gull and Ernest-Charles Lasègue as a condition involving self-imposed starvation and body image distortion</w:t>
      </w:r>
      <w:r w:rsidR="00D60180">
        <w:rPr>
          <w:rFonts w:ascii="Arial" w:hAnsi="Arial" w:cs="Arial"/>
          <w:sz w:val="22"/>
          <w:szCs w:val="22"/>
        </w:rPr>
        <w:t xml:space="preserve"> </w:t>
      </w:r>
      <w:r w:rsidR="00D60180" w:rsidRPr="00D60180">
        <w:rPr>
          <w:rFonts w:ascii="Arial" w:hAnsi="Arial" w:cs="Arial"/>
          <w:sz w:val="22"/>
          <w:szCs w:val="22"/>
        </w:rPr>
        <w:t>(Silverman, 1997)</w:t>
      </w:r>
      <w:r w:rsidRPr="000176A9">
        <w:rPr>
          <w:rFonts w:ascii="Arial" w:hAnsi="Arial" w:cs="Arial"/>
          <w:sz w:val="22"/>
          <w:szCs w:val="22"/>
        </w:rPr>
        <w:t>.</w:t>
      </w:r>
      <w:r>
        <w:rPr>
          <w:rFonts w:ascii="Arial" w:hAnsi="Arial" w:cs="Arial"/>
          <w:sz w:val="22"/>
          <w:szCs w:val="22"/>
        </w:rPr>
        <w:t xml:space="preserve"> </w:t>
      </w:r>
    </w:p>
    <w:p w14:paraId="554B725C" w14:textId="77777777" w:rsidR="009E0649" w:rsidRDefault="009E0649" w:rsidP="009E0649">
      <w:pPr>
        <w:spacing w:line="360" w:lineRule="auto"/>
        <w:jc w:val="both"/>
        <w:rPr>
          <w:rFonts w:ascii="Arial" w:hAnsi="Arial" w:cs="Arial"/>
          <w:sz w:val="22"/>
          <w:szCs w:val="22"/>
        </w:rPr>
      </w:pPr>
    </w:p>
    <w:p w14:paraId="71A7B71E" w14:textId="77777777" w:rsidR="002F7BEB" w:rsidRDefault="002F7BEB" w:rsidP="009E0649">
      <w:pPr>
        <w:spacing w:line="360" w:lineRule="auto"/>
        <w:jc w:val="both"/>
        <w:rPr>
          <w:rFonts w:ascii="Arial" w:hAnsi="Arial" w:cs="Arial"/>
          <w:b/>
          <w:bCs/>
          <w:sz w:val="22"/>
          <w:szCs w:val="22"/>
        </w:rPr>
      </w:pPr>
    </w:p>
    <w:p w14:paraId="36F9188E" w14:textId="0EBFDDAC" w:rsidR="009E0649" w:rsidRDefault="009E0649" w:rsidP="002F7BEB">
      <w:pPr>
        <w:pStyle w:val="Heading1"/>
      </w:pPr>
      <w:bookmarkStart w:id="4" w:name="_Toc214053267"/>
      <w:r w:rsidRPr="002967FB">
        <w:lastRenderedPageBreak/>
        <w:t>Classification and Diagnosis</w:t>
      </w:r>
      <w:bookmarkEnd w:id="4"/>
    </w:p>
    <w:p w14:paraId="5C55EC78" w14:textId="049F5AF3" w:rsidR="009E0649" w:rsidRPr="009E0649" w:rsidRDefault="009E0649" w:rsidP="009E0649">
      <w:pPr>
        <w:spacing w:line="360" w:lineRule="auto"/>
        <w:jc w:val="both"/>
        <w:rPr>
          <w:rFonts w:ascii="Arial" w:hAnsi="Arial" w:cs="Arial"/>
          <w:sz w:val="22"/>
          <w:szCs w:val="22"/>
        </w:rPr>
      </w:pPr>
      <w:r w:rsidRPr="009E0649">
        <w:rPr>
          <w:rFonts w:ascii="Arial" w:hAnsi="Arial" w:cs="Arial"/>
          <w:sz w:val="22"/>
          <w:szCs w:val="22"/>
        </w:rPr>
        <w:t>In the International Classification of Diseases, 11th Revision (ICD-11), Anorexia Nervosa (AN; code 6B80) is classified under Feeding or Eating Disorders, alongside Bulimia Nervosa, Binge-Eating Disorder, and Avoidant/Restrictive Food Intake Disorder (ARFID) (World Health Organisation, 2022). ICD-11 defines AN through three core diagnostic features: significantly low body weight, persistent behaviours aimed at preventing weight gain</w:t>
      </w:r>
      <w:r w:rsidR="005823AF">
        <w:rPr>
          <w:rFonts w:ascii="Arial" w:hAnsi="Arial" w:cs="Arial"/>
          <w:sz w:val="22"/>
          <w:szCs w:val="22"/>
        </w:rPr>
        <w:t>,</w:t>
      </w:r>
      <w:r w:rsidRPr="009E0649">
        <w:rPr>
          <w:rFonts w:ascii="Arial" w:hAnsi="Arial" w:cs="Arial"/>
          <w:sz w:val="22"/>
          <w:szCs w:val="22"/>
        </w:rPr>
        <w:t xml:space="preserve"> such as dietary restriction, excessive exercise, or purging, and a distorted self-perception of weight or shape (Ahmad, 2022). Two subtypes are recognised: the restricting type, characterised by weight loss through dieting or exercise, and the binge-eating/purging type, involving recurrent episodes of binge eating or purging behaviours. Remission specifiers for partial and full recovery are included, supporting a longitudinal understanding of the disorder’s course (World Health Organisation, 2022).</w:t>
      </w:r>
    </w:p>
    <w:p w14:paraId="675DABA8" w14:textId="4706A82B" w:rsidR="009E0649" w:rsidRPr="009E0649" w:rsidRDefault="009E0649" w:rsidP="009E0649">
      <w:pPr>
        <w:spacing w:line="360" w:lineRule="auto"/>
        <w:jc w:val="both"/>
        <w:rPr>
          <w:rFonts w:ascii="Arial" w:hAnsi="Arial" w:cs="Arial"/>
          <w:sz w:val="22"/>
          <w:szCs w:val="22"/>
        </w:rPr>
      </w:pPr>
      <w:r w:rsidRPr="009E0649">
        <w:rPr>
          <w:rFonts w:ascii="Arial" w:hAnsi="Arial" w:cs="Arial"/>
          <w:sz w:val="22"/>
          <w:szCs w:val="22"/>
        </w:rPr>
        <w:t>The terminology used within ICD-11, particularly the classification of AN as a disorder, has been debated. Critics argue that medicalised language may reinforce stigma and frame AN as a chronic pathology, while proponents contend that it provides clinical legitimacy and ensures access to NHS-funded treatment (Labora Gonz</w:t>
      </w:r>
      <w:r w:rsidR="006F6C7B">
        <w:rPr>
          <w:rFonts w:ascii="Arial" w:hAnsi="Arial" w:cs="Arial"/>
          <w:sz w:val="22"/>
          <w:szCs w:val="22"/>
        </w:rPr>
        <w:t>a</w:t>
      </w:r>
      <w:r w:rsidRPr="009E0649">
        <w:rPr>
          <w:rFonts w:ascii="Arial" w:hAnsi="Arial" w:cs="Arial"/>
          <w:sz w:val="22"/>
          <w:szCs w:val="22"/>
        </w:rPr>
        <w:t>lez and Soto-Cas</w:t>
      </w:r>
      <w:r w:rsidR="006F6C7B">
        <w:rPr>
          <w:rFonts w:ascii="Arial" w:hAnsi="Arial" w:cs="Arial"/>
          <w:sz w:val="22"/>
          <w:szCs w:val="22"/>
        </w:rPr>
        <w:t>a</w:t>
      </w:r>
      <w:r w:rsidRPr="009E0649">
        <w:rPr>
          <w:rFonts w:ascii="Arial" w:hAnsi="Arial" w:cs="Arial"/>
          <w:sz w:val="22"/>
          <w:szCs w:val="22"/>
        </w:rPr>
        <w:t>s, 2022). Walsh, Hagan, and Lockwood (2023) found that individuals with Atypical Anorexia Nervosa (AAN) exhibit similar levels of psychopathology and physiological complications to AN, challenging the reliance on low body weight as a diagnostic criterion and supporting more inclusive diagnostic models.</w:t>
      </w:r>
    </w:p>
    <w:p w14:paraId="0F8F33BC" w14:textId="6582B31C" w:rsidR="009E0649" w:rsidRDefault="009E0649" w:rsidP="009E0649">
      <w:pPr>
        <w:spacing w:line="360" w:lineRule="auto"/>
        <w:jc w:val="both"/>
        <w:rPr>
          <w:rFonts w:ascii="Arial" w:hAnsi="Arial" w:cs="Arial"/>
          <w:sz w:val="22"/>
          <w:szCs w:val="22"/>
        </w:rPr>
      </w:pPr>
      <w:r w:rsidRPr="009E0649">
        <w:rPr>
          <w:rFonts w:ascii="Arial" w:hAnsi="Arial" w:cs="Arial"/>
          <w:sz w:val="22"/>
          <w:szCs w:val="22"/>
        </w:rPr>
        <w:t>In the UK, approximately 1.25 million people are affected by eating disorders, with AN accounting for around 10% of cases (NHS Digital, 2024). Among adolescents aged 11</w:t>
      </w:r>
      <w:r w:rsidR="005823AF">
        <w:rPr>
          <w:rFonts w:ascii="Arial" w:hAnsi="Arial" w:cs="Arial"/>
          <w:sz w:val="22"/>
          <w:szCs w:val="22"/>
        </w:rPr>
        <w:t>-</w:t>
      </w:r>
      <w:r w:rsidRPr="009E0649">
        <w:rPr>
          <w:rFonts w:ascii="Arial" w:hAnsi="Arial" w:cs="Arial"/>
          <w:sz w:val="22"/>
          <w:szCs w:val="22"/>
        </w:rPr>
        <w:t>19, prevalence ranges from 0.2% in younger teens to 3.3% in older adolescents (NHS Digital, 2023). Data from the Office for National Statistics (2023) indicate that eating disorders among young women aged 16</w:t>
      </w:r>
      <w:r w:rsidR="005823AF">
        <w:rPr>
          <w:rFonts w:ascii="Arial" w:hAnsi="Arial" w:cs="Arial"/>
          <w:sz w:val="22"/>
          <w:szCs w:val="22"/>
        </w:rPr>
        <w:t>-</w:t>
      </w:r>
      <w:r w:rsidRPr="009E0649">
        <w:rPr>
          <w:rFonts w:ascii="Arial" w:hAnsi="Arial" w:cs="Arial"/>
          <w:sz w:val="22"/>
          <w:szCs w:val="22"/>
        </w:rPr>
        <w:t xml:space="preserve">24 have nearly doubled over the past decade. Internationally, the DSM-5-TR (American Psychiatric Association, 2022) classifies AAN under Other </w:t>
      </w:r>
      <w:r w:rsidR="005823AF">
        <w:rPr>
          <w:rFonts w:ascii="Arial" w:hAnsi="Arial" w:cs="Arial"/>
          <w:sz w:val="22"/>
          <w:szCs w:val="22"/>
        </w:rPr>
        <w:t>Specific</w:t>
      </w:r>
      <w:r w:rsidRPr="009E0649">
        <w:rPr>
          <w:rFonts w:ascii="Arial" w:hAnsi="Arial" w:cs="Arial"/>
          <w:sz w:val="22"/>
          <w:szCs w:val="22"/>
        </w:rPr>
        <w:t xml:space="preserve"> Feeding or Eating Disorders (OSFED), highlighting variations in diagnostic approaches. UK clinical practice follows ICD-11 alongside NICE guidance (National Institute for Health and Care Excellence, 2020), recommending biopsychosocial assessment, multidisciplinary evaluation, and early intervention models such as First Episode Rapid Early Intervention for Eating Disorders (FREED). Accurate application of these frameworks is critical, as diagnostic delays, long waiting times, and limited adult service capacity can hinder timely care and affect national epidemiological data (NHS England, 2019; Van Eeden</w:t>
      </w:r>
      <w:r w:rsidR="005823AF">
        <w:rPr>
          <w:rFonts w:ascii="Arial" w:hAnsi="Arial" w:cs="Arial"/>
          <w:sz w:val="22"/>
          <w:szCs w:val="22"/>
        </w:rPr>
        <w:t xml:space="preserve"> et al.</w:t>
      </w:r>
      <w:r w:rsidRPr="009E0649">
        <w:rPr>
          <w:rFonts w:ascii="Arial" w:hAnsi="Arial" w:cs="Arial"/>
          <w:sz w:val="22"/>
          <w:szCs w:val="22"/>
        </w:rPr>
        <w:t>, 2021).</w:t>
      </w:r>
    </w:p>
    <w:p w14:paraId="45B0638B" w14:textId="77777777" w:rsidR="006F6C7B" w:rsidRDefault="006F6C7B" w:rsidP="006F6C7B">
      <w:pPr>
        <w:spacing w:line="360" w:lineRule="auto"/>
        <w:jc w:val="both"/>
        <w:rPr>
          <w:rFonts w:ascii="Arial" w:hAnsi="Arial" w:cs="Arial"/>
          <w:sz w:val="22"/>
          <w:szCs w:val="22"/>
        </w:rPr>
      </w:pPr>
    </w:p>
    <w:p w14:paraId="445CBECD" w14:textId="77777777" w:rsidR="006F6C7B" w:rsidRDefault="006F6C7B" w:rsidP="006F6C7B">
      <w:pPr>
        <w:spacing w:line="360" w:lineRule="auto"/>
        <w:jc w:val="both"/>
        <w:rPr>
          <w:rFonts w:ascii="Arial" w:hAnsi="Arial" w:cs="Arial"/>
          <w:sz w:val="22"/>
          <w:szCs w:val="22"/>
        </w:rPr>
      </w:pPr>
    </w:p>
    <w:p w14:paraId="399AF55A" w14:textId="77777777" w:rsidR="006F6C7B" w:rsidRDefault="006F6C7B" w:rsidP="002F7BEB">
      <w:pPr>
        <w:pStyle w:val="Heading1"/>
      </w:pPr>
      <w:bookmarkStart w:id="5" w:name="_Toc214053268"/>
      <w:r w:rsidRPr="0092415F">
        <w:lastRenderedPageBreak/>
        <w:t>Treatment and Rehabilitation</w:t>
      </w:r>
      <w:bookmarkEnd w:id="5"/>
    </w:p>
    <w:p w14:paraId="62E047E4" w14:textId="35109B62" w:rsidR="006F6C7B" w:rsidRPr="006F6C7B" w:rsidRDefault="006F6C7B" w:rsidP="006F6C7B">
      <w:pPr>
        <w:spacing w:line="360" w:lineRule="auto"/>
        <w:jc w:val="both"/>
        <w:rPr>
          <w:rFonts w:ascii="Arial" w:hAnsi="Arial" w:cs="Arial"/>
          <w:sz w:val="22"/>
          <w:szCs w:val="22"/>
        </w:rPr>
      </w:pPr>
      <w:r w:rsidRPr="006F6C7B">
        <w:rPr>
          <w:rFonts w:ascii="Arial" w:hAnsi="Arial" w:cs="Arial"/>
          <w:sz w:val="22"/>
          <w:szCs w:val="22"/>
        </w:rPr>
        <w:t>Treatment for Anorexia Nervosa (AN) in the UK follows NICE guidelines (2022), prioritising medical stabilisation, weight restoration, and psychological recovery through multidisciplinary care. Psychological interventions form the primary treatment. For adults, CBT-ED, MANTRA, and SSCM aim to challenge maladaptive beliefs, increase flexibility in thinking, and promote behavioural change (NICE, 2022). For children and adolescents, FT-AN remains the first-line approach, with structured parental refeeding and relapse-prevention strategies shown to support recovery (Lock and Le Grange, 2025). While these interventions demonstrate moderate effectiveness, outcomes vary, with relapse rates remaining high and engagement often limited due to ambivalence towards treatment.</w:t>
      </w:r>
    </w:p>
    <w:p w14:paraId="5132E133" w14:textId="5EABD19A" w:rsidR="006F6C7B" w:rsidRPr="006F6C7B" w:rsidRDefault="006F6C7B" w:rsidP="006F6C7B">
      <w:pPr>
        <w:spacing w:line="360" w:lineRule="auto"/>
        <w:jc w:val="both"/>
        <w:rPr>
          <w:rFonts w:ascii="Arial" w:hAnsi="Arial" w:cs="Arial"/>
          <w:sz w:val="22"/>
          <w:szCs w:val="22"/>
        </w:rPr>
      </w:pPr>
      <w:r w:rsidRPr="006F6C7B">
        <w:rPr>
          <w:rFonts w:ascii="Arial" w:hAnsi="Arial" w:cs="Arial"/>
          <w:sz w:val="22"/>
          <w:szCs w:val="22"/>
        </w:rPr>
        <w:t>Pharmacological interventions function as adjuncts rather than standalone treatments. Olanzapine may be prescribed to reduce anxiety and intrusive weight-related beliefs, although evidence for long-term effectiveness is mixed</w:t>
      </w:r>
      <w:r w:rsidR="00994814">
        <w:rPr>
          <w:rFonts w:ascii="Arial" w:hAnsi="Arial" w:cs="Arial"/>
          <w:sz w:val="22"/>
          <w:szCs w:val="22"/>
        </w:rPr>
        <w:t>,</w:t>
      </w:r>
      <w:r w:rsidRPr="006F6C7B">
        <w:rPr>
          <w:rFonts w:ascii="Arial" w:hAnsi="Arial" w:cs="Arial"/>
          <w:sz w:val="22"/>
          <w:szCs w:val="22"/>
        </w:rPr>
        <w:t xml:space="preserve"> and UK prescribing practice remains cautious due to metabolic side-effects (NICE, 2022). Nutritional supplementation and careful medical monitoring of cardiac function, bone density, and electrolytes are essential components of safe refeeding.</w:t>
      </w:r>
    </w:p>
    <w:p w14:paraId="27F64688" w14:textId="78FE9DE2" w:rsidR="006F6C7B" w:rsidRPr="006F6C7B" w:rsidRDefault="006F6C7B" w:rsidP="006F6C7B">
      <w:pPr>
        <w:spacing w:line="360" w:lineRule="auto"/>
        <w:jc w:val="both"/>
        <w:rPr>
          <w:rFonts w:ascii="Arial" w:hAnsi="Arial" w:cs="Arial"/>
          <w:sz w:val="22"/>
          <w:szCs w:val="22"/>
        </w:rPr>
      </w:pPr>
      <w:r w:rsidRPr="006F6C7B">
        <w:rPr>
          <w:rFonts w:ascii="Arial" w:hAnsi="Arial" w:cs="Arial"/>
          <w:sz w:val="22"/>
          <w:szCs w:val="22"/>
        </w:rPr>
        <w:t xml:space="preserve">Within the UK healthcare system, treatment is delivered through community services, specialist outpatient programmes, and inpatient units. However, significant challenges persist, including long waiting times, limited specialist capacity, and regional disparities in access (NHS England, 2024). NHS Talking Therapies </w:t>
      </w:r>
      <w:r>
        <w:rPr>
          <w:rFonts w:ascii="Arial" w:hAnsi="Arial" w:cs="Arial"/>
          <w:sz w:val="22"/>
          <w:szCs w:val="22"/>
        </w:rPr>
        <w:t>provides</w:t>
      </w:r>
      <w:r w:rsidRPr="006F6C7B">
        <w:rPr>
          <w:rFonts w:ascii="Arial" w:hAnsi="Arial" w:cs="Arial"/>
          <w:sz w:val="22"/>
          <w:szCs w:val="22"/>
        </w:rPr>
        <w:t xml:space="preserve"> psychological support for common mental disorders, but they are not commissioned to deliver specialist eating disorder treatment, limiting access for adults with emerging symptoms. Early intervention models such as FREED </w:t>
      </w:r>
      <w:r w:rsidR="009F31DE" w:rsidRPr="009F31DE">
        <w:rPr>
          <w:rFonts w:ascii="Arial" w:hAnsi="Arial" w:cs="Arial"/>
          <w:sz w:val="22"/>
          <w:szCs w:val="22"/>
        </w:rPr>
        <w:t>target emerging adults aged 16 to 25 to reduce the risk of chronic</w:t>
      </w:r>
      <w:r w:rsidR="009F31DE">
        <w:rPr>
          <w:rFonts w:ascii="Arial" w:hAnsi="Arial" w:cs="Arial"/>
          <w:sz w:val="22"/>
          <w:szCs w:val="22"/>
        </w:rPr>
        <w:t xml:space="preserve"> </w:t>
      </w:r>
      <w:r w:rsidR="009F31DE" w:rsidRPr="009F31DE">
        <w:rPr>
          <w:rFonts w:ascii="Arial" w:hAnsi="Arial" w:cs="Arial"/>
          <w:sz w:val="22"/>
          <w:szCs w:val="22"/>
        </w:rPr>
        <w:t>illness. While NHS Talking Therapies (IAPT) offer support for common mental health disorders, they are not commissioned for specialist eating disorder treatment, limiting access for some patients.</w:t>
      </w:r>
    </w:p>
    <w:p w14:paraId="2DFCA38D" w14:textId="07345903" w:rsidR="006F6C7B" w:rsidRPr="006F6C7B" w:rsidRDefault="006F6C7B" w:rsidP="006F6C7B">
      <w:pPr>
        <w:spacing w:line="360" w:lineRule="auto"/>
        <w:jc w:val="both"/>
        <w:rPr>
          <w:rFonts w:ascii="Arial" w:hAnsi="Arial" w:cs="Arial"/>
          <w:sz w:val="22"/>
          <w:szCs w:val="22"/>
        </w:rPr>
      </w:pPr>
      <w:r w:rsidRPr="006F6C7B">
        <w:rPr>
          <w:rFonts w:ascii="Arial" w:hAnsi="Arial" w:cs="Arial"/>
          <w:sz w:val="22"/>
          <w:szCs w:val="22"/>
        </w:rPr>
        <w:t>Rehabilitation extends beyond medical recovery and aligns with ICD-11 principles</w:t>
      </w:r>
      <w:r>
        <w:rPr>
          <w:rFonts w:ascii="Arial" w:hAnsi="Arial" w:cs="Arial"/>
          <w:sz w:val="22"/>
          <w:szCs w:val="22"/>
        </w:rPr>
        <w:t>,</w:t>
      </w:r>
      <w:r w:rsidRPr="006F6C7B">
        <w:rPr>
          <w:rFonts w:ascii="Arial" w:hAnsi="Arial" w:cs="Arial"/>
          <w:sz w:val="22"/>
          <w:szCs w:val="22"/>
        </w:rPr>
        <w:t xml:space="preserve"> emphasising functional restoration, social participation, and long-term monitoring. In severe cases, compulsory treatment may be authorised under the Mental Health Act (1983</w:t>
      </w:r>
      <w:r w:rsidR="00261010">
        <w:rPr>
          <w:rFonts w:ascii="Arial" w:hAnsi="Arial" w:cs="Arial"/>
          <w:sz w:val="22"/>
          <w:szCs w:val="22"/>
        </w:rPr>
        <w:t>)</w:t>
      </w:r>
      <w:r w:rsidRPr="006F6C7B">
        <w:rPr>
          <w:rFonts w:ascii="Arial" w:hAnsi="Arial" w:cs="Arial"/>
          <w:sz w:val="22"/>
          <w:szCs w:val="22"/>
        </w:rPr>
        <w:t xml:space="preserve"> when patients lack capacity and face imminent risk. Social reintegration often relies on community-based services, including vocational support, supported housing, and third-sector organisations such as Mind, Rethink Mental Illness, and Samaritans. The NHS Long Term Plan (2019) commits to expanding community eating disorder services, though workforce shortages and funding constraints continue to limit implementation.</w:t>
      </w:r>
    </w:p>
    <w:p w14:paraId="19F9FD38" w14:textId="77777777" w:rsidR="00261010" w:rsidRDefault="00261010" w:rsidP="00BF3D8F">
      <w:pPr>
        <w:spacing w:line="360" w:lineRule="auto"/>
        <w:jc w:val="both"/>
        <w:rPr>
          <w:rFonts w:ascii="Arial" w:hAnsi="Arial" w:cs="Arial"/>
          <w:sz w:val="22"/>
          <w:szCs w:val="22"/>
        </w:rPr>
      </w:pPr>
    </w:p>
    <w:p w14:paraId="0EA5F1AF" w14:textId="7E478D05" w:rsidR="00BF3D8F" w:rsidRDefault="00BF3D8F" w:rsidP="002F7BEB">
      <w:pPr>
        <w:pStyle w:val="Heading1"/>
      </w:pPr>
      <w:bookmarkStart w:id="6" w:name="_Toc214053269"/>
      <w:r w:rsidRPr="00BF3D8F">
        <w:lastRenderedPageBreak/>
        <w:t>Current Debates and Emerging Issues</w:t>
      </w:r>
      <w:bookmarkEnd w:id="6"/>
    </w:p>
    <w:p w14:paraId="24E149DD" w14:textId="77777777" w:rsidR="00416D6D" w:rsidRPr="00416D6D" w:rsidRDefault="00416D6D" w:rsidP="00416D6D">
      <w:pPr>
        <w:spacing w:line="360" w:lineRule="auto"/>
        <w:jc w:val="both"/>
        <w:rPr>
          <w:rFonts w:ascii="Arial" w:hAnsi="Arial" w:cs="Arial"/>
          <w:sz w:val="22"/>
          <w:szCs w:val="22"/>
        </w:rPr>
      </w:pPr>
      <w:r w:rsidRPr="00416D6D">
        <w:rPr>
          <w:rFonts w:ascii="Arial" w:hAnsi="Arial" w:cs="Arial"/>
          <w:sz w:val="22"/>
          <w:szCs w:val="22"/>
        </w:rPr>
        <w:t>Recent research highlights that neurodivergent individuals, particularly those with autism or ADHD, experience higher rates of Anorexia Nervosa (AN) and often have poorer outcomes with standard treatments, including longer inpatient stays and persistent psychosocial difficulties (Nimbley et al., 2024; Herle, Carter Leno and Mandy, 2025). This has prompted debate over the adequacy of conventional interventions and the need to adapt treatment to accommodate sensory sensitivities, cognitive differences, and unique psychosocial challenges. Scholars advocate for co-produced, developmentally informed, and personalised care models, alongside broader recognition of non-traditional AN presentations, such as Atypical Anorexia Nervosa (Nimbley et al., 2024).</w:t>
      </w:r>
    </w:p>
    <w:p w14:paraId="71DB6C30" w14:textId="77777777" w:rsidR="00416D6D" w:rsidRPr="00416D6D" w:rsidRDefault="00416D6D" w:rsidP="00416D6D">
      <w:pPr>
        <w:spacing w:line="360" w:lineRule="auto"/>
        <w:jc w:val="both"/>
        <w:rPr>
          <w:rFonts w:ascii="Arial" w:hAnsi="Arial" w:cs="Arial"/>
          <w:sz w:val="22"/>
          <w:szCs w:val="22"/>
        </w:rPr>
      </w:pPr>
      <w:r w:rsidRPr="00416D6D">
        <w:rPr>
          <w:rFonts w:ascii="Arial" w:hAnsi="Arial" w:cs="Arial"/>
          <w:sz w:val="22"/>
          <w:szCs w:val="22"/>
        </w:rPr>
        <w:t>These findings raise questions about the applicability of current diagnostic frameworks, particularly ICD-11, in the UK context. Critics argue that existing criteria may fail to capture neurodivergent presentations, which risks delayed diagnosis and inappropriate treatment. Supporters of ICD-11 contend that its longitudinal and subtyping features provide flexibility, but UK-specific adaptations may be required to ensure inclusivity and responsiveness to diverse patient needs. This debate intersects with clinical practice, as NICE guidelines (2022) and NHS strategies emphasise early intervention, expanded community-based services, and the reduction of regional disparities.</w:t>
      </w:r>
    </w:p>
    <w:p w14:paraId="09D26387" w14:textId="77777777" w:rsidR="00416D6D" w:rsidRDefault="00416D6D" w:rsidP="00416D6D">
      <w:pPr>
        <w:spacing w:line="360" w:lineRule="auto"/>
        <w:jc w:val="both"/>
        <w:rPr>
          <w:rFonts w:ascii="Arial" w:hAnsi="Arial" w:cs="Arial"/>
          <w:sz w:val="22"/>
          <w:szCs w:val="22"/>
        </w:rPr>
      </w:pPr>
      <w:r w:rsidRPr="00416D6D">
        <w:rPr>
          <w:rFonts w:ascii="Arial" w:hAnsi="Arial" w:cs="Arial"/>
          <w:sz w:val="22"/>
          <w:szCs w:val="22"/>
        </w:rPr>
        <w:t>Policy considerations further reinforce the importance of equity and accessibility. The Equality Act 2010 obliges mental health services to provide reasonable adjustments for neurodivergent individuals, ensuring fair access to care and support within clinical and workplace settings. These legal frameworks, combined with growing evidence on neurodivergence, underscore the urgency of revising diagnostic and treatment approaches to accommodate diverse presentations of AN, improve engagement, and reduce chronicity.</w:t>
      </w:r>
    </w:p>
    <w:p w14:paraId="4291B4CE" w14:textId="77777777" w:rsidR="008852F2" w:rsidRDefault="008852F2" w:rsidP="002F7BEB">
      <w:pPr>
        <w:pStyle w:val="Heading1"/>
      </w:pPr>
      <w:bookmarkStart w:id="7" w:name="_Toc214053270"/>
      <w:r w:rsidRPr="008852F2">
        <w:t>Policy and Legal Framework</w:t>
      </w:r>
      <w:bookmarkEnd w:id="7"/>
    </w:p>
    <w:p w14:paraId="049BB794" w14:textId="2BA3D8DF" w:rsidR="008852F2" w:rsidRPr="008852F2" w:rsidRDefault="008852F2" w:rsidP="008852F2">
      <w:pPr>
        <w:spacing w:line="360" w:lineRule="auto"/>
        <w:jc w:val="both"/>
        <w:rPr>
          <w:rFonts w:ascii="Arial" w:hAnsi="Arial" w:cs="Arial"/>
          <w:b/>
          <w:bCs/>
          <w:sz w:val="22"/>
          <w:szCs w:val="22"/>
        </w:rPr>
      </w:pPr>
      <w:r w:rsidRPr="008852F2">
        <w:rPr>
          <w:rFonts w:ascii="Arial" w:hAnsi="Arial" w:cs="Arial"/>
          <w:sz w:val="22"/>
          <w:szCs w:val="22"/>
        </w:rPr>
        <w:t>UK legislation provides crucial protections and shapes the care of individuals with Anorexia Nervosa (AN). The Mental Health Act (1983</w:t>
      </w:r>
      <w:r>
        <w:rPr>
          <w:rFonts w:ascii="Arial" w:hAnsi="Arial" w:cs="Arial"/>
          <w:sz w:val="22"/>
          <w:szCs w:val="22"/>
        </w:rPr>
        <w:t xml:space="preserve">) </w:t>
      </w:r>
      <w:r w:rsidRPr="008852F2">
        <w:rPr>
          <w:rFonts w:ascii="Arial" w:hAnsi="Arial" w:cs="Arial"/>
          <w:sz w:val="22"/>
          <w:szCs w:val="22"/>
        </w:rPr>
        <w:t>permits compulsory treatment when a person’s physical or mental health is at serious risk, balancing patient safety with ethical concerns regarding autonomy and informed consent. While this framework ensures access to urgent care, its use can raise debates about patient rights and the potential psychological impact of involuntary treatment.</w:t>
      </w:r>
    </w:p>
    <w:p w14:paraId="64DE5FE9" w14:textId="77777777" w:rsidR="008852F2" w:rsidRPr="008852F2" w:rsidRDefault="008852F2" w:rsidP="008852F2">
      <w:pPr>
        <w:spacing w:line="360" w:lineRule="auto"/>
        <w:jc w:val="both"/>
        <w:rPr>
          <w:rFonts w:ascii="Arial" w:hAnsi="Arial" w:cs="Arial"/>
          <w:sz w:val="22"/>
          <w:szCs w:val="22"/>
        </w:rPr>
      </w:pPr>
      <w:r w:rsidRPr="008852F2">
        <w:rPr>
          <w:rFonts w:ascii="Arial" w:hAnsi="Arial" w:cs="Arial"/>
          <w:sz w:val="22"/>
          <w:szCs w:val="22"/>
        </w:rPr>
        <w:t xml:space="preserve">The Care Act (2014) obliges local authorities to provide social care support for individuals with complex needs, including recovery planning, community reintegration, and safeguarding. However, implementation is influenced by local resources, leading to variability in service </w:t>
      </w:r>
      <w:r w:rsidRPr="008852F2">
        <w:rPr>
          <w:rFonts w:ascii="Arial" w:hAnsi="Arial" w:cs="Arial"/>
          <w:sz w:val="22"/>
          <w:szCs w:val="22"/>
        </w:rPr>
        <w:lastRenderedPageBreak/>
        <w:t>quality and access. The Equality Act (2010) further protects individuals with long-term mental health conditions from discrimination, promoting equitable access to healthcare, education, and employment, and supporting reasonable adjustments for neurodivergent or otherwise vulnerable individuals.</w:t>
      </w:r>
    </w:p>
    <w:p w14:paraId="421261DC" w14:textId="77777777" w:rsidR="008852F2" w:rsidRPr="008852F2" w:rsidRDefault="008852F2" w:rsidP="008852F2">
      <w:pPr>
        <w:spacing w:line="360" w:lineRule="auto"/>
        <w:jc w:val="both"/>
        <w:rPr>
          <w:rFonts w:ascii="Arial" w:hAnsi="Arial" w:cs="Arial"/>
          <w:sz w:val="22"/>
          <w:szCs w:val="22"/>
        </w:rPr>
      </w:pPr>
      <w:r w:rsidRPr="008852F2">
        <w:rPr>
          <w:rFonts w:ascii="Arial" w:hAnsi="Arial" w:cs="Arial"/>
          <w:sz w:val="22"/>
          <w:szCs w:val="22"/>
        </w:rPr>
        <w:t>UK policy initiatives, such as the NHS Long Term Plan (2019), emphasise early detection, community-based interventions, and expanded specialist eating disorder services. Despite these commitments, regional disparities, workforce shortages, and funding pressures continue to challenge consistent delivery of care, highlighting gaps between legislation, policy, and practice. Collectively, these legal and policy frameworks provide a foundation for patient rights and service provision, but ongoing evaluation is required to ensure ethical, equitable, and effective care for people living with AN.</w:t>
      </w:r>
    </w:p>
    <w:p w14:paraId="147ED457" w14:textId="108A2AF0" w:rsidR="008C6EB4" w:rsidRDefault="008C6EB4" w:rsidP="008C6EB4">
      <w:pPr>
        <w:spacing w:line="360" w:lineRule="auto"/>
        <w:jc w:val="both"/>
        <w:rPr>
          <w:rFonts w:ascii="Arial" w:hAnsi="Arial" w:cs="Arial"/>
          <w:sz w:val="22"/>
          <w:szCs w:val="22"/>
        </w:rPr>
      </w:pPr>
    </w:p>
    <w:p w14:paraId="509BEE15" w14:textId="40C5B3E7" w:rsidR="00BA12AA" w:rsidRDefault="00BA12AA" w:rsidP="002F7BEB">
      <w:pPr>
        <w:pStyle w:val="Heading1"/>
      </w:pPr>
      <w:bookmarkStart w:id="8" w:name="_Toc214053271"/>
      <w:r w:rsidRPr="00BA12AA">
        <w:t xml:space="preserve">UK Data </w:t>
      </w:r>
      <w:r w:rsidR="00577236">
        <w:t>and</w:t>
      </w:r>
      <w:r w:rsidRPr="00BA12AA">
        <w:t xml:space="preserve"> Statistical Evidence</w:t>
      </w:r>
      <w:bookmarkEnd w:id="8"/>
    </w:p>
    <w:p w14:paraId="622BD6C1" w14:textId="502881B0" w:rsidR="00D06819" w:rsidRPr="00D06819" w:rsidRDefault="00D06819" w:rsidP="00D06819">
      <w:pPr>
        <w:spacing w:line="360" w:lineRule="auto"/>
        <w:jc w:val="both"/>
        <w:rPr>
          <w:rFonts w:ascii="Arial" w:hAnsi="Arial" w:cs="Arial"/>
          <w:sz w:val="22"/>
          <w:szCs w:val="22"/>
        </w:rPr>
      </w:pPr>
      <w:r w:rsidRPr="00D06819">
        <w:rPr>
          <w:rFonts w:ascii="Arial" w:hAnsi="Arial" w:cs="Arial"/>
          <w:sz w:val="22"/>
          <w:szCs w:val="22"/>
        </w:rPr>
        <w:t>Anorexia Nervosa (AN) and other eating disorders are a significant public health issue in the UK. NHS Digital (2024) estimates that around 1.25 million people are affected by eating disorders, with AN accounting for roughly 10% of cases. Prevalence varies by age: among 11</w:t>
      </w:r>
      <w:r>
        <w:rPr>
          <w:rFonts w:ascii="Arial" w:hAnsi="Arial" w:cs="Arial"/>
          <w:sz w:val="22"/>
          <w:szCs w:val="22"/>
        </w:rPr>
        <w:t>-</w:t>
      </w:r>
      <w:r w:rsidRPr="00D06819">
        <w:rPr>
          <w:rFonts w:ascii="Arial" w:hAnsi="Arial" w:cs="Arial"/>
          <w:sz w:val="22"/>
          <w:szCs w:val="22"/>
        </w:rPr>
        <w:t>16, 0.2% meet criteria for AN, rising to 3.3% in those aged 17</w:t>
      </w:r>
      <w:r>
        <w:rPr>
          <w:rFonts w:ascii="Arial" w:hAnsi="Arial" w:cs="Arial"/>
          <w:sz w:val="22"/>
          <w:szCs w:val="22"/>
        </w:rPr>
        <w:t>-</w:t>
      </w:r>
      <w:r w:rsidRPr="00D06819">
        <w:rPr>
          <w:rFonts w:ascii="Arial" w:hAnsi="Arial" w:cs="Arial"/>
          <w:sz w:val="22"/>
          <w:szCs w:val="22"/>
        </w:rPr>
        <w:t>19, before decreasing to 0.3% in 20</w:t>
      </w:r>
      <w:r>
        <w:rPr>
          <w:rFonts w:ascii="Arial" w:hAnsi="Arial" w:cs="Arial"/>
          <w:sz w:val="22"/>
          <w:szCs w:val="22"/>
        </w:rPr>
        <w:t>-</w:t>
      </w:r>
      <w:r w:rsidRPr="00D06819">
        <w:rPr>
          <w:rFonts w:ascii="Arial" w:hAnsi="Arial" w:cs="Arial"/>
          <w:sz w:val="22"/>
          <w:szCs w:val="22"/>
        </w:rPr>
        <w:t>25</w:t>
      </w:r>
      <w:r>
        <w:rPr>
          <w:rFonts w:ascii="Arial" w:hAnsi="Arial" w:cs="Arial"/>
          <w:sz w:val="22"/>
          <w:szCs w:val="22"/>
        </w:rPr>
        <w:t xml:space="preserve"> </w:t>
      </w:r>
      <w:r w:rsidRPr="00D06819">
        <w:rPr>
          <w:rFonts w:ascii="Arial" w:hAnsi="Arial" w:cs="Arial"/>
          <w:sz w:val="22"/>
          <w:szCs w:val="22"/>
        </w:rPr>
        <w:t>(NHS Digital, 2023). The Office for National Statistics (2023) also reports that rates among young women aged 16</w:t>
      </w:r>
      <w:r>
        <w:rPr>
          <w:rFonts w:ascii="Arial" w:hAnsi="Arial" w:cs="Arial"/>
          <w:sz w:val="22"/>
          <w:szCs w:val="22"/>
        </w:rPr>
        <w:t>-</w:t>
      </w:r>
      <w:r w:rsidRPr="00D06819">
        <w:rPr>
          <w:rFonts w:ascii="Arial" w:hAnsi="Arial" w:cs="Arial"/>
          <w:sz w:val="22"/>
          <w:szCs w:val="22"/>
        </w:rPr>
        <w:t>24 have nearly doubled in the last decade, highlighting the increasing scale of the condition.</w:t>
      </w:r>
    </w:p>
    <w:p w14:paraId="46DAA5AC" w14:textId="63BF015F" w:rsidR="00D06819" w:rsidRPr="00D06819" w:rsidRDefault="00D06819" w:rsidP="00D06819">
      <w:pPr>
        <w:spacing w:line="360" w:lineRule="auto"/>
        <w:jc w:val="both"/>
        <w:rPr>
          <w:rFonts w:ascii="Arial" w:hAnsi="Arial" w:cs="Arial"/>
          <w:sz w:val="22"/>
          <w:szCs w:val="22"/>
        </w:rPr>
      </w:pPr>
      <w:r w:rsidRPr="00D06819">
        <w:rPr>
          <w:rFonts w:ascii="Arial" w:hAnsi="Arial" w:cs="Arial"/>
          <w:sz w:val="22"/>
          <w:szCs w:val="22"/>
        </w:rPr>
        <w:t>Hospital admissions for eating disorders in England have risen sharply. NHS figures show an 84% increase over five years, with 24,268 admissions in 2020</w:t>
      </w:r>
      <w:r>
        <w:rPr>
          <w:rFonts w:ascii="Arial" w:hAnsi="Arial" w:cs="Arial"/>
          <w:sz w:val="22"/>
          <w:szCs w:val="22"/>
        </w:rPr>
        <w:t>-</w:t>
      </w:r>
      <w:r w:rsidRPr="00D06819">
        <w:rPr>
          <w:rFonts w:ascii="Arial" w:hAnsi="Arial" w:cs="Arial"/>
          <w:sz w:val="22"/>
          <w:szCs w:val="22"/>
        </w:rPr>
        <w:t>21 compared with 13,219 in 2015–16. Admissions among children and young people grew from 3,541 to 6,713, with a notable rise in boys and young men from 280 to 637 during the same period (Gregory, 2022).</w:t>
      </w:r>
    </w:p>
    <w:p w14:paraId="4D127F1E" w14:textId="77777777" w:rsidR="00D06819" w:rsidRPr="00D06819" w:rsidRDefault="00D06819" w:rsidP="00D06819">
      <w:pPr>
        <w:spacing w:line="360" w:lineRule="auto"/>
        <w:jc w:val="both"/>
        <w:rPr>
          <w:rFonts w:ascii="Arial" w:hAnsi="Arial" w:cs="Arial"/>
          <w:sz w:val="22"/>
          <w:szCs w:val="22"/>
        </w:rPr>
      </w:pPr>
      <w:r w:rsidRPr="00D06819">
        <w:rPr>
          <w:rFonts w:ascii="Arial" w:hAnsi="Arial" w:cs="Arial"/>
          <w:sz w:val="22"/>
          <w:szCs w:val="22"/>
        </w:rPr>
        <w:t>Significant inequalities persist in access to treatment. NHS England (2019) reports substantial regional variation in waiting times and service availability, limiting early intervention. Services in many areas continue to struggle to meet waiting time targets due to rising demand, and socioeconomic deprivation is associated with longer delays.</w:t>
      </w:r>
    </w:p>
    <w:p w14:paraId="59A36E40" w14:textId="31A49691" w:rsidR="00D06819" w:rsidRPr="00D06819" w:rsidRDefault="00D06819" w:rsidP="00D06819">
      <w:pPr>
        <w:spacing w:line="360" w:lineRule="auto"/>
        <w:jc w:val="both"/>
        <w:rPr>
          <w:rFonts w:ascii="Arial" w:hAnsi="Arial" w:cs="Arial"/>
          <w:sz w:val="22"/>
          <w:szCs w:val="22"/>
        </w:rPr>
      </w:pPr>
      <w:r w:rsidRPr="00D06819">
        <w:rPr>
          <w:rFonts w:ascii="Arial" w:hAnsi="Arial" w:cs="Arial"/>
          <w:sz w:val="22"/>
          <w:szCs w:val="22"/>
        </w:rPr>
        <w:t xml:space="preserve">Compared with global patterns, the UK shows similar increases in hospital admissions and </w:t>
      </w:r>
      <w:r>
        <w:rPr>
          <w:rFonts w:ascii="Arial" w:hAnsi="Arial" w:cs="Arial"/>
          <w:sz w:val="22"/>
          <w:szCs w:val="22"/>
        </w:rPr>
        <w:t xml:space="preserve">the </w:t>
      </w:r>
      <w:r w:rsidRPr="00D06819">
        <w:rPr>
          <w:rFonts w:ascii="Arial" w:hAnsi="Arial" w:cs="Arial"/>
          <w:sz w:val="22"/>
          <w:szCs w:val="22"/>
        </w:rPr>
        <w:t>need for early support. National policies such as the NICE Guideline (2020) and the NHS Long Term Plan (2019) emphasise the expansion of timely, community-based care to reduce long-term health risks and improve recovery outcomes.</w:t>
      </w:r>
    </w:p>
    <w:p w14:paraId="68716F51" w14:textId="77777777" w:rsidR="00D06819" w:rsidRPr="00D06819" w:rsidRDefault="00D06819" w:rsidP="00BA12AA">
      <w:pPr>
        <w:spacing w:line="360" w:lineRule="auto"/>
        <w:jc w:val="both"/>
        <w:rPr>
          <w:rFonts w:ascii="Arial" w:hAnsi="Arial" w:cs="Arial"/>
          <w:sz w:val="22"/>
          <w:szCs w:val="22"/>
        </w:rPr>
      </w:pPr>
    </w:p>
    <w:p w14:paraId="4AD5C39C" w14:textId="77777777" w:rsidR="0003613C" w:rsidRPr="008C517F" w:rsidRDefault="0003613C" w:rsidP="002F7BEB">
      <w:pPr>
        <w:pStyle w:val="Heading1"/>
      </w:pPr>
      <w:bookmarkStart w:id="9" w:name="_Toc214053272"/>
      <w:r w:rsidRPr="008C517F">
        <w:lastRenderedPageBreak/>
        <w:t>Recommendations</w:t>
      </w:r>
      <w:bookmarkEnd w:id="9"/>
    </w:p>
    <w:p w14:paraId="6F3F55E7" w14:textId="523BBF92" w:rsidR="003801C3" w:rsidRPr="003801C3" w:rsidRDefault="003801C3" w:rsidP="003801C3">
      <w:pPr>
        <w:spacing w:line="360" w:lineRule="auto"/>
        <w:jc w:val="both"/>
        <w:rPr>
          <w:rFonts w:ascii="Arial" w:hAnsi="Arial" w:cs="Arial"/>
          <w:sz w:val="22"/>
          <w:szCs w:val="22"/>
        </w:rPr>
      </w:pPr>
      <w:r w:rsidRPr="003801C3">
        <w:rPr>
          <w:rFonts w:ascii="Arial" w:hAnsi="Arial" w:cs="Arial"/>
          <w:sz w:val="22"/>
          <w:szCs w:val="22"/>
        </w:rPr>
        <w:t>Early detection is essential. Expanding early intervention pathways such as FREED (First Episode Rapid Early Intervention for Eating Disorders) across all regions would help reduce delays and improve outcomes for emerging adults (NHS England, 2019; NICE, 2020). Schools, GPs, and community settings should receive specific training to recognise early signs of AN, including presentations that may be missed in neurodivergent individuals (Nimbley et al., 2024; Herle, Carter Leno and Mandy, 2025).</w:t>
      </w:r>
    </w:p>
    <w:p w14:paraId="6BCF6A83" w14:textId="68A828E1" w:rsidR="003801C3" w:rsidRPr="003801C3" w:rsidRDefault="003801C3" w:rsidP="003801C3">
      <w:pPr>
        <w:spacing w:line="360" w:lineRule="auto"/>
        <w:jc w:val="both"/>
        <w:rPr>
          <w:rFonts w:ascii="Arial" w:hAnsi="Arial" w:cs="Arial"/>
          <w:sz w:val="22"/>
          <w:szCs w:val="22"/>
        </w:rPr>
      </w:pPr>
      <w:r w:rsidRPr="003801C3">
        <w:rPr>
          <w:rFonts w:ascii="Arial" w:hAnsi="Arial" w:cs="Arial"/>
          <w:sz w:val="22"/>
          <w:szCs w:val="22"/>
        </w:rPr>
        <w:t>Treatment should remain multidisciplinary and consistent with NICE (2022) guidance, involving psychological, medical, and nutritional support. Adapting interventions for neurodivergent patients</w:t>
      </w:r>
      <w:r w:rsidR="0003613C">
        <w:rPr>
          <w:rFonts w:ascii="Arial" w:hAnsi="Arial" w:cs="Arial"/>
          <w:sz w:val="22"/>
          <w:szCs w:val="22"/>
        </w:rPr>
        <w:t xml:space="preserve">, </w:t>
      </w:r>
      <w:r w:rsidRPr="003801C3">
        <w:rPr>
          <w:rFonts w:ascii="Arial" w:hAnsi="Arial" w:cs="Arial"/>
          <w:sz w:val="22"/>
          <w:szCs w:val="22"/>
        </w:rPr>
        <w:t>such as adjusting sensory environments or communication approaches</w:t>
      </w:r>
      <w:r w:rsidR="0003613C">
        <w:rPr>
          <w:rFonts w:ascii="Arial" w:hAnsi="Arial" w:cs="Arial"/>
          <w:sz w:val="22"/>
          <w:szCs w:val="22"/>
        </w:rPr>
        <w:t xml:space="preserve">, </w:t>
      </w:r>
      <w:r w:rsidRPr="003801C3">
        <w:rPr>
          <w:rFonts w:ascii="Arial" w:hAnsi="Arial" w:cs="Arial"/>
          <w:sz w:val="22"/>
          <w:szCs w:val="22"/>
        </w:rPr>
        <w:t>could improve engagement and reduce drop-out rates (Nimbley et al., 2024). Family-based therapy should continue to be prioritised for adolescents (Lock and Le Grange, 2025).</w:t>
      </w:r>
    </w:p>
    <w:p w14:paraId="0F361D80" w14:textId="77777777" w:rsidR="003801C3" w:rsidRPr="003801C3" w:rsidRDefault="003801C3" w:rsidP="003801C3">
      <w:pPr>
        <w:spacing w:line="360" w:lineRule="auto"/>
        <w:jc w:val="both"/>
        <w:rPr>
          <w:rFonts w:ascii="Arial" w:hAnsi="Arial" w:cs="Arial"/>
          <w:sz w:val="22"/>
          <w:szCs w:val="22"/>
        </w:rPr>
      </w:pPr>
      <w:r w:rsidRPr="003801C3">
        <w:rPr>
          <w:rFonts w:ascii="Arial" w:hAnsi="Arial" w:cs="Arial"/>
          <w:sz w:val="22"/>
          <w:szCs w:val="22"/>
        </w:rPr>
        <w:t>Improving equity requires targeted funding to reduce regional inequalities in service availability and waiting times (NHS England, 2019). NHS Digital and ONS data should be used to track gaps and ensure reasonable adjustments under the Equality Act 2010.</w:t>
      </w:r>
    </w:p>
    <w:p w14:paraId="2A167F5C" w14:textId="33B24182" w:rsidR="003801C3" w:rsidRPr="003801C3" w:rsidRDefault="003801C3" w:rsidP="003801C3">
      <w:pPr>
        <w:spacing w:line="360" w:lineRule="auto"/>
        <w:jc w:val="both"/>
        <w:rPr>
          <w:rFonts w:ascii="Arial" w:hAnsi="Arial" w:cs="Arial"/>
          <w:sz w:val="22"/>
          <w:szCs w:val="22"/>
        </w:rPr>
      </w:pPr>
      <w:r w:rsidRPr="003801C3">
        <w:rPr>
          <w:rFonts w:ascii="Arial" w:hAnsi="Arial" w:cs="Arial"/>
          <w:sz w:val="22"/>
          <w:szCs w:val="22"/>
        </w:rPr>
        <w:t>Policy safeguards should ensure that rights under the Mental Health Act (1983</w:t>
      </w:r>
      <w:r w:rsidR="00D06819">
        <w:rPr>
          <w:rFonts w:ascii="Arial" w:hAnsi="Arial" w:cs="Arial"/>
          <w:sz w:val="22"/>
          <w:szCs w:val="22"/>
        </w:rPr>
        <w:t xml:space="preserve"> )</w:t>
      </w:r>
      <w:r w:rsidRPr="003801C3">
        <w:rPr>
          <w:rFonts w:ascii="Arial" w:hAnsi="Arial" w:cs="Arial"/>
          <w:sz w:val="22"/>
          <w:szCs w:val="22"/>
        </w:rPr>
        <w:t xml:space="preserve"> and the Care Act (2014) are upheld, balancing safety with autonomy. More research into atypical presentations, including Atypical AN (Walsh, Hagan and Lockwood, 2023) and neurodivergent groups, is needed, alongside investment in digital tools and community-based supports to improve long-term recovery (Nicula et al., 2025).</w:t>
      </w:r>
    </w:p>
    <w:p w14:paraId="00E83C7F" w14:textId="77777777" w:rsidR="001E02AF" w:rsidRDefault="001E02AF" w:rsidP="002F7BEB">
      <w:pPr>
        <w:pStyle w:val="Heading1"/>
      </w:pPr>
      <w:bookmarkStart w:id="10" w:name="_Toc214053273"/>
      <w:r w:rsidRPr="001E02AF">
        <w:t>Conclusion</w:t>
      </w:r>
      <w:bookmarkEnd w:id="10"/>
    </w:p>
    <w:p w14:paraId="46C1470D" w14:textId="77777777" w:rsidR="0003613C" w:rsidRPr="0003613C" w:rsidRDefault="0003613C" w:rsidP="0003613C">
      <w:pPr>
        <w:spacing w:line="360" w:lineRule="auto"/>
        <w:jc w:val="both"/>
        <w:rPr>
          <w:rFonts w:ascii="Arial" w:hAnsi="Arial" w:cs="Arial"/>
          <w:sz w:val="22"/>
          <w:szCs w:val="22"/>
        </w:rPr>
      </w:pPr>
      <w:r w:rsidRPr="0003613C">
        <w:rPr>
          <w:rFonts w:ascii="Arial" w:hAnsi="Arial" w:cs="Arial"/>
          <w:sz w:val="22"/>
          <w:szCs w:val="22"/>
        </w:rPr>
        <w:t>Anorexia Nervosa (AN) remains a complex, high-risk mental health disorder with significant physical and psychological consequences. UK data highlight rising prevalence and increasing hospital admissions, particularly among adolescents, young adults and neurodivergent individuals, underscoring the urgency of effective prevention and early intervention. Although evidence-based treatments and multidisciplinary care can improve outcomes, persistent inequalities in access, regional service variation and long waiting times continue to limit timely support for many.</w:t>
      </w:r>
    </w:p>
    <w:p w14:paraId="7FCFA9FE" w14:textId="600CCDA1" w:rsidR="0003613C" w:rsidRPr="0003613C" w:rsidRDefault="0003613C" w:rsidP="0003613C">
      <w:pPr>
        <w:spacing w:line="360" w:lineRule="auto"/>
        <w:jc w:val="both"/>
        <w:rPr>
          <w:rFonts w:ascii="Arial" w:hAnsi="Arial" w:cs="Arial"/>
          <w:sz w:val="22"/>
          <w:szCs w:val="22"/>
        </w:rPr>
      </w:pPr>
      <w:r w:rsidRPr="0003613C">
        <w:rPr>
          <w:rFonts w:ascii="Arial" w:hAnsi="Arial" w:cs="Arial"/>
          <w:sz w:val="22"/>
          <w:szCs w:val="22"/>
        </w:rPr>
        <w:t>UK legislation</w:t>
      </w:r>
      <w:r>
        <w:rPr>
          <w:rFonts w:ascii="Arial" w:hAnsi="Arial" w:cs="Arial"/>
          <w:sz w:val="22"/>
          <w:szCs w:val="22"/>
        </w:rPr>
        <w:t xml:space="preserve">, </w:t>
      </w:r>
      <w:r w:rsidRPr="0003613C">
        <w:rPr>
          <w:rFonts w:ascii="Arial" w:hAnsi="Arial" w:cs="Arial"/>
          <w:sz w:val="22"/>
          <w:szCs w:val="22"/>
        </w:rPr>
        <w:t>including the Mental Health Act (1983</w:t>
      </w:r>
      <w:r>
        <w:rPr>
          <w:rFonts w:ascii="Arial" w:hAnsi="Arial" w:cs="Arial"/>
          <w:sz w:val="22"/>
          <w:szCs w:val="22"/>
        </w:rPr>
        <w:t xml:space="preserve"> )</w:t>
      </w:r>
      <w:r w:rsidRPr="0003613C">
        <w:rPr>
          <w:rFonts w:ascii="Arial" w:hAnsi="Arial" w:cs="Arial"/>
          <w:sz w:val="22"/>
          <w:szCs w:val="22"/>
        </w:rPr>
        <w:t>, the Care Act (2014) and the Equality Act (2010)</w:t>
      </w:r>
      <w:r>
        <w:rPr>
          <w:rFonts w:ascii="Arial" w:hAnsi="Arial" w:cs="Arial"/>
          <w:sz w:val="22"/>
          <w:szCs w:val="22"/>
        </w:rPr>
        <w:t xml:space="preserve">, </w:t>
      </w:r>
      <w:r w:rsidRPr="0003613C">
        <w:rPr>
          <w:rFonts w:ascii="Arial" w:hAnsi="Arial" w:cs="Arial"/>
          <w:sz w:val="22"/>
          <w:szCs w:val="22"/>
        </w:rPr>
        <w:t xml:space="preserve">establishes important protections for patient rights and equitable care. However, gaps remain in how these frameworks are applied in practice, particularly regarding adaptations for neurodivergent populations and consistency across NHS regions. Future policy reforms, including ongoing NHS mental health transformation plans, have the potential </w:t>
      </w:r>
      <w:r w:rsidRPr="0003613C">
        <w:rPr>
          <w:rFonts w:ascii="Arial" w:hAnsi="Arial" w:cs="Arial"/>
          <w:sz w:val="22"/>
          <w:szCs w:val="22"/>
        </w:rPr>
        <w:lastRenderedPageBreak/>
        <w:t>to strengthen community services, expand early intervention pathways and reduce reliance on inpatient care, but these developments depend on sustainable funding and workforce capacity.</w:t>
      </w:r>
    </w:p>
    <w:p w14:paraId="5CB9612B" w14:textId="16115006" w:rsidR="0003613C" w:rsidRPr="0003613C" w:rsidRDefault="0003613C" w:rsidP="0003613C">
      <w:pPr>
        <w:spacing w:line="360" w:lineRule="auto"/>
        <w:jc w:val="both"/>
        <w:rPr>
          <w:rFonts w:ascii="Arial" w:hAnsi="Arial" w:cs="Arial"/>
          <w:sz w:val="22"/>
          <w:szCs w:val="22"/>
        </w:rPr>
      </w:pPr>
      <w:r w:rsidRPr="0003613C">
        <w:rPr>
          <w:rFonts w:ascii="Arial" w:hAnsi="Arial" w:cs="Arial"/>
          <w:sz w:val="22"/>
          <w:szCs w:val="22"/>
        </w:rPr>
        <w:t>Future research should prioritise understanding AN in diverse and underserved groups, improving early detection methods, and evaluating the effectiveness of adapted psychological interventions. Ultimately, enhancing funding, accessibility</w:t>
      </w:r>
      <w:r>
        <w:rPr>
          <w:rFonts w:ascii="Arial" w:hAnsi="Arial" w:cs="Arial"/>
          <w:sz w:val="22"/>
          <w:szCs w:val="22"/>
        </w:rPr>
        <w:t>,</w:t>
      </w:r>
      <w:r w:rsidRPr="0003613C">
        <w:rPr>
          <w:rFonts w:ascii="Arial" w:hAnsi="Arial" w:cs="Arial"/>
          <w:sz w:val="22"/>
          <w:szCs w:val="22"/>
        </w:rPr>
        <w:t xml:space="preserve"> and personalised care will be essential for reducing long-term morbidity and meeting the evolving needs of individuals affected by AN.</w:t>
      </w:r>
    </w:p>
    <w:p w14:paraId="0B5BA6C6" w14:textId="32DBF7EB" w:rsidR="00BA12AA" w:rsidRPr="008C6EB4" w:rsidRDefault="00BA12AA" w:rsidP="008C6EB4">
      <w:pPr>
        <w:spacing w:line="360" w:lineRule="auto"/>
        <w:jc w:val="both"/>
        <w:rPr>
          <w:rFonts w:ascii="Arial" w:hAnsi="Arial" w:cs="Arial"/>
          <w:sz w:val="22"/>
          <w:szCs w:val="22"/>
        </w:rPr>
      </w:pPr>
    </w:p>
    <w:p w14:paraId="39DED853" w14:textId="77777777" w:rsidR="008C6EB4" w:rsidRPr="00BF3D8F" w:rsidRDefault="008C6EB4" w:rsidP="00BF3D8F">
      <w:pPr>
        <w:spacing w:line="360" w:lineRule="auto"/>
        <w:jc w:val="both"/>
        <w:rPr>
          <w:rFonts w:ascii="Arial" w:hAnsi="Arial" w:cs="Arial"/>
          <w:sz w:val="22"/>
          <w:szCs w:val="22"/>
        </w:rPr>
      </w:pPr>
    </w:p>
    <w:p w14:paraId="32B3537A" w14:textId="77777777" w:rsidR="00BF3D8F" w:rsidRPr="008E317D" w:rsidRDefault="00BF3D8F" w:rsidP="008E317D">
      <w:pPr>
        <w:spacing w:line="360" w:lineRule="auto"/>
        <w:jc w:val="both"/>
        <w:rPr>
          <w:rFonts w:ascii="Arial" w:hAnsi="Arial" w:cs="Arial"/>
          <w:sz w:val="22"/>
          <w:szCs w:val="22"/>
        </w:rPr>
      </w:pPr>
    </w:p>
    <w:bookmarkEnd w:id="1"/>
    <w:p w14:paraId="76F571D9" w14:textId="77777777" w:rsidR="00E11518" w:rsidRDefault="00E11518" w:rsidP="00FB34FD">
      <w:pPr>
        <w:spacing w:line="360" w:lineRule="auto"/>
        <w:rPr>
          <w:rFonts w:ascii="Arial" w:hAnsi="Arial" w:cs="Arial"/>
          <w:sz w:val="22"/>
          <w:szCs w:val="22"/>
        </w:rPr>
      </w:pPr>
    </w:p>
    <w:p w14:paraId="6210EB4A" w14:textId="77777777" w:rsidR="00A734A3" w:rsidRDefault="00A734A3" w:rsidP="00FB34FD">
      <w:pPr>
        <w:spacing w:line="360" w:lineRule="auto"/>
        <w:rPr>
          <w:rFonts w:ascii="Arial" w:hAnsi="Arial" w:cs="Arial"/>
          <w:sz w:val="22"/>
          <w:szCs w:val="22"/>
        </w:rPr>
      </w:pPr>
    </w:p>
    <w:p w14:paraId="5541BB59" w14:textId="77777777" w:rsidR="00A734A3" w:rsidRDefault="00A734A3" w:rsidP="00FB34FD">
      <w:pPr>
        <w:spacing w:line="360" w:lineRule="auto"/>
        <w:rPr>
          <w:rFonts w:ascii="Arial" w:hAnsi="Arial" w:cs="Arial"/>
          <w:sz w:val="22"/>
          <w:szCs w:val="22"/>
        </w:rPr>
      </w:pPr>
    </w:p>
    <w:p w14:paraId="5524F85A" w14:textId="77777777" w:rsidR="00A734A3" w:rsidRDefault="00A734A3" w:rsidP="00FB34FD">
      <w:pPr>
        <w:spacing w:line="360" w:lineRule="auto"/>
        <w:rPr>
          <w:rFonts w:ascii="Arial" w:hAnsi="Arial" w:cs="Arial"/>
          <w:sz w:val="22"/>
          <w:szCs w:val="22"/>
        </w:rPr>
      </w:pPr>
    </w:p>
    <w:p w14:paraId="0A4A674C" w14:textId="77777777" w:rsidR="00A734A3" w:rsidRDefault="00A734A3" w:rsidP="00FB34FD">
      <w:pPr>
        <w:spacing w:line="360" w:lineRule="auto"/>
        <w:rPr>
          <w:rFonts w:ascii="Arial" w:hAnsi="Arial" w:cs="Arial"/>
          <w:sz w:val="22"/>
          <w:szCs w:val="22"/>
        </w:rPr>
      </w:pPr>
    </w:p>
    <w:p w14:paraId="62F5290C" w14:textId="77777777" w:rsidR="00A734A3" w:rsidRDefault="00A734A3" w:rsidP="00FB34FD">
      <w:pPr>
        <w:spacing w:line="360" w:lineRule="auto"/>
        <w:rPr>
          <w:rFonts w:ascii="Arial" w:hAnsi="Arial" w:cs="Arial"/>
          <w:sz w:val="22"/>
          <w:szCs w:val="22"/>
        </w:rPr>
      </w:pPr>
    </w:p>
    <w:p w14:paraId="69AF5CF1" w14:textId="77777777" w:rsidR="00A734A3" w:rsidRDefault="00A734A3" w:rsidP="00FB34FD">
      <w:pPr>
        <w:spacing w:line="360" w:lineRule="auto"/>
        <w:rPr>
          <w:rFonts w:ascii="Arial" w:hAnsi="Arial" w:cs="Arial"/>
          <w:sz w:val="22"/>
          <w:szCs w:val="22"/>
        </w:rPr>
      </w:pPr>
    </w:p>
    <w:p w14:paraId="57ABF3AB" w14:textId="77777777" w:rsidR="00A734A3" w:rsidRDefault="00A734A3" w:rsidP="00FB34FD">
      <w:pPr>
        <w:spacing w:line="360" w:lineRule="auto"/>
        <w:rPr>
          <w:rFonts w:ascii="Arial" w:hAnsi="Arial" w:cs="Arial"/>
          <w:sz w:val="22"/>
          <w:szCs w:val="22"/>
        </w:rPr>
      </w:pPr>
    </w:p>
    <w:p w14:paraId="46F447B9" w14:textId="77777777" w:rsidR="00A734A3" w:rsidRDefault="00A734A3" w:rsidP="00FB34FD">
      <w:pPr>
        <w:spacing w:line="360" w:lineRule="auto"/>
        <w:rPr>
          <w:rFonts w:ascii="Arial" w:hAnsi="Arial" w:cs="Arial"/>
          <w:sz w:val="22"/>
          <w:szCs w:val="22"/>
        </w:rPr>
      </w:pPr>
    </w:p>
    <w:p w14:paraId="687B09F8" w14:textId="77777777" w:rsidR="00D06819" w:rsidRDefault="00D06819" w:rsidP="00FB34FD">
      <w:pPr>
        <w:spacing w:line="360" w:lineRule="auto"/>
        <w:rPr>
          <w:rFonts w:ascii="Arial" w:hAnsi="Arial" w:cs="Arial"/>
          <w:sz w:val="22"/>
          <w:szCs w:val="22"/>
        </w:rPr>
      </w:pPr>
    </w:p>
    <w:p w14:paraId="7EC1E258" w14:textId="77777777" w:rsidR="00D06819" w:rsidRDefault="00D06819" w:rsidP="00FB34FD">
      <w:pPr>
        <w:spacing w:line="360" w:lineRule="auto"/>
        <w:rPr>
          <w:rFonts w:ascii="Arial" w:hAnsi="Arial" w:cs="Arial"/>
          <w:sz w:val="22"/>
          <w:szCs w:val="22"/>
        </w:rPr>
      </w:pPr>
    </w:p>
    <w:p w14:paraId="20101D0B" w14:textId="77777777" w:rsidR="00D06819" w:rsidRDefault="00D06819" w:rsidP="00FB34FD">
      <w:pPr>
        <w:spacing w:line="360" w:lineRule="auto"/>
        <w:rPr>
          <w:rFonts w:ascii="Arial" w:hAnsi="Arial" w:cs="Arial"/>
          <w:sz w:val="22"/>
          <w:szCs w:val="22"/>
        </w:rPr>
      </w:pPr>
    </w:p>
    <w:p w14:paraId="4A80553E" w14:textId="77777777" w:rsidR="00D06819" w:rsidRDefault="00D06819" w:rsidP="00FB34FD">
      <w:pPr>
        <w:spacing w:line="360" w:lineRule="auto"/>
        <w:rPr>
          <w:rFonts w:ascii="Arial" w:hAnsi="Arial" w:cs="Arial"/>
          <w:sz w:val="22"/>
          <w:szCs w:val="22"/>
        </w:rPr>
      </w:pPr>
    </w:p>
    <w:p w14:paraId="64E1C85E" w14:textId="77777777" w:rsidR="00D06819" w:rsidRDefault="00D06819" w:rsidP="00FB34FD">
      <w:pPr>
        <w:spacing w:line="360" w:lineRule="auto"/>
        <w:rPr>
          <w:rFonts w:ascii="Arial" w:hAnsi="Arial" w:cs="Arial"/>
          <w:sz w:val="22"/>
          <w:szCs w:val="22"/>
        </w:rPr>
      </w:pPr>
    </w:p>
    <w:p w14:paraId="07C32DCA" w14:textId="77777777" w:rsidR="00A734A3" w:rsidRDefault="00A734A3" w:rsidP="00FB34FD">
      <w:pPr>
        <w:spacing w:line="360" w:lineRule="auto"/>
        <w:rPr>
          <w:rFonts w:ascii="Arial" w:hAnsi="Arial" w:cs="Arial"/>
          <w:sz w:val="22"/>
          <w:szCs w:val="22"/>
        </w:rPr>
      </w:pPr>
    </w:p>
    <w:p w14:paraId="789EBD17" w14:textId="77777777" w:rsidR="00233ECF" w:rsidRDefault="00233ECF" w:rsidP="00233ECF">
      <w:pPr>
        <w:spacing w:line="360" w:lineRule="auto"/>
        <w:jc w:val="both"/>
        <w:rPr>
          <w:rFonts w:ascii="Arial" w:hAnsi="Arial" w:cs="Arial"/>
          <w:sz w:val="22"/>
          <w:szCs w:val="22"/>
        </w:rPr>
      </w:pPr>
    </w:p>
    <w:p w14:paraId="48DFDDF5" w14:textId="77777777" w:rsidR="00233ECF" w:rsidRDefault="00233ECF" w:rsidP="00233ECF">
      <w:pPr>
        <w:spacing w:line="360" w:lineRule="auto"/>
        <w:jc w:val="both"/>
        <w:rPr>
          <w:rFonts w:ascii="Arial" w:hAnsi="Arial" w:cs="Arial"/>
          <w:sz w:val="22"/>
          <w:szCs w:val="22"/>
        </w:rPr>
      </w:pPr>
    </w:p>
    <w:p w14:paraId="379BCF3B" w14:textId="1277CB04" w:rsidR="00233ECF" w:rsidRPr="002F7BEB" w:rsidRDefault="00233ECF" w:rsidP="002F7BEB">
      <w:pPr>
        <w:pStyle w:val="Heading1"/>
      </w:pPr>
      <w:bookmarkStart w:id="11" w:name="_Toc214053274"/>
      <w:r w:rsidRPr="002F7BEB">
        <w:lastRenderedPageBreak/>
        <w:t>Reference List</w:t>
      </w:r>
      <w:bookmarkEnd w:id="11"/>
      <w:r w:rsidRPr="002F7BEB">
        <w:t xml:space="preserve"> </w:t>
      </w:r>
    </w:p>
    <w:p w14:paraId="2A9A2454" w14:textId="4F52D3FF" w:rsidR="00233ECF" w:rsidRPr="00233ECF" w:rsidRDefault="00233ECF" w:rsidP="00233ECF">
      <w:pPr>
        <w:spacing w:line="360" w:lineRule="auto"/>
        <w:jc w:val="both"/>
        <w:rPr>
          <w:rFonts w:ascii="Arial" w:hAnsi="Arial" w:cs="Arial"/>
          <w:sz w:val="22"/>
          <w:szCs w:val="22"/>
        </w:rPr>
      </w:pPr>
      <w:r w:rsidRPr="00233ECF">
        <w:rPr>
          <w:rFonts w:ascii="Arial" w:hAnsi="Arial" w:cs="Arial"/>
          <w:sz w:val="22"/>
          <w:szCs w:val="22"/>
        </w:rPr>
        <w:t xml:space="preserve">Ahmad (2022) </w:t>
      </w:r>
      <w:r w:rsidRPr="00233ECF">
        <w:rPr>
          <w:rFonts w:ascii="Arial" w:hAnsi="Arial" w:cs="Arial"/>
          <w:i/>
          <w:iCs/>
          <w:sz w:val="22"/>
          <w:szCs w:val="22"/>
        </w:rPr>
        <w:t>ICD-11 Criteria for Anorexia Nervosa (6B80)</w:t>
      </w:r>
      <w:r w:rsidRPr="00233ECF">
        <w:rPr>
          <w:rFonts w:ascii="Arial" w:hAnsi="Arial" w:cs="Arial"/>
          <w:sz w:val="22"/>
          <w:szCs w:val="22"/>
        </w:rPr>
        <w:t xml:space="preserve">. </w:t>
      </w:r>
      <w:r w:rsidRPr="00233ECF">
        <w:rPr>
          <w:rFonts w:ascii="Arial" w:hAnsi="Arial" w:cs="Arial"/>
          <w:i/>
          <w:iCs/>
          <w:sz w:val="22"/>
          <w:szCs w:val="22"/>
        </w:rPr>
        <w:t>MRC Psych</w:t>
      </w:r>
      <w:r w:rsidRPr="00233ECF">
        <w:rPr>
          <w:rFonts w:ascii="Arial" w:hAnsi="Arial" w:cs="Arial"/>
          <w:sz w:val="22"/>
          <w:szCs w:val="22"/>
        </w:rPr>
        <w:t xml:space="preserve">. Available at: </w:t>
      </w:r>
      <w:hyperlink r:id="rId8" w:anchor="google_vignette" w:history="1">
        <w:r w:rsidRPr="00233ECF">
          <w:rPr>
            <w:rStyle w:val="Hyperlink"/>
            <w:rFonts w:ascii="Arial" w:hAnsi="Arial" w:cs="Arial"/>
            <w:sz w:val="22"/>
            <w:szCs w:val="22"/>
          </w:rPr>
          <w:t>https://www.mrcpsych.uk/search?q=ICD11+Criteria+for+Anorexia+Nervosa+%286B80%29#google_vignette</w:t>
        </w:r>
      </w:hyperlink>
      <w:r w:rsidRPr="00233ECF">
        <w:rPr>
          <w:rFonts w:ascii="Arial" w:hAnsi="Arial" w:cs="Arial"/>
          <w:sz w:val="22"/>
          <w:szCs w:val="22"/>
        </w:rPr>
        <w:t xml:space="preserve"> (Accessed: 6 November 2025).</w:t>
      </w:r>
    </w:p>
    <w:p w14:paraId="767069C1"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American Psychiatric Association (2022) </w:t>
      </w:r>
      <w:r w:rsidRPr="00233ECF">
        <w:rPr>
          <w:rFonts w:ascii="Arial" w:hAnsi="Arial" w:cs="Arial"/>
          <w:i/>
          <w:iCs/>
          <w:sz w:val="22"/>
          <w:szCs w:val="22"/>
        </w:rPr>
        <w:t>Diagnostic and Statistical Manual of Mental Disorders: DSM-5-TR</w:t>
      </w:r>
      <w:r w:rsidRPr="00233ECF">
        <w:rPr>
          <w:rFonts w:ascii="Arial" w:hAnsi="Arial" w:cs="Arial"/>
          <w:sz w:val="22"/>
          <w:szCs w:val="22"/>
        </w:rPr>
        <w:t>. 5th edn. Washington, DC: American Psychiatric Publishing.</w:t>
      </w:r>
    </w:p>
    <w:p w14:paraId="5195F6A4" w14:textId="77777777" w:rsidR="00233ECF" w:rsidRPr="00233ECF" w:rsidRDefault="00233ECF" w:rsidP="002F7BEB">
      <w:pPr>
        <w:spacing w:line="360" w:lineRule="auto"/>
        <w:rPr>
          <w:rFonts w:ascii="Arial" w:hAnsi="Arial" w:cs="Arial"/>
          <w:sz w:val="22"/>
          <w:szCs w:val="22"/>
        </w:rPr>
      </w:pPr>
      <w:r w:rsidRPr="00233ECF">
        <w:rPr>
          <w:rFonts w:ascii="Arial" w:hAnsi="Arial" w:cs="Arial"/>
          <w:sz w:val="22"/>
          <w:szCs w:val="22"/>
        </w:rPr>
        <w:t xml:space="preserve">Care Act 2014, c.23. Available at: </w:t>
      </w:r>
      <w:hyperlink r:id="rId9" w:tgtFrame="_new" w:history="1">
        <w:r w:rsidRPr="00233ECF">
          <w:rPr>
            <w:rStyle w:val="Hyperlink"/>
            <w:rFonts w:ascii="Arial" w:hAnsi="Arial" w:cs="Arial"/>
            <w:sz w:val="22"/>
            <w:szCs w:val="22"/>
          </w:rPr>
          <w:t>https://www.legislation.gov.uk/ukpga/2014/23</w:t>
        </w:r>
      </w:hyperlink>
      <w:r w:rsidRPr="00233ECF">
        <w:rPr>
          <w:rFonts w:ascii="Arial" w:hAnsi="Arial" w:cs="Arial"/>
          <w:sz w:val="22"/>
          <w:szCs w:val="22"/>
        </w:rPr>
        <w:t xml:space="preserve"> (Accessed: 13 November 2025).</w:t>
      </w:r>
    </w:p>
    <w:p w14:paraId="0123D037" w14:textId="77777777" w:rsidR="00233ECF" w:rsidRPr="00233ECF" w:rsidRDefault="00233ECF" w:rsidP="002F7BEB">
      <w:pPr>
        <w:spacing w:line="360" w:lineRule="auto"/>
        <w:rPr>
          <w:rFonts w:ascii="Arial" w:hAnsi="Arial" w:cs="Arial"/>
          <w:sz w:val="22"/>
          <w:szCs w:val="22"/>
        </w:rPr>
      </w:pPr>
      <w:r w:rsidRPr="00233ECF">
        <w:rPr>
          <w:rFonts w:ascii="Arial" w:hAnsi="Arial" w:cs="Arial"/>
          <w:sz w:val="22"/>
          <w:szCs w:val="22"/>
        </w:rPr>
        <w:t xml:space="preserve">Equality Act 2010, c.15. Available at: </w:t>
      </w:r>
      <w:hyperlink r:id="rId10" w:tgtFrame="_new" w:history="1">
        <w:r w:rsidRPr="00233ECF">
          <w:rPr>
            <w:rStyle w:val="Hyperlink"/>
            <w:rFonts w:ascii="Arial" w:hAnsi="Arial" w:cs="Arial"/>
            <w:sz w:val="22"/>
            <w:szCs w:val="22"/>
          </w:rPr>
          <w:t>https://www.legislation.gov.uk/ukpga/2010/15/section/6</w:t>
        </w:r>
      </w:hyperlink>
      <w:r w:rsidRPr="00233ECF">
        <w:rPr>
          <w:rFonts w:ascii="Arial" w:hAnsi="Arial" w:cs="Arial"/>
          <w:sz w:val="22"/>
          <w:szCs w:val="22"/>
        </w:rPr>
        <w:t xml:space="preserve"> (Accessed: 11 November 2025).</w:t>
      </w:r>
    </w:p>
    <w:p w14:paraId="55F79144" w14:textId="77777777" w:rsidR="00233ECF" w:rsidRPr="00233ECF" w:rsidRDefault="00233ECF" w:rsidP="002F7BEB">
      <w:pPr>
        <w:spacing w:line="360" w:lineRule="auto"/>
        <w:rPr>
          <w:rFonts w:ascii="Arial" w:hAnsi="Arial" w:cs="Arial"/>
          <w:sz w:val="22"/>
          <w:szCs w:val="22"/>
        </w:rPr>
      </w:pPr>
      <w:r w:rsidRPr="00233ECF">
        <w:rPr>
          <w:rFonts w:ascii="Arial" w:hAnsi="Arial" w:cs="Arial"/>
          <w:sz w:val="22"/>
          <w:szCs w:val="22"/>
        </w:rPr>
        <w:t xml:space="preserve">Espi Forcen, F. </w:t>
      </w:r>
      <w:r w:rsidRPr="00233ECF">
        <w:rPr>
          <w:rFonts w:ascii="Arial" w:hAnsi="Arial" w:cs="Arial"/>
          <w:sz w:val="22"/>
          <w:szCs w:val="22"/>
        </w:rPr>
        <w:t>and</w:t>
      </w:r>
      <w:r w:rsidRPr="00233ECF">
        <w:rPr>
          <w:rFonts w:ascii="Arial" w:hAnsi="Arial" w:cs="Arial"/>
          <w:sz w:val="22"/>
          <w:szCs w:val="22"/>
        </w:rPr>
        <w:t xml:space="preserve"> Espi Forcen, C. (2015) </w:t>
      </w:r>
      <w:r w:rsidRPr="00233ECF">
        <w:rPr>
          <w:rFonts w:ascii="Arial" w:hAnsi="Arial" w:cs="Arial"/>
          <w:sz w:val="22"/>
          <w:szCs w:val="22"/>
        </w:rPr>
        <w:t>‘</w:t>
      </w:r>
      <w:r w:rsidRPr="00233ECF">
        <w:rPr>
          <w:rFonts w:ascii="Arial" w:hAnsi="Arial" w:cs="Arial"/>
          <w:sz w:val="22"/>
          <w:szCs w:val="22"/>
        </w:rPr>
        <w:t>The Practice of Holy Fasting in the Late Middle Ages: A Psychiatric Approach</w:t>
      </w:r>
      <w:r w:rsidRPr="00233ECF">
        <w:rPr>
          <w:rFonts w:ascii="Arial" w:hAnsi="Arial" w:cs="Arial"/>
          <w:sz w:val="22"/>
          <w:szCs w:val="22"/>
        </w:rPr>
        <w:t>’</w:t>
      </w:r>
      <w:r w:rsidRPr="00233ECF">
        <w:rPr>
          <w:rFonts w:ascii="Arial" w:hAnsi="Arial" w:cs="Arial"/>
          <w:sz w:val="22"/>
          <w:szCs w:val="22"/>
        </w:rPr>
        <w:t xml:space="preserve">, </w:t>
      </w:r>
      <w:r w:rsidRPr="00233ECF">
        <w:rPr>
          <w:rFonts w:ascii="Arial" w:hAnsi="Arial" w:cs="Arial"/>
          <w:i/>
          <w:iCs/>
          <w:sz w:val="22"/>
          <w:szCs w:val="22"/>
        </w:rPr>
        <w:t>The Journal of Nervous and Mental Disease</w:t>
      </w:r>
      <w:r w:rsidRPr="00233ECF">
        <w:rPr>
          <w:rFonts w:ascii="Arial" w:hAnsi="Arial" w:cs="Arial"/>
          <w:sz w:val="22"/>
          <w:szCs w:val="22"/>
        </w:rPr>
        <w:t>, 203(8), pp. 650</w:t>
      </w:r>
      <w:r w:rsidRPr="00233ECF">
        <w:rPr>
          <w:rFonts w:ascii="Arial" w:hAnsi="Arial" w:cs="Arial"/>
          <w:sz w:val="22"/>
          <w:szCs w:val="22"/>
        </w:rPr>
        <w:t>-</w:t>
      </w:r>
      <w:r w:rsidRPr="00233ECF">
        <w:rPr>
          <w:rFonts w:ascii="Arial" w:hAnsi="Arial" w:cs="Arial"/>
          <w:sz w:val="22"/>
          <w:szCs w:val="22"/>
        </w:rPr>
        <w:t>653.</w:t>
      </w:r>
      <w:r w:rsidRPr="00233ECF">
        <w:rPr>
          <w:rFonts w:ascii="Arial" w:hAnsi="Arial" w:cs="Arial"/>
          <w:sz w:val="22"/>
          <w:szCs w:val="22"/>
        </w:rPr>
        <w:t xml:space="preserve"> </w:t>
      </w:r>
      <w:r w:rsidRPr="00233ECF">
        <w:rPr>
          <w:rFonts w:ascii="Arial" w:hAnsi="Arial" w:cs="Arial"/>
          <w:sz w:val="22"/>
          <w:szCs w:val="22"/>
        </w:rPr>
        <w:t xml:space="preserve">Available at: </w:t>
      </w:r>
      <w:hyperlink r:id="rId11" w:history="1">
        <w:r w:rsidRPr="00233ECF">
          <w:rPr>
            <w:rStyle w:val="Hyperlink"/>
            <w:rFonts w:ascii="Arial" w:hAnsi="Arial" w:cs="Arial"/>
            <w:sz w:val="22"/>
            <w:szCs w:val="22"/>
          </w:rPr>
          <w:t>https://pubmed.ncbi.nlm.nih.gov/26133274/</w:t>
        </w:r>
      </w:hyperlink>
      <w:r w:rsidRPr="00233ECF">
        <w:rPr>
          <w:rFonts w:ascii="Arial" w:hAnsi="Arial" w:cs="Arial"/>
          <w:sz w:val="22"/>
          <w:szCs w:val="22"/>
        </w:rPr>
        <w:t xml:space="preserve"> </w:t>
      </w:r>
      <w:r w:rsidRPr="00233ECF">
        <w:rPr>
          <w:rFonts w:ascii="Arial" w:hAnsi="Arial" w:cs="Arial"/>
          <w:sz w:val="22"/>
          <w:szCs w:val="22"/>
        </w:rPr>
        <w:t>(Accessed: 13 November 2025).</w:t>
      </w:r>
    </w:p>
    <w:p w14:paraId="44A235F0" w14:textId="77777777" w:rsidR="002F7BEB" w:rsidRDefault="00233ECF" w:rsidP="002F7BEB">
      <w:pPr>
        <w:spacing w:line="360" w:lineRule="auto"/>
        <w:rPr>
          <w:rFonts w:ascii="Arial" w:hAnsi="Arial" w:cs="Arial"/>
          <w:sz w:val="22"/>
          <w:szCs w:val="22"/>
        </w:rPr>
      </w:pPr>
      <w:r w:rsidRPr="00233ECF">
        <w:rPr>
          <w:rFonts w:ascii="Arial" w:hAnsi="Arial" w:cs="Arial"/>
          <w:sz w:val="22"/>
          <w:szCs w:val="22"/>
        </w:rPr>
        <w:t xml:space="preserve">Gregory, A. (2022) </w:t>
      </w:r>
      <w:r w:rsidRPr="00233ECF">
        <w:rPr>
          <w:rFonts w:ascii="Arial" w:hAnsi="Arial" w:cs="Arial"/>
          <w:i/>
          <w:iCs/>
          <w:sz w:val="22"/>
          <w:szCs w:val="22"/>
        </w:rPr>
        <w:t>“Hospital admissions for eating disorders up 84% in five years, NHS data shows”</w:t>
      </w:r>
      <w:r w:rsidRPr="00233ECF">
        <w:rPr>
          <w:rFonts w:ascii="Arial" w:hAnsi="Arial" w:cs="Arial"/>
          <w:sz w:val="22"/>
          <w:szCs w:val="22"/>
        </w:rPr>
        <w:t xml:space="preserve">, The Guardian. </w:t>
      </w:r>
    </w:p>
    <w:p w14:paraId="158CBBE4" w14:textId="738B5E01" w:rsidR="00233ECF" w:rsidRPr="00233ECF" w:rsidRDefault="00233ECF" w:rsidP="002F7BEB">
      <w:pPr>
        <w:spacing w:line="360" w:lineRule="auto"/>
        <w:rPr>
          <w:rFonts w:ascii="Arial" w:hAnsi="Arial" w:cs="Arial"/>
          <w:sz w:val="22"/>
          <w:szCs w:val="22"/>
        </w:rPr>
      </w:pPr>
      <w:r w:rsidRPr="00233ECF">
        <w:rPr>
          <w:rFonts w:ascii="Arial" w:hAnsi="Arial" w:cs="Arial"/>
          <w:sz w:val="22"/>
          <w:szCs w:val="22"/>
        </w:rPr>
        <w:t>Available</w:t>
      </w:r>
      <w:r w:rsidR="002F7BEB">
        <w:rPr>
          <w:rFonts w:ascii="Arial" w:hAnsi="Arial" w:cs="Arial"/>
          <w:sz w:val="22"/>
          <w:szCs w:val="22"/>
        </w:rPr>
        <w:t xml:space="preserve"> </w:t>
      </w:r>
      <w:r w:rsidRPr="00233ECF">
        <w:rPr>
          <w:rFonts w:ascii="Arial" w:hAnsi="Arial" w:cs="Arial"/>
          <w:sz w:val="22"/>
          <w:szCs w:val="22"/>
        </w:rPr>
        <w:t>at:</w:t>
      </w:r>
      <w:hyperlink r:id="rId12" w:history="1">
        <w:r w:rsidRPr="00233ECF">
          <w:rPr>
            <w:rStyle w:val="Hyperlink"/>
            <w:rFonts w:ascii="Arial" w:hAnsi="Arial" w:cs="Arial"/>
            <w:sz w:val="22"/>
            <w:szCs w:val="22"/>
          </w:rPr>
          <w:t>https://www.theguardian.com/society/2022/may/19/hospital-admissions-for-eating-disorders-up-84-in-five-years-nhs-data-shows#:~:text=3%20years%20old-,Hospital%20admissions%20for%20eating%20disorders%20up%2084,five%20years%2C%20NHS%20data%20shows&amp;text=Hospital%20admssions%20for%20people%20with,lack%20of%20guidance%20and%20training</w:t>
        </w:r>
      </w:hyperlink>
      <w:r w:rsidRPr="00233ECF">
        <w:rPr>
          <w:rFonts w:ascii="Arial" w:hAnsi="Arial" w:cs="Arial"/>
          <w:sz w:val="22"/>
          <w:szCs w:val="22"/>
        </w:rPr>
        <w:t xml:space="preserve"> (Accessed:13 November 2025).</w:t>
      </w:r>
    </w:p>
    <w:p w14:paraId="5310E521" w14:textId="77777777" w:rsidR="00233ECF" w:rsidRPr="00233ECF" w:rsidRDefault="00233ECF" w:rsidP="002F7BEB">
      <w:pPr>
        <w:spacing w:line="360" w:lineRule="auto"/>
        <w:rPr>
          <w:rFonts w:ascii="Arial" w:hAnsi="Arial" w:cs="Arial"/>
          <w:sz w:val="22"/>
          <w:szCs w:val="22"/>
        </w:rPr>
      </w:pPr>
      <w:r w:rsidRPr="00233ECF">
        <w:rPr>
          <w:rFonts w:ascii="Arial" w:hAnsi="Arial" w:cs="Arial"/>
          <w:sz w:val="22"/>
          <w:szCs w:val="22"/>
        </w:rPr>
        <w:t>Herle, M., Carter Leno, V. and Mandy, W. (2025) ‘Recommendations for advancing understanding of eating disorders in neurodivergent people: A commentary on Inal</w:t>
      </w:r>
      <w:r w:rsidRPr="00233ECF">
        <w:rPr>
          <w:rFonts w:ascii="Arial" w:hAnsi="Arial" w:cs="Arial"/>
          <w:sz w:val="22"/>
          <w:szCs w:val="22"/>
        </w:rPr>
        <w:noBreakHyphen/>
      </w:r>
      <w:proofErr w:type="spellStart"/>
      <w:r w:rsidRPr="00233ECF">
        <w:rPr>
          <w:rFonts w:ascii="Arial" w:hAnsi="Arial" w:cs="Arial"/>
          <w:sz w:val="22"/>
          <w:szCs w:val="22"/>
        </w:rPr>
        <w:t>Kaleli</w:t>
      </w:r>
      <w:proofErr w:type="spellEnd"/>
      <w:r w:rsidRPr="00233ECF">
        <w:rPr>
          <w:rFonts w:ascii="Arial" w:hAnsi="Arial" w:cs="Arial"/>
          <w:sz w:val="22"/>
          <w:szCs w:val="22"/>
        </w:rPr>
        <w:t xml:space="preserve"> et al. 2024 and Nimbley et al. 2024’, </w:t>
      </w:r>
      <w:r w:rsidRPr="00233ECF">
        <w:rPr>
          <w:rFonts w:ascii="Arial" w:hAnsi="Arial" w:cs="Arial"/>
          <w:i/>
          <w:iCs/>
          <w:sz w:val="22"/>
          <w:szCs w:val="22"/>
        </w:rPr>
        <w:t>International Journal of Eating Disorders</w:t>
      </w:r>
      <w:r w:rsidRPr="00233ECF">
        <w:rPr>
          <w:rFonts w:ascii="Arial" w:hAnsi="Arial" w:cs="Arial"/>
          <w:sz w:val="22"/>
          <w:szCs w:val="22"/>
        </w:rPr>
        <w:t>, 58(4), pp. 677</w:t>
      </w:r>
      <w:r w:rsidRPr="00233ECF">
        <w:rPr>
          <w:rFonts w:ascii="Arial" w:hAnsi="Arial" w:cs="Arial"/>
          <w:sz w:val="22"/>
          <w:szCs w:val="22"/>
        </w:rPr>
        <w:noBreakHyphen/>
        <w:t xml:space="preserve"> 679</w:t>
      </w:r>
      <w:r w:rsidRPr="00233ECF">
        <w:rPr>
          <w:rFonts w:ascii="Arial" w:hAnsi="Arial" w:cs="Arial"/>
          <w:i/>
          <w:iCs/>
          <w:sz w:val="22"/>
          <w:szCs w:val="22"/>
        </w:rPr>
        <w:t xml:space="preserve">. </w:t>
      </w:r>
      <w:r w:rsidRPr="00233ECF">
        <w:rPr>
          <w:rFonts w:ascii="Arial" w:hAnsi="Arial" w:cs="Arial"/>
          <w:sz w:val="22"/>
          <w:szCs w:val="22"/>
        </w:rPr>
        <w:t>Available at</w:t>
      </w:r>
      <w:r w:rsidRPr="00233ECF">
        <w:rPr>
          <w:rFonts w:ascii="Arial" w:hAnsi="Arial" w:cs="Arial"/>
          <w:i/>
          <w:iCs/>
          <w:sz w:val="22"/>
          <w:szCs w:val="22"/>
        </w:rPr>
        <w:t>:  </w:t>
      </w:r>
      <w:hyperlink r:id="rId13" w:history="1">
        <w:r w:rsidRPr="00233ECF">
          <w:rPr>
            <w:rStyle w:val="Hyperlink"/>
            <w:rFonts w:ascii="Arial" w:hAnsi="Arial" w:cs="Arial"/>
            <w:sz w:val="22"/>
            <w:szCs w:val="22"/>
            <w:u w:val="none"/>
          </w:rPr>
          <w:t>https://doi.org/10.1002/eat.24380</w:t>
        </w:r>
      </w:hyperlink>
      <w:r>
        <w:t xml:space="preserve"> </w:t>
      </w:r>
      <w:r w:rsidRPr="00233ECF">
        <w:rPr>
          <w:rFonts w:ascii="Arial" w:hAnsi="Arial" w:cs="Arial"/>
          <w:sz w:val="22"/>
          <w:szCs w:val="22"/>
        </w:rPr>
        <w:t>(Accessed: 5 November 2025).</w:t>
      </w:r>
    </w:p>
    <w:p w14:paraId="4A3311E2"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Labora González, J.J. and Soto-Casás, P. (2022) </w:t>
      </w:r>
      <w:r w:rsidRPr="00233ECF">
        <w:rPr>
          <w:rFonts w:ascii="Arial" w:hAnsi="Arial" w:cs="Arial"/>
          <w:i/>
          <w:iCs/>
          <w:sz w:val="22"/>
          <w:szCs w:val="22"/>
        </w:rPr>
        <w:t>The Eating Disorder’s Society</w:t>
      </w:r>
      <w:r w:rsidRPr="00233ECF">
        <w:rPr>
          <w:rFonts w:ascii="Arial" w:hAnsi="Arial" w:cs="Arial"/>
          <w:sz w:val="22"/>
          <w:szCs w:val="22"/>
        </w:rPr>
        <w:t xml:space="preserve">. Available at: </w:t>
      </w:r>
      <w:hyperlink r:id="rId14" w:history="1">
        <w:r w:rsidRPr="00233ECF">
          <w:rPr>
            <w:rStyle w:val="Hyperlink"/>
            <w:rFonts w:ascii="Arial" w:hAnsi="Arial" w:cs="Arial"/>
            <w:sz w:val="22"/>
            <w:szCs w:val="22"/>
          </w:rPr>
          <w:t>https://www.intechopen.com/chapters/83488</w:t>
        </w:r>
      </w:hyperlink>
      <w:r w:rsidRPr="00233ECF">
        <w:rPr>
          <w:rFonts w:ascii="Arial" w:hAnsi="Arial" w:cs="Arial"/>
          <w:sz w:val="22"/>
          <w:szCs w:val="22"/>
        </w:rPr>
        <w:t xml:space="preserve">  (Accessed: 10 November 2025).</w:t>
      </w:r>
    </w:p>
    <w:p w14:paraId="2441DE59"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Lock, J. and Le Grange, D. (2025) </w:t>
      </w:r>
      <w:r w:rsidRPr="00233ECF">
        <w:rPr>
          <w:rFonts w:ascii="Arial" w:hAnsi="Arial" w:cs="Arial"/>
          <w:i/>
          <w:iCs/>
          <w:sz w:val="22"/>
          <w:szCs w:val="22"/>
        </w:rPr>
        <w:t>Treatment Manual for Anorexia Nervosa: a family-based approach</w:t>
      </w:r>
      <w:r w:rsidRPr="00233ECF">
        <w:rPr>
          <w:rFonts w:ascii="Arial" w:hAnsi="Arial" w:cs="Arial"/>
          <w:sz w:val="22"/>
          <w:szCs w:val="22"/>
        </w:rPr>
        <w:t>. 3rd edn. New York: The Guilford Press.</w:t>
      </w:r>
    </w:p>
    <w:p w14:paraId="41488240" w14:textId="77777777" w:rsidR="002F7BEB" w:rsidRDefault="00233ECF" w:rsidP="002F7BEB">
      <w:pPr>
        <w:spacing w:line="360" w:lineRule="auto"/>
        <w:rPr>
          <w:rFonts w:ascii="Arial" w:hAnsi="Arial" w:cs="Arial"/>
          <w:sz w:val="22"/>
          <w:szCs w:val="22"/>
        </w:rPr>
      </w:pPr>
      <w:r w:rsidRPr="00233ECF">
        <w:rPr>
          <w:rFonts w:ascii="Arial" w:hAnsi="Arial" w:cs="Arial"/>
          <w:sz w:val="22"/>
          <w:szCs w:val="22"/>
        </w:rPr>
        <w:t xml:space="preserve">Mental Health Act 1983, c. 20. Available at: </w:t>
      </w:r>
      <w:hyperlink r:id="rId15" w:tgtFrame="_new" w:history="1">
        <w:r w:rsidRPr="00233ECF">
          <w:rPr>
            <w:rStyle w:val="Hyperlink"/>
            <w:rFonts w:ascii="Arial" w:hAnsi="Arial" w:cs="Arial"/>
            <w:sz w:val="22"/>
            <w:szCs w:val="22"/>
          </w:rPr>
          <w:t>https://www.legislation.gov.uk/ukpga/1983/20</w:t>
        </w:r>
      </w:hyperlink>
      <w:r w:rsidRPr="00233ECF">
        <w:rPr>
          <w:rFonts w:ascii="Arial" w:hAnsi="Arial" w:cs="Arial"/>
          <w:sz w:val="22"/>
          <w:szCs w:val="22"/>
        </w:rPr>
        <w:t xml:space="preserve"> (Accessed: 13 November 2025).</w:t>
      </w:r>
    </w:p>
    <w:p w14:paraId="1031D4B9" w14:textId="6BA558B2" w:rsidR="00233ECF" w:rsidRPr="00233ECF" w:rsidRDefault="00233ECF" w:rsidP="002F7BEB">
      <w:pPr>
        <w:spacing w:line="360" w:lineRule="auto"/>
        <w:rPr>
          <w:rFonts w:ascii="Arial" w:hAnsi="Arial" w:cs="Arial"/>
          <w:sz w:val="22"/>
          <w:szCs w:val="22"/>
        </w:rPr>
      </w:pPr>
      <w:r w:rsidRPr="00233ECF">
        <w:rPr>
          <w:rFonts w:ascii="Arial" w:hAnsi="Arial" w:cs="Arial"/>
          <w:sz w:val="22"/>
          <w:szCs w:val="22"/>
        </w:rPr>
        <w:lastRenderedPageBreak/>
        <w:t xml:space="preserve">National Health Service (2024) </w:t>
      </w:r>
      <w:r w:rsidRPr="00233ECF">
        <w:rPr>
          <w:rFonts w:ascii="Arial" w:hAnsi="Arial" w:cs="Arial"/>
          <w:i/>
          <w:iCs/>
          <w:sz w:val="22"/>
          <w:szCs w:val="22"/>
        </w:rPr>
        <w:t>Overview: Anorexia nervosa</w:t>
      </w:r>
      <w:r w:rsidRPr="00233ECF">
        <w:rPr>
          <w:rFonts w:ascii="Arial" w:hAnsi="Arial" w:cs="Arial"/>
          <w:sz w:val="22"/>
          <w:szCs w:val="22"/>
        </w:rPr>
        <w:t xml:space="preserve">. Available at: </w:t>
      </w:r>
      <w:hyperlink r:id="rId16" w:history="1">
        <w:r w:rsidRPr="00233ECF">
          <w:rPr>
            <w:rStyle w:val="Hyperlink"/>
            <w:rFonts w:ascii="Arial" w:hAnsi="Arial" w:cs="Arial"/>
            <w:sz w:val="22"/>
            <w:szCs w:val="22"/>
          </w:rPr>
          <w:t>https://www.nhs.uk/mental-health/conditions/anorexia/overview/</w:t>
        </w:r>
      </w:hyperlink>
      <w:r w:rsidRPr="00233ECF">
        <w:rPr>
          <w:rFonts w:ascii="Arial" w:hAnsi="Arial" w:cs="Arial"/>
          <w:sz w:val="22"/>
          <w:szCs w:val="22"/>
        </w:rPr>
        <w:t xml:space="preserve"> (Accessed: 13 November 2025).</w:t>
      </w:r>
    </w:p>
    <w:p w14:paraId="62BA6A76"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National Institute for Health and Care Excellence  (2020) </w:t>
      </w:r>
      <w:r w:rsidRPr="00233ECF">
        <w:rPr>
          <w:rFonts w:ascii="Arial" w:hAnsi="Arial" w:cs="Arial"/>
          <w:i/>
          <w:iCs/>
          <w:sz w:val="22"/>
          <w:szCs w:val="22"/>
        </w:rPr>
        <w:t>Eating Disorders: Recognition and Treatment</w:t>
      </w:r>
      <w:r w:rsidRPr="00233ECF">
        <w:rPr>
          <w:rFonts w:ascii="Arial" w:hAnsi="Arial" w:cs="Arial"/>
          <w:sz w:val="22"/>
          <w:szCs w:val="22"/>
        </w:rPr>
        <w:t xml:space="preserve">. London: NICE. Available at: </w:t>
      </w:r>
      <w:hyperlink r:id="rId17" w:tgtFrame="_new" w:history="1">
        <w:r w:rsidRPr="00233ECF">
          <w:rPr>
            <w:rStyle w:val="Hyperlink"/>
            <w:rFonts w:ascii="Arial" w:hAnsi="Arial" w:cs="Arial"/>
            <w:sz w:val="22"/>
            <w:szCs w:val="22"/>
          </w:rPr>
          <w:t>https://www.nice.org.uk/guidance/ng69</w:t>
        </w:r>
      </w:hyperlink>
      <w:r w:rsidRPr="00233ECF">
        <w:rPr>
          <w:rFonts w:ascii="Arial" w:hAnsi="Arial" w:cs="Arial"/>
          <w:sz w:val="22"/>
          <w:szCs w:val="22"/>
        </w:rPr>
        <w:t xml:space="preserve"> (Accessed: 12 November 2025).</w:t>
      </w:r>
    </w:p>
    <w:p w14:paraId="0E27AB91" w14:textId="77777777" w:rsidR="002F7BEB" w:rsidRDefault="00233ECF" w:rsidP="002F7BEB">
      <w:pPr>
        <w:spacing w:line="360" w:lineRule="auto"/>
        <w:jc w:val="both"/>
        <w:rPr>
          <w:rFonts w:ascii="Arial" w:hAnsi="Arial" w:cs="Arial"/>
          <w:i/>
          <w:iCs/>
          <w:sz w:val="22"/>
          <w:szCs w:val="22"/>
        </w:rPr>
      </w:pPr>
      <w:r w:rsidRPr="00233ECF">
        <w:rPr>
          <w:rFonts w:ascii="Arial" w:hAnsi="Arial" w:cs="Arial"/>
          <w:sz w:val="22"/>
          <w:szCs w:val="22"/>
        </w:rPr>
        <w:t xml:space="preserve">National Institute for Health and Care Excellence (2020) </w:t>
      </w:r>
      <w:r w:rsidRPr="00233ECF">
        <w:rPr>
          <w:rFonts w:ascii="Arial" w:hAnsi="Arial" w:cs="Arial"/>
          <w:i/>
          <w:iCs/>
          <w:sz w:val="22"/>
          <w:szCs w:val="22"/>
        </w:rPr>
        <w:t>Eating disorders: recognition and treatment.</w:t>
      </w:r>
      <w:r>
        <w:rPr>
          <w:rFonts w:ascii="Arial" w:hAnsi="Arial" w:cs="Arial"/>
          <w:i/>
          <w:iCs/>
          <w:sz w:val="22"/>
          <w:szCs w:val="22"/>
        </w:rPr>
        <w:t xml:space="preserve"> </w:t>
      </w:r>
    </w:p>
    <w:p w14:paraId="249325FB" w14:textId="15B9A626" w:rsidR="00233ECF" w:rsidRPr="00233ECF" w:rsidRDefault="00233ECF" w:rsidP="002F7BEB">
      <w:pPr>
        <w:spacing w:line="360" w:lineRule="auto"/>
        <w:jc w:val="both"/>
        <w:rPr>
          <w:rFonts w:ascii="Arial" w:hAnsi="Arial" w:cs="Arial"/>
          <w:i/>
          <w:iCs/>
          <w:sz w:val="22"/>
          <w:szCs w:val="22"/>
        </w:rPr>
      </w:pPr>
      <w:r w:rsidRPr="00233ECF">
        <w:rPr>
          <w:rFonts w:ascii="Arial" w:hAnsi="Arial" w:cs="Arial"/>
          <w:sz w:val="22"/>
          <w:szCs w:val="22"/>
        </w:rPr>
        <w:t xml:space="preserve">Available at: </w:t>
      </w:r>
      <w:hyperlink r:id="rId18" w:anchor="treating-anorexia-nervosa" w:tgtFrame="_new" w:history="1">
        <w:r w:rsidRPr="00233ECF">
          <w:rPr>
            <w:rStyle w:val="Hyperlink"/>
            <w:rFonts w:ascii="Arial" w:hAnsi="Arial" w:cs="Arial"/>
            <w:sz w:val="22"/>
            <w:szCs w:val="22"/>
          </w:rPr>
          <w:t>https://www.nice.org.uk/guidance/ng69/chapter/Recommendations#treating-anorexia-nervosa</w:t>
        </w:r>
      </w:hyperlink>
      <w:r w:rsidRPr="00233ECF">
        <w:rPr>
          <w:rFonts w:ascii="Arial" w:hAnsi="Arial" w:cs="Arial"/>
          <w:sz w:val="22"/>
          <w:szCs w:val="22"/>
        </w:rPr>
        <w:t xml:space="preserve"> (Accessed: 11 November 2025).</w:t>
      </w:r>
    </w:p>
    <w:p w14:paraId="3C24E45A" w14:textId="77777777" w:rsidR="00233ECF" w:rsidRPr="00233ECF" w:rsidRDefault="00233ECF" w:rsidP="002F7BEB">
      <w:pPr>
        <w:spacing w:line="360" w:lineRule="auto"/>
        <w:rPr>
          <w:rFonts w:ascii="Arial" w:hAnsi="Arial" w:cs="Arial"/>
          <w:sz w:val="22"/>
          <w:szCs w:val="22"/>
        </w:rPr>
      </w:pPr>
      <w:r w:rsidRPr="00233ECF">
        <w:rPr>
          <w:rFonts w:ascii="Arial" w:hAnsi="Arial" w:cs="Arial"/>
          <w:sz w:val="22"/>
          <w:szCs w:val="22"/>
        </w:rPr>
        <w:t xml:space="preserve">NHS (2021) </w:t>
      </w:r>
      <w:r w:rsidRPr="00233ECF">
        <w:rPr>
          <w:rFonts w:ascii="Arial" w:hAnsi="Arial" w:cs="Arial"/>
          <w:i/>
          <w:iCs/>
          <w:sz w:val="22"/>
          <w:szCs w:val="22"/>
        </w:rPr>
        <w:t>Hospital admissions for eating disorders in England.</w:t>
      </w:r>
      <w:r w:rsidRPr="00233ECF">
        <w:rPr>
          <w:rFonts w:ascii="Arial" w:hAnsi="Arial" w:cs="Arial"/>
          <w:sz w:val="22"/>
          <w:szCs w:val="22"/>
        </w:rPr>
        <w:t xml:space="preserve"> Available at: </w:t>
      </w:r>
      <w:hyperlink r:id="rId19" w:tgtFrame="_new" w:history="1">
        <w:r w:rsidRPr="00233ECF">
          <w:rPr>
            <w:rStyle w:val="Hyperlink"/>
            <w:rFonts w:ascii="Arial" w:hAnsi="Arial" w:cs="Arial"/>
            <w:sz w:val="22"/>
            <w:szCs w:val="22"/>
          </w:rPr>
          <w:t>https://www.nhs.uk</w:t>
        </w:r>
      </w:hyperlink>
      <w:r w:rsidRPr="00233ECF">
        <w:rPr>
          <w:rFonts w:ascii="Arial" w:hAnsi="Arial" w:cs="Arial"/>
          <w:sz w:val="22"/>
          <w:szCs w:val="22"/>
        </w:rPr>
        <w:t xml:space="preserve"> (Accessed:13 November 2025).</w:t>
      </w:r>
    </w:p>
    <w:p w14:paraId="6E592630"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NHS Digital (2023) </w:t>
      </w:r>
      <w:r w:rsidRPr="00233ECF">
        <w:rPr>
          <w:rFonts w:ascii="Arial" w:hAnsi="Arial" w:cs="Arial"/>
          <w:i/>
          <w:iCs/>
          <w:sz w:val="22"/>
          <w:szCs w:val="22"/>
        </w:rPr>
        <w:t>Mental Health of Children and Young People in England.</w:t>
      </w:r>
      <w:r w:rsidRPr="00233ECF">
        <w:rPr>
          <w:rFonts w:ascii="Arial" w:hAnsi="Arial" w:cs="Arial"/>
          <w:sz w:val="22"/>
          <w:szCs w:val="22"/>
        </w:rPr>
        <w:t xml:space="preserve">  Available at: </w:t>
      </w:r>
      <w:hyperlink r:id="rId20" w:tgtFrame="_new" w:history="1">
        <w:r w:rsidRPr="00233ECF">
          <w:rPr>
            <w:rStyle w:val="Hyperlink"/>
            <w:rFonts w:ascii="Arial" w:hAnsi="Arial" w:cs="Arial"/>
            <w:sz w:val="22"/>
            <w:szCs w:val="22"/>
          </w:rPr>
          <w:t>https://digital.nhs.uk</w:t>
        </w:r>
      </w:hyperlink>
      <w:r w:rsidRPr="00233ECF">
        <w:rPr>
          <w:rFonts w:ascii="Arial" w:hAnsi="Arial" w:cs="Arial"/>
          <w:sz w:val="22"/>
          <w:szCs w:val="22"/>
        </w:rPr>
        <w:t xml:space="preserve"> (Accessed:13 November 2025).</w:t>
      </w:r>
    </w:p>
    <w:p w14:paraId="6D1AE2F1" w14:textId="77777777" w:rsidR="00233ECF" w:rsidRPr="00233ECF" w:rsidRDefault="00233ECF" w:rsidP="002F7BEB">
      <w:pPr>
        <w:spacing w:line="360" w:lineRule="auto"/>
        <w:jc w:val="both"/>
        <w:rPr>
          <w:rFonts w:ascii="Arial" w:hAnsi="Arial" w:cs="Arial"/>
          <w:i/>
          <w:iCs/>
          <w:sz w:val="22"/>
          <w:szCs w:val="22"/>
        </w:rPr>
      </w:pPr>
      <w:r w:rsidRPr="00233ECF">
        <w:rPr>
          <w:rFonts w:ascii="Arial" w:hAnsi="Arial" w:cs="Arial"/>
          <w:sz w:val="22"/>
          <w:szCs w:val="22"/>
        </w:rPr>
        <w:t>NHS Digital (2024)</w:t>
      </w:r>
      <w:r w:rsidRPr="00233ECF">
        <w:rPr>
          <w:rFonts w:ascii="Arial" w:hAnsi="Arial" w:cs="Arial"/>
          <w:i/>
          <w:iCs/>
          <w:sz w:val="22"/>
          <w:szCs w:val="22"/>
        </w:rPr>
        <w:t xml:space="preserve"> Mental Health of Children, Young People and Adults in England. Available at: </w:t>
      </w:r>
      <w:hyperlink r:id="rId21" w:tgtFrame="_new" w:history="1">
        <w:r w:rsidRPr="00233ECF">
          <w:rPr>
            <w:rStyle w:val="Hyperlink"/>
            <w:rFonts w:ascii="Arial" w:hAnsi="Arial" w:cs="Arial"/>
            <w:i/>
            <w:iCs/>
            <w:sz w:val="22"/>
            <w:szCs w:val="22"/>
          </w:rPr>
          <w:t>https://digital.nhs.uk</w:t>
        </w:r>
      </w:hyperlink>
      <w:r w:rsidRPr="00233ECF">
        <w:rPr>
          <w:rFonts w:ascii="Arial" w:hAnsi="Arial" w:cs="Arial"/>
          <w:i/>
          <w:iCs/>
          <w:sz w:val="22"/>
          <w:szCs w:val="22"/>
        </w:rPr>
        <w:t xml:space="preserve"> (Accessed: 12 November 2025).</w:t>
      </w:r>
    </w:p>
    <w:p w14:paraId="3B8119C8"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NHS England (2019) </w:t>
      </w:r>
      <w:r w:rsidRPr="00233ECF">
        <w:rPr>
          <w:rFonts w:ascii="Arial" w:hAnsi="Arial" w:cs="Arial"/>
          <w:i/>
          <w:iCs/>
          <w:sz w:val="22"/>
          <w:szCs w:val="22"/>
        </w:rPr>
        <w:t>Risk of Disclosure: Children and Young People with an Eating Disorder Waiting Times</w:t>
      </w:r>
      <w:r w:rsidRPr="00233ECF">
        <w:rPr>
          <w:rFonts w:ascii="Arial" w:hAnsi="Arial" w:cs="Arial"/>
          <w:sz w:val="22"/>
          <w:szCs w:val="22"/>
        </w:rPr>
        <w:t xml:space="preserve">. London: NHS England. Available at: </w:t>
      </w:r>
      <w:hyperlink r:id="rId22" w:history="1">
        <w:r w:rsidRPr="00233ECF">
          <w:rPr>
            <w:rStyle w:val="Hyperlink"/>
            <w:rFonts w:ascii="Arial" w:hAnsi="Arial" w:cs="Arial"/>
            <w:sz w:val="22"/>
            <w:szCs w:val="22"/>
          </w:rPr>
          <w:t>https://www.england.nhs.uk/statistics/wp-content/uploads/sites/2/2019/08/Risk-of-Disclosure-Children-and-Young-People-with-an-Eating-Disorder-Waiting-Times-V5.pdf</w:t>
        </w:r>
      </w:hyperlink>
      <w:r w:rsidRPr="00233ECF">
        <w:rPr>
          <w:rFonts w:ascii="Arial" w:hAnsi="Arial" w:cs="Arial"/>
          <w:sz w:val="22"/>
          <w:szCs w:val="22"/>
        </w:rPr>
        <w:t>(Accessed: 12 November 2025).</w:t>
      </w:r>
    </w:p>
    <w:p w14:paraId="62C6EC97"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NHS England (2019)</w:t>
      </w:r>
      <w:r w:rsidRPr="00233ECF">
        <w:rPr>
          <w:rFonts w:ascii="Arial" w:hAnsi="Arial" w:cs="Arial"/>
          <w:i/>
          <w:iCs/>
          <w:sz w:val="22"/>
          <w:szCs w:val="22"/>
        </w:rPr>
        <w:t xml:space="preserve"> The NHS Long Term Plan. Available at: </w:t>
      </w:r>
      <w:hyperlink r:id="rId23" w:tgtFrame="_new" w:history="1">
        <w:r w:rsidRPr="00233ECF">
          <w:rPr>
            <w:rStyle w:val="Hyperlink"/>
            <w:rFonts w:ascii="Arial" w:hAnsi="Arial" w:cs="Arial"/>
            <w:i/>
            <w:iCs/>
            <w:sz w:val="22"/>
            <w:szCs w:val="22"/>
          </w:rPr>
          <w:t>https://www.longtermplan.nhs.uk</w:t>
        </w:r>
      </w:hyperlink>
      <w:r w:rsidRPr="00233ECF">
        <w:rPr>
          <w:rFonts w:ascii="Arial" w:hAnsi="Arial" w:cs="Arial"/>
          <w:sz w:val="22"/>
          <w:szCs w:val="22"/>
        </w:rPr>
        <w:t xml:space="preserve"> (Accessed: 12 November 2025).</w:t>
      </w:r>
    </w:p>
    <w:p w14:paraId="046F3C05" w14:textId="22ED9027" w:rsidR="00233ECF" w:rsidRPr="00233ECF" w:rsidRDefault="00233ECF" w:rsidP="002F7BEB">
      <w:pPr>
        <w:spacing w:line="360" w:lineRule="auto"/>
        <w:jc w:val="both"/>
        <w:rPr>
          <w:rFonts w:ascii="Arial" w:hAnsi="Arial" w:cs="Arial"/>
          <w:i/>
          <w:iCs/>
          <w:sz w:val="22"/>
          <w:szCs w:val="22"/>
        </w:rPr>
      </w:pPr>
      <w:r w:rsidRPr="00233ECF">
        <w:rPr>
          <w:rFonts w:ascii="Arial" w:hAnsi="Arial" w:cs="Arial"/>
          <w:sz w:val="22"/>
          <w:szCs w:val="22"/>
        </w:rPr>
        <w:t xml:space="preserve">Nicula, M., Austin, A., Couturier, J. and Dimitropoulos, G. (2025) ‘Recent advances and future directions in eating disorder treatments for emerging adults’, </w:t>
      </w:r>
      <w:r w:rsidRPr="00233ECF">
        <w:rPr>
          <w:rFonts w:ascii="Arial" w:hAnsi="Arial" w:cs="Arial"/>
          <w:i/>
          <w:iCs/>
          <w:sz w:val="22"/>
          <w:szCs w:val="22"/>
        </w:rPr>
        <w:t>Current Psychiatry Reports</w:t>
      </w:r>
      <w:r w:rsidRPr="00233ECF">
        <w:rPr>
          <w:rFonts w:ascii="Arial" w:hAnsi="Arial" w:cs="Arial"/>
          <w:sz w:val="22"/>
          <w:szCs w:val="22"/>
        </w:rPr>
        <w:t>, 27, pp. 553</w:t>
      </w:r>
      <w:r w:rsidRPr="00233ECF">
        <w:rPr>
          <w:rFonts w:ascii="Arial" w:hAnsi="Arial" w:cs="Arial"/>
          <w:sz w:val="22"/>
          <w:szCs w:val="22"/>
        </w:rPr>
        <w:noBreakHyphen/>
        <w:t xml:space="preserve">562.Available at: </w:t>
      </w:r>
      <w:hyperlink r:id="rId24" w:history="1">
        <w:r w:rsidRPr="00233ECF">
          <w:rPr>
            <w:rStyle w:val="Hyperlink"/>
            <w:rFonts w:ascii="Arial" w:hAnsi="Arial" w:cs="Arial"/>
            <w:sz w:val="22"/>
            <w:szCs w:val="22"/>
          </w:rPr>
          <w:t>https://doi.org/10.1007/s11920-025-01628-2</w:t>
        </w:r>
      </w:hyperlink>
      <w:r>
        <w:t xml:space="preserve"> </w:t>
      </w:r>
      <w:r w:rsidRPr="00233ECF">
        <w:rPr>
          <w:rFonts w:ascii="Arial" w:hAnsi="Arial" w:cs="Arial"/>
          <w:sz w:val="22"/>
          <w:szCs w:val="22"/>
        </w:rPr>
        <w:t>(Accessed: 11 November 2025).</w:t>
      </w:r>
    </w:p>
    <w:p w14:paraId="3A5E3328"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Nimbley, E., Sharpe, H., Maloney, E., Gillespie-Smith, K., Tchanturia, K. &amp; Duffy, F., (2024) </w:t>
      </w:r>
      <w:r w:rsidRPr="00233ECF">
        <w:rPr>
          <w:rFonts w:ascii="Arial" w:hAnsi="Arial" w:cs="Arial"/>
          <w:i/>
          <w:iCs/>
          <w:sz w:val="22"/>
          <w:szCs w:val="22"/>
        </w:rPr>
        <w:t xml:space="preserve">Eating disorders: A mixed method systematic review into the impact of ED treatment in autistic people and those with high autistic traits. International Journal of Eating Disorders. </w:t>
      </w:r>
      <w:r w:rsidRPr="00233ECF">
        <w:rPr>
          <w:rFonts w:ascii="Arial" w:hAnsi="Arial" w:cs="Arial"/>
          <w:sz w:val="22"/>
          <w:szCs w:val="22"/>
        </w:rPr>
        <w:t>Available at:</w:t>
      </w:r>
      <w:r w:rsidRPr="00233ECF">
        <w:rPr>
          <w:rFonts w:ascii="Arial" w:hAnsi="Arial" w:cs="Arial"/>
          <w:i/>
          <w:iCs/>
          <w:sz w:val="22"/>
          <w:szCs w:val="22"/>
        </w:rPr>
        <w:t xml:space="preserve"> </w:t>
      </w:r>
      <w:hyperlink r:id="rId25" w:tgtFrame="_new" w:history="1">
        <w:r w:rsidRPr="00233ECF">
          <w:rPr>
            <w:rStyle w:val="Hyperlink"/>
            <w:rFonts w:ascii="Arial" w:hAnsi="Arial" w:cs="Arial"/>
            <w:sz w:val="22"/>
            <w:szCs w:val="22"/>
            <w:u w:val="none"/>
          </w:rPr>
          <w:t>https://doi.org/10.1002/eat.24311</w:t>
        </w:r>
      </w:hyperlink>
      <w:r w:rsidRPr="00233ECF">
        <w:rPr>
          <w:rFonts w:ascii="Arial" w:hAnsi="Arial" w:cs="Arial"/>
          <w:i/>
          <w:iCs/>
          <w:sz w:val="22"/>
          <w:szCs w:val="22"/>
        </w:rPr>
        <w:t xml:space="preserve"> </w:t>
      </w:r>
      <w:r w:rsidRPr="00233ECF">
        <w:rPr>
          <w:rFonts w:ascii="Arial" w:hAnsi="Arial" w:cs="Arial"/>
          <w:sz w:val="22"/>
          <w:szCs w:val="22"/>
        </w:rPr>
        <w:t>(Accessed 11 November 2025).</w:t>
      </w:r>
    </w:p>
    <w:p w14:paraId="4ADD46DE"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Office for National Statistics (2023) </w:t>
      </w:r>
      <w:r w:rsidRPr="00233ECF">
        <w:rPr>
          <w:rFonts w:ascii="Arial" w:hAnsi="Arial" w:cs="Arial"/>
          <w:i/>
          <w:iCs/>
          <w:sz w:val="22"/>
          <w:szCs w:val="22"/>
        </w:rPr>
        <w:t>Eating Disorders in the UK: Prevalence and Trends, 2013 to 2023.</w:t>
      </w:r>
      <w:r w:rsidRPr="00233ECF">
        <w:rPr>
          <w:rFonts w:ascii="Arial" w:hAnsi="Arial" w:cs="Arial"/>
          <w:sz w:val="22"/>
          <w:szCs w:val="22"/>
        </w:rPr>
        <w:t xml:space="preserve"> Available at: </w:t>
      </w:r>
      <w:hyperlink r:id="rId26" w:tgtFrame="_new" w:history="1">
        <w:r w:rsidRPr="00233ECF">
          <w:rPr>
            <w:rStyle w:val="Hyperlink"/>
            <w:rFonts w:ascii="Arial" w:hAnsi="Arial" w:cs="Arial"/>
            <w:sz w:val="22"/>
            <w:szCs w:val="22"/>
          </w:rPr>
          <w:t>https://www.ons.gov.uk</w:t>
        </w:r>
      </w:hyperlink>
      <w:r w:rsidRPr="00233ECF">
        <w:rPr>
          <w:rFonts w:ascii="Arial" w:hAnsi="Arial" w:cs="Arial"/>
          <w:sz w:val="22"/>
          <w:szCs w:val="22"/>
        </w:rPr>
        <w:t xml:space="preserve"> (Accessed: 12 November 2025).</w:t>
      </w:r>
    </w:p>
    <w:p w14:paraId="25F49B7A" w14:textId="77777777" w:rsidR="00233ECF" w:rsidRPr="00233ECF" w:rsidRDefault="00233ECF" w:rsidP="002F7BEB">
      <w:pPr>
        <w:spacing w:line="360" w:lineRule="auto"/>
        <w:rPr>
          <w:rFonts w:ascii="Arial" w:hAnsi="Arial" w:cs="Arial"/>
          <w:sz w:val="22"/>
          <w:szCs w:val="22"/>
        </w:rPr>
      </w:pPr>
      <w:r w:rsidRPr="00233ECF">
        <w:rPr>
          <w:rFonts w:ascii="Arial" w:hAnsi="Arial" w:cs="Arial"/>
          <w:sz w:val="22"/>
          <w:szCs w:val="22"/>
        </w:rPr>
        <w:lastRenderedPageBreak/>
        <w:t>Silverman, J.A. (1997) ‘Sir William Gull (1819</w:t>
      </w:r>
      <w:r w:rsidRPr="00233ECF">
        <w:rPr>
          <w:rFonts w:ascii="Arial" w:hAnsi="Arial" w:cs="Arial"/>
          <w:sz w:val="22"/>
          <w:szCs w:val="22"/>
        </w:rPr>
        <w:noBreakHyphen/>
        <w:t xml:space="preserve">1890). Limner of anorexia nervosa and myxoedema. An historical essay and encomium’, </w:t>
      </w:r>
      <w:r w:rsidRPr="00233ECF">
        <w:rPr>
          <w:rFonts w:ascii="Arial" w:hAnsi="Arial" w:cs="Arial"/>
          <w:i/>
          <w:iCs/>
          <w:sz w:val="22"/>
          <w:szCs w:val="22"/>
        </w:rPr>
        <w:t>Eating and Weight Disorders</w:t>
      </w:r>
      <w:r w:rsidRPr="00233ECF">
        <w:rPr>
          <w:rFonts w:ascii="Arial" w:hAnsi="Arial" w:cs="Arial"/>
          <w:sz w:val="22"/>
          <w:szCs w:val="22"/>
        </w:rPr>
        <w:t>, 2(3), pp. 111</w:t>
      </w:r>
      <w:r w:rsidRPr="00233ECF">
        <w:rPr>
          <w:rFonts w:ascii="Arial" w:hAnsi="Arial" w:cs="Arial"/>
          <w:sz w:val="22"/>
          <w:szCs w:val="22"/>
        </w:rPr>
        <w:noBreakHyphen/>
        <w:t xml:space="preserve">116. </w:t>
      </w:r>
      <w:r w:rsidRPr="00233ECF">
        <w:rPr>
          <w:rFonts w:ascii="Arial" w:hAnsi="Arial" w:cs="Arial"/>
          <w:sz w:val="22"/>
          <w:szCs w:val="22"/>
        </w:rPr>
        <w:t xml:space="preserve">Available at: </w:t>
      </w:r>
      <w:hyperlink r:id="rId27" w:history="1">
        <w:r w:rsidRPr="00233ECF">
          <w:rPr>
            <w:rStyle w:val="Hyperlink"/>
            <w:rFonts w:ascii="Arial" w:hAnsi="Arial" w:cs="Arial"/>
            <w:sz w:val="22"/>
            <w:szCs w:val="22"/>
          </w:rPr>
          <w:t>https://link.springer.com/article/10.1007/BF03339960</w:t>
        </w:r>
      </w:hyperlink>
      <w:r w:rsidRPr="00233ECF">
        <w:rPr>
          <w:rFonts w:ascii="Arial" w:hAnsi="Arial" w:cs="Arial"/>
          <w:sz w:val="22"/>
          <w:szCs w:val="22"/>
        </w:rPr>
        <w:t xml:space="preserve"> </w:t>
      </w:r>
      <w:r w:rsidRPr="00233ECF">
        <w:rPr>
          <w:rFonts w:ascii="Arial" w:hAnsi="Arial" w:cs="Arial"/>
          <w:sz w:val="22"/>
          <w:szCs w:val="22"/>
        </w:rPr>
        <w:t>(Accessed: 13 November 2025).</w:t>
      </w:r>
    </w:p>
    <w:p w14:paraId="33FD4F38"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Van Eeden, A. E., Van Hoeken, D., &amp; Hoek, H. W. (2021). </w:t>
      </w:r>
      <w:r w:rsidRPr="00233ECF">
        <w:rPr>
          <w:rFonts w:ascii="Arial" w:hAnsi="Arial" w:cs="Arial"/>
          <w:i/>
          <w:iCs/>
          <w:sz w:val="22"/>
          <w:szCs w:val="22"/>
        </w:rPr>
        <w:t>Incidence, prevalence and mortality of anorexia nervosa and bulimia nervosa.</w:t>
      </w:r>
      <w:r w:rsidRPr="00233ECF">
        <w:rPr>
          <w:rFonts w:ascii="Arial" w:hAnsi="Arial" w:cs="Arial"/>
          <w:sz w:val="22"/>
          <w:szCs w:val="22"/>
        </w:rPr>
        <w:t xml:space="preserve"> </w:t>
      </w:r>
      <w:r w:rsidRPr="00233ECF">
        <w:rPr>
          <w:rFonts w:ascii="Arial" w:hAnsi="Arial" w:cs="Arial"/>
          <w:i/>
          <w:iCs/>
          <w:sz w:val="22"/>
          <w:szCs w:val="22"/>
        </w:rPr>
        <w:t xml:space="preserve">Current Opinion in Psychiatry, </w:t>
      </w:r>
      <w:r w:rsidRPr="00233ECF">
        <w:rPr>
          <w:rFonts w:ascii="Arial" w:hAnsi="Arial" w:cs="Arial"/>
          <w:sz w:val="22"/>
          <w:szCs w:val="22"/>
        </w:rPr>
        <w:t>34(6),515-523.Availableat:</w:t>
      </w:r>
      <w:hyperlink r:id="rId28" w:history="1">
        <w:r w:rsidRPr="00233ECF">
          <w:rPr>
            <w:rStyle w:val="Hyperlink"/>
            <w:rFonts w:ascii="Arial" w:hAnsi="Arial" w:cs="Arial"/>
            <w:sz w:val="22"/>
            <w:szCs w:val="22"/>
          </w:rPr>
          <w:t>https://journals.lww.com/copsychiatry/fulltext/2021/11000/Incidence,_prevalence_and_mortality_of_anorexia.2.aspx</w:t>
        </w:r>
      </w:hyperlink>
      <w:r w:rsidRPr="00233ECF">
        <w:rPr>
          <w:rFonts w:ascii="Arial" w:hAnsi="Arial" w:cs="Arial"/>
          <w:sz w:val="22"/>
          <w:szCs w:val="22"/>
        </w:rPr>
        <w:t xml:space="preserve"> (Accessed: 8 November 2025).</w:t>
      </w:r>
    </w:p>
    <w:p w14:paraId="17D4DE27"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Walsh, B.T., Hagan, K.E. and Lockwood, C. (2023) </w:t>
      </w:r>
      <w:r w:rsidRPr="00233ECF">
        <w:rPr>
          <w:rFonts w:ascii="Arial" w:hAnsi="Arial" w:cs="Arial"/>
          <w:i/>
          <w:iCs/>
          <w:sz w:val="22"/>
          <w:szCs w:val="22"/>
        </w:rPr>
        <w:t>A systematic review comparing atypical anorexia nervosa and anorexia nervosa</w:t>
      </w:r>
      <w:r w:rsidRPr="00233ECF">
        <w:rPr>
          <w:rFonts w:ascii="Arial" w:hAnsi="Arial" w:cs="Arial"/>
          <w:sz w:val="22"/>
          <w:szCs w:val="22"/>
        </w:rPr>
        <w:t xml:space="preserve">. </w:t>
      </w:r>
      <w:r w:rsidRPr="00233ECF">
        <w:rPr>
          <w:rFonts w:ascii="Arial" w:hAnsi="Arial" w:cs="Arial"/>
          <w:i/>
          <w:iCs/>
          <w:sz w:val="22"/>
          <w:szCs w:val="22"/>
        </w:rPr>
        <w:t>International Journal of Eating Disorders</w:t>
      </w:r>
      <w:r w:rsidRPr="00233ECF">
        <w:rPr>
          <w:rFonts w:ascii="Arial" w:hAnsi="Arial" w:cs="Arial"/>
          <w:sz w:val="22"/>
          <w:szCs w:val="22"/>
        </w:rPr>
        <w:t xml:space="preserve">, 56(2), pp.125-139.Available at: </w:t>
      </w:r>
      <w:hyperlink r:id="rId29" w:history="1">
        <w:r w:rsidRPr="00233ECF">
          <w:rPr>
            <w:rStyle w:val="Hyperlink"/>
            <w:rFonts w:ascii="Arial" w:hAnsi="Arial" w:cs="Arial"/>
            <w:sz w:val="22"/>
            <w:szCs w:val="22"/>
          </w:rPr>
          <w:t>A systematic review comparing atypical anorexia nervosa and anorexia nervosa - Walsh - 2023 - International Journal of Eating Disorders - Wiley Online Library</w:t>
        </w:r>
      </w:hyperlink>
      <w:r w:rsidRPr="00233ECF">
        <w:rPr>
          <w:rFonts w:ascii="Arial" w:hAnsi="Arial" w:cs="Arial"/>
          <w:sz w:val="22"/>
          <w:szCs w:val="22"/>
        </w:rPr>
        <w:t xml:space="preserve"> (Accessed: November 2025).</w:t>
      </w:r>
    </w:p>
    <w:p w14:paraId="5C5B4A98" w14:textId="77777777" w:rsidR="00233ECF" w:rsidRPr="00233ECF" w:rsidRDefault="00233ECF" w:rsidP="002F7BEB">
      <w:pPr>
        <w:spacing w:line="360" w:lineRule="auto"/>
        <w:jc w:val="both"/>
        <w:rPr>
          <w:rFonts w:ascii="Arial" w:hAnsi="Arial" w:cs="Arial"/>
          <w:sz w:val="22"/>
          <w:szCs w:val="22"/>
        </w:rPr>
      </w:pPr>
      <w:r w:rsidRPr="00233ECF">
        <w:rPr>
          <w:rFonts w:ascii="Arial" w:hAnsi="Arial" w:cs="Arial"/>
          <w:sz w:val="22"/>
          <w:szCs w:val="22"/>
        </w:rPr>
        <w:t xml:space="preserve">World Health Organisation (2022) </w:t>
      </w:r>
      <w:r w:rsidRPr="00233ECF">
        <w:rPr>
          <w:rFonts w:ascii="Arial" w:hAnsi="Arial" w:cs="Arial"/>
          <w:i/>
          <w:iCs/>
          <w:sz w:val="22"/>
          <w:szCs w:val="22"/>
        </w:rPr>
        <w:t>ICD-11: Mental, behavioural and neurodevelopmental disorders</w:t>
      </w:r>
      <w:r w:rsidRPr="00233ECF">
        <w:rPr>
          <w:rFonts w:ascii="Arial" w:hAnsi="Arial" w:cs="Arial"/>
          <w:sz w:val="22"/>
          <w:szCs w:val="22"/>
        </w:rPr>
        <w:t xml:space="preserve">. Geneva: World Health Organisation. Available at: </w:t>
      </w:r>
      <w:hyperlink r:id="rId30" w:history="1">
        <w:r w:rsidRPr="00233ECF">
          <w:rPr>
            <w:rStyle w:val="Hyperlink"/>
            <w:rFonts w:ascii="Arial" w:hAnsi="Arial" w:cs="Arial"/>
            <w:sz w:val="22"/>
            <w:szCs w:val="22"/>
          </w:rPr>
          <w:t>https://icd.who.int</w:t>
        </w:r>
      </w:hyperlink>
      <w:r w:rsidRPr="00233ECF">
        <w:rPr>
          <w:rFonts w:ascii="Arial" w:hAnsi="Arial" w:cs="Arial"/>
          <w:sz w:val="22"/>
          <w:szCs w:val="22"/>
        </w:rPr>
        <w:t xml:space="preserve"> (Accessed: 8 November 2025).</w:t>
      </w:r>
    </w:p>
    <w:p w14:paraId="35498D8C" w14:textId="77777777" w:rsidR="00233ECF" w:rsidRPr="00233ECF" w:rsidRDefault="00233ECF" w:rsidP="002F7BEB">
      <w:pPr>
        <w:spacing w:line="360" w:lineRule="auto"/>
        <w:rPr>
          <w:rFonts w:ascii="Arial" w:hAnsi="Arial" w:cs="Arial"/>
          <w:sz w:val="22"/>
          <w:szCs w:val="22"/>
        </w:rPr>
      </w:pPr>
      <w:r w:rsidRPr="00233ECF">
        <w:rPr>
          <w:rFonts w:ascii="Arial" w:hAnsi="Arial" w:cs="Arial"/>
          <w:sz w:val="22"/>
          <w:szCs w:val="22"/>
        </w:rPr>
        <w:t xml:space="preserve">World Health Organisation (2025) </w:t>
      </w:r>
      <w:r w:rsidRPr="00233ECF">
        <w:rPr>
          <w:rFonts w:ascii="Arial" w:hAnsi="Arial" w:cs="Arial"/>
          <w:i/>
          <w:iCs/>
          <w:sz w:val="22"/>
          <w:szCs w:val="22"/>
        </w:rPr>
        <w:t>ICD-11 for Mortality and Morbidity Statistics (MMS)</w:t>
      </w:r>
      <w:r w:rsidRPr="00233ECF">
        <w:rPr>
          <w:rFonts w:ascii="Arial" w:hAnsi="Arial" w:cs="Arial"/>
          <w:sz w:val="22"/>
          <w:szCs w:val="22"/>
        </w:rPr>
        <w:t xml:space="preserve">.Available at: </w:t>
      </w:r>
      <w:hyperlink r:id="rId31" w:anchor="1412387537" w:tgtFrame="_new" w:history="1">
        <w:r w:rsidRPr="00233ECF">
          <w:rPr>
            <w:rStyle w:val="Hyperlink"/>
            <w:rFonts w:ascii="Arial" w:hAnsi="Arial" w:cs="Arial"/>
            <w:sz w:val="22"/>
            <w:szCs w:val="22"/>
          </w:rPr>
          <w:t>https://icd.who.int/browse/2025-01/mms/en#1412387537</w:t>
        </w:r>
      </w:hyperlink>
      <w:r w:rsidRPr="00233ECF">
        <w:rPr>
          <w:rFonts w:ascii="Arial" w:hAnsi="Arial" w:cs="Arial"/>
          <w:sz w:val="22"/>
          <w:szCs w:val="22"/>
        </w:rPr>
        <w:t xml:space="preserve"> (Accessed: 5 November 2025).</w:t>
      </w:r>
    </w:p>
    <w:p w14:paraId="7DED1781" w14:textId="77777777" w:rsidR="00F6440A" w:rsidRDefault="00F6440A" w:rsidP="00EF40C0">
      <w:pPr>
        <w:spacing w:line="360" w:lineRule="auto"/>
        <w:jc w:val="both"/>
        <w:rPr>
          <w:rFonts w:ascii="Arial" w:hAnsi="Arial" w:cs="Arial"/>
          <w:sz w:val="22"/>
          <w:szCs w:val="22"/>
        </w:rPr>
      </w:pPr>
    </w:p>
    <w:p w14:paraId="523868D2" w14:textId="77777777" w:rsidR="00F6440A" w:rsidRDefault="00F6440A" w:rsidP="00EF40C0">
      <w:pPr>
        <w:spacing w:line="360" w:lineRule="auto"/>
        <w:jc w:val="both"/>
        <w:rPr>
          <w:rFonts w:ascii="Arial" w:hAnsi="Arial" w:cs="Arial"/>
          <w:sz w:val="22"/>
          <w:szCs w:val="22"/>
        </w:rPr>
      </w:pPr>
    </w:p>
    <w:p w14:paraId="5C5D33A5" w14:textId="77777777" w:rsidR="00F6440A" w:rsidRDefault="00F6440A" w:rsidP="00EF40C0">
      <w:pPr>
        <w:spacing w:line="360" w:lineRule="auto"/>
        <w:jc w:val="both"/>
        <w:rPr>
          <w:rFonts w:ascii="Arial" w:hAnsi="Arial" w:cs="Arial"/>
          <w:sz w:val="22"/>
          <w:szCs w:val="22"/>
        </w:rPr>
      </w:pPr>
    </w:p>
    <w:p w14:paraId="70B2EB92" w14:textId="77777777" w:rsidR="00F6440A" w:rsidRDefault="00F6440A" w:rsidP="00EF40C0">
      <w:pPr>
        <w:spacing w:line="360" w:lineRule="auto"/>
        <w:jc w:val="both"/>
        <w:rPr>
          <w:rFonts w:ascii="Arial" w:hAnsi="Arial" w:cs="Arial"/>
          <w:sz w:val="22"/>
          <w:szCs w:val="22"/>
        </w:rPr>
      </w:pPr>
    </w:p>
    <w:p w14:paraId="0A35FDE6" w14:textId="77777777" w:rsidR="00F6440A" w:rsidRDefault="00F6440A" w:rsidP="00EF40C0">
      <w:pPr>
        <w:spacing w:line="360" w:lineRule="auto"/>
        <w:jc w:val="both"/>
        <w:rPr>
          <w:rFonts w:ascii="Arial" w:hAnsi="Arial" w:cs="Arial"/>
          <w:sz w:val="22"/>
          <w:szCs w:val="22"/>
        </w:rPr>
      </w:pPr>
    </w:p>
    <w:p w14:paraId="3F32D44F" w14:textId="77777777" w:rsidR="00D30AA0" w:rsidRPr="00067306" w:rsidRDefault="00D30AA0" w:rsidP="00067306">
      <w:pPr>
        <w:spacing w:line="360" w:lineRule="auto"/>
        <w:jc w:val="both"/>
        <w:rPr>
          <w:rFonts w:ascii="Arial" w:hAnsi="Arial" w:cs="Arial"/>
          <w:sz w:val="22"/>
          <w:szCs w:val="22"/>
        </w:rPr>
      </w:pPr>
    </w:p>
    <w:sectPr w:rsidR="00D30AA0" w:rsidRPr="00067306">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544C1" w14:textId="77777777" w:rsidR="00CA566E" w:rsidRDefault="00CA566E" w:rsidP="00067306">
      <w:pPr>
        <w:spacing w:after="0" w:line="240" w:lineRule="auto"/>
      </w:pPr>
      <w:r>
        <w:separator/>
      </w:r>
    </w:p>
  </w:endnote>
  <w:endnote w:type="continuationSeparator" w:id="0">
    <w:p w14:paraId="75AFEF91" w14:textId="77777777" w:rsidR="00CA566E" w:rsidRDefault="00CA566E" w:rsidP="00067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010407"/>
      <w:docPartObj>
        <w:docPartGallery w:val="Page Numbers (Bottom of Page)"/>
        <w:docPartUnique/>
      </w:docPartObj>
    </w:sdtPr>
    <w:sdtEndPr>
      <w:rPr>
        <w:noProof/>
      </w:rPr>
    </w:sdtEndPr>
    <w:sdtContent>
      <w:p w14:paraId="50934AEA" w14:textId="679F6974" w:rsidR="00067306" w:rsidRDefault="000673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A98C4A" w14:textId="77777777" w:rsidR="00067306" w:rsidRDefault="00067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AF719" w14:textId="77777777" w:rsidR="00CA566E" w:rsidRDefault="00CA566E" w:rsidP="00067306">
      <w:pPr>
        <w:spacing w:after="0" w:line="240" w:lineRule="auto"/>
      </w:pPr>
      <w:r>
        <w:separator/>
      </w:r>
    </w:p>
  </w:footnote>
  <w:footnote w:type="continuationSeparator" w:id="0">
    <w:p w14:paraId="0A219C08" w14:textId="77777777" w:rsidR="00CA566E" w:rsidRDefault="00CA566E" w:rsidP="000673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D1B5E"/>
    <w:multiLevelType w:val="multilevel"/>
    <w:tmpl w:val="3D8C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13610D"/>
    <w:multiLevelType w:val="hybridMultilevel"/>
    <w:tmpl w:val="D1BE1DF2"/>
    <w:lvl w:ilvl="0" w:tplc="21980892">
      <w:start w:val="1"/>
      <w:numFmt w:val="bullet"/>
      <w:lvlText w:val="•"/>
      <w:lvlJc w:val="left"/>
      <w:pPr>
        <w:tabs>
          <w:tab w:val="num" w:pos="720"/>
        </w:tabs>
        <w:ind w:left="720" w:hanging="360"/>
      </w:pPr>
      <w:rPr>
        <w:rFonts w:ascii="Times New Roman" w:hAnsi="Times New Roman" w:hint="default"/>
      </w:rPr>
    </w:lvl>
    <w:lvl w:ilvl="1" w:tplc="4B9866B4" w:tentative="1">
      <w:start w:val="1"/>
      <w:numFmt w:val="bullet"/>
      <w:lvlText w:val="•"/>
      <w:lvlJc w:val="left"/>
      <w:pPr>
        <w:tabs>
          <w:tab w:val="num" w:pos="1440"/>
        </w:tabs>
        <w:ind w:left="1440" w:hanging="360"/>
      </w:pPr>
      <w:rPr>
        <w:rFonts w:ascii="Times New Roman" w:hAnsi="Times New Roman" w:hint="default"/>
      </w:rPr>
    </w:lvl>
    <w:lvl w:ilvl="2" w:tplc="8F8433A6" w:tentative="1">
      <w:start w:val="1"/>
      <w:numFmt w:val="bullet"/>
      <w:lvlText w:val="•"/>
      <w:lvlJc w:val="left"/>
      <w:pPr>
        <w:tabs>
          <w:tab w:val="num" w:pos="2160"/>
        </w:tabs>
        <w:ind w:left="2160" w:hanging="360"/>
      </w:pPr>
      <w:rPr>
        <w:rFonts w:ascii="Times New Roman" w:hAnsi="Times New Roman" w:hint="default"/>
      </w:rPr>
    </w:lvl>
    <w:lvl w:ilvl="3" w:tplc="CE7E60E8" w:tentative="1">
      <w:start w:val="1"/>
      <w:numFmt w:val="bullet"/>
      <w:lvlText w:val="•"/>
      <w:lvlJc w:val="left"/>
      <w:pPr>
        <w:tabs>
          <w:tab w:val="num" w:pos="2880"/>
        </w:tabs>
        <w:ind w:left="2880" w:hanging="360"/>
      </w:pPr>
      <w:rPr>
        <w:rFonts w:ascii="Times New Roman" w:hAnsi="Times New Roman" w:hint="default"/>
      </w:rPr>
    </w:lvl>
    <w:lvl w:ilvl="4" w:tplc="2E827D9A" w:tentative="1">
      <w:start w:val="1"/>
      <w:numFmt w:val="bullet"/>
      <w:lvlText w:val="•"/>
      <w:lvlJc w:val="left"/>
      <w:pPr>
        <w:tabs>
          <w:tab w:val="num" w:pos="3600"/>
        </w:tabs>
        <w:ind w:left="3600" w:hanging="360"/>
      </w:pPr>
      <w:rPr>
        <w:rFonts w:ascii="Times New Roman" w:hAnsi="Times New Roman" w:hint="default"/>
      </w:rPr>
    </w:lvl>
    <w:lvl w:ilvl="5" w:tplc="F3CEB968" w:tentative="1">
      <w:start w:val="1"/>
      <w:numFmt w:val="bullet"/>
      <w:lvlText w:val="•"/>
      <w:lvlJc w:val="left"/>
      <w:pPr>
        <w:tabs>
          <w:tab w:val="num" w:pos="4320"/>
        </w:tabs>
        <w:ind w:left="4320" w:hanging="360"/>
      </w:pPr>
      <w:rPr>
        <w:rFonts w:ascii="Times New Roman" w:hAnsi="Times New Roman" w:hint="default"/>
      </w:rPr>
    </w:lvl>
    <w:lvl w:ilvl="6" w:tplc="394474F4" w:tentative="1">
      <w:start w:val="1"/>
      <w:numFmt w:val="bullet"/>
      <w:lvlText w:val="•"/>
      <w:lvlJc w:val="left"/>
      <w:pPr>
        <w:tabs>
          <w:tab w:val="num" w:pos="5040"/>
        </w:tabs>
        <w:ind w:left="5040" w:hanging="360"/>
      </w:pPr>
      <w:rPr>
        <w:rFonts w:ascii="Times New Roman" w:hAnsi="Times New Roman" w:hint="default"/>
      </w:rPr>
    </w:lvl>
    <w:lvl w:ilvl="7" w:tplc="18B650B2" w:tentative="1">
      <w:start w:val="1"/>
      <w:numFmt w:val="bullet"/>
      <w:lvlText w:val="•"/>
      <w:lvlJc w:val="left"/>
      <w:pPr>
        <w:tabs>
          <w:tab w:val="num" w:pos="5760"/>
        </w:tabs>
        <w:ind w:left="5760" w:hanging="360"/>
      </w:pPr>
      <w:rPr>
        <w:rFonts w:ascii="Times New Roman" w:hAnsi="Times New Roman" w:hint="default"/>
      </w:rPr>
    </w:lvl>
    <w:lvl w:ilvl="8" w:tplc="168083A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86257B8"/>
    <w:multiLevelType w:val="hybridMultilevel"/>
    <w:tmpl w:val="105AA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7E5554"/>
    <w:multiLevelType w:val="multilevel"/>
    <w:tmpl w:val="802EF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7D74D5"/>
    <w:multiLevelType w:val="multilevel"/>
    <w:tmpl w:val="DF123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604D8F"/>
    <w:multiLevelType w:val="hybridMultilevel"/>
    <w:tmpl w:val="6738252E"/>
    <w:lvl w:ilvl="0" w:tplc="CF52FD1A">
      <w:start w:val="1"/>
      <w:numFmt w:val="lowerLetter"/>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6" w15:restartNumberingAfterBreak="0">
    <w:nsid w:val="4A224DDC"/>
    <w:multiLevelType w:val="hybridMultilevel"/>
    <w:tmpl w:val="7F64BD06"/>
    <w:lvl w:ilvl="0" w:tplc="2F06885C">
      <w:start w:val="1"/>
      <w:numFmt w:val="bullet"/>
      <w:lvlText w:val="•"/>
      <w:lvlJc w:val="left"/>
      <w:pPr>
        <w:tabs>
          <w:tab w:val="num" w:pos="720"/>
        </w:tabs>
        <w:ind w:left="720" w:hanging="360"/>
      </w:pPr>
      <w:rPr>
        <w:rFonts w:ascii="Times New Roman" w:hAnsi="Times New Roman" w:hint="default"/>
      </w:rPr>
    </w:lvl>
    <w:lvl w:ilvl="1" w:tplc="B52E4A74" w:tentative="1">
      <w:start w:val="1"/>
      <w:numFmt w:val="bullet"/>
      <w:lvlText w:val="•"/>
      <w:lvlJc w:val="left"/>
      <w:pPr>
        <w:tabs>
          <w:tab w:val="num" w:pos="1440"/>
        </w:tabs>
        <w:ind w:left="1440" w:hanging="360"/>
      </w:pPr>
      <w:rPr>
        <w:rFonts w:ascii="Times New Roman" w:hAnsi="Times New Roman" w:hint="default"/>
      </w:rPr>
    </w:lvl>
    <w:lvl w:ilvl="2" w:tplc="D8A246F2" w:tentative="1">
      <w:start w:val="1"/>
      <w:numFmt w:val="bullet"/>
      <w:lvlText w:val="•"/>
      <w:lvlJc w:val="left"/>
      <w:pPr>
        <w:tabs>
          <w:tab w:val="num" w:pos="2160"/>
        </w:tabs>
        <w:ind w:left="2160" w:hanging="360"/>
      </w:pPr>
      <w:rPr>
        <w:rFonts w:ascii="Times New Roman" w:hAnsi="Times New Roman" w:hint="default"/>
      </w:rPr>
    </w:lvl>
    <w:lvl w:ilvl="3" w:tplc="11AC3B38" w:tentative="1">
      <w:start w:val="1"/>
      <w:numFmt w:val="bullet"/>
      <w:lvlText w:val="•"/>
      <w:lvlJc w:val="left"/>
      <w:pPr>
        <w:tabs>
          <w:tab w:val="num" w:pos="2880"/>
        </w:tabs>
        <w:ind w:left="2880" w:hanging="360"/>
      </w:pPr>
      <w:rPr>
        <w:rFonts w:ascii="Times New Roman" w:hAnsi="Times New Roman" w:hint="default"/>
      </w:rPr>
    </w:lvl>
    <w:lvl w:ilvl="4" w:tplc="66343B78" w:tentative="1">
      <w:start w:val="1"/>
      <w:numFmt w:val="bullet"/>
      <w:lvlText w:val="•"/>
      <w:lvlJc w:val="left"/>
      <w:pPr>
        <w:tabs>
          <w:tab w:val="num" w:pos="3600"/>
        </w:tabs>
        <w:ind w:left="3600" w:hanging="360"/>
      </w:pPr>
      <w:rPr>
        <w:rFonts w:ascii="Times New Roman" w:hAnsi="Times New Roman" w:hint="default"/>
      </w:rPr>
    </w:lvl>
    <w:lvl w:ilvl="5" w:tplc="D0409CC4" w:tentative="1">
      <w:start w:val="1"/>
      <w:numFmt w:val="bullet"/>
      <w:lvlText w:val="•"/>
      <w:lvlJc w:val="left"/>
      <w:pPr>
        <w:tabs>
          <w:tab w:val="num" w:pos="4320"/>
        </w:tabs>
        <w:ind w:left="4320" w:hanging="360"/>
      </w:pPr>
      <w:rPr>
        <w:rFonts w:ascii="Times New Roman" w:hAnsi="Times New Roman" w:hint="default"/>
      </w:rPr>
    </w:lvl>
    <w:lvl w:ilvl="6" w:tplc="B86C95E2" w:tentative="1">
      <w:start w:val="1"/>
      <w:numFmt w:val="bullet"/>
      <w:lvlText w:val="•"/>
      <w:lvlJc w:val="left"/>
      <w:pPr>
        <w:tabs>
          <w:tab w:val="num" w:pos="5040"/>
        </w:tabs>
        <w:ind w:left="5040" w:hanging="360"/>
      </w:pPr>
      <w:rPr>
        <w:rFonts w:ascii="Times New Roman" w:hAnsi="Times New Roman" w:hint="default"/>
      </w:rPr>
    </w:lvl>
    <w:lvl w:ilvl="7" w:tplc="64CA1B28" w:tentative="1">
      <w:start w:val="1"/>
      <w:numFmt w:val="bullet"/>
      <w:lvlText w:val="•"/>
      <w:lvlJc w:val="left"/>
      <w:pPr>
        <w:tabs>
          <w:tab w:val="num" w:pos="5760"/>
        </w:tabs>
        <w:ind w:left="5760" w:hanging="360"/>
      </w:pPr>
      <w:rPr>
        <w:rFonts w:ascii="Times New Roman" w:hAnsi="Times New Roman" w:hint="default"/>
      </w:rPr>
    </w:lvl>
    <w:lvl w:ilvl="8" w:tplc="469C3D9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DB4257C"/>
    <w:multiLevelType w:val="multilevel"/>
    <w:tmpl w:val="6B5C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5086004">
    <w:abstractNumId w:val="1"/>
  </w:num>
  <w:num w:numId="2" w16cid:durableId="1906988251">
    <w:abstractNumId w:val="6"/>
  </w:num>
  <w:num w:numId="3" w16cid:durableId="808523053">
    <w:abstractNumId w:val="3"/>
  </w:num>
  <w:num w:numId="4" w16cid:durableId="16460119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5405623">
    <w:abstractNumId w:val="7"/>
  </w:num>
  <w:num w:numId="6" w16cid:durableId="1412584943">
    <w:abstractNumId w:val="4"/>
  </w:num>
  <w:num w:numId="7" w16cid:durableId="784467146">
    <w:abstractNumId w:val="0"/>
  </w:num>
  <w:num w:numId="8" w16cid:durableId="1304195563">
    <w:abstractNumId w:val="5"/>
  </w:num>
  <w:num w:numId="9" w16cid:durableId="758448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306"/>
    <w:rsid w:val="000176A9"/>
    <w:rsid w:val="00026A20"/>
    <w:rsid w:val="0003613C"/>
    <w:rsid w:val="00051815"/>
    <w:rsid w:val="00063071"/>
    <w:rsid w:val="00067306"/>
    <w:rsid w:val="00081DDA"/>
    <w:rsid w:val="00103E95"/>
    <w:rsid w:val="00121D91"/>
    <w:rsid w:val="0012394E"/>
    <w:rsid w:val="001373C1"/>
    <w:rsid w:val="001609F7"/>
    <w:rsid w:val="00184D9F"/>
    <w:rsid w:val="001C772F"/>
    <w:rsid w:val="001E02AF"/>
    <w:rsid w:val="001E5AA3"/>
    <w:rsid w:val="00233ECF"/>
    <w:rsid w:val="002363D2"/>
    <w:rsid w:val="00237AAA"/>
    <w:rsid w:val="00261010"/>
    <w:rsid w:val="00277128"/>
    <w:rsid w:val="002B198F"/>
    <w:rsid w:val="002F7BEB"/>
    <w:rsid w:val="00322B36"/>
    <w:rsid w:val="0036183C"/>
    <w:rsid w:val="003801C3"/>
    <w:rsid w:val="003A578A"/>
    <w:rsid w:val="003F096F"/>
    <w:rsid w:val="003F0F10"/>
    <w:rsid w:val="00416D6D"/>
    <w:rsid w:val="004273B2"/>
    <w:rsid w:val="00440D10"/>
    <w:rsid w:val="004545E4"/>
    <w:rsid w:val="00456573"/>
    <w:rsid w:val="00474CC9"/>
    <w:rsid w:val="00487F97"/>
    <w:rsid w:val="00492028"/>
    <w:rsid w:val="00496D72"/>
    <w:rsid w:val="004A4749"/>
    <w:rsid w:val="004C2112"/>
    <w:rsid w:val="004E50D7"/>
    <w:rsid w:val="005173DC"/>
    <w:rsid w:val="00527D86"/>
    <w:rsid w:val="0053050F"/>
    <w:rsid w:val="00533A4B"/>
    <w:rsid w:val="00577236"/>
    <w:rsid w:val="005800F0"/>
    <w:rsid w:val="005823AF"/>
    <w:rsid w:val="005B1391"/>
    <w:rsid w:val="005F4E6A"/>
    <w:rsid w:val="005F6B11"/>
    <w:rsid w:val="00602E52"/>
    <w:rsid w:val="006229DB"/>
    <w:rsid w:val="006645FD"/>
    <w:rsid w:val="0067004C"/>
    <w:rsid w:val="00681819"/>
    <w:rsid w:val="006A0081"/>
    <w:rsid w:val="006A1D3C"/>
    <w:rsid w:val="006B4494"/>
    <w:rsid w:val="006B4EA2"/>
    <w:rsid w:val="006D3317"/>
    <w:rsid w:val="006E7752"/>
    <w:rsid w:val="006F3F27"/>
    <w:rsid w:val="006F6C7B"/>
    <w:rsid w:val="007204A1"/>
    <w:rsid w:val="00736711"/>
    <w:rsid w:val="007710E6"/>
    <w:rsid w:val="00773393"/>
    <w:rsid w:val="00776452"/>
    <w:rsid w:val="00792A95"/>
    <w:rsid w:val="007B1A50"/>
    <w:rsid w:val="007F07E2"/>
    <w:rsid w:val="00824D64"/>
    <w:rsid w:val="00843E7B"/>
    <w:rsid w:val="00851EE8"/>
    <w:rsid w:val="00857CA9"/>
    <w:rsid w:val="0087352A"/>
    <w:rsid w:val="008852F2"/>
    <w:rsid w:val="008B28D6"/>
    <w:rsid w:val="008C6EB4"/>
    <w:rsid w:val="008E317D"/>
    <w:rsid w:val="0092415F"/>
    <w:rsid w:val="009265EB"/>
    <w:rsid w:val="0094648A"/>
    <w:rsid w:val="00994814"/>
    <w:rsid w:val="009B4C10"/>
    <w:rsid w:val="009C7375"/>
    <w:rsid w:val="009E0649"/>
    <w:rsid w:val="009F31DE"/>
    <w:rsid w:val="00A1130E"/>
    <w:rsid w:val="00A17700"/>
    <w:rsid w:val="00A20FC5"/>
    <w:rsid w:val="00A41FBF"/>
    <w:rsid w:val="00A56F2A"/>
    <w:rsid w:val="00A65B10"/>
    <w:rsid w:val="00A734A3"/>
    <w:rsid w:val="00A92EE0"/>
    <w:rsid w:val="00A966F9"/>
    <w:rsid w:val="00AA7D0D"/>
    <w:rsid w:val="00AB2839"/>
    <w:rsid w:val="00B53AD2"/>
    <w:rsid w:val="00BA12AA"/>
    <w:rsid w:val="00BC68E5"/>
    <w:rsid w:val="00BF3D8F"/>
    <w:rsid w:val="00C00A0D"/>
    <w:rsid w:val="00C0670E"/>
    <w:rsid w:val="00C32BD2"/>
    <w:rsid w:val="00C41636"/>
    <w:rsid w:val="00C47558"/>
    <w:rsid w:val="00C56524"/>
    <w:rsid w:val="00C747D8"/>
    <w:rsid w:val="00C74B1A"/>
    <w:rsid w:val="00CA566E"/>
    <w:rsid w:val="00D06819"/>
    <w:rsid w:val="00D14D0F"/>
    <w:rsid w:val="00D30AA0"/>
    <w:rsid w:val="00D51059"/>
    <w:rsid w:val="00D60180"/>
    <w:rsid w:val="00D61F70"/>
    <w:rsid w:val="00D71CBD"/>
    <w:rsid w:val="00D74605"/>
    <w:rsid w:val="00D76B92"/>
    <w:rsid w:val="00D80344"/>
    <w:rsid w:val="00D81BF3"/>
    <w:rsid w:val="00DA2DE3"/>
    <w:rsid w:val="00DB7469"/>
    <w:rsid w:val="00DE12F9"/>
    <w:rsid w:val="00E11518"/>
    <w:rsid w:val="00E344DA"/>
    <w:rsid w:val="00E35C50"/>
    <w:rsid w:val="00E73329"/>
    <w:rsid w:val="00EA0C81"/>
    <w:rsid w:val="00EA2703"/>
    <w:rsid w:val="00EB4701"/>
    <w:rsid w:val="00EB7AC5"/>
    <w:rsid w:val="00EF40C0"/>
    <w:rsid w:val="00F05CC3"/>
    <w:rsid w:val="00F11A98"/>
    <w:rsid w:val="00F153D6"/>
    <w:rsid w:val="00F27C41"/>
    <w:rsid w:val="00F60BF9"/>
    <w:rsid w:val="00F6440A"/>
    <w:rsid w:val="00FB34FD"/>
    <w:rsid w:val="00FB615C"/>
    <w:rsid w:val="00FE6AAA"/>
    <w:rsid w:val="00FE6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3CCFA"/>
  <w15:chartTrackingRefBased/>
  <w15:docId w15:val="{D78A39AF-5B65-4CCB-9833-CE652459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306"/>
  </w:style>
  <w:style w:type="paragraph" w:styleId="Heading1">
    <w:name w:val="heading 1"/>
    <w:basedOn w:val="Normal"/>
    <w:next w:val="Normal"/>
    <w:link w:val="Heading1Char"/>
    <w:uiPriority w:val="9"/>
    <w:qFormat/>
    <w:rsid w:val="002F7BEB"/>
    <w:pPr>
      <w:keepNext/>
      <w:keepLines/>
      <w:spacing w:before="360" w:after="80"/>
      <w:outlineLvl w:val="0"/>
    </w:pPr>
    <w:rPr>
      <w:rFonts w:ascii="Arial" w:eastAsiaTheme="majorEastAsia" w:hAnsi="Arial" w:cstheme="majorBidi"/>
      <w:b/>
      <w:color w:val="000000" w:themeColor="text1"/>
      <w:sz w:val="22"/>
      <w:szCs w:val="40"/>
    </w:rPr>
  </w:style>
  <w:style w:type="paragraph" w:styleId="Heading2">
    <w:name w:val="heading 2"/>
    <w:basedOn w:val="Normal"/>
    <w:next w:val="Normal"/>
    <w:link w:val="Heading2Char"/>
    <w:uiPriority w:val="9"/>
    <w:semiHidden/>
    <w:unhideWhenUsed/>
    <w:qFormat/>
    <w:rsid w:val="000673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73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73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3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BEB"/>
    <w:rPr>
      <w:rFonts w:ascii="Arial" w:eastAsiaTheme="majorEastAsia" w:hAnsi="Arial" w:cstheme="majorBidi"/>
      <w:b/>
      <w:color w:val="000000" w:themeColor="text1"/>
      <w:sz w:val="22"/>
      <w:szCs w:val="40"/>
    </w:rPr>
  </w:style>
  <w:style w:type="character" w:customStyle="1" w:styleId="Heading2Char">
    <w:name w:val="Heading 2 Char"/>
    <w:basedOn w:val="DefaultParagraphFont"/>
    <w:link w:val="Heading2"/>
    <w:uiPriority w:val="9"/>
    <w:semiHidden/>
    <w:rsid w:val="000673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73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73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3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306"/>
    <w:rPr>
      <w:rFonts w:eastAsiaTheme="majorEastAsia" w:cstheme="majorBidi"/>
      <w:color w:val="272727" w:themeColor="text1" w:themeTint="D8"/>
    </w:rPr>
  </w:style>
  <w:style w:type="paragraph" w:styleId="Title">
    <w:name w:val="Title"/>
    <w:basedOn w:val="Normal"/>
    <w:next w:val="Normal"/>
    <w:link w:val="TitleChar"/>
    <w:uiPriority w:val="10"/>
    <w:qFormat/>
    <w:rsid w:val="00067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306"/>
    <w:pPr>
      <w:spacing w:before="160"/>
      <w:jc w:val="center"/>
    </w:pPr>
    <w:rPr>
      <w:i/>
      <w:iCs/>
      <w:color w:val="404040" w:themeColor="text1" w:themeTint="BF"/>
    </w:rPr>
  </w:style>
  <w:style w:type="character" w:customStyle="1" w:styleId="QuoteChar">
    <w:name w:val="Quote Char"/>
    <w:basedOn w:val="DefaultParagraphFont"/>
    <w:link w:val="Quote"/>
    <w:uiPriority w:val="29"/>
    <w:rsid w:val="00067306"/>
    <w:rPr>
      <w:i/>
      <w:iCs/>
      <w:color w:val="404040" w:themeColor="text1" w:themeTint="BF"/>
    </w:rPr>
  </w:style>
  <w:style w:type="paragraph" w:styleId="ListParagraph">
    <w:name w:val="List Paragraph"/>
    <w:basedOn w:val="Normal"/>
    <w:uiPriority w:val="34"/>
    <w:qFormat/>
    <w:rsid w:val="00067306"/>
    <w:pPr>
      <w:ind w:left="720"/>
      <w:contextualSpacing/>
    </w:pPr>
  </w:style>
  <w:style w:type="character" w:styleId="IntenseEmphasis">
    <w:name w:val="Intense Emphasis"/>
    <w:basedOn w:val="DefaultParagraphFont"/>
    <w:uiPriority w:val="21"/>
    <w:qFormat/>
    <w:rsid w:val="00067306"/>
    <w:rPr>
      <w:i/>
      <w:iCs/>
      <w:color w:val="0F4761" w:themeColor="accent1" w:themeShade="BF"/>
    </w:rPr>
  </w:style>
  <w:style w:type="paragraph" w:styleId="IntenseQuote">
    <w:name w:val="Intense Quote"/>
    <w:basedOn w:val="Normal"/>
    <w:next w:val="Normal"/>
    <w:link w:val="IntenseQuoteChar"/>
    <w:uiPriority w:val="30"/>
    <w:qFormat/>
    <w:rsid w:val="000673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306"/>
    <w:rPr>
      <w:i/>
      <w:iCs/>
      <w:color w:val="0F4761" w:themeColor="accent1" w:themeShade="BF"/>
    </w:rPr>
  </w:style>
  <w:style w:type="character" w:styleId="IntenseReference">
    <w:name w:val="Intense Reference"/>
    <w:basedOn w:val="DefaultParagraphFont"/>
    <w:uiPriority w:val="32"/>
    <w:qFormat/>
    <w:rsid w:val="00067306"/>
    <w:rPr>
      <w:b/>
      <w:bCs/>
      <w:smallCaps/>
      <w:color w:val="0F4761" w:themeColor="accent1" w:themeShade="BF"/>
      <w:spacing w:val="5"/>
    </w:rPr>
  </w:style>
  <w:style w:type="paragraph" w:styleId="Header">
    <w:name w:val="header"/>
    <w:basedOn w:val="Normal"/>
    <w:link w:val="HeaderChar"/>
    <w:uiPriority w:val="99"/>
    <w:unhideWhenUsed/>
    <w:rsid w:val="00067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306"/>
  </w:style>
  <w:style w:type="paragraph" w:styleId="Footer">
    <w:name w:val="footer"/>
    <w:basedOn w:val="Normal"/>
    <w:link w:val="FooterChar"/>
    <w:uiPriority w:val="99"/>
    <w:unhideWhenUsed/>
    <w:rsid w:val="00067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306"/>
  </w:style>
  <w:style w:type="paragraph" w:styleId="TOCHeading">
    <w:name w:val="TOC Heading"/>
    <w:basedOn w:val="Heading1"/>
    <w:next w:val="Normal"/>
    <w:uiPriority w:val="39"/>
    <w:unhideWhenUsed/>
    <w:qFormat/>
    <w:rsid w:val="00EA2703"/>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322B36"/>
    <w:rPr>
      <w:color w:val="467886" w:themeColor="hyperlink"/>
      <w:u w:val="single"/>
    </w:rPr>
  </w:style>
  <w:style w:type="character" w:styleId="UnresolvedMention">
    <w:name w:val="Unresolved Mention"/>
    <w:basedOn w:val="DefaultParagraphFont"/>
    <w:uiPriority w:val="99"/>
    <w:semiHidden/>
    <w:unhideWhenUsed/>
    <w:rsid w:val="00322B36"/>
    <w:rPr>
      <w:color w:val="605E5C"/>
      <w:shd w:val="clear" w:color="auto" w:fill="E1DFDD"/>
    </w:rPr>
  </w:style>
  <w:style w:type="character" w:styleId="FollowedHyperlink">
    <w:name w:val="FollowedHyperlink"/>
    <w:basedOn w:val="DefaultParagraphFont"/>
    <w:uiPriority w:val="99"/>
    <w:semiHidden/>
    <w:unhideWhenUsed/>
    <w:rsid w:val="00FB34FD"/>
    <w:rPr>
      <w:color w:val="96607D" w:themeColor="followedHyperlink"/>
      <w:u w:val="single"/>
    </w:rPr>
  </w:style>
  <w:style w:type="paragraph" w:styleId="NormalWeb">
    <w:name w:val="Normal (Web)"/>
    <w:basedOn w:val="Normal"/>
    <w:uiPriority w:val="99"/>
    <w:semiHidden/>
    <w:unhideWhenUsed/>
    <w:rsid w:val="00824D64"/>
    <w:rPr>
      <w:rFonts w:ascii="Times New Roman" w:hAnsi="Times New Roman" w:cs="Times New Roman"/>
    </w:rPr>
  </w:style>
  <w:style w:type="paragraph" w:styleId="TOC1">
    <w:name w:val="toc 1"/>
    <w:basedOn w:val="Normal"/>
    <w:next w:val="Normal"/>
    <w:autoRedefine/>
    <w:uiPriority w:val="39"/>
    <w:unhideWhenUsed/>
    <w:rsid w:val="002F7BE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eat.24380" TargetMode="External"/><Relationship Id="rId18" Type="http://schemas.openxmlformats.org/officeDocument/2006/relationships/hyperlink" Target="https://www.nice.org.uk/guidance/ng69/chapter/Recommendations" TargetMode="External"/><Relationship Id="rId26" Type="http://schemas.openxmlformats.org/officeDocument/2006/relationships/hyperlink" Target="https://www.ons.gov.uk" TargetMode="External"/><Relationship Id="rId3" Type="http://schemas.openxmlformats.org/officeDocument/2006/relationships/settings" Target="settings.xml"/><Relationship Id="rId21" Type="http://schemas.openxmlformats.org/officeDocument/2006/relationships/hyperlink" Target="https://digital.nhs.uk"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theguardian.com/society/2022/may/19/hospital-admissions-for-eating-disorders-up-84-in-five-years-nhs-data-shows%23:~:text=3%20years%20old-,Hospital%20admissions%20for%20eating%20disorders%20up%2084,five%20years%2C%20NHS%20data%20shows&amp;text=Hospital%20admssions%20for%20people%20with,lack%20of%20guidance%20and%20training" TargetMode="External"/><Relationship Id="rId17" Type="http://schemas.openxmlformats.org/officeDocument/2006/relationships/hyperlink" Target="https://www.nice.org.uk/guidance/ng69" TargetMode="External"/><Relationship Id="rId25" Type="http://schemas.openxmlformats.org/officeDocument/2006/relationships/hyperlink" Target="https://doi.org/10.1002/eat.2431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hs.uk/mental-health/conditions/anorexia/overview/" TargetMode="External"/><Relationship Id="rId20" Type="http://schemas.openxmlformats.org/officeDocument/2006/relationships/hyperlink" Target="https://digital.nhs.uk" TargetMode="External"/><Relationship Id="rId29" Type="http://schemas.openxmlformats.org/officeDocument/2006/relationships/hyperlink" Target="https://onlinelibrary.wiley.com/doi/full/10.1002/eat.23856?casa_token=hXR0KX11vGUAAAAA%3AFwgqBcl4hFGYIil8nF7rO-atewxsAu_2ZfIIjWA1w_M1tDuR7PEL24fMa0reoH5ory3A5MfnNypa2M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26133274/" TargetMode="External"/><Relationship Id="rId24" Type="http://schemas.openxmlformats.org/officeDocument/2006/relationships/hyperlink" Target="https://doi.org/10.1007/s11920-025-01628-2"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legislation.gov.uk/ukpga/1983/20" TargetMode="External"/><Relationship Id="rId23" Type="http://schemas.openxmlformats.org/officeDocument/2006/relationships/hyperlink" Target="https://www.longtermplan.nhs.uk" TargetMode="External"/><Relationship Id="rId28" Type="http://schemas.openxmlformats.org/officeDocument/2006/relationships/hyperlink" Target="https://journals.lww.com/copsychiatry/fulltext/2021/11000/Incidence,_prevalence_and_mortality_of_anorexia.2.aspx" TargetMode="External"/><Relationship Id="rId10" Type="http://schemas.openxmlformats.org/officeDocument/2006/relationships/hyperlink" Target="https://www.legislation.gov.uk/ukpga/2010/15/section/6" TargetMode="External"/><Relationship Id="rId19" Type="http://schemas.openxmlformats.org/officeDocument/2006/relationships/hyperlink" Target="https://www.nhs.uk" TargetMode="External"/><Relationship Id="rId31" Type="http://schemas.openxmlformats.org/officeDocument/2006/relationships/hyperlink" Target="https://icd.who.int/browse/2025-01/mms/en" TargetMode="External"/><Relationship Id="rId4" Type="http://schemas.openxmlformats.org/officeDocument/2006/relationships/webSettings" Target="webSettings.xml"/><Relationship Id="rId9" Type="http://schemas.openxmlformats.org/officeDocument/2006/relationships/hyperlink" Target="https://www.legislation.gov.uk/ukpga/2014/23" TargetMode="External"/><Relationship Id="rId14" Type="http://schemas.openxmlformats.org/officeDocument/2006/relationships/hyperlink" Target="https://www.intechopen.com/chapters/83488" TargetMode="External"/><Relationship Id="rId22" Type="http://schemas.openxmlformats.org/officeDocument/2006/relationships/hyperlink" Target="https://www.england.nhs.uk/statistics/wp-content/uploads/sites/2/2019/08/Risk-of-Disclosure-Children-and-Young-People-with-an-Eating-Disorder-Waiting-Times-V5.pdf" TargetMode="External"/><Relationship Id="rId27" Type="http://schemas.openxmlformats.org/officeDocument/2006/relationships/hyperlink" Target="https://link.springer.com/article/10.1007/BF03339960" TargetMode="External"/><Relationship Id="rId30" Type="http://schemas.openxmlformats.org/officeDocument/2006/relationships/hyperlink" Target="https://icd.who.int/?utm_source=chatgpt.com" TargetMode="External"/><Relationship Id="rId8" Type="http://schemas.openxmlformats.org/officeDocument/2006/relationships/hyperlink" Target="https://www.mrcpsych.uk/search?q=ICD11+Criteria+for+Anorexia+Nervosa+%286B8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2898</Words>
  <Characters>19824</Characters>
  <Application>Microsoft Office Word</Application>
  <DocSecurity>0</DocSecurity>
  <Lines>367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Mehwish Arshad</dc:creator>
  <cp:keywords/>
  <dc:description/>
  <cp:lastModifiedBy>Mehwish Arshad</cp:lastModifiedBy>
  <cp:revision>2</cp:revision>
  <dcterms:created xsi:type="dcterms:W3CDTF">2025-11-14T22:56:00Z</dcterms:created>
  <dcterms:modified xsi:type="dcterms:W3CDTF">2025-11-14T22:56:00Z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fee4417e-1e78-45e6-b318-12cd1eb249e2</vt:lpwstr>
  </property>
</Properties>
</file>