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The five-year Cash Conversion Cycle (CCC) analysis shows that the company has maintained strong working capital efficiency while steadily expanding its operations between 2021 and 2025. Total revenue increased from</w:t>
      </w:r>
      <w:r>
        <w:t xml:space="preserve"> </w:t>
      </w:r>
      <w:r>
        <w:rPr>
          <w:b/>
          <w:bCs/>
        </w:rPr>
        <w:t xml:space="preserve">20,796</w:t>
      </w:r>
      <w:r>
        <w:t xml:space="preserve"> </w:t>
      </w:r>
      <w:r>
        <w:t xml:space="preserve">in 2021 to</w:t>
      </w:r>
      <w:r>
        <w:t xml:space="preserve"> </w:t>
      </w:r>
      <w:r>
        <w:rPr>
          <w:b/>
          <w:bCs/>
        </w:rPr>
        <w:t xml:space="preserve">26,186</w:t>
      </w:r>
      <w:r>
        <w:t xml:space="preserve"> </w:t>
      </w:r>
      <w:r>
        <w:t xml:space="preserve">in 2025, reflecting consistent business growth. During the same period, total operating costs also increased, which is expected as the company’s scale of operations expanded. Despite higher revenues and costs, the company effectively managed its working capital components.</w:t>
      </w:r>
    </w:p>
    <w:p>
      <w:pPr>
        <w:pStyle w:val="BodyText"/>
      </w:pPr>
      <w:r>
        <w:t xml:space="preserve">Accounts receivable increased gradually from</w:t>
      </w:r>
      <w:r>
        <w:t xml:space="preserve"> </w:t>
      </w:r>
      <w:r>
        <w:rPr>
          <w:b/>
          <w:bCs/>
        </w:rPr>
        <w:t xml:space="preserve">2,186</w:t>
      </w:r>
      <w:r>
        <w:t xml:space="preserve"> </w:t>
      </w:r>
      <w:r>
        <w:t xml:space="preserve">to</w:t>
      </w:r>
      <w:r>
        <w:t xml:space="preserve"> </w:t>
      </w:r>
      <w:r>
        <w:rPr>
          <w:b/>
          <w:bCs/>
        </w:rPr>
        <w:t xml:space="preserve">2,909</w:t>
      </w:r>
      <w:r>
        <w:t xml:space="preserve">, indicating higher sales on credit. However, receivables remained well controlled, with the estimated Days Sales Outstanding (DSO) remaining close to</w:t>
      </w:r>
      <w:r>
        <w:t xml:space="preserve"> </w:t>
      </w:r>
      <w:r>
        <w:rPr>
          <w:b/>
          <w:bCs/>
        </w:rPr>
        <w:t xml:space="preserve">38–40 days</w:t>
      </w:r>
      <w:r>
        <w:t xml:space="preserve">, showing that customers continue to pay within a stable timeframe. Inventory levels remained very low throughout the five-year period, resulting in an estimated Days Inventory Outstanding (DIO) of approximately</w:t>
      </w:r>
      <w:r>
        <w:t xml:space="preserve"> </w:t>
      </w:r>
      <w:r>
        <w:rPr>
          <w:b/>
          <w:bCs/>
        </w:rPr>
        <w:t xml:space="preserve">2 days</w:t>
      </w:r>
      <w:r>
        <w:t xml:space="preserve">, which demonstrates efficient inventory management and minimal holding costs.</w:t>
      </w:r>
    </w:p>
    <w:p>
      <w:pPr>
        <w:pStyle w:val="BodyText"/>
      </w:pPr>
      <w:r>
        <w:t xml:space="preserve">Accounts payable also increased steadily from</w:t>
      </w:r>
      <w:r>
        <w:t xml:space="preserve"> </w:t>
      </w:r>
      <w:r>
        <w:rPr>
          <w:b/>
          <w:bCs/>
        </w:rPr>
        <w:t xml:space="preserve">629</w:t>
      </w:r>
      <w:r>
        <w:t xml:space="preserve"> </w:t>
      </w:r>
      <w:r>
        <w:t xml:space="preserve">in 2021 to</w:t>
      </w:r>
      <w:r>
        <w:t xml:space="preserve"> </w:t>
      </w:r>
      <w:r>
        <w:rPr>
          <w:b/>
          <w:bCs/>
        </w:rPr>
        <w:t xml:space="preserve">814</w:t>
      </w:r>
      <w:r>
        <w:t xml:space="preserve"> </w:t>
      </w:r>
      <w:r>
        <w:t xml:space="preserve">in 2025. The estimated Days Payables Outstanding (DPO) remained around</w:t>
      </w:r>
      <w:r>
        <w:t xml:space="preserve"> </w:t>
      </w:r>
      <w:r>
        <w:rPr>
          <w:b/>
          <w:bCs/>
        </w:rPr>
        <w:t xml:space="preserve">13–14 days</w:t>
      </w:r>
      <w:r>
        <w:t xml:space="preserve">, indicating that the company consistently utilised supplier credit while maintaining good relationships with vendors.</w:t>
      </w:r>
    </w:p>
    <w:p>
      <w:pPr>
        <w:pStyle w:val="BodyText"/>
      </w:pPr>
      <w:r>
        <w:t xml:space="preserve">Overall, the estimated Cash Conversion Cycle remained stable at approximately</w:t>
      </w:r>
      <w:r>
        <w:t xml:space="preserve"> </w:t>
      </w:r>
      <w:r>
        <w:rPr>
          <w:b/>
          <w:bCs/>
        </w:rPr>
        <w:t xml:space="preserve">25–28 days</w:t>
      </w:r>
      <w:r>
        <w:t xml:space="preserve"> </w:t>
      </w:r>
      <w:r>
        <w:t xml:space="preserve">over the five-year period. A relatively short and consistent CCC suggests that the company converts its investment in working capital into cash efficiently. This enables better liquidity, supports operational flexibility, and reduces the need for external financing. The trend indicates sound working capital management and reflects the company’s ability to sustain growth while maintaining effective control over receivables, inventory, and payables.</w:t>
      </w:r>
    </w:p>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pacing w:val="-10"/>
      <w:kern w:val="28"/>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pacing w:val="-10"/>
      <w:kern w:val="28"/>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1970-01-01T00:00:00Z</dcterms:created>
  <dcterms:modified xsi:type="dcterms:W3CDTF">1970-01-01T00:00:00Z</dcterms:modified>
</cp:coreProperties>
</file>

<file path=docProps/custom.xml><?xml version="1.0" encoding="utf-8"?>
<Properties xmlns="http://schemas.openxmlformats.org/officeDocument/2006/custom-properties" xmlns:vt="http://schemas.openxmlformats.org/officeDocument/2006/docPropsVTypes"/>
</file>