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1EBD28D7" w:rsidR="003F4BA3" w:rsidRDefault="07FDC539" w:rsidP="7241109B">
      <w:pPr>
        <w:jc w:val="center"/>
        <w:rPr>
          <w:rFonts w:ascii="Arial" w:eastAsia="Arial" w:hAnsi="Arial" w:cs="Arial"/>
          <w:b/>
          <w:bCs/>
          <w:color w:val="242130"/>
          <w:sz w:val="22"/>
          <w:szCs w:val="22"/>
        </w:rPr>
      </w:pPr>
      <w:r w:rsidRPr="7241109B">
        <w:rPr>
          <w:rFonts w:ascii="Arial" w:eastAsia="Arial" w:hAnsi="Arial" w:cs="Arial"/>
          <w:b/>
          <w:bCs/>
          <w:color w:val="242130"/>
          <w:sz w:val="22"/>
          <w:szCs w:val="22"/>
        </w:rPr>
        <w:t>Psychology in Health and Social Care</w:t>
      </w:r>
      <w:r w:rsidR="0F542BD9" w:rsidRPr="7241109B">
        <w:rPr>
          <w:rFonts w:ascii="Arial" w:eastAsia="Arial" w:hAnsi="Arial" w:cs="Arial"/>
          <w:b/>
          <w:bCs/>
          <w:color w:val="242130"/>
          <w:sz w:val="22"/>
          <w:szCs w:val="22"/>
        </w:rPr>
        <w:t xml:space="preserve"> (LCHS 4010)</w:t>
      </w:r>
    </w:p>
    <w:p w14:paraId="2B8DB038" w14:textId="6F5D84BD" w:rsidR="7241109B" w:rsidRDefault="7241109B" w:rsidP="7241109B">
      <w:pPr>
        <w:jc w:val="center"/>
        <w:rPr>
          <w:rFonts w:ascii="Arial" w:eastAsia="Arial" w:hAnsi="Arial" w:cs="Arial"/>
          <w:color w:val="242130"/>
          <w:sz w:val="22"/>
          <w:szCs w:val="22"/>
        </w:rPr>
      </w:pPr>
    </w:p>
    <w:p w14:paraId="34465BAD" w14:textId="26BFB042" w:rsidR="0F542BD9" w:rsidRDefault="0F542BD9" w:rsidP="7241109B">
      <w:pPr>
        <w:jc w:val="center"/>
        <w:rPr>
          <w:rFonts w:ascii="Arial" w:eastAsia="Arial" w:hAnsi="Arial" w:cs="Arial"/>
          <w:b/>
          <w:bCs/>
          <w:color w:val="242130"/>
          <w:sz w:val="22"/>
          <w:szCs w:val="22"/>
        </w:rPr>
      </w:pPr>
      <w:r w:rsidRPr="7241109B">
        <w:rPr>
          <w:rFonts w:ascii="Arial" w:eastAsia="Arial" w:hAnsi="Arial" w:cs="Arial"/>
          <w:b/>
          <w:bCs/>
          <w:color w:val="242130"/>
          <w:sz w:val="22"/>
          <w:szCs w:val="22"/>
        </w:rPr>
        <w:t>ASSIG</w:t>
      </w:r>
      <w:r w:rsidR="0A69093D" w:rsidRPr="7241109B">
        <w:rPr>
          <w:rFonts w:ascii="Arial" w:eastAsia="Arial" w:hAnsi="Arial" w:cs="Arial"/>
          <w:b/>
          <w:bCs/>
          <w:color w:val="242130"/>
          <w:sz w:val="22"/>
          <w:szCs w:val="22"/>
        </w:rPr>
        <w:t>N</w:t>
      </w:r>
      <w:r w:rsidRPr="7241109B">
        <w:rPr>
          <w:rFonts w:ascii="Arial" w:eastAsia="Arial" w:hAnsi="Arial" w:cs="Arial"/>
          <w:b/>
          <w:bCs/>
          <w:color w:val="242130"/>
          <w:sz w:val="22"/>
          <w:szCs w:val="22"/>
        </w:rPr>
        <w:t>MENT 2</w:t>
      </w:r>
    </w:p>
    <w:p w14:paraId="62F08111" w14:textId="03B29C0E" w:rsidR="7241109B" w:rsidRDefault="7241109B" w:rsidP="7241109B">
      <w:pPr>
        <w:jc w:val="center"/>
        <w:rPr>
          <w:rFonts w:ascii="Arial" w:eastAsia="Arial" w:hAnsi="Arial" w:cs="Arial"/>
          <w:b/>
          <w:bCs/>
          <w:color w:val="242130"/>
          <w:sz w:val="22"/>
          <w:szCs w:val="22"/>
        </w:rPr>
      </w:pPr>
    </w:p>
    <w:p w14:paraId="31BF0AC3" w14:textId="21ACF85D" w:rsidR="14775C7B" w:rsidRDefault="14775C7B" w:rsidP="7241109B">
      <w:pPr>
        <w:jc w:val="center"/>
        <w:rPr>
          <w:rFonts w:ascii="Arial" w:eastAsia="Arial" w:hAnsi="Arial" w:cs="Arial"/>
          <w:color w:val="242130"/>
          <w:sz w:val="22"/>
          <w:szCs w:val="22"/>
        </w:rPr>
      </w:pPr>
      <w:r w:rsidRPr="7241109B">
        <w:rPr>
          <w:rFonts w:ascii="Arial" w:eastAsia="Arial" w:hAnsi="Arial" w:cs="Arial"/>
          <w:color w:val="242130"/>
          <w:sz w:val="22"/>
          <w:szCs w:val="22"/>
        </w:rPr>
        <w:t>Discuss the Impact of Social Media on Mental Health in Adolescence</w:t>
      </w:r>
    </w:p>
    <w:p w14:paraId="19BC2371" w14:textId="4E91B78F" w:rsidR="7241109B" w:rsidRDefault="7241109B" w:rsidP="7241109B">
      <w:pPr>
        <w:jc w:val="center"/>
        <w:rPr>
          <w:rFonts w:ascii="Arial" w:eastAsia="Arial" w:hAnsi="Arial" w:cs="Arial"/>
          <w:b/>
          <w:bCs/>
          <w:color w:val="242130"/>
          <w:sz w:val="22"/>
          <w:szCs w:val="22"/>
        </w:rPr>
      </w:pPr>
    </w:p>
    <w:p w14:paraId="44D0DAC2" w14:textId="1B452794" w:rsidR="7241109B" w:rsidRDefault="7241109B" w:rsidP="7241109B">
      <w:pPr>
        <w:jc w:val="center"/>
        <w:rPr>
          <w:rFonts w:ascii="Arial" w:eastAsia="Arial" w:hAnsi="Arial" w:cs="Arial"/>
          <w:b/>
          <w:bCs/>
          <w:color w:val="242130"/>
          <w:sz w:val="22"/>
          <w:szCs w:val="22"/>
        </w:rPr>
      </w:pPr>
    </w:p>
    <w:p w14:paraId="2D1B23B2" w14:textId="23D2A459" w:rsidR="0F542BD9" w:rsidRDefault="0F542BD9" w:rsidP="7241109B">
      <w:pPr>
        <w:rPr>
          <w:rFonts w:ascii="Arial" w:eastAsia="Arial" w:hAnsi="Arial" w:cs="Arial"/>
          <w:color w:val="242130"/>
          <w:sz w:val="22"/>
          <w:szCs w:val="22"/>
        </w:rPr>
      </w:pPr>
      <w:r w:rsidRPr="7241109B">
        <w:rPr>
          <w:rFonts w:ascii="Arial" w:eastAsia="Arial" w:hAnsi="Arial" w:cs="Arial"/>
          <w:b/>
          <w:bCs/>
          <w:color w:val="242130"/>
          <w:sz w:val="22"/>
          <w:szCs w:val="22"/>
        </w:rPr>
        <w:t>Name of Student:</w:t>
      </w:r>
      <w:r w:rsidRPr="7241109B">
        <w:rPr>
          <w:rFonts w:ascii="Arial" w:eastAsia="Arial" w:hAnsi="Arial" w:cs="Arial"/>
          <w:color w:val="242130"/>
          <w:sz w:val="22"/>
          <w:szCs w:val="22"/>
        </w:rPr>
        <w:t xml:space="preserve"> Joanna Nec</w:t>
      </w:r>
    </w:p>
    <w:p w14:paraId="12F156EB" w14:textId="63AC382E" w:rsidR="0F542BD9" w:rsidRDefault="0F542BD9" w:rsidP="7241109B">
      <w:pPr>
        <w:rPr>
          <w:rFonts w:ascii="Arial" w:eastAsia="Arial" w:hAnsi="Arial" w:cs="Arial"/>
          <w:color w:val="000000" w:themeColor="text1"/>
          <w:sz w:val="22"/>
          <w:szCs w:val="22"/>
        </w:rPr>
      </w:pPr>
      <w:r w:rsidRPr="7241109B">
        <w:rPr>
          <w:rFonts w:ascii="Arial" w:eastAsia="Arial" w:hAnsi="Arial" w:cs="Arial"/>
          <w:b/>
          <w:bCs/>
          <w:color w:val="000000" w:themeColor="text1"/>
          <w:sz w:val="22"/>
          <w:szCs w:val="22"/>
        </w:rPr>
        <w:t>I.D. Number:</w:t>
      </w:r>
      <w:r w:rsidR="6A69B79C" w:rsidRPr="7241109B">
        <w:rPr>
          <w:rFonts w:ascii="Arial" w:eastAsia="Arial" w:hAnsi="Arial" w:cs="Arial"/>
          <w:b/>
          <w:bCs/>
          <w:color w:val="000000" w:themeColor="text1"/>
          <w:sz w:val="22"/>
          <w:szCs w:val="22"/>
        </w:rPr>
        <w:t xml:space="preserve"> </w:t>
      </w:r>
      <w:r w:rsidR="6A69B79C" w:rsidRPr="7241109B">
        <w:rPr>
          <w:rFonts w:ascii="Arial" w:eastAsia="Arial" w:hAnsi="Arial" w:cs="Arial"/>
          <w:color w:val="000000" w:themeColor="text1"/>
          <w:sz w:val="22"/>
          <w:szCs w:val="22"/>
        </w:rPr>
        <w:t>2514111</w:t>
      </w:r>
    </w:p>
    <w:p w14:paraId="0829D716" w14:textId="7364E547" w:rsidR="0F542BD9" w:rsidRDefault="0F542BD9" w:rsidP="7241109B">
      <w:pPr>
        <w:spacing w:after="0" w:line="276" w:lineRule="auto"/>
        <w:rPr>
          <w:rFonts w:ascii="Arial" w:eastAsia="Arial" w:hAnsi="Arial" w:cs="Arial"/>
          <w:color w:val="242130"/>
          <w:sz w:val="22"/>
          <w:szCs w:val="22"/>
        </w:rPr>
      </w:pPr>
      <w:r w:rsidRPr="7241109B">
        <w:rPr>
          <w:rFonts w:ascii="Arial" w:eastAsia="Arial" w:hAnsi="Arial" w:cs="Arial"/>
          <w:b/>
          <w:bCs/>
          <w:color w:val="000000" w:themeColor="text1"/>
          <w:sz w:val="22"/>
          <w:szCs w:val="22"/>
        </w:rPr>
        <w:t>Name of Tutor:</w:t>
      </w:r>
      <w:r w:rsidR="62CE78E3" w:rsidRPr="7241109B">
        <w:rPr>
          <w:rFonts w:ascii="Arial" w:eastAsia="Arial" w:hAnsi="Arial" w:cs="Arial"/>
          <w:color w:val="000000" w:themeColor="text1"/>
          <w:sz w:val="22"/>
          <w:szCs w:val="22"/>
        </w:rPr>
        <w:t xml:space="preserve"> </w:t>
      </w:r>
      <w:r w:rsidR="62CE78E3" w:rsidRPr="7241109B">
        <w:rPr>
          <w:rFonts w:ascii="Arial" w:eastAsia="Arial" w:hAnsi="Arial" w:cs="Arial"/>
          <w:color w:val="242130"/>
          <w:sz w:val="22"/>
          <w:szCs w:val="22"/>
        </w:rPr>
        <w:t>Peace Ukachukwu</w:t>
      </w:r>
    </w:p>
    <w:p w14:paraId="1C0A1B15" w14:textId="39BF0546" w:rsidR="7241109B" w:rsidRDefault="7241109B">
      <w:r>
        <w:br w:type="page"/>
      </w:r>
    </w:p>
    <w:p w14:paraId="4FE9FE5A" w14:textId="72482291" w:rsidR="4CCE76BA" w:rsidRDefault="008D2A70" w:rsidP="7241109B">
      <w:pPr>
        <w:spacing w:before="240" w:after="240" w:line="360" w:lineRule="auto"/>
        <w:rPr>
          <w:rFonts w:ascii="Arial" w:eastAsia="Arial" w:hAnsi="Arial" w:cs="Arial"/>
          <w:sz w:val="22"/>
          <w:szCs w:val="22"/>
        </w:rPr>
      </w:pPr>
      <w:r>
        <w:rPr>
          <w:rFonts w:ascii="Arial" w:eastAsia="Arial" w:hAnsi="Arial" w:cs="Arial"/>
          <w:sz w:val="22"/>
          <w:szCs w:val="22"/>
        </w:rPr>
        <w:lastRenderedPageBreak/>
        <w:t xml:space="preserve">Adolescence involves </w:t>
      </w:r>
      <w:r w:rsidR="00E43F73">
        <w:rPr>
          <w:rFonts w:ascii="Arial" w:eastAsia="Arial" w:hAnsi="Arial" w:cs="Arial"/>
          <w:sz w:val="22"/>
          <w:szCs w:val="22"/>
        </w:rPr>
        <w:t>many changes in a young person’s life. At this stage</w:t>
      </w:r>
      <w:r w:rsidR="00F24B65">
        <w:rPr>
          <w:rFonts w:ascii="Arial" w:eastAsia="Arial" w:hAnsi="Arial" w:cs="Arial"/>
          <w:sz w:val="22"/>
          <w:szCs w:val="22"/>
        </w:rPr>
        <w:t>, young people become more independent, begin to develop</w:t>
      </w:r>
      <w:r w:rsidR="0043772F">
        <w:rPr>
          <w:rFonts w:ascii="Arial" w:eastAsia="Arial" w:hAnsi="Arial" w:cs="Arial"/>
          <w:sz w:val="22"/>
          <w:szCs w:val="22"/>
        </w:rPr>
        <w:t xml:space="preserve"> a stronger sense of identity and often place greater importance on relationships with other people.</w:t>
      </w:r>
      <w:r>
        <w:rPr>
          <w:rFonts w:ascii="Arial" w:eastAsia="Arial" w:hAnsi="Arial" w:cs="Arial"/>
          <w:sz w:val="22"/>
          <w:szCs w:val="22"/>
        </w:rPr>
        <w:t xml:space="preserve"> </w:t>
      </w:r>
      <w:r w:rsidR="4CCE76BA" w:rsidRPr="7241109B">
        <w:rPr>
          <w:rFonts w:ascii="Arial" w:eastAsia="Arial" w:hAnsi="Arial" w:cs="Arial"/>
          <w:sz w:val="22"/>
          <w:szCs w:val="22"/>
        </w:rPr>
        <w:t>Social media is now a normal part of life for many adolescents. It can help young people communicate, express themselves and feel connected to others. However, it can also create problems such as social comparison, cyberbullying, poor sleep, low self-esteem, anxiety and depression. Research shows that the relationship between social media and mental health is complex. Valkenburg, Meier and Beyens (2022) found that evidence was often weak or inconsistent</w:t>
      </w:r>
      <w:r w:rsidR="00501D9C">
        <w:rPr>
          <w:rFonts w:ascii="Arial" w:eastAsia="Arial" w:hAnsi="Arial" w:cs="Arial"/>
          <w:sz w:val="22"/>
          <w:szCs w:val="22"/>
        </w:rPr>
        <w:t>.</w:t>
      </w:r>
      <w:r w:rsidR="00CA3639">
        <w:rPr>
          <w:rFonts w:ascii="Arial" w:eastAsia="Arial" w:hAnsi="Arial" w:cs="Arial"/>
          <w:sz w:val="22"/>
          <w:szCs w:val="22"/>
        </w:rPr>
        <w:t xml:space="preserve"> These findings suggest that adolescents</w:t>
      </w:r>
      <w:r w:rsidR="005D4A4D">
        <w:rPr>
          <w:rFonts w:ascii="Arial" w:eastAsia="Arial" w:hAnsi="Arial" w:cs="Arial"/>
          <w:sz w:val="22"/>
          <w:szCs w:val="22"/>
        </w:rPr>
        <w:t xml:space="preserve"> may respond to social media in different ways.</w:t>
      </w:r>
      <w:r w:rsidR="00CA3639">
        <w:rPr>
          <w:rFonts w:ascii="Arial" w:eastAsia="Arial" w:hAnsi="Arial" w:cs="Arial"/>
          <w:sz w:val="22"/>
          <w:szCs w:val="22"/>
        </w:rPr>
        <w:t xml:space="preserve"> </w:t>
      </w:r>
      <w:r w:rsidR="4CCE76BA" w:rsidRPr="7241109B">
        <w:rPr>
          <w:rFonts w:ascii="Arial" w:eastAsia="Arial" w:hAnsi="Arial" w:cs="Arial"/>
          <w:sz w:val="22"/>
          <w:szCs w:val="22"/>
        </w:rPr>
        <w:t>This essay will discuss the impact of social media on adolescent mental health using Erikson’s psychosocial theory and Bowlby’s attachment theory. It will also consider biological and environmental factors and the usefulness and limitations of these theories within health and social care.</w:t>
      </w:r>
    </w:p>
    <w:p w14:paraId="083AE410" w14:textId="7ABC85A6" w:rsidR="4CCE76BA" w:rsidRDefault="4CCE76BA"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 xml:space="preserve">Erikson’s psychosocial theory explains human development through different stages across the lifespan. Erikson (1968) believed that each stage has a particular challenge that a person needs to manage. </w:t>
      </w:r>
      <w:r w:rsidR="00045011">
        <w:rPr>
          <w:rFonts w:ascii="Arial" w:eastAsia="Arial" w:hAnsi="Arial" w:cs="Arial"/>
          <w:sz w:val="22"/>
          <w:szCs w:val="22"/>
        </w:rPr>
        <w:t>For adolescents, Erikson identified</w:t>
      </w:r>
      <w:r w:rsidR="002B6F34">
        <w:rPr>
          <w:rFonts w:ascii="Arial" w:eastAsia="Arial" w:hAnsi="Arial" w:cs="Arial"/>
          <w:sz w:val="22"/>
          <w:szCs w:val="22"/>
        </w:rPr>
        <w:t xml:space="preserve"> the key conflict as identify versus role confusion</w:t>
      </w:r>
      <w:r w:rsidR="00050763">
        <w:rPr>
          <w:rFonts w:ascii="Arial" w:eastAsia="Arial" w:hAnsi="Arial" w:cs="Arial"/>
          <w:sz w:val="22"/>
          <w:szCs w:val="22"/>
        </w:rPr>
        <w:t>. At this age, young people explore their beliefs,</w:t>
      </w:r>
      <w:r w:rsidR="00442A5B">
        <w:rPr>
          <w:rFonts w:ascii="Arial" w:eastAsia="Arial" w:hAnsi="Arial" w:cs="Arial"/>
          <w:sz w:val="22"/>
          <w:szCs w:val="22"/>
        </w:rPr>
        <w:t xml:space="preserve"> values and sense of who they are, while also trying</w:t>
      </w:r>
      <w:r w:rsidR="00643F33">
        <w:rPr>
          <w:rFonts w:ascii="Arial" w:eastAsia="Arial" w:hAnsi="Arial" w:cs="Arial"/>
          <w:sz w:val="22"/>
          <w:szCs w:val="22"/>
        </w:rPr>
        <w:t xml:space="preserve"> to understand their place in society.</w:t>
      </w:r>
      <w:r w:rsidR="00045011">
        <w:rPr>
          <w:rFonts w:ascii="Arial" w:eastAsia="Arial" w:hAnsi="Arial" w:cs="Arial"/>
          <w:sz w:val="22"/>
          <w:szCs w:val="22"/>
        </w:rPr>
        <w:t xml:space="preserve"> </w:t>
      </w:r>
      <w:r w:rsidRPr="7241109B">
        <w:rPr>
          <w:rFonts w:ascii="Arial" w:eastAsia="Arial" w:hAnsi="Arial" w:cs="Arial"/>
          <w:sz w:val="22"/>
          <w:szCs w:val="22"/>
        </w:rPr>
        <w:t>Social media can support this process because adolescents can share interests and opinions and communicate with people who have similar experiences. This may help them feel accepted and understood. Social media can also provide access to supportive communities that may not be available in everyday life.</w:t>
      </w:r>
    </w:p>
    <w:p w14:paraId="2461D3AE" w14:textId="0E4A2889" w:rsidR="4CCE76BA" w:rsidRDefault="4CCE76BA"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However, social media can also make identity development more difficult. Adolescents may compare themselves with people who appear more attractive, successful or popular online. Much online content is carefully selected or edited, but it can still affect how young people feel about themselves. Blanchard et al. (2023) found associations between social media use and depressive symptoms, body dissatisfaction, anxiety and disordered eating symptoms. From Erikson’s perspective, this is important because adolescents are still developing their identity and may depend strongly on feedback from others. Likes, comments and follower numbers can become measures of popularity or self-worth. Negative feedback or lack of attention may therefore increase insecurity and role confusion. Erikson’s theory is useful in explaining why online comparison and feedback may have a particularly strong emotional effect during adolescence.</w:t>
      </w:r>
    </w:p>
    <w:p w14:paraId="52BA7676" w14:textId="18DD6F3E" w:rsidR="4CCE76BA" w:rsidRDefault="4CCE76BA"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 xml:space="preserve">Bowlby’s attachment theory provides another explanation. Bowlby (1969) argued that early relationships with caregivers influence how people understand themselves and their relationships with others. Reliable and supportive care can help a child develop a sense of </w:t>
      </w:r>
      <w:r w:rsidRPr="7241109B">
        <w:rPr>
          <w:rFonts w:ascii="Arial" w:eastAsia="Arial" w:hAnsi="Arial" w:cs="Arial"/>
          <w:sz w:val="22"/>
          <w:szCs w:val="22"/>
        </w:rPr>
        <w:lastRenderedPageBreak/>
        <w:t>security. During adolescence, relationships with friends and peers also become increasingly important. Social media can support these relationships by allowing young people to stay in contact with friends and receive emotional support. It can therefore have positive effects and should not automatically be viewed as harmful.</w:t>
      </w:r>
    </w:p>
    <w:p w14:paraId="6B3D4988" w14:textId="45D427E6" w:rsidR="4CCE76BA" w:rsidRDefault="4CCE76BA"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 xml:space="preserve">On the other hand, attachment theory can help explain why online rejection may be difficult for some adolescents. A young person who worries about rejection may become anxious when a friend does not reply, when they are excluded from a group chat or when they see friends meeting without them. They may repeatedly check their phone or seek reassurance online. Cyberbullying may increase this distress because harmful messages can reach a young person even at home. </w:t>
      </w:r>
      <w:r w:rsidR="000B0EB1">
        <w:rPr>
          <w:rFonts w:ascii="Arial" w:eastAsia="Arial" w:hAnsi="Arial" w:cs="Arial"/>
          <w:sz w:val="22"/>
          <w:szCs w:val="22"/>
        </w:rPr>
        <w:t>From Bowlby’s</w:t>
      </w:r>
      <w:r w:rsidR="00F13F06">
        <w:rPr>
          <w:rFonts w:ascii="Arial" w:eastAsia="Arial" w:hAnsi="Arial" w:cs="Arial"/>
          <w:sz w:val="22"/>
          <w:szCs w:val="22"/>
        </w:rPr>
        <w:t xml:space="preserve"> perspective, the effect of social media m</w:t>
      </w:r>
      <w:r w:rsidR="005B65F9">
        <w:rPr>
          <w:rFonts w:ascii="Arial" w:eastAsia="Arial" w:hAnsi="Arial" w:cs="Arial"/>
          <w:sz w:val="22"/>
          <w:szCs w:val="22"/>
        </w:rPr>
        <w:t>a</w:t>
      </w:r>
      <w:r w:rsidR="00F13F06">
        <w:rPr>
          <w:rFonts w:ascii="Arial" w:eastAsia="Arial" w:hAnsi="Arial" w:cs="Arial"/>
          <w:sz w:val="22"/>
          <w:szCs w:val="22"/>
        </w:rPr>
        <w:t>y therefore de</w:t>
      </w:r>
      <w:r w:rsidR="005B65F9">
        <w:rPr>
          <w:rFonts w:ascii="Arial" w:eastAsia="Arial" w:hAnsi="Arial" w:cs="Arial"/>
          <w:sz w:val="22"/>
          <w:szCs w:val="22"/>
        </w:rPr>
        <w:t>pend more on the relationships a young person experiences online than simply</w:t>
      </w:r>
      <w:r w:rsidR="001D4C0B">
        <w:rPr>
          <w:rFonts w:ascii="Arial" w:eastAsia="Arial" w:hAnsi="Arial" w:cs="Arial"/>
          <w:sz w:val="22"/>
          <w:szCs w:val="22"/>
        </w:rPr>
        <w:t xml:space="preserve"> on how long they use it.</w:t>
      </w:r>
      <w:r w:rsidR="000B0EB1">
        <w:rPr>
          <w:rFonts w:ascii="Arial" w:eastAsia="Arial" w:hAnsi="Arial" w:cs="Arial"/>
          <w:sz w:val="22"/>
          <w:szCs w:val="22"/>
        </w:rPr>
        <w:t xml:space="preserve"> </w:t>
      </w:r>
      <w:r w:rsidRPr="7241109B">
        <w:rPr>
          <w:rFonts w:ascii="Arial" w:eastAsia="Arial" w:hAnsi="Arial" w:cs="Arial"/>
          <w:sz w:val="22"/>
          <w:szCs w:val="22"/>
        </w:rPr>
        <w:t>Two adolescents may spend the same amount of time on social media but experience it very differently.</w:t>
      </w:r>
    </w:p>
    <w:p w14:paraId="4ADCF0A9" w14:textId="45FEAF4C" w:rsidR="4CCE76BA" w:rsidRDefault="4CCE76BA"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Research supports a connection between social media and mental health difficulties, although the evidence should be considered critically. Alfredson et al. (2024) reviewed 19 studies examining social media use and depression, anxiety and psychological distress in adolescents. Most reported at least one positive association, although results differed depending on the group and how social media use was measured. Similarly, Kerr et al. (2025) reviewed 32 studies and more than half reported a positive association between social media use and anxiety. Associations were particularly common when problematic use or screen time was measured.</w:t>
      </w:r>
    </w:p>
    <w:p w14:paraId="6AE523F0" w14:textId="053949C3" w:rsidR="4CCE76BA" w:rsidRDefault="4CCE76BA"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However, an association does not prove that social media causes anxiety or depression. An adolescent who already feels anxious or lonely may use social media more often or depend more strongly on online communication. It can therefore be difficult to determine whether social media contributes to poor mental health or whether existing difficulties change the way social media is used. This supports the findings of Valkenburg, Meier and Beyens (2022), who identified weak or inconsistent evidence across previous reviews. Individual circumstances must therefore be considered.</w:t>
      </w:r>
    </w:p>
    <w:p w14:paraId="369782C1" w14:textId="3A337ED7" w:rsidR="4CCE76BA" w:rsidRDefault="4CCE76BA"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Sleep is another important issue. Ahmed et al. (2024) found small but significant associations between general social media use and depression and anxiety. Problematic social media use was also associated with poorer wellbeing and sleep problems. Adolescents may stay awake checking notifications, messages or online content. Poor sleep can affect mood, concentration and emotional control. This demonstrates how problematic social media use may affect wellbeing both directly and indirectly.</w:t>
      </w:r>
    </w:p>
    <w:p w14:paraId="07C01461" w14:textId="447D8D52" w:rsidR="4CCE76BA" w:rsidRDefault="4CCE76BA"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lastRenderedPageBreak/>
        <w:t xml:space="preserve">Biological and environmental factors should also be considered. Adolescence includes puberty and continuing brain development, which can influence emotions, behaviour and responses to stress. At the same time, environmental factors such as family relationships, friendships, school experiences and online experiences can influence psychological development. This interaction between nature and nurture means that social media is only one part of a wider picture. For example, an adolescent with low self-esteem may be more affected by negative online comparison, while supportive relationships may help another young person manage similar experiences. Health and social care professionals should therefore consider both individual development and the young person’s environment rather than </w:t>
      </w:r>
      <w:proofErr w:type="gramStart"/>
      <w:r w:rsidRPr="7241109B">
        <w:rPr>
          <w:rFonts w:ascii="Arial" w:eastAsia="Arial" w:hAnsi="Arial" w:cs="Arial"/>
          <w:sz w:val="22"/>
          <w:szCs w:val="22"/>
        </w:rPr>
        <w:t>assuming that</w:t>
      </w:r>
      <w:proofErr w:type="gramEnd"/>
      <w:r w:rsidRPr="7241109B">
        <w:rPr>
          <w:rFonts w:ascii="Arial" w:eastAsia="Arial" w:hAnsi="Arial" w:cs="Arial"/>
          <w:sz w:val="22"/>
          <w:szCs w:val="22"/>
        </w:rPr>
        <w:t xml:space="preserve"> social media alone causes mental health difficulties.</w:t>
      </w:r>
    </w:p>
    <w:p w14:paraId="3B12E675" w14:textId="22D7A677" w:rsidR="4CCE76BA" w:rsidRDefault="4CCE76BA"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These theories can help health and social care professionals understand individual experiences and develop practical support. Erikson’s theory can help a practitioner explore how online experiences affect identity and self-esteem. Rather than simply telling an adolescent to stop using social media, a professional could discuss how particular accounts, comments or comparisons make them feel. Young people can be encouraged to build confidence through offline interests, achievements and positive relationships. Education about edited images and unrealistic online content can also help them understand that social media does not always represent real life.</w:t>
      </w:r>
    </w:p>
    <w:p w14:paraId="37AF7106" w14:textId="3EA58112" w:rsidR="4CCE76BA" w:rsidRDefault="4CCE76BA"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Bowlby’s theory highlights the importance of supportive relationships. Parents, carers and professionals should provide opportunities for adolescents to discuss online experiences without immediately judging them. This may make it easier to disclose cyberbullying, exclusion or unwanted contact. Practical strategies could include reducing unnecessary notifications, setting healthy boundaries around phone use and limiting social media before sleep. Support should be based on the individual adolescent because the same strategy may not be appropriate for everyone.</w:t>
      </w:r>
    </w:p>
    <w:p w14:paraId="67851E37" w14:textId="5DBFB265" w:rsidR="4CCE76BA" w:rsidRDefault="4CCE76BA"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Both theories have strengths and limitations. Erikson’s theory is useful because it explains the importance of identity development and peer feedback during adolescence. However, it was developed before social media and does not directly explain algorithms, influencers, notifications or public numbers of followers and likes. Bowlby’s theory highlights emotional security and relationships, but originally focused mainly on relationships between children and caregivers. It does not fully explain the wider technological environment of modern adolescence. Mental health is also affected by biological development, family life, school, personality and existing difficulties. Neither theory should therefore be used alone. They are more useful when combined with current research and an understanding of the individual young person.</w:t>
      </w:r>
    </w:p>
    <w:p w14:paraId="78074D1B" w14:textId="04C8C20D" w:rsidR="4CCE76BA" w:rsidRDefault="000F1E67" w:rsidP="7241109B">
      <w:pPr>
        <w:spacing w:before="240" w:after="240" w:line="360" w:lineRule="auto"/>
      </w:pPr>
      <w:r>
        <w:rPr>
          <w:rFonts w:ascii="Arial" w:eastAsia="Arial" w:hAnsi="Arial" w:cs="Arial"/>
          <w:sz w:val="22"/>
          <w:szCs w:val="22"/>
        </w:rPr>
        <w:lastRenderedPageBreak/>
        <w:t>In conclusion</w:t>
      </w:r>
      <w:r w:rsidR="006E7A99">
        <w:rPr>
          <w:rFonts w:ascii="Arial" w:eastAsia="Arial" w:hAnsi="Arial" w:cs="Arial"/>
          <w:sz w:val="22"/>
          <w:szCs w:val="22"/>
        </w:rPr>
        <w:t>, social media may support</w:t>
      </w:r>
      <w:r w:rsidR="00796E46">
        <w:rPr>
          <w:rFonts w:ascii="Arial" w:eastAsia="Arial" w:hAnsi="Arial" w:cs="Arial"/>
          <w:sz w:val="22"/>
          <w:szCs w:val="22"/>
        </w:rPr>
        <w:t xml:space="preserve"> adolescent mental health in some situations while creating difficulties</w:t>
      </w:r>
      <w:r w:rsidR="00182D11">
        <w:rPr>
          <w:rFonts w:ascii="Arial" w:eastAsia="Arial" w:hAnsi="Arial" w:cs="Arial"/>
          <w:sz w:val="22"/>
          <w:szCs w:val="22"/>
        </w:rPr>
        <w:t xml:space="preserve"> in others. It can help young people communicate, receive</w:t>
      </w:r>
      <w:r w:rsidR="0002778A">
        <w:rPr>
          <w:rFonts w:ascii="Arial" w:eastAsia="Arial" w:hAnsi="Arial" w:cs="Arial"/>
          <w:sz w:val="22"/>
          <w:szCs w:val="22"/>
        </w:rPr>
        <w:t xml:space="preserve"> support and explore their identity, but it may also increase</w:t>
      </w:r>
      <w:r w:rsidR="00C81F27">
        <w:rPr>
          <w:rFonts w:ascii="Arial" w:eastAsia="Arial" w:hAnsi="Arial" w:cs="Arial"/>
          <w:sz w:val="22"/>
          <w:szCs w:val="22"/>
        </w:rPr>
        <w:t xml:space="preserve"> social comparison, anxiety, low self-esteem</w:t>
      </w:r>
      <w:r w:rsidR="00B37526">
        <w:rPr>
          <w:rFonts w:ascii="Arial" w:eastAsia="Arial" w:hAnsi="Arial" w:cs="Arial"/>
          <w:sz w:val="22"/>
          <w:szCs w:val="22"/>
        </w:rPr>
        <w:t>, cyberbullying and sleep difficul</w:t>
      </w:r>
      <w:r w:rsidR="003070D5">
        <w:rPr>
          <w:rFonts w:ascii="Arial" w:eastAsia="Arial" w:hAnsi="Arial" w:cs="Arial"/>
          <w:sz w:val="22"/>
          <w:szCs w:val="22"/>
        </w:rPr>
        <w:t>ties. Erikson’s theory highlights the role of ide</w:t>
      </w:r>
      <w:r w:rsidR="00FF4F3D">
        <w:rPr>
          <w:rFonts w:ascii="Arial" w:eastAsia="Arial" w:hAnsi="Arial" w:cs="Arial"/>
          <w:sz w:val="22"/>
          <w:szCs w:val="22"/>
        </w:rPr>
        <w:t xml:space="preserve">ntity and feedback from peers, while Bowlby’s theory helps </w:t>
      </w:r>
      <w:r w:rsidR="001010BF">
        <w:rPr>
          <w:rFonts w:ascii="Arial" w:eastAsia="Arial" w:hAnsi="Arial" w:cs="Arial"/>
          <w:sz w:val="22"/>
          <w:szCs w:val="22"/>
        </w:rPr>
        <w:t>explain why relationships, rejection and feeling</w:t>
      </w:r>
      <w:r w:rsidR="00A77DF8">
        <w:rPr>
          <w:rFonts w:ascii="Arial" w:eastAsia="Arial" w:hAnsi="Arial" w:cs="Arial"/>
          <w:sz w:val="22"/>
          <w:szCs w:val="22"/>
        </w:rPr>
        <w:t>s of security can affect young people’s</w:t>
      </w:r>
      <w:r w:rsidR="00BF02AD">
        <w:rPr>
          <w:rFonts w:ascii="Arial" w:eastAsia="Arial" w:hAnsi="Arial" w:cs="Arial"/>
          <w:sz w:val="22"/>
          <w:szCs w:val="22"/>
        </w:rPr>
        <w:t xml:space="preserve"> online experiences.</w:t>
      </w:r>
      <w:r w:rsidR="4CCE76BA" w:rsidRPr="7241109B">
        <w:rPr>
          <w:rFonts w:ascii="Arial" w:eastAsia="Arial" w:hAnsi="Arial" w:cs="Arial"/>
          <w:sz w:val="22"/>
          <w:szCs w:val="22"/>
        </w:rPr>
        <w:t xml:space="preserve"> Current research identifies associations between social media and mental health difficulties, but these relationships are complex and do not prove that social media is the only cause. Biological and environmental factors should also be considered. In health and social care practice, professionals should therefore consider how and why each adolescent uses social media and provide individual support through open communication, healthy boundaries, positive relationships and good sleep habits.</w:t>
      </w:r>
    </w:p>
    <w:p w14:paraId="5BE67519" w14:textId="712282D7" w:rsidR="1548B4E6" w:rsidRDefault="1548B4E6" w:rsidP="7241109B">
      <w:pPr>
        <w:spacing w:before="240" w:after="240" w:line="360" w:lineRule="auto"/>
        <w:rPr>
          <w:rFonts w:ascii="Arial" w:eastAsia="Arial" w:hAnsi="Arial" w:cs="Arial"/>
          <w:b/>
          <w:bCs/>
          <w:sz w:val="22"/>
          <w:szCs w:val="22"/>
        </w:rPr>
      </w:pPr>
      <w:r w:rsidRPr="7241109B">
        <w:rPr>
          <w:rFonts w:ascii="Arial" w:eastAsia="Arial" w:hAnsi="Arial" w:cs="Arial"/>
          <w:b/>
          <w:bCs/>
          <w:sz w:val="22"/>
          <w:szCs w:val="22"/>
        </w:rPr>
        <w:t>Reference List</w:t>
      </w:r>
    </w:p>
    <w:p w14:paraId="35F83D92" w14:textId="75DCB148" w:rsidR="1548B4E6" w:rsidRDefault="1548B4E6"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 xml:space="preserve">Ahmed, O., Walsh, E.I., Dawel, A., Alateeq, K., Espinoza Oyarce, D.A. and Cherbuin, N. (2024) ‘Social media use, mental health and sleep: A systematic review with meta-analyses’, </w:t>
      </w:r>
      <w:r w:rsidRPr="7241109B">
        <w:rPr>
          <w:rFonts w:ascii="Arial" w:eastAsia="Arial" w:hAnsi="Arial" w:cs="Arial"/>
          <w:i/>
          <w:iCs/>
          <w:sz w:val="22"/>
          <w:szCs w:val="22"/>
        </w:rPr>
        <w:t>Journal of Affective Disorders</w:t>
      </w:r>
      <w:r w:rsidRPr="7241109B">
        <w:rPr>
          <w:rFonts w:ascii="Arial" w:eastAsia="Arial" w:hAnsi="Arial" w:cs="Arial"/>
          <w:sz w:val="22"/>
          <w:szCs w:val="22"/>
        </w:rPr>
        <w:t>, 367, pp. 701–712. doi: 10.1016/j.jad.2024.08.193.</w:t>
      </w:r>
    </w:p>
    <w:p w14:paraId="27955C40" w14:textId="556513B0" w:rsidR="1548B4E6" w:rsidRDefault="1548B4E6"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 xml:space="preserve">Alfredson, Q.D., Garimella, A., Kerr, B. and Moreno, M.A. (2024) ‘Systematic review of studies measuring social media use and depression, anxiety, and psychological distress in adolescents: 2018–2020’, </w:t>
      </w:r>
      <w:r w:rsidRPr="7241109B">
        <w:rPr>
          <w:rFonts w:ascii="Arial" w:eastAsia="Arial" w:hAnsi="Arial" w:cs="Arial"/>
          <w:i/>
          <w:iCs/>
          <w:sz w:val="22"/>
          <w:szCs w:val="22"/>
        </w:rPr>
        <w:t>Wisconsin Medical Journal</w:t>
      </w:r>
      <w:r w:rsidRPr="7241109B">
        <w:rPr>
          <w:rFonts w:ascii="Arial" w:eastAsia="Arial" w:hAnsi="Arial" w:cs="Arial"/>
          <w:sz w:val="22"/>
          <w:szCs w:val="22"/>
        </w:rPr>
        <w:t>, 123(6), pp. 578–588.</w:t>
      </w:r>
    </w:p>
    <w:p w14:paraId="2769E21B" w14:textId="2AC05FE2" w:rsidR="1548B4E6" w:rsidRDefault="1548B4E6"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 xml:space="preserve">Blanchard, L., Conway-Moore, K., Aguiar, A., Önal, F., Rutter, H., Helleve, A., Nwosu, E., Falcone, J., Savona, N., Boyland, E. and Knai, C. (2023) ‘Associations between social media, adolescent mental health, and diet: A systematic review’, </w:t>
      </w:r>
      <w:r w:rsidRPr="7241109B">
        <w:rPr>
          <w:rFonts w:ascii="Arial" w:eastAsia="Arial" w:hAnsi="Arial" w:cs="Arial"/>
          <w:i/>
          <w:iCs/>
          <w:sz w:val="22"/>
          <w:szCs w:val="22"/>
        </w:rPr>
        <w:t>Obesity Reviews</w:t>
      </w:r>
      <w:r w:rsidRPr="7241109B">
        <w:rPr>
          <w:rFonts w:ascii="Arial" w:eastAsia="Arial" w:hAnsi="Arial" w:cs="Arial"/>
          <w:sz w:val="22"/>
          <w:szCs w:val="22"/>
        </w:rPr>
        <w:t>, 24(S2), e13631. doi: 10.1111/obr.13631.</w:t>
      </w:r>
    </w:p>
    <w:p w14:paraId="20365F6F" w14:textId="47E679AB" w:rsidR="7241109B" w:rsidRDefault="7241109B" w:rsidP="7241109B">
      <w:pPr>
        <w:spacing w:before="240" w:after="240" w:line="360" w:lineRule="auto"/>
        <w:rPr>
          <w:rFonts w:ascii="Arial" w:eastAsia="Arial" w:hAnsi="Arial" w:cs="Arial"/>
          <w:sz w:val="22"/>
          <w:szCs w:val="22"/>
        </w:rPr>
      </w:pPr>
    </w:p>
    <w:p w14:paraId="5F586055" w14:textId="00B58D3C" w:rsidR="7241109B" w:rsidRDefault="7241109B" w:rsidP="7241109B">
      <w:pPr>
        <w:spacing w:line="360" w:lineRule="auto"/>
      </w:pPr>
      <w:r>
        <w:br w:type="page"/>
      </w:r>
    </w:p>
    <w:p w14:paraId="069D2A79" w14:textId="0F679B92" w:rsidR="1548B4E6" w:rsidRDefault="1548B4E6"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lastRenderedPageBreak/>
        <w:t xml:space="preserve">Bowlby, J. (1969) </w:t>
      </w:r>
      <w:r w:rsidRPr="7241109B">
        <w:rPr>
          <w:rFonts w:ascii="Arial" w:eastAsia="Arial" w:hAnsi="Arial" w:cs="Arial"/>
          <w:i/>
          <w:iCs/>
          <w:sz w:val="22"/>
          <w:szCs w:val="22"/>
        </w:rPr>
        <w:t>Attachment and Loss. Volume 1: Attachment</w:t>
      </w:r>
      <w:r w:rsidRPr="7241109B">
        <w:rPr>
          <w:rFonts w:ascii="Arial" w:eastAsia="Arial" w:hAnsi="Arial" w:cs="Arial"/>
          <w:sz w:val="22"/>
          <w:szCs w:val="22"/>
        </w:rPr>
        <w:t>. London: Hogarth Press.</w:t>
      </w:r>
    </w:p>
    <w:p w14:paraId="392F633C" w14:textId="3A5C7907" w:rsidR="1548B4E6" w:rsidRDefault="1548B4E6"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 xml:space="preserve">Erikson, E.H. (1968) </w:t>
      </w:r>
      <w:r w:rsidRPr="7241109B">
        <w:rPr>
          <w:rFonts w:ascii="Arial" w:eastAsia="Arial" w:hAnsi="Arial" w:cs="Arial"/>
          <w:i/>
          <w:iCs/>
          <w:sz w:val="22"/>
          <w:szCs w:val="22"/>
        </w:rPr>
        <w:t>Identity: Youth and Crisis</w:t>
      </w:r>
      <w:r w:rsidRPr="7241109B">
        <w:rPr>
          <w:rFonts w:ascii="Arial" w:eastAsia="Arial" w:hAnsi="Arial" w:cs="Arial"/>
          <w:sz w:val="22"/>
          <w:szCs w:val="22"/>
        </w:rPr>
        <w:t>. New York: W.W. Norton.</w:t>
      </w:r>
    </w:p>
    <w:p w14:paraId="7A0A6F45" w14:textId="08691E1D" w:rsidR="1548B4E6" w:rsidRDefault="1548B4E6"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 xml:space="preserve">Kerr, B., Garimella, A., Pillarisetti, L., Charlly, N., Sullivan, K. and Moreno, M.A. (2025) ‘Associations between social media use and anxiety among adolescents: A systematic review study’, </w:t>
      </w:r>
      <w:r w:rsidRPr="7241109B">
        <w:rPr>
          <w:rFonts w:ascii="Arial" w:eastAsia="Arial" w:hAnsi="Arial" w:cs="Arial"/>
          <w:i/>
          <w:iCs/>
          <w:sz w:val="22"/>
          <w:szCs w:val="22"/>
        </w:rPr>
        <w:t>Journal of Adolescent Health</w:t>
      </w:r>
      <w:r w:rsidRPr="7241109B">
        <w:rPr>
          <w:rFonts w:ascii="Arial" w:eastAsia="Arial" w:hAnsi="Arial" w:cs="Arial"/>
          <w:sz w:val="22"/>
          <w:szCs w:val="22"/>
        </w:rPr>
        <w:t>, 76(1), pp. 18–28. doi: 10.1016/j.jadohealth.2024.09.003.</w:t>
      </w:r>
    </w:p>
    <w:p w14:paraId="208CE687" w14:textId="061B89A8" w:rsidR="1548B4E6" w:rsidRDefault="1548B4E6" w:rsidP="7241109B">
      <w:pPr>
        <w:spacing w:before="240" w:after="240" w:line="360" w:lineRule="auto"/>
        <w:rPr>
          <w:rFonts w:ascii="Arial" w:eastAsia="Arial" w:hAnsi="Arial" w:cs="Arial"/>
          <w:sz w:val="22"/>
          <w:szCs w:val="22"/>
        </w:rPr>
      </w:pPr>
      <w:r w:rsidRPr="7241109B">
        <w:rPr>
          <w:rFonts w:ascii="Arial" w:eastAsia="Arial" w:hAnsi="Arial" w:cs="Arial"/>
          <w:sz w:val="22"/>
          <w:szCs w:val="22"/>
        </w:rPr>
        <w:t xml:space="preserve">Valkenburg, P.M., Meier, A. and Beyens, I. (2022) ‘Social media use and its impact on adolescent mental health: An umbrella review of the evidence’, </w:t>
      </w:r>
      <w:r w:rsidRPr="7241109B">
        <w:rPr>
          <w:rFonts w:ascii="Arial" w:eastAsia="Arial" w:hAnsi="Arial" w:cs="Arial"/>
          <w:i/>
          <w:iCs/>
          <w:sz w:val="22"/>
          <w:szCs w:val="22"/>
        </w:rPr>
        <w:t>Current Opinion in Psychology</w:t>
      </w:r>
      <w:r w:rsidRPr="7241109B">
        <w:rPr>
          <w:rFonts w:ascii="Arial" w:eastAsia="Arial" w:hAnsi="Arial" w:cs="Arial"/>
          <w:sz w:val="22"/>
          <w:szCs w:val="22"/>
        </w:rPr>
        <w:t>, 44, pp. 58–68. doi: 10.1016/j.copsyc.2021.08.017.</w:t>
      </w:r>
    </w:p>
    <w:p w14:paraId="70ADEE17" w14:textId="46A619B5" w:rsidR="7241109B" w:rsidRDefault="7241109B" w:rsidP="7241109B">
      <w:pPr>
        <w:spacing w:before="240" w:after="240"/>
        <w:rPr>
          <w:rFonts w:ascii="Arial" w:eastAsia="Arial" w:hAnsi="Arial" w:cs="Arial"/>
          <w:sz w:val="22"/>
          <w:szCs w:val="22"/>
        </w:rPr>
      </w:pPr>
    </w:p>
    <w:sectPr w:rsidR="7241109B">
      <w:headerReference w:type="default" r:id="rId6"/>
      <w:footerReference w:type="default" r:id="rId7"/>
      <w:headerReference w:type="first" r:id="rId8"/>
      <w:footerReference w:type="firs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1416F0" w14:textId="77777777" w:rsidR="00C17701" w:rsidRDefault="00C17701">
      <w:pPr>
        <w:spacing w:after="0" w:line="240" w:lineRule="auto"/>
      </w:pPr>
      <w:r>
        <w:separator/>
      </w:r>
    </w:p>
  </w:endnote>
  <w:endnote w:type="continuationSeparator" w:id="0">
    <w:p w14:paraId="56E3CDE8" w14:textId="77777777" w:rsidR="00C17701" w:rsidRDefault="00C17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241109B" w14:paraId="6926B665" w14:textId="77777777" w:rsidTr="7241109B">
      <w:trPr>
        <w:trHeight w:val="300"/>
      </w:trPr>
      <w:tc>
        <w:tcPr>
          <w:tcW w:w="3005" w:type="dxa"/>
        </w:tcPr>
        <w:p w14:paraId="43D46711" w14:textId="0F43F928" w:rsidR="7241109B" w:rsidRDefault="7241109B" w:rsidP="7241109B">
          <w:pPr>
            <w:pStyle w:val="Header"/>
            <w:ind w:left="-115"/>
          </w:pPr>
        </w:p>
      </w:tc>
      <w:tc>
        <w:tcPr>
          <w:tcW w:w="3005" w:type="dxa"/>
        </w:tcPr>
        <w:p w14:paraId="18CD9D27" w14:textId="3E4C868F" w:rsidR="7241109B" w:rsidRDefault="7241109B" w:rsidP="7241109B">
          <w:pPr>
            <w:pStyle w:val="Header"/>
            <w:jc w:val="center"/>
          </w:pPr>
          <w:r>
            <w:fldChar w:fldCharType="begin"/>
          </w:r>
          <w:r>
            <w:instrText>PAGE</w:instrText>
          </w:r>
          <w:r>
            <w:fldChar w:fldCharType="separate"/>
          </w:r>
          <w:r w:rsidR="00350937">
            <w:rPr>
              <w:noProof/>
            </w:rPr>
            <w:t>2</w:t>
          </w:r>
          <w:r>
            <w:fldChar w:fldCharType="end"/>
          </w:r>
        </w:p>
      </w:tc>
      <w:tc>
        <w:tcPr>
          <w:tcW w:w="3005" w:type="dxa"/>
        </w:tcPr>
        <w:p w14:paraId="6019FE07" w14:textId="461075E4" w:rsidR="7241109B" w:rsidRDefault="7241109B" w:rsidP="7241109B">
          <w:pPr>
            <w:pStyle w:val="Header"/>
            <w:ind w:right="-115"/>
            <w:jc w:val="right"/>
          </w:pPr>
        </w:p>
      </w:tc>
    </w:tr>
  </w:tbl>
  <w:p w14:paraId="0576387E" w14:textId="2053B1B1" w:rsidR="7241109B" w:rsidRDefault="7241109B" w:rsidP="724110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241109B" w14:paraId="2BC3BAF4" w14:textId="77777777" w:rsidTr="7241109B">
      <w:trPr>
        <w:trHeight w:val="300"/>
      </w:trPr>
      <w:tc>
        <w:tcPr>
          <w:tcW w:w="3005" w:type="dxa"/>
        </w:tcPr>
        <w:p w14:paraId="53933929" w14:textId="21B3BAC1" w:rsidR="7241109B" w:rsidRDefault="7241109B" w:rsidP="7241109B">
          <w:pPr>
            <w:pStyle w:val="Header"/>
            <w:ind w:left="-115"/>
          </w:pPr>
        </w:p>
      </w:tc>
      <w:tc>
        <w:tcPr>
          <w:tcW w:w="3005" w:type="dxa"/>
        </w:tcPr>
        <w:p w14:paraId="793ADB49" w14:textId="6CD1785F" w:rsidR="7241109B" w:rsidRDefault="7241109B" w:rsidP="7241109B">
          <w:pPr>
            <w:pStyle w:val="Header"/>
            <w:jc w:val="center"/>
          </w:pPr>
        </w:p>
      </w:tc>
      <w:tc>
        <w:tcPr>
          <w:tcW w:w="3005" w:type="dxa"/>
        </w:tcPr>
        <w:p w14:paraId="7CC7290C" w14:textId="77CABA8F" w:rsidR="7241109B" w:rsidRDefault="7241109B" w:rsidP="7241109B">
          <w:pPr>
            <w:pStyle w:val="Header"/>
            <w:ind w:right="-115"/>
            <w:jc w:val="right"/>
          </w:pPr>
        </w:p>
      </w:tc>
    </w:tr>
  </w:tbl>
  <w:p w14:paraId="4A63F266" w14:textId="1EAB01EE" w:rsidR="7241109B" w:rsidRDefault="7241109B" w:rsidP="7241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C1776B" w14:textId="77777777" w:rsidR="00C17701" w:rsidRDefault="00C17701">
      <w:pPr>
        <w:spacing w:after="0" w:line="240" w:lineRule="auto"/>
      </w:pPr>
      <w:r>
        <w:separator/>
      </w:r>
    </w:p>
  </w:footnote>
  <w:footnote w:type="continuationSeparator" w:id="0">
    <w:p w14:paraId="7F35924D" w14:textId="77777777" w:rsidR="00C17701" w:rsidRDefault="00C177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241109B" w14:paraId="47CD074F" w14:textId="77777777" w:rsidTr="7241109B">
      <w:trPr>
        <w:trHeight w:val="300"/>
      </w:trPr>
      <w:tc>
        <w:tcPr>
          <w:tcW w:w="3005" w:type="dxa"/>
        </w:tcPr>
        <w:p w14:paraId="4E748740" w14:textId="5DEBC73C" w:rsidR="7241109B" w:rsidRDefault="7241109B" w:rsidP="7241109B">
          <w:pPr>
            <w:pStyle w:val="Header"/>
            <w:ind w:left="-115"/>
          </w:pPr>
        </w:p>
      </w:tc>
      <w:tc>
        <w:tcPr>
          <w:tcW w:w="3005" w:type="dxa"/>
        </w:tcPr>
        <w:p w14:paraId="3395FCCE" w14:textId="30F771B8" w:rsidR="7241109B" w:rsidRDefault="7241109B" w:rsidP="7241109B">
          <w:pPr>
            <w:pStyle w:val="Header"/>
            <w:jc w:val="center"/>
          </w:pPr>
        </w:p>
      </w:tc>
      <w:tc>
        <w:tcPr>
          <w:tcW w:w="3005" w:type="dxa"/>
        </w:tcPr>
        <w:p w14:paraId="4DBFDA26" w14:textId="43D4BE1D" w:rsidR="7241109B" w:rsidRDefault="7241109B" w:rsidP="7241109B">
          <w:pPr>
            <w:pStyle w:val="Header"/>
            <w:ind w:right="-115"/>
            <w:jc w:val="right"/>
          </w:pPr>
        </w:p>
      </w:tc>
    </w:tr>
  </w:tbl>
  <w:p w14:paraId="55199400" w14:textId="51B48475" w:rsidR="7241109B" w:rsidRDefault="7241109B" w:rsidP="724110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241109B" w14:paraId="581B23C3" w14:textId="77777777" w:rsidTr="7241109B">
      <w:trPr>
        <w:trHeight w:val="300"/>
      </w:trPr>
      <w:tc>
        <w:tcPr>
          <w:tcW w:w="3005" w:type="dxa"/>
        </w:tcPr>
        <w:p w14:paraId="581C184F" w14:textId="5E91A283" w:rsidR="7241109B" w:rsidRDefault="7241109B" w:rsidP="7241109B">
          <w:pPr>
            <w:pStyle w:val="Header"/>
            <w:ind w:left="-115"/>
          </w:pPr>
        </w:p>
      </w:tc>
      <w:tc>
        <w:tcPr>
          <w:tcW w:w="3005" w:type="dxa"/>
        </w:tcPr>
        <w:p w14:paraId="0481FBF4" w14:textId="7EE3C59D" w:rsidR="7241109B" w:rsidRDefault="7241109B" w:rsidP="7241109B">
          <w:pPr>
            <w:pStyle w:val="Header"/>
            <w:jc w:val="center"/>
          </w:pPr>
        </w:p>
      </w:tc>
      <w:tc>
        <w:tcPr>
          <w:tcW w:w="3005" w:type="dxa"/>
        </w:tcPr>
        <w:p w14:paraId="69469182" w14:textId="650F971F" w:rsidR="7241109B" w:rsidRDefault="7241109B" w:rsidP="7241109B">
          <w:pPr>
            <w:pStyle w:val="Header"/>
            <w:ind w:right="-115"/>
            <w:jc w:val="right"/>
          </w:pPr>
        </w:p>
      </w:tc>
    </w:tr>
  </w:tbl>
  <w:p w14:paraId="474CCF50" w14:textId="57DA3826" w:rsidR="7241109B" w:rsidRDefault="7241109B" w:rsidP="7241109B">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876CF7"/>
    <w:rsid w:val="0002778A"/>
    <w:rsid w:val="00045011"/>
    <w:rsid w:val="00047C52"/>
    <w:rsid w:val="00050763"/>
    <w:rsid w:val="000B0EB1"/>
    <w:rsid w:val="000F1E67"/>
    <w:rsid w:val="001010BF"/>
    <w:rsid w:val="00137606"/>
    <w:rsid w:val="00182D11"/>
    <w:rsid w:val="001D4C0B"/>
    <w:rsid w:val="002B6F34"/>
    <w:rsid w:val="002E0126"/>
    <w:rsid w:val="003070D5"/>
    <w:rsid w:val="003455C1"/>
    <w:rsid w:val="00350937"/>
    <w:rsid w:val="00381C0A"/>
    <w:rsid w:val="003F4BA3"/>
    <w:rsid w:val="0043772F"/>
    <w:rsid w:val="00442A5B"/>
    <w:rsid w:val="00501D9C"/>
    <w:rsid w:val="005B65F9"/>
    <w:rsid w:val="005C595D"/>
    <w:rsid w:val="005D4A4D"/>
    <w:rsid w:val="00643F33"/>
    <w:rsid w:val="006E7A99"/>
    <w:rsid w:val="00796E46"/>
    <w:rsid w:val="008D2A70"/>
    <w:rsid w:val="00A77DF8"/>
    <w:rsid w:val="00B37526"/>
    <w:rsid w:val="00BF02AD"/>
    <w:rsid w:val="00BF1828"/>
    <w:rsid w:val="00C17701"/>
    <w:rsid w:val="00C81F27"/>
    <w:rsid w:val="00CA3639"/>
    <w:rsid w:val="00E43F73"/>
    <w:rsid w:val="00F13F06"/>
    <w:rsid w:val="00F24B65"/>
    <w:rsid w:val="00FF4F3D"/>
    <w:rsid w:val="0635234A"/>
    <w:rsid w:val="068FC2D9"/>
    <w:rsid w:val="07FDC539"/>
    <w:rsid w:val="0A69093D"/>
    <w:rsid w:val="0B86681C"/>
    <w:rsid w:val="0C40E378"/>
    <w:rsid w:val="0CEDD4F0"/>
    <w:rsid w:val="0F542BD9"/>
    <w:rsid w:val="0FA52BF6"/>
    <w:rsid w:val="1377AFA2"/>
    <w:rsid w:val="14250395"/>
    <w:rsid w:val="14775C7B"/>
    <w:rsid w:val="1548B4E6"/>
    <w:rsid w:val="17A49636"/>
    <w:rsid w:val="1F27E8C6"/>
    <w:rsid w:val="2415DEB3"/>
    <w:rsid w:val="24336CF9"/>
    <w:rsid w:val="29486FFE"/>
    <w:rsid w:val="298F4175"/>
    <w:rsid w:val="2EF8BDC3"/>
    <w:rsid w:val="364BCA6A"/>
    <w:rsid w:val="37521A14"/>
    <w:rsid w:val="39B92DD4"/>
    <w:rsid w:val="46C654CE"/>
    <w:rsid w:val="4ABF48BF"/>
    <w:rsid w:val="4BC70FE5"/>
    <w:rsid w:val="4CCE76BA"/>
    <w:rsid w:val="4D9082C0"/>
    <w:rsid w:val="5787F36B"/>
    <w:rsid w:val="603E8BCB"/>
    <w:rsid w:val="62CE78E3"/>
    <w:rsid w:val="62CED068"/>
    <w:rsid w:val="65C63B44"/>
    <w:rsid w:val="6A69B79C"/>
    <w:rsid w:val="6B15CC53"/>
    <w:rsid w:val="7241109B"/>
    <w:rsid w:val="73876CF7"/>
    <w:rsid w:val="742B1627"/>
    <w:rsid w:val="7AD49B52"/>
    <w:rsid w:val="7BFA7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8B38D"/>
  <w15:chartTrackingRefBased/>
  <w15:docId w15:val="{C882B14F-2589-4D76-914F-BF968D34F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7241109B"/>
    <w:pPr>
      <w:tabs>
        <w:tab w:val="center" w:pos="4680"/>
        <w:tab w:val="right" w:pos="9360"/>
      </w:tabs>
      <w:spacing w:after="0" w:line="240" w:lineRule="auto"/>
    </w:pPr>
  </w:style>
  <w:style w:type="paragraph" w:styleId="Footer">
    <w:name w:val="footer"/>
    <w:basedOn w:val="Normal"/>
    <w:uiPriority w:val="99"/>
    <w:unhideWhenUsed/>
    <w:rsid w:val="7241109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1702</Words>
  <Characters>9704</Characters>
  <Application>Microsoft Office Word</Application>
  <DocSecurity>0</DocSecurity>
  <Lines>80</Lines>
  <Paragraphs>22</Paragraphs>
  <ScaleCrop>false</ScaleCrop>
  <Company/>
  <LinksUpToDate>false</LinksUpToDate>
  <CharactersWithSpaces>11384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Nec (2514111)</dc:creator>
  <cp:keywords/>
  <dc:description/>
  <cp:lastModifiedBy>Joanna Nec</cp:lastModifiedBy>
  <cp:revision>2</cp:revision>
  <dcterms:created xsi:type="dcterms:W3CDTF">2026-08-15T19:53:00Z</dcterms:created>
  <dcterms:modified xsi:type="dcterms:W3CDTF">2026-08-15T19:53:00Z</dcterms:modified>
</cp:coreProperties>
</file>