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AFAF0" w14:textId="3C22036A" w:rsidR="00D857E5" w:rsidRDefault="00237722" w:rsidP="00237722">
      <w:pPr>
        <w:spacing w:line="360" w:lineRule="auto"/>
        <w:jc w:val="both"/>
        <w:rPr>
          <w:rFonts w:ascii="Arial" w:hAnsi="Arial" w:cs="Arial"/>
          <w:sz w:val="24"/>
          <w:szCs w:val="24"/>
          <w:lang w:val="en-US"/>
        </w:rPr>
      </w:pPr>
      <w:r>
        <w:rPr>
          <w:rFonts w:ascii="Arial" w:hAnsi="Arial" w:cs="Arial"/>
          <w:sz w:val="24"/>
          <w:szCs w:val="24"/>
          <w:lang w:val="en-US"/>
        </w:rPr>
        <w:t xml:space="preserve">                      Comparison of Two Hospitality Organizations</w:t>
      </w:r>
    </w:p>
    <w:p w14:paraId="4746FB8C" w14:textId="77777777" w:rsidR="00237722" w:rsidRDefault="00237722" w:rsidP="00237722">
      <w:pPr>
        <w:spacing w:line="360" w:lineRule="auto"/>
        <w:jc w:val="both"/>
        <w:rPr>
          <w:rFonts w:ascii="Arial" w:hAnsi="Arial" w:cs="Arial"/>
          <w:sz w:val="24"/>
          <w:szCs w:val="24"/>
          <w:lang w:val="en-US"/>
        </w:rPr>
      </w:pPr>
    </w:p>
    <w:p w14:paraId="214F608B" w14:textId="5AFCC7C9" w:rsidR="00237722" w:rsidRDefault="00237722" w:rsidP="00237722">
      <w:pPr>
        <w:spacing w:line="360" w:lineRule="auto"/>
        <w:jc w:val="both"/>
        <w:rPr>
          <w:rFonts w:ascii="Arial" w:hAnsi="Arial" w:cs="Arial"/>
          <w:sz w:val="24"/>
          <w:szCs w:val="24"/>
          <w:lang w:val="en-US"/>
        </w:rPr>
      </w:pPr>
      <w:r>
        <w:rPr>
          <w:rFonts w:ascii="Arial" w:hAnsi="Arial" w:cs="Arial"/>
          <w:sz w:val="24"/>
          <w:szCs w:val="24"/>
          <w:lang w:val="en-US"/>
        </w:rPr>
        <w:t>Gheorghe-Minel Nica</w:t>
      </w:r>
    </w:p>
    <w:p w14:paraId="6316FF6E" w14:textId="1A6025F7" w:rsidR="00237722" w:rsidRDefault="00237722" w:rsidP="00237722">
      <w:pPr>
        <w:spacing w:line="360" w:lineRule="auto"/>
        <w:jc w:val="both"/>
        <w:rPr>
          <w:rFonts w:ascii="Arial" w:hAnsi="Arial" w:cs="Arial"/>
          <w:sz w:val="24"/>
          <w:szCs w:val="24"/>
          <w:lang w:val="en-US"/>
        </w:rPr>
      </w:pPr>
      <w:r>
        <w:rPr>
          <w:rFonts w:ascii="Arial" w:hAnsi="Arial" w:cs="Arial"/>
          <w:sz w:val="24"/>
          <w:szCs w:val="24"/>
          <w:lang w:val="en-US"/>
        </w:rPr>
        <w:t>2122262</w:t>
      </w:r>
    </w:p>
    <w:p w14:paraId="2DC81521" w14:textId="48E6E3F1" w:rsidR="00237722" w:rsidRDefault="00237722" w:rsidP="00237722">
      <w:pPr>
        <w:spacing w:line="360" w:lineRule="auto"/>
        <w:jc w:val="both"/>
        <w:rPr>
          <w:rFonts w:ascii="Arial" w:hAnsi="Arial" w:cs="Arial"/>
          <w:sz w:val="24"/>
          <w:szCs w:val="24"/>
          <w:lang w:val="en-US"/>
        </w:rPr>
      </w:pPr>
      <w:r>
        <w:rPr>
          <w:rFonts w:ascii="Arial" w:hAnsi="Arial" w:cs="Arial"/>
          <w:sz w:val="24"/>
          <w:szCs w:val="24"/>
          <w:lang w:val="en-US"/>
        </w:rPr>
        <w:t>Financial Management for the Hotel Industry (B</w:t>
      </w:r>
      <w:r w:rsidR="00DB66B9">
        <w:rPr>
          <w:rFonts w:ascii="Arial" w:hAnsi="Arial" w:cs="Arial"/>
          <w:sz w:val="24"/>
          <w:szCs w:val="24"/>
          <w:lang w:val="en-US"/>
        </w:rPr>
        <w:t>MIH</w:t>
      </w:r>
      <w:r>
        <w:rPr>
          <w:rFonts w:ascii="Arial" w:hAnsi="Arial" w:cs="Arial"/>
          <w:sz w:val="24"/>
          <w:szCs w:val="24"/>
          <w:lang w:val="en-US"/>
        </w:rPr>
        <w:t>5007)</w:t>
      </w:r>
    </w:p>
    <w:p w14:paraId="690CE7ED" w14:textId="741104C7" w:rsidR="00237722" w:rsidRDefault="00237722" w:rsidP="00237722">
      <w:pPr>
        <w:spacing w:line="360" w:lineRule="auto"/>
        <w:jc w:val="both"/>
        <w:rPr>
          <w:rFonts w:ascii="Arial" w:hAnsi="Arial" w:cs="Arial"/>
          <w:sz w:val="24"/>
          <w:szCs w:val="24"/>
          <w:lang w:val="en-US"/>
        </w:rPr>
      </w:pPr>
      <w:r>
        <w:rPr>
          <w:rFonts w:ascii="Arial" w:hAnsi="Arial" w:cs="Arial"/>
          <w:sz w:val="24"/>
          <w:szCs w:val="24"/>
          <w:lang w:val="en-US"/>
        </w:rPr>
        <w:t>Christopher Wilkin</w:t>
      </w:r>
    </w:p>
    <w:p w14:paraId="2D897F93" w14:textId="77777777" w:rsidR="00237722" w:rsidRDefault="00237722" w:rsidP="00237722">
      <w:pPr>
        <w:spacing w:line="360" w:lineRule="auto"/>
        <w:jc w:val="both"/>
        <w:rPr>
          <w:rFonts w:ascii="Arial" w:hAnsi="Arial" w:cs="Arial"/>
          <w:sz w:val="24"/>
          <w:szCs w:val="24"/>
          <w:lang w:val="en-US"/>
        </w:rPr>
      </w:pPr>
    </w:p>
    <w:p w14:paraId="257B7741" w14:textId="77777777" w:rsidR="00237722" w:rsidRDefault="00237722" w:rsidP="00237722">
      <w:pPr>
        <w:spacing w:line="360" w:lineRule="auto"/>
        <w:jc w:val="both"/>
        <w:rPr>
          <w:rFonts w:ascii="Arial" w:hAnsi="Arial" w:cs="Arial"/>
          <w:sz w:val="24"/>
          <w:szCs w:val="24"/>
          <w:lang w:val="en-US"/>
        </w:rPr>
      </w:pPr>
    </w:p>
    <w:p w14:paraId="27412394" w14:textId="77777777" w:rsidR="00237722" w:rsidRDefault="00237722" w:rsidP="00237722">
      <w:pPr>
        <w:spacing w:line="360" w:lineRule="auto"/>
        <w:jc w:val="both"/>
        <w:rPr>
          <w:rFonts w:ascii="Arial" w:hAnsi="Arial" w:cs="Arial"/>
          <w:sz w:val="24"/>
          <w:szCs w:val="24"/>
          <w:lang w:val="en-US"/>
        </w:rPr>
      </w:pPr>
    </w:p>
    <w:p w14:paraId="2C2E7CA9" w14:textId="77777777" w:rsidR="00237722" w:rsidRDefault="00237722" w:rsidP="00237722">
      <w:pPr>
        <w:spacing w:line="360" w:lineRule="auto"/>
        <w:jc w:val="both"/>
        <w:rPr>
          <w:rFonts w:ascii="Arial" w:hAnsi="Arial" w:cs="Arial"/>
          <w:sz w:val="24"/>
          <w:szCs w:val="24"/>
          <w:lang w:val="en-US"/>
        </w:rPr>
      </w:pPr>
    </w:p>
    <w:p w14:paraId="2571A9B7" w14:textId="77777777" w:rsidR="00237722" w:rsidRDefault="00237722" w:rsidP="00237722">
      <w:pPr>
        <w:spacing w:line="360" w:lineRule="auto"/>
        <w:jc w:val="both"/>
        <w:rPr>
          <w:rFonts w:ascii="Arial" w:hAnsi="Arial" w:cs="Arial"/>
          <w:sz w:val="24"/>
          <w:szCs w:val="24"/>
          <w:lang w:val="en-US"/>
        </w:rPr>
      </w:pPr>
    </w:p>
    <w:p w14:paraId="59B3FF60" w14:textId="77777777" w:rsidR="00237722" w:rsidRDefault="00237722" w:rsidP="00237722">
      <w:pPr>
        <w:spacing w:line="360" w:lineRule="auto"/>
        <w:jc w:val="both"/>
        <w:rPr>
          <w:rFonts w:ascii="Arial" w:hAnsi="Arial" w:cs="Arial"/>
          <w:sz w:val="24"/>
          <w:szCs w:val="24"/>
          <w:lang w:val="en-US"/>
        </w:rPr>
      </w:pPr>
    </w:p>
    <w:p w14:paraId="11F2BC80" w14:textId="77777777" w:rsidR="00237722" w:rsidRDefault="00237722" w:rsidP="00237722">
      <w:pPr>
        <w:spacing w:line="360" w:lineRule="auto"/>
        <w:jc w:val="both"/>
        <w:rPr>
          <w:rFonts w:ascii="Arial" w:hAnsi="Arial" w:cs="Arial"/>
          <w:sz w:val="24"/>
          <w:szCs w:val="24"/>
          <w:lang w:val="en-US"/>
        </w:rPr>
      </w:pPr>
    </w:p>
    <w:p w14:paraId="4240D979" w14:textId="77777777" w:rsidR="00237722" w:rsidRDefault="00237722" w:rsidP="00237722">
      <w:pPr>
        <w:spacing w:line="360" w:lineRule="auto"/>
        <w:jc w:val="both"/>
        <w:rPr>
          <w:rFonts w:ascii="Arial" w:hAnsi="Arial" w:cs="Arial"/>
          <w:sz w:val="24"/>
          <w:szCs w:val="24"/>
          <w:lang w:val="en-US"/>
        </w:rPr>
      </w:pPr>
    </w:p>
    <w:p w14:paraId="5CB0DE0E" w14:textId="77777777" w:rsidR="00237722" w:rsidRDefault="00237722" w:rsidP="00237722">
      <w:pPr>
        <w:spacing w:line="360" w:lineRule="auto"/>
        <w:jc w:val="both"/>
        <w:rPr>
          <w:rFonts w:ascii="Arial" w:hAnsi="Arial" w:cs="Arial"/>
          <w:sz w:val="24"/>
          <w:szCs w:val="24"/>
          <w:lang w:val="en-US"/>
        </w:rPr>
      </w:pPr>
    </w:p>
    <w:p w14:paraId="23F851A7" w14:textId="77777777" w:rsidR="00237722" w:rsidRDefault="00237722" w:rsidP="00237722">
      <w:pPr>
        <w:spacing w:line="360" w:lineRule="auto"/>
        <w:jc w:val="both"/>
        <w:rPr>
          <w:rFonts w:ascii="Arial" w:hAnsi="Arial" w:cs="Arial"/>
          <w:sz w:val="24"/>
          <w:szCs w:val="24"/>
          <w:lang w:val="en-US"/>
        </w:rPr>
      </w:pPr>
    </w:p>
    <w:p w14:paraId="135DFA26" w14:textId="77777777" w:rsidR="00237722" w:rsidRDefault="00237722" w:rsidP="00237722">
      <w:pPr>
        <w:spacing w:line="360" w:lineRule="auto"/>
        <w:jc w:val="both"/>
        <w:rPr>
          <w:rFonts w:ascii="Arial" w:hAnsi="Arial" w:cs="Arial"/>
          <w:sz w:val="24"/>
          <w:szCs w:val="24"/>
          <w:lang w:val="en-US"/>
        </w:rPr>
      </w:pPr>
    </w:p>
    <w:p w14:paraId="4A58BD39" w14:textId="77777777" w:rsidR="00237722" w:rsidRDefault="00237722" w:rsidP="00237722">
      <w:pPr>
        <w:spacing w:line="360" w:lineRule="auto"/>
        <w:jc w:val="both"/>
        <w:rPr>
          <w:rFonts w:ascii="Arial" w:hAnsi="Arial" w:cs="Arial"/>
          <w:sz w:val="24"/>
          <w:szCs w:val="24"/>
          <w:lang w:val="en-US"/>
        </w:rPr>
      </w:pPr>
    </w:p>
    <w:p w14:paraId="03569828" w14:textId="77777777" w:rsidR="00237722" w:rsidRDefault="00237722" w:rsidP="00237722">
      <w:pPr>
        <w:spacing w:line="360" w:lineRule="auto"/>
        <w:jc w:val="both"/>
        <w:rPr>
          <w:rFonts w:ascii="Arial" w:hAnsi="Arial" w:cs="Arial"/>
          <w:sz w:val="24"/>
          <w:szCs w:val="24"/>
          <w:lang w:val="en-US"/>
        </w:rPr>
      </w:pPr>
    </w:p>
    <w:p w14:paraId="2F19C223" w14:textId="77777777" w:rsidR="00237722" w:rsidRDefault="00237722" w:rsidP="00237722">
      <w:pPr>
        <w:spacing w:line="360" w:lineRule="auto"/>
        <w:jc w:val="both"/>
        <w:rPr>
          <w:rFonts w:ascii="Arial" w:hAnsi="Arial" w:cs="Arial"/>
          <w:sz w:val="24"/>
          <w:szCs w:val="24"/>
          <w:lang w:val="en-US"/>
        </w:rPr>
      </w:pPr>
    </w:p>
    <w:p w14:paraId="5CDDAD16" w14:textId="77777777" w:rsidR="00237722" w:rsidRDefault="00237722" w:rsidP="00237722">
      <w:pPr>
        <w:spacing w:line="360" w:lineRule="auto"/>
        <w:jc w:val="both"/>
        <w:rPr>
          <w:rFonts w:ascii="Arial" w:hAnsi="Arial" w:cs="Arial"/>
          <w:sz w:val="24"/>
          <w:szCs w:val="24"/>
          <w:lang w:val="en-US"/>
        </w:rPr>
      </w:pPr>
    </w:p>
    <w:p w14:paraId="7C2E38F6" w14:textId="77777777" w:rsidR="00237722" w:rsidRDefault="00237722" w:rsidP="00237722">
      <w:pPr>
        <w:spacing w:line="360" w:lineRule="auto"/>
        <w:jc w:val="both"/>
        <w:rPr>
          <w:rFonts w:ascii="Arial" w:hAnsi="Arial" w:cs="Arial"/>
          <w:sz w:val="24"/>
          <w:szCs w:val="24"/>
          <w:lang w:val="en-US"/>
        </w:rPr>
      </w:pPr>
    </w:p>
    <w:p w14:paraId="51B1ADA0" w14:textId="6AD6B24D" w:rsidR="00F37034" w:rsidRDefault="00F37034" w:rsidP="00F37034">
      <w:pPr>
        <w:pStyle w:val="Heading1"/>
        <w:spacing w:line="360" w:lineRule="auto"/>
        <w:jc w:val="both"/>
        <w:rPr>
          <w:rFonts w:ascii="Arial" w:hAnsi="Arial" w:cs="Arial"/>
          <w:sz w:val="24"/>
          <w:szCs w:val="24"/>
        </w:rPr>
      </w:pPr>
    </w:p>
    <w:p w14:paraId="49E58F20" w14:textId="77777777" w:rsidR="00AC479D" w:rsidRPr="00AC479D" w:rsidRDefault="00AC479D" w:rsidP="00AC479D"/>
    <w:p w14:paraId="40C4742B" w14:textId="77777777" w:rsidR="00AC479D" w:rsidRDefault="00AC479D" w:rsidP="00F37034">
      <w:pPr>
        <w:spacing w:line="360" w:lineRule="auto"/>
        <w:jc w:val="both"/>
        <w:rPr>
          <w:rFonts w:ascii="Arial" w:hAnsi="Arial" w:cs="Arial"/>
          <w:sz w:val="24"/>
          <w:szCs w:val="24"/>
        </w:rPr>
      </w:pPr>
    </w:p>
    <w:p w14:paraId="3E902EC1" w14:textId="0EB3D5BF" w:rsidR="00AC479D" w:rsidRDefault="00AC479D" w:rsidP="00F37034">
      <w:pPr>
        <w:spacing w:line="360" w:lineRule="auto"/>
        <w:jc w:val="both"/>
        <w:rPr>
          <w:rFonts w:ascii="Arial" w:hAnsi="Arial" w:cs="Arial"/>
          <w:sz w:val="24"/>
          <w:szCs w:val="24"/>
        </w:rPr>
      </w:pPr>
      <w:r>
        <w:rPr>
          <w:rFonts w:ascii="Arial" w:hAnsi="Arial" w:cs="Arial"/>
          <w:sz w:val="24"/>
          <w:szCs w:val="24"/>
        </w:rPr>
        <w:lastRenderedPageBreak/>
        <w:t>Introduction</w:t>
      </w:r>
    </w:p>
    <w:p w14:paraId="285EA912" w14:textId="4BA9723B"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Hospitality is defined as an act of compassion in welcoming and taking care of the fundamental necessities of consumers or visitors, primarily lodging, food and beverages. A more contemporaneous definition of Hospitality indicates a connection between a host and a customer. At the same time, the Hospitality industry refers to organisations and companies that offer lodgings, foods and beverages to people who are vising a place away from their homes (</w:t>
      </w:r>
      <w:r w:rsidRPr="00F37034">
        <w:rPr>
          <w:rFonts w:ascii="Arial" w:hAnsi="Arial" w:cs="Arial"/>
          <w:color w:val="000000"/>
          <w:sz w:val="24"/>
          <w:szCs w:val="24"/>
          <w:shd w:val="clear" w:color="auto" w:fill="FFFFFF"/>
        </w:rPr>
        <w:t>Ehl.edu, 2019)</w:t>
      </w:r>
      <w:r w:rsidRPr="00F37034">
        <w:rPr>
          <w:rFonts w:ascii="Arial" w:hAnsi="Arial" w:cs="Arial"/>
          <w:sz w:val="24"/>
          <w:szCs w:val="24"/>
        </w:rPr>
        <w:t>.  The hospitality industry consists of four main sectors as Lodging, food &amp; beverages, recreation and travel &amp; tourism. Hilton Hotels and Marriot International are two giants of the hospitality industry. Hilton started its expedition at the beginning of the 20</w:t>
      </w:r>
      <w:r w:rsidRPr="00F37034">
        <w:rPr>
          <w:rFonts w:ascii="Arial" w:hAnsi="Arial" w:cs="Arial"/>
          <w:sz w:val="24"/>
          <w:szCs w:val="24"/>
          <w:vertAlign w:val="superscript"/>
        </w:rPr>
        <w:t>th</w:t>
      </w:r>
      <w:r w:rsidRPr="00F37034">
        <w:rPr>
          <w:rFonts w:ascii="Arial" w:hAnsi="Arial" w:cs="Arial"/>
          <w:sz w:val="24"/>
          <w:szCs w:val="24"/>
        </w:rPr>
        <w:t xml:space="preserve"> century by founding a small accommodationcompany in Cisco, Texas and in a short span of time, maybe a couple of years, it gain a firm grip on the market and escalated at an incredible pace making it one of the renowned names in the Hospitality industry</w:t>
      </w:r>
      <w:r w:rsidRPr="00F37034">
        <w:rPr>
          <w:rFonts w:ascii="Arial" w:hAnsi="Arial" w:cs="Arial"/>
          <w:sz w:val="24"/>
          <w:szCs w:val="24"/>
          <w:lang w:val="en-US"/>
        </w:rPr>
        <w:t xml:space="preserve"> (</w:t>
      </w:r>
      <w:r w:rsidRPr="00F37034">
        <w:rPr>
          <w:rFonts w:ascii="Arial" w:hAnsi="Arial" w:cs="Arial"/>
          <w:sz w:val="24"/>
          <w:szCs w:val="24"/>
          <w:shd w:val="clear" w:color="auto" w:fill="FFFFFF"/>
        </w:rPr>
        <w:t>Reidhead. 2020</w:t>
      </w:r>
      <w:r w:rsidRPr="00F37034">
        <w:rPr>
          <w:rFonts w:ascii="Arial" w:hAnsi="Arial" w:cs="Arial"/>
          <w:sz w:val="24"/>
          <w:szCs w:val="24"/>
          <w:lang w:val="en-US"/>
        </w:rPr>
        <w:t>)</w:t>
      </w:r>
      <w:r w:rsidRPr="00F37034">
        <w:rPr>
          <w:rFonts w:ascii="Arial" w:hAnsi="Arial" w:cs="Arial"/>
          <w:sz w:val="24"/>
          <w:szCs w:val="24"/>
        </w:rPr>
        <w:t>. At the same time, Marriott also started its journey in the early 20</w:t>
      </w:r>
      <w:r w:rsidRPr="00F37034">
        <w:rPr>
          <w:rFonts w:ascii="Arial" w:hAnsi="Arial" w:cs="Arial"/>
          <w:sz w:val="24"/>
          <w:szCs w:val="24"/>
          <w:vertAlign w:val="superscript"/>
        </w:rPr>
        <w:t>th</w:t>
      </w:r>
      <w:r w:rsidRPr="00F37034">
        <w:rPr>
          <w:rFonts w:ascii="Arial" w:hAnsi="Arial" w:cs="Arial"/>
          <w:sz w:val="24"/>
          <w:szCs w:val="24"/>
        </w:rPr>
        <w:t xml:space="preserve"> century as a root beer stand in Washington, D.C. but with time Marriott extended their corporate into a series of restaurants and hotels</w:t>
      </w:r>
      <w:r w:rsidRPr="00F37034">
        <w:rPr>
          <w:rFonts w:ascii="Arial" w:hAnsi="Arial" w:cs="Arial"/>
          <w:color w:val="000000"/>
          <w:sz w:val="24"/>
          <w:szCs w:val="24"/>
          <w:shd w:val="clear" w:color="auto" w:fill="FFFFFF"/>
        </w:rPr>
        <w:t xml:space="preserve"> (chcom, 2013)</w:t>
      </w:r>
      <w:r w:rsidRPr="00F37034">
        <w:rPr>
          <w:rFonts w:ascii="Arial" w:hAnsi="Arial" w:cs="Arial"/>
          <w:sz w:val="24"/>
          <w:szCs w:val="24"/>
        </w:rPr>
        <w:t xml:space="preserve">. The purpose of this report is to deliver aninclusiveassessment of two of the major hospitality industry giants- Hilton Hotels and Marriott International. This report will provide a comparativebusiness report to evaluate their approaches and strategies by considering a number of factors such as market position, growth potential, total revenue and others. </w:t>
      </w:r>
    </w:p>
    <w:p w14:paraId="16EB262A" w14:textId="7BB159D7" w:rsidR="00F37034" w:rsidRDefault="00F37034" w:rsidP="00AC479D">
      <w:pPr>
        <w:pStyle w:val="Heading1"/>
        <w:spacing w:line="360" w:lineRule="auto"/>
        <w:jc w:val="both"/>
        <w:rPr>
          <w:rFonts w:ascii="Arial" w:hAnsi="Arial" w:cs="Arial"/>
          <w:sz w:val="24"/>
          <w:szCs w:val="24"/>
        </w:rPr>
      </w:pPr>
    </w:p>
    <w:p w14:paraId="215A4906" w14:textId="6A6F6CC1" w:rsidR="00AC479D" w:rsidRPr="00AC479D" w:rsidRDefault="00AC479D" w:rsidP="00AC479D">
      <w:pPr>
        <w:rPr>
          <w:rFonts w:ascii="Arial" w:hAnsi="Arial" w:cs="Arial"/>
          <w:sz w:val="24"/>
          <w:szCs w:val="24"/>
        </w:rPr>
      </w:pPr>
      <w:r>
        <w:rPr>
          <w:rFonts w:ascii="Arial" w:hAnsi="Arial" w:cs="Arial"/>
          <w:sz w:val="24"/>
          <w:szCs w:val="24"/>
        </w:rPr>
        <w:t>Comparative Financial Management</w:t>
      </w:r>
    </w:p>
    <w:p w14:paraId="4BD98A74" w14:textId="24DAD501" w:rsidR="00AC479D" w:rsidRPr="00AC479D" w:rsidRDefault="00AC479D" w:rsidP="00AC479D">
      <w:pPr>
        <w:rPr>
          <w:rFonts w:ascii="Arial" w:hAnsi="Arial" w:cs="Arial"/>
          <w:sz w:val="24"/>
          <w:szCs w:val="24"/>
        </w:rPr>
      </w:pPr>
      <w:r>
        <w:rPr>
          <w:rFonts w:ascii="Arial" w:hAnsi="Arial" w:cs="Arial"/>
          <w:sz w:val="24"/>
          <w:szCs w:val="24"/>
        </w:rPr>
        <w:t xml:space="preserve">Hilton Hotel Approaches </w:t>
      </w:r>
    </w:p>
    <w:p w14:paraId="7D2EC22B" w14:textId="3B413FEB" w:rsidR="00AC479D" w:rsidRDefault="00AC479D" w:rsidP="00AC479D">
      <w:pPr>
        <w:rPr>
          <w:rFonts w:ascii="Arial" w:hAnsi="Arial" w:cs="Arial"/>
          <w:sz w:val="24"/>
          <w:szCs w:val="24"/>
        </w:rPr>
      </w:pPr>
      <w:r>
        <w:rPr>
          <w:rFonts w:ascii="Arial" w:hAnsi="Arial" w:cs="Arial"/>
          <w:sz w:val="24"/>
          <w:szCs w:val="24"/>
        </w:rPr>
        <w:t>Operational Strategies</w:t>
      </w:r>
    </w:p>
    <w:p w14:paraId="1934CCE1" w14:textId="77777777" w:rsidR="00AC479D" w:rsidRPr="00AC479D" w:rsidRDefault="00AC479D" w:rsidP="00AC479D">
      <w:pPr>
        <w:rPr>
          <w:rFonts w:ascii="Arial" w:hAnsi="Arial" w:cs="Arial"/>
          <w:sz w:val="24"/>
          <w:szCs w:val="24"/>
        </w:rPr>
      </w:pPr>
    </w:p>
    <w:p w14:paraId="5623E28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 xml:space="preserve">Hilton Hotels is a brand which includes a wide collection of hospitality experiences such as 'luxury lifestyle properties s (Canopy, Tempo, Waldorf Astoria Hotels &amp; Resorts, Motto, LXR Hotels &amp; Resorts,andConrad Hotels &amp; Resorts),a timeshare brand (Hilton Grand Vacations), service hotel brands (Homewood Suites, Tru, Home2 Suites,andHilton Garden Inn, Hampton), and finally full-service hotel brands (Embassy Suites, Double-Tree, Hilton Hotels &amp; Resorts, Curio Collection,Tapestry Collection andSignia). However, Hilton has 3 regions operating geographically, the Americas, </w:t>
      </w:r>
      <w:r w:rsidRPr="00F37034">
        <w:rPr>
          <w:rFonts w:ascii="Arial" w:hAnsi="Arial" w:cs="Arial"/>
          <w:sz w:val="24"/>
          <w:szCs w:val="24"/>
        </w:rPr>
        <w:lastRenderedPageBreak/>
        <w:t>Asia Pacific and Europe, the Middle East, and Africa. Hilton has financed a vast amount of investment in the Asia Pacific region in order to build its footprint, more specifically in China</w:t>
      </w:r>
      <w:r w:rsidRPr="00F37034">
        <w:rPr>
          <w:rFonts w:ascii="Arial" w:hAnsi="Arial" w:cs="Arial"/>
          <w:color w:val="000000"/>
          <w:sz w:val="24"/>
          <w:szCs w:val="24"/>
          <w:shd w:val="clear" w:color="auto" w:fill="FFFFFF"/>
        </w:rPr>
        <w:t xml:space="preserve"> (Ahsan, Qazi and Syed, 2014)</w:t>
      </w:r>
      <w:r w:rsidRPr="00F37034">
        <w:rPr>
          <w:rFonts w:ascii="Arial" w:hAnsi="Arial" w:cs="Arial"/>
          <w:sz w:val="24"/>
          <w:szCs w:val="24"/>
        </w:rPr>
        <w:t>. At the same time, 72% of Hilton's rooms belong to the American region which includes South America, Central America, and North America. Two of the major Hilton business segments are Property Ownership and Management and Franchise.</w:t>
      </w:r>
    </w:p>
    <w:p w14:paraId="39B69456" w14:textId="77777777" w:rsidR="00F37034" w:rsidRPr="00AC479D" w:rsidRDefault="00F37034" w:rsidP="00F37034">
      <w:pPr>
        <w:pStyle w:val="Heading4"/>
        <w:jc w:val="both"/>
        <w:rPr>
          <w:rFonts w:cs="Arial"/>
          <w:b w:val="0"/>
          <w:bCs/>
          <w:i w:val="0"/>
          <w:iCs w:val="0"/>
          <w:szCs w:val="24"/>
        </w:rPr>
      </w:pPr>
      <w:r w:rsidRPr="00AC479D">
        <w:rPr>
          <w:rFonts w:cs="Arial"/>
          <w:b w:val="0"/>
          <w:bCs/>
          <w:i w:val="0"/>
          <w:iCs w:val="0"/>
          <w:szCs w:val="24"/>
        </w:rPr>
        <w:t>Management and Franchise Segment</w:t>
      </w:r>
    </w:p>
    <w:p w14:paraId="2C6576A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The Management and Franchise segment of Hilton Hotel consists of almost 69% of its revenue and 99% of its properties in 2020. The Management and Franchise segment comprises all the hotels under the name of Hilton Hotel or Hilton manages' such as, from 3</w:t>
      </w:r>
      <w:r w:rsidRPr="00F37034">
        <w:rPr>
          <w:rFonts w:ascii="Arial" w:hAnsi="Arial" w:cs="Arial"/>
          <w:sz w:val="24"/>
          <w:szCs w:val="24"/>
          <w:vertAlign w:val="superscript"/>
        </w:rPr>
        <w:t>rd</w:t>
      </w:r>
      <w:r w:rsidRPr="00F37034">
        <w:rPr>
          <w:rFonts w:ascii="Arial" w:hAnsi="Arial" w:cs="Arial"/>
          <w:sz w:val="24"/>
          <w:szCs w:val="24"/>
        </w:rPr>
        <w:t xml:space="preserve"> party owners to the franchisee hotels which are licensed under the 'Hilton brand' (</w:t>
      </w:r>
      <w:r w:rsidRPr="00F37034">
        <w:rPr>
          <w:rFonts w:ascii="Arial" w:hAnsi="Arial" w:cs="Arial"/>
          <w:color w:val="000000"/>
          <w:sz w:val="24"/>
          <w:szCs w:val="24"/>
        </w:rPr>
        <w:t>Guilding, 2013</w:t>
      </w:r>
      <w:r w:rsidRPr="00F37034">
        <w:rPr>
          <w:rFonts w:ascii="Arial" w:hAnsi="Arial" w:cs="Arial"/>
          <w:sz w:val="24"/>
          <w:szCs w:val="24"/>
        </w:rPr>
        <w:t>). From a revenue point of view, there are two main sources to produce profits with the help of Hilton's Management and Franchise segment such as (i) base and incentive management fees and (ii) franchise and licensing fees</w:t>
      </w:r>
      <w:r w:rsidRPr="00F37034">
        <w:rPr>
          <w:rFonts w:ascii="Arial" w:hAnsi="Arial" w:cs="Arial"/>
          <w:color w:val="000000"/>
          <w:sz w:val="24"/>
          <w:szCs w:val="24"/>
          <w:shd w:val="clear" w:color="auto" w:fill="FFFFFF"/>
        </w:rPr>
        <w:t xml:space="preserve"> (Ahsan, Qazi and Syed, 2014)</w:t>
      </w:r>
      <w:r w:rsidRPr="00F37034">
        <w:rPr>
          <w:rFonts w:ascii="Arial" w:hAnsi="Arial" w:cs="Arial"/>
          <w:sz w:val="24"/>
          <w:szCs w:val="24"/>
        </w:rPr>
        <w:t>.  The base and incentive revenue help in production through hotel management services representing base fees (</w:t>
      </w:r>
      <w:r w:rsidRPr="00F37034">
        <w:rPr>
          <w:rFonts w:ascii="Arial" w:hAnsi="Arial" w:cs="Arial"/>
          <w:color w:val="000000"/>
          <w:sz w:val="24"/>
          <w:szCs w:val="24"/>
        </w:rPr>
        <w:t>Drury, 2015</w:t>
      </w:r>
      <w:r w:rsidRPr="00F37034">
        <w:rPr>
          <w:rFonts w:ascii="Arial" w:hAnsi="Arial" w:cs="Arial"/>
          <w:sz w:val="24"/>
          <w:szCs w:val="24"/>
        </w:rPr>
        <w:t>). And on the other hand, licensing fees of Hilton Hotel indicate the revenue produced by the licensing of the 'Hilton' brand. Franchisees pay fees to Hilton which comprises monthly royalty payments.</w:t>
      </w:r>
    </w:p>
    <w:p w14:paraId="4B864647" w14:textId="77777777" w:rsidR="00F37034" w:rsidRPr="00AC479D" w:rsidRDefault="00F37034" w:rsidP="00F37034">
      <w:pPr>
        <w:pStyle w:val="Heading4"/>
        <w:jc w:val="both"/>
        <w:rPr>
          <w:rFonts w:cs="Arial"/>
          <w:b w:val="0"/>
          <w:bCs/>
          <w:i w:val="0"/>
          <w:iCs w:val="0"/>
          <w:szCs w:val="24"/>
        </w:rPr>
      </w:pPr>
      <w:r w:rsidRPr="00AC479D">
        <w:rPr>
          <w:rFonts w:cs="Arial"/>
          <w:b w:val="0"/>
          <w:bCs/>
          <w:i w:val="0"/>
          <w:iCs w:val="0"/>
          <w:szCs w:val="24"/>
        </w:rPr>
        <w:t>Property Ownership Segment</w:t>
      </w:r>
    </w:p>
    <w:p w14:paraId="7942E88F" w14:textId="77777777" w:rsidR="00F37034" w:rsidRDefault="00F37034" w:rsidP="00F37034">
      <w:pPr>
        <w:spacing w:line="360" w:lineRule="auto"/>
        <w:jc w:val="both"/>
        <w:rPr>
          <w:rFonts w:ascii="Arial" w:hAnsi="Arial" w:cs="Arial"/>
          <w:sz w:val="24"/>
          <w:szCs w:val="24"/>
        </w:rPr>
      </w:pPr>
      <w:r w:rsidRPr="00F37034">
        <w:rPr>
          <w:rFonts w:ascii="Arial" w:hAnsi="Arial" w:cs="Arial"/>
          <w:sz w:val="24"/>
          <w:szCs w:val="24"/>
        </w:rPr>
        <w:t>The Property Ownership segment consist of only 26% of total revenue and even less than 1% of Hilton's properties in 2020. The Property Ownership segment of Hilton comprises 61 hotels totalling 19,400 rooms on December 31, 2020. The Property and Ownership segment produces revenue which indicates fees collect by room sales, food and beverages, normal hotel operations and other hospitality services</w:t>
      </w:r>
      <w:r w:rsidRPr="00F37034">
        <w:rPr>
          <w:rFonts w:ascii="Arial" w:hAnsi="Arial" w:cs="Arial"/>
          <w:color w:val="000000"/>
          <w:sz w:val="24"/>
          <w:szCs w:val="24"/>
          <w:shd w:val="clear" w:color="auto" w:fill="FFFFFF"/>
        </w:rPr>
        <w:t xml:space="preserve"> (Ahsan, Qazi and Syed, 2014)</w:t>
      </w:r>
      <w:r w:rsidRPr="00F37034">
        <w:rPr>
          <w:rFonts w:ascii="Arial" w:hAnsi="Arial" w:cs="Arial"/>
          <w:sz w:val="24"/>
          <w:szCs w:val="24"/>
        </w:rPr>
        <w:t>. Similarly, in recent years Hilton also aims to earn ~75% from Management and Franchisee segment and had heavily invested in its Management and Franchisee segment.</w:t>
      </w:r>
    </w:p>
    <w:p w14:paraId="39615065" w14:textId="77777777" w:rsidR="00AC479D" w:rsidRPr="00F37034" w:rsidRDefault="00AC479D" w:rsidP="00F37034">
      <w:pPr>
        <w:spacing w:line="360" w:lineRule="auto"/>
        <w:jc w:val="both"/>
        <w:rPr>
          <w:rFonts w:ascii="Arial" w:hAnsi="Arial" w:cs="Arial"/>
          <w:sz w:val="24"/>
          <w:szCs w:val="24"/>
        </w:rPr>
      </w:pPr>
    </w:p>
    <w:p w14:paraId="41ED33A1" w14:textId="12E62BA2" w:rsidR="00F37034" w:rsidRDefault="00F37034" w:rsidP="00F37034">
      <w:pPr>
        <w:pStyle w:val="Heading2"/>
        <w:spacing w:line="360" w:lineRule="auto"/>
        <w:jc w:val="both"/>
        <w:rPr>
          <w:rFonts w:ascii="Arial" w:hAnsi="Arial" w:cs="Arial"/>
          <w:sz w:val="24"/>
          <w:szCs w:val="24"/>
        </w:rPr>
      </w:pPr>
    </w:p>
    <w:p w14:paraId="4D68C535" w14:textId="19EF55AE" w:rsidR="00F37034" w:rsidRPr="00F37034" w:rsidRDefault="00F37034" w:rsidP="00F37034">
      <w:pPr>
        <w:rPr>
          <w:rFonts w:ascii="Arial" w:hAnsi="Arial" w:cs="Arial"/>
          <w:sz w:val="24"/>
          <w:szCs w:val="24"/>
        </w:rPr>
      </w:pPr>
      <w:r>
        <w:rPr>
          <w:rFonts w:ascii="Arial" w:hAnsi="Arial" w:cs="Arial"/>
          <w:sz w:val="24"/>
          <w:szCs w:val="24"/>
        </w:rPr>
        <w:t xml:space="preserve">Marriott International Approaches </w:t>
      </w:r>
    </w:p>
    <w:p w14:paraId="6088C7B7" w14:textId="1859B50D" w:rsidR="00F37034" w:rsidRDefault="00F37034" w:rsidP="00F37034">
      <w:pPr>
        <w:spacing w:line="360" w:lineRule="auto"/>
        <w:jc w:val="both"/>
        <w:rPr>
          <w:rFonts w:ascii="Arial" w:hAnsi="Arial" w:cs="Arial"/>
          <w:sz w:val="24"/>
          <w:szCs w:val="24"/>
        </w:rPr>
      </w:pPr>
      <w:r w:rsidRPr="00F37034">
        <w:rPr>
          <w:rFonts w:ascii="Arial" w:hAnsi="Arial" w:cs="Arial"/>
          <w:sz w:val="24"/>
          <w:szCs w:val="24"/>
        </w:rPr>
        <w:lastRenderedPageBreak/>
        <w:t>Marriott International Inc. aims to create more than 80% bigger Marriott properties worldwide. For this Marriott has a number of strategies, some of which are as follows.</w:t>
      </w:r>
    </w:p>
    <w:p w14:paraId="7F182CD6" w14:textId="1F92E56D" w:rsidR="00F37034" w:rsidRDefault="00F37034" w:rsidP="00F37034">
      <w:pPr>
        <w:spacing w:line="360" w:lineRule="auto"/>
        <w:jc w:val="both"/>
        <w:rPr>
          <w:rFonts w:ascii="Arial" w:hAnsi="Arial" w:cs="Arial"/>
          <w:sz w:val="24"/>
          <w:szCs w:val="24"/>
        </w:rPr>
      </w:pPr>
    </w:p>
    <w:p w14:paraId="5CC8D787" w14:textId="5CB5B499" w:rsidR="00F37034" w:rsidRPr="00F37034" w:rsidRDefault="00F37034" w:rsidP="00F37034">
      <w:pPr>
        <w:spacing w:line="360" w:lineRule="auto"/>
        <w:jc w:val="both"/>
        <w:rPr>
          <w:rFonts w:ascii="Arial" w:hAnsi="Arial" w:cs="Arial"/>
          <w:sz w:val="24"/>
          <w:szCs w:val="24"/>
        </w:rPr>
      </w:pPr>
      <w:r>
        <w:rPr>
          <w:rFonts w:ascii="Arial" w:hAnsi="Arial" w:cs="Arial"/>
          <w:sz w:val="24"/>
          <w:szCs w:val="24"/>
        </w:rPr>
        <w:t>Corporate Level Strategy</w:t>
      </w:r>
    </w:p>
    <w:p w14:paraId="3647BC1A" w14:textId="69A76359" w:rsidR="00F37034" w:rsidRDefault="00F37034" w:rsidP="00F37034">
      <w:pPr>
        <w:spacing w:line="360" w:lineRule="auto"/>
        <w:jc w:val="both"/>
        <w:rPr>
          <w:rFonts w:ascii="Arial" w:hAnsi="Arial" w:cs="Arial"/>
          <w:sz w:val="24"/>
          <w:szCs w:val="24"/>
        </w:rPr>
      </w:pPr>
      <w:r w:rsidRPr="00F37034">
        <w:rPr>
          <w:rFonts w:ascii="Arial" w:hAnsi="Arial" w:cs="Arial"/>
          <w:sz w:val="24"/>
          <w:szCs w:val="24"/>
        </w:rPr>
        <w:t>Marriott and Starwood’s corporate strategy aims to strengthen both firms by arranging and enhancing their market competitiveness and strong point (</w:t>
      </w:r>
      <w:r w:rsidRPr="00F37034">
        <w:rPr>
          <w:rFonts w:ascii="Arial" w:hAnsi="Arial" w:cs="Arial"/>
          <w:color w:val="000000"/>
          <w:sz w:val="24"/>
          <w:szCs w:val="24"/>
        </w:rPr>
        <w:t>Guilding, 2013</w:t>
      </w:r>
      <w:r w:rsidRPr="00F37034">
        <w:rPr>
          <w:rFonts w:ascii="Arial" w:hAnsi="Arial" w:cs="Arial"/>
          <w:sz w:val="24"/>
          <w:szCs w:val="24"/>
        </w:rPr>
        <w:t>). This permits shareholders' investment to add value and offer considerable resources to the involved participants</w:t>
      </w:r>
      <w:r w:rsidRPr="00F37034">
        <w:rPr>
          <w:rFonts w:ascii="Arial" w:hAnsi="Arial" w:cs="Arial"/>
          <w:color w:val="000000"/>
          <w:sz w:val="24"/>
          <w:szCs w:val="24"/>
          <w:shd w:val="clear" w:color="auto" w:fill="FFFFFF"/>
        </w:rPr>
        <w:t xml:space="preserve"> (Sanni Olawale, 2020)</w:t>
      </w:r>
      <w:r w:rsidRPr="00F37034">
        <w:rPr>
          <w:rFonts w:ascii="Arial" w:hAnsi="Arial" w:cs="Arial"/>
          <w:sz w:val="24"/>
          <w:szCs w:val="24"/>
        </w:rPr>
        <w:t>. This allows Marriott to capture more competitive variables and profit and ensure a considerable profit margin.</w:t>
      </w:r>
    </w:p>
    <w:p w14:paraId="3FC40BEB" w14:textId="5E6937E7" w:rsidR="00F37034" w:rsidRPr="00F37034" w:rsidRDefault="00F37034" w:rsidP="00F37034">
      <w:pPr>
        <w:spacing w:line="360" w:lineRule="auto"/>
        <w:jc w:val="both"/>
        <w:rPr>
          <w:rFonts w:ascii="Arial" w:hAnsi="Arial" w:cs="Arial"/>
          <w:sz w:val="24"/>
          <w:szCs w:val="24"/>
        </w:rPr>
      </w:pPr>
      <w:r>
        <w:rPr>
          <w:rFonts w:ascii="Arial" w:hAnsi="Arial" w:cs="Arial"/>
          <w:sz w:val="24"/>
          <w:szCs w:val="24"/>
        </w:rPr>
        <w:t>Business Level Strategy</w:t>
      </w:r>
    </w:p>
    <w:p w14:paraId="790810D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Marriott aims to increase its worldwide net worth from 5.2 to 5.45 per cent in the year 2022. The company’s gross revenue for 2022 is anticipated to surge from $5.067 million to $5.145 million, a 5 per cent increase from 2021's total income. At the business level, the main determinants focused on are best cost, differentiation and low cost (</w:t>
      </w:r>
      <w:r w:rsidRPr="00F37034">
        <w:rPr>
          <w:rFonts w:ascii="Arial" w:hAnsi="Arial" w:cs="Arial"/>
          <w:color w:val="000000"/>
          <w:sz w:val="24"/>
          <w:szCs w:val="24"/>
          <w:shd w:val="clear" w:color="auto" w:fill="FFFFFF"/>
        </w:rPr>
        <w:t>Sanni Olawale, 2020)</w:t>
      </w:r>
      <w:r w:rsidRPr="00F37034">
        <w:rPr>
          <w:rFonts w:ascii="Arial" w:hAnsi="Arial" w:cs="Arial"/>
          <w:sz w:val="24"/>
          <w:szCs w:val="24"/>
        </w:rPr>
        <w:t>. Therefore, the companies have the benefit of low cost and best services which are amalgamated through differentiation, as they transformed both companies as one unit, which allows them to give their competitors tough competition in a negotiating pattern and robust differentiating, which apparently help in reducing operating cost and increased profitability (</w:t>
      </w:r>
      <w:r w:rsidRPr="00F37034">
        <w:rPr>
          <w:rFonts w:ascii="Arial" w:hAnsi="Arial" w:cs="Arial"/>
          <w:color w:val="000000"/>
          <w:sz w:val="24"/>
          <w:szCs w:val="24"/>
        </w:rPr>
        <w:t>Drury, 2015</w:t>
      </w:r>
      <w:r w:rsidRPr="00F37034">
        <w:rPr>
          <w:rFonts w:ascii="Arial" w:hAnsi="Arial" w:cs="Arial"/>
          <w:sz w:val="24"/>
          <w:szCs w:val="24"/>
        </w:rPr>
        <w:t>).</w:t>
      </w:r>
    </w:p>
    <w:p w14:paraId="064BEA1A" w14:textId="1947009F" w:rsidR="00F37034" w:rsidRDefault="00F37034" w:rsidP="00F37034">
      <w:pPr>
        <w:pStyle w:val="Heading2"/>
        <w:spacing w:line="360" w:lineRule="auto"/>
        <w:jc w:val="both"/>
        <w:rPr>
          <w:rFonts w:ascii="Arial" w:hAnsi="Arial" w:cs="Arial"/>
          <w:sz w:val="24"/>
          <w:szCs w:val="24"/>
        </w:rPr>
      </w:pPr>
    </w:p>
    <w:p w14:paraId="2666605F" w14:textId="57F6DDBE" w:rsidR="00F37034" w:rsidRDefault="00F37034" w:rsidP="00F37034">
      <w:pPr>
        <w:rPr>
          <w:rFonts w:ascii="Arial" w:hAnsi="Arial" w:cs="Arial"/>
          <w:sz w:val="24"/>
          <w:szCs w:val="24"/>
        </w:rPr>
      </w:pPr>
      <w:r>
        <w:rPr>
          <w:rFonts w:ascii="Arial" w:hAnsi="Arial" w:cs="Arial"/>
          <w:sz w:val="24"/>
          <w:szCs w:val="24"/>
        </w:rPr>
        <w:t>Marriott International</w:t>
      </w:r>
    </w:p>
    <w:p w14:paraId="53B1D86B" w14:textId="77777777" w:rsidR="00F37034" w:rsidRPr="00F37034" w:rsidRDefault="00F37034" w:rsidP="00F37034">
      <w:pPr>
        <w:rPr>
          <w:rFonts w:ascii="Arial" w:hAnsi="Arial" w:cs="Arial"/>
          <w:sz w:val="24"/>
          <w:szCs w:val="24"/>
        </w:rPr>
      </w:pPr>
    </w:p>
    <w:p w14:paraId="2960AB0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Table 1. Changes in Marriott’s cash flow between 2012 and 2020</w:t>
      </w:r>
    </w:p>
    <w:p w14:paraId="7C8E259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Source: (</w:t>
      </w:r>
      <w:r w:rsidRPr="00F37034">
        <w:rPr>
          <w:rFonts w:ascii="Arial" w:hAnsi="Arial" w:cs="Arial"/>
          <w:color w:val="000000"/>
          <w:sz w:val="24"/>
          <w:szCs w:val="24"/>
          <w:shd w:val="clear" w:color="auto" w:fill="FFFFFF"/>
        </w:rPr>
        <w:t>StudyCorgi.com, 2022)</w:t>
      </w:r>
    </w:p>
    <w:tbl>
      <w:tblPr>
        <w:tblStyle w:val="TableGrid"/>
        <w:tblW w:w="9805" w:type="dxa"/>
        <w:tblLayout w:type="fixed"/>
        <w:tblLook w:val="04A0" w:firstRow="1" w:lastRow="0" w:firstColumn="1" w:lastColumn="0" w:noHBand="0" w:noVBand="1"/>
      </w:tblPr>
      <w:tblGrid>
        <w:gridCol w:w="1270"/>
        <w:gridCol w:w="975"/>
        <w:gridCol w:w="900"/>
        <w:gridCol w:w="990"/>
        <w:gridCol w:w="1080"/>
        <w:gridCol w:w="900"/>
        <w:gridCol w:w="990"/>
        <w:gridCol w:w="990"/>
        <w:gridCol w:w="810"/>
        <w:gridCol w:w="900"/>
      </w:tblGrid>
      <w:tr w:rsidR="00F37034" w:rsidRPr="00F37034" w14:paraId="08BCBCBE" w14:textId="77777777" w:rsidTr="00D40A8E">
        <w:trPr>
          <w:trHeight w:val="548"/>
        </w:trPr>
        <w:tc>
          <w:tcPr>
            <w:tcW w:w="1270" w:type="dxa"/>
          </w:tcPr>
          <w:p w14:paraId="74455AA9" w14:textId="77777777" w:rsidR="00F37034" w:rsidRPr="00F37034" w:rsidRDefault="00F37034" w:rsidP="00F37034">
            <w:pPr>
              <w:spacing w:line="360" w:lineRule="auto"/>
              <w:jc w:val="both"/>
              <w:rPr>
                <w:rFonts w:ascii="Arial" w:hAnsi="Arial" w:cs="Arial"/>
                <w:sz w:val="24"/>
                <w:szCs w:val="24"/>
              </w:rPr>
            </w:pPr>
          </w:p>
        </w:tc>
        <w:tc>
          <w:tcPr>
            <w:tcW w:w="975" w:type="dxa"/>
          </w:tcPr>
          <w:p w14:paraId="23B3FDC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2012</w:t>
            </w:r>
          </w:p>
        </w:tc>
        <w:tc>
          <w:tcPr>
            <w:tcW w:w="900" w:type="dxa"/>
          </w:tcPr>
          <w:p w14:paraId="4B1C9DC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2013</w:t>
            </w:r>
          </w:p>
        </w:tc>
        <w:tc>
          <w:tcPr>
            <w:tcW w:w="990" w:type="dxa"/>
          </w:tcPr>
          <w:p w14:paraId="23DDC23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2014</w:t>
            </w:r>
          </w:p>
        </w:tc>
        <w:tc>
          <w:tcPr>
            <w:tcW w:w="1080" w:type="dxa"/>
          </w:tcPr>
          <w:p w14:paraId="0D71B46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2015</w:t>
            </w:r>
          </w:p>
        </w:tc>
        <w:tc>
          <w:tcPr>
            <w:tcW w:w="900" w:type="dxa"/>
          </w:tcPr>
          <w:p w14:paraId="5E22416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2016</w:t>
            </w:r>
          </w:p>
        </w:tc>
        <w:tc>
          <w:tcPr>
            <w:tcW w:w="990" w:type="dxa"/>
          </w:tcPr>
          <w:p w14:paraId="633528B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2017</w:t>
            </w:r>
          </w:p>
        </w:tc>
        <w:tc>
          <w:tcPr>
            <w:tcW w:w="990" w:type="dxa"/>
          </w:tcPr>
          <w:p w14:paraId="0969170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2018</w:t>
            </w:r>
          </w:p>
        </w:tc>
        <w:tc>
          <w:tcPr>
            <w:tcW w:w="810" w:type="dxa"/>
          </w:tcPr>
          <w:p w14:paraId="1FA55A1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2019</w:t>
            </w:r>
          </w:p>
        </w:tc>
        <w:tc>
          <w:tcPr>
            <w:tcW w:w="900" w:type="dxa"/>
          </w:tcPr>
          <w:p w14:paraId="257EB39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2020</w:t>
            </w:r>
          </w:p>
        </w:tc>
      </w:tr>
      <w:tr w:rsidR="00F37034" w:rsidRPr="00F37034" w14:paraId="6C05F615" w14:textId="77777777" w:rsidTr="00D40A8E">
        <w:trPr>
          <w:trHeight w:val="935"/>
        </w:trPr>
        <w:tc>
          <w:tcPr>
            <w:tcW w:w="1270" w:type="dxa"/>
          </w:tcPr>
          <w:p w14:paraId="4BA1756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Net Cash Flow</w:t>
            </w:r>
          </w:p>
        </w:tc>
        <w:tc>
          <w:tcPr>
            <w:tcW w:w="975" w:type="dxa"/>
          </w:tcPr>
          <w:p w14:paraId="0C22BD7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-0.01B</w:t>
            </w:r>
          </w:p>
        </w:tc>
        <w:tc>
          <w:tcPr>
            <w:tcW w:w="900" w:type="dxa"/>
          </w:tcPr>
          <w:p w14:paraId="2BCBB3D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0.03B</w:t>
            </w:r>
          </w:p>
        </w:tc>
        <w:tc>
          <w:tcPr>
            <w:tcW w:w="990" w:type="dxa"/>
          </w:tcPr>
          <w:p w14:paraId="40BFBDC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-0.02B</w:t>
            </w:r>
          </w:p>
        </w:tc>
        <w:tc>
          <w:tcPr>
            <w:tcW w:w="1080" w:type="dxa"/>
          </w:tcPr>
          <w:p w14:paraId="16E0B11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-0.008B</w:t>
            </w:r>
          </w:p>
        </w:tc>
        <w:tc>
          <w:tcPr>
            <w:tcW w:w="900" w:type="dxa"/>
          </w:tcPr>
          <w:p w14:paraId="44F5CC5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0.77B</w:t>
            </w:r>
          </w:p>
        </w:tc>
        <w:tc>
          <w:tcPr>
            <w:tcW w:w="990" w:type="dxa"/>
          </w:tcPr>
          <w:p w14:paraId="24AD066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-0.46B</w:t>
            </w:r>
          </w:p>
        </w:tc>
        <w:tc>
          <w:tcPr>
            <w:tcW w:w="990" w:type="dxa"/>
          </w:tcPr>
          <w:p w14:paraId="1CDBDE1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-0.07B</w:t>
            </w:r>
          </w:p>
        </w:tc>
        <w:tc>
          <w:tcPr>
            <w:tcW w:w="810" w:type="dxa"/>
          </w:tcPr>
          <w:p w14:paraId="39E2BF3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-0.1B</w:t>
            </w:r>
          </w:p>
        </w:tc>
        <w:tc>
          <w:tcPr>
            <w:tcW w:w="900" w:type="dxa"/>
          </w:tcPr>
          <w:p w14:paraId="4ACE6BA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0.64B</w:t>
            </w:r>
          </w:p>
        </w:tc>
      </w:tr>
      <w:tr w:rsidR="00F37034" w:rsidRPr="00F37034" w14:paraId="5D3B77D8" w14:textId="77777777" w:rsidTr="00D40A8E">
        <w:trPr>
          <w:trHeight w:val="863"/>
        </w:trPr>
        <w:tc>
          <w:tcPr>
            <w:tcW w:w="1270" w:type="dxa"/>
          </w:tcPr>
          <w:p w14:paraId="3BBE77D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lastRenderedPageBreak/>
              <w:t>Operating Cash Flow</w:t>
            </w:r>
          </w:p>
        </w:tc>
        <w:tc>
          <w:tcPr>
            <w:tcW w:w="975" w:type="dxa"/>
          </w:tcPr>
          <w:p w14:paraId="150868D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-0.03</w:t>
            </w:r>
          </w:p>
        </w:tc>
        <w:tc>
          <w:tcPr>
            <w:tcW w:w="900" w:type="dxa"/>
          </w:tcPr>
          <w:p w14:paraId="7EAA017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0.67</w:t>
            </w:r>
          </w:p>
        </w:tc>
        <w:tc>
          <w:tcPr>
            <w:tcW w:w="990" w:type="dxa"/>
          </w:tcPr>
          <w:p w14:paraId="5B07803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0.48</w:t>
            </w:r>
          </w:p>
        </w:tc>
        <w:tc>
          <w:tcPr>
            <w:tcW w:w="1080" w:type="dxa"/>
          </w:tcPr>
          <w:p w14:paraId="49CE57D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1.43</w:t>
            </w:r>
          </w:p>
        </w:tc>
        <w:tc>
          <w:tcPr>
            <w:tcW w:w="900" w:type="dxa"/>
          </w:tcPr>
          <w:p w14:paraId="0C0C536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-0.08</w:t>
            </w:r>
          </w:p>
        </w:tc>
        <w:tc>
          <w:tcPr>
            <w:tcW w:w="990" w:type="dxa"/>
          </w:tcPr>
          <w:p w14:paraId="4FE88C2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0.39</w:t>
            </w:r>
          </w:p>
        </w:tc>
        <w:tc>
          <w:tcPr>
            <w:tcW w:w="990" w:type="dxa"/>
          </w:tcPr>
          <w:p w14:paraId="2754B58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0.79</w:t>
            </w:r>
          </w:p>
        </w:tc>
        <w:tc>
          <w:tcPr>
            <w:tcW w:w="810" w:type="dxa"/>
          </w:tcPr>
          <w:p w14:paraId="77C54A0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1.63</w:t>
            </w:r>
          </w:p>
        </w:tc>
        <w:tc>
          <w:tcPr>
            <w:tcW w:w="900" w:type="dxa"/>
          </w:tcPr>
          <w:p w14:paraId="66B5885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0.008</w:t>
            </w:r>
          </w:p>
        </w:tc>
      </w:tr>
    </w:tbl>
    <w:p w14:paraId="4D71934D" w14:textId="77777777" w:rsidR="00F37034" w:rsidRPr="00F37034" w:rsidRDefault="00F37034" w:rsidP="00F37034">
      <w:pPr>
        <w:spacing w:line="360" w:lineRule="auto"/>
        <w:jc w:val="both"/>
        <w:rPr>
          <w:rFonts w:ascii="Arial" w:hAnsi="Arial" w:cs="Arial"/>
          <w:sz w:val="24"/>
          <w:szCs w:val="24"/>
        </w:rPr>
      </w:pPr>
    </w:p>
    <w:p w14:paraId="192CD82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Table 2. Changes in Marriott’s efficiency ratio between 2012 and 2020</w:t>
      </w:r>
    </w:p>
    <w:p w14:paraId="686D083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Source: (</w:t>
      </w:r>
      <w:r w:rsidRPr="00F37034">
        <w:rPr>
          <w:rFonts w:ascii="Arial" w:hAnsi="Arial" w:cs="Arial"/>
          <w:color w:val="000000"/>
          <w:sz w:val="24"/>
          <w:szCs w:val="24"/>
          <w:shd w:val="clear" w:color="auto" w:fill="FFFFFF"/>
        </w:rPr>
        <w:t>StudyCorgi.com, 2022)</w:t>
      </w:r>
    </w:p>
    <w:tbl>
      <w:tblPr>
        <w:tblStyle w:val="TableGrid"/>
        <w:tblW w:w="9805" w:type="dxa"/>
        <w:tblLayout w:type="fixed"/>
        <w:tblLook w:val="04A0" w:firstRow="1" w:lastRow="0" w:firstColumn="1" w:lastColumn="0" w:noHBand="0" w:noVBand="1"/>
      </w:tblPr>
      <w:tblGrid>
        <w:gridCol w:w="1435"/>
        <w:gridCol w:w="900"/>
        <w:gridCol w:w="900"/>
        <w:gridCol w:w="900"/>
        <w:gridCol w:w="1080"/>
        <w:gridCol w:w="900"/>
        <w:gridCol w:w="990"/>
        <w:gridCol w:w="810"/>
        <w:gridCol w:w="990"/>
        <w:gridCol w:w="900"/>
      </w:tblGrid>
      <w:tr w:rsidR="00F37034" w:rsidRPr="00F37034" w14:paraId="45CCE98D" w14:textId="77777777" w:rsidTr="00D40A8E">
        <w:trPr>
          <w:trHeight w:val="548"/>
        </w:trPr>
        <w:tc>
          <w:tcPr>
            <w:tcW w:w="1435" w:type="dxa"/>
          </w:tcPr>
          <w:p w14:paraId="39E0FABA" w14:textId="77777777" w:rsidR="00F37034" w:rsidRPr="00F37034" w:rsidRDefault="00F37034" w:rsidP="00F37034">
            <w:pPr>
              <w:spacing w:line="360" w:lineRule="auto"/>
              <w:jc w:val="both"/>
              <w:rPr>
                <w:rFonts w:ascii="Arial" w:hAnsi="Arial" w:cs="Arial"/>
                <w:sz w:val="24"/>
                <w:szCs w:val="24"/>
              </w:rPr>
            </w:pPr>
          </w:p>
        </w:tc>
        <w:tc>
          <w:tcPr>
            <w:tcW w:w="900" w:type="dxa"/>
          </w:tcPr>
          <w:p w14:paraId="06FF75C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2012</w:t>
            </w:r>
          </w:p>
        </w:tc>
        <w:tc>
          <w:tcPr>
            <w:tcW w:w="900" w:type="dxa"/>
          </w:tcPr>
          <w:p w14:paraId="1155523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2013</w:t>
            </w:r>
          </w:p>
        </w:tc>
        <w:tc>
          <w:tcPr>
            <w:tcW w:w="900" w:type="dxa"/>
          </w:tcPr>
          <w:p w14:paraId="113EFCE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2014</w:t>
            </w:r>
          </w:p>
        </w:tc>
        <w:tc>
          <w:tcPr>
            <w:tcW w:w="1080" w:type="dxa"/>
          </w:tcPr>
          <w:p w14:paraId="3879720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2015</w:t>
            </w:r>
          </w:p>
        </w:tc>
        <w:tc>
          <w:tcPr>
            <w:tcW w:w="900" w:type="dxa"/>
          </w:tcPr>
          <w:p w14:paraId="26193CC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2016</w:t>
            </w:r>
          </w:p>
        </w:tc>
        <w:tc>
          <w:tcPr>
            <w:tcW w:w="990" w:type="dxa"/>
          </w:tcPr>
          <w:p w14:paraId="313D994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2017</w:t>
            </w:r>
          </w:p>
        </w:tc>
        <w:tc>
          <w:tcPr>
            <w:tcW w:w="810" w:type="dxa"/>
          </w:tcPr>
          <w:p w14:paraId="232D08D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2018</w:t>
            </w:r>
          </w:p>
        </w:tc>
        <w:tc>
          <w:tcPr>
            <w:tcW w:w="990" w:type="dxa"/>
          </w:tcPr>
          <w:p w14:paraId="11B9CD3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2019</w:t>
            </w:r>
          </w:p>
        </w:tc>
        <w:tc>
          <w:tcPr>
            <w:tcW w:w="900" w:type="dxa"/>
          </w:tcPr>
          <w:p w14:paraId="20039DE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2020</w:t>
            </w:r>
          </w:p>
        </w:tc>
      </w:tr>
      <w:tr w:rsidR="00F37034" w:rsidRPr="00F37034" w14:paraId="6579DBC0" w14:textId="77777777" w:rsidTr="00D40A8E">
        <w:trPr>
          <w:trHeight w:val="935"/>
        </w:trPr>
        <w:tc>
          <w:tcPr>
            <w:tcW w:w="1435" w:type="dxa"/>
          </w:tcPr>
          <w:p w14:paraId="6128A92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Asset Turnover</w:t>
            </w:r>
          </w:p>
        </w:tc>
        <w:tc>
          <w:tcPr>
            <w:tcW w:w="900" w:type="dxa"/>
          </w:tcPr>
          <w:p w14:paraId="6FED27D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1.86</w:t>
            </w:r>
          </w:p>
        </w:tc>
        <w:tc>
          <w:tcPr>
            <w:tcW w:w="900" w:type="dxa"/>
          </w:tcPr>
          <w:p w14:paraId="781E163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1.88</w:t>
            </w:r>
          </w:p>
        </w:tc>
        <w:tc>
          <w:tcPr>
            <w:tcW w:w="900" w:type="dxa"/>
          </w:tcPr>
          <w:p w14:paraId="3546C49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w:t>
            </w:r>
          </w:p>
        </w:tc>
        <w:tc>
          <w:tcPr>
            <w:tcW w:w="1080" w:type="dxa"/>
          </w:tcPr>
          <w:p w14:paraId="76F0F73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2.38</w:t>
            </w:r>
          </w:p>
        </w:tc>
        <w:tc>
          <w:tcPr>
            <w:tcW w:w="900" w:type="dxa"/>
          </w:tcPr>
          <w:p w14:paraId="1549372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0.53</w:t>
            </w:r>
          </w:p>
        </w:tc>
        <w:tc>
          <w:tcPr>
            <w:tcW w:w="990" w:type="dxa"/>
          </w:tcPr>
          <w:p w14:paraId="34D586F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0.85</w:t>
            </w:r>
          </w:p>
        </w:tc>
        <w:tc>
          <w:tcPr>
            <w:tcW w:w="810" w:type="dxa"/>
          </w:tcPr>
          <w:p w14:paraId="7EA6B91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0.87</w:t>
            </w:r>
          </w:p>
        </w:tc>
        <w:tc>
          <w:tcPr>
            <w:tcW w:w="990" w:type="dxa"/>
          </w:tcPr>
          <w:p w14:paraId="5D17BCF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0.83</w:t>
            </w:r>
          </w:p>
        </w:tc>
        <w:tc>
          <w:tcPr>
            <w:tcW w:w="900" w:type="dxa"/>
          </w:tcPr>
          <w:p w14:paraId="72BA05B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0.42</w:t>
            </w:r>
          </w:p>
        </w:tc>
      </w:tr>
      <w:tr w:rsidR="00F37034" w:rsidRPr="00F37034" w14:paraId="1757E0FA" w14:textId="77777777" w:rsidTr="00D40A8E">
        <w:trPr>
          <w:trHeight w:val="863"/>
        </w:trPr>
        <w:tc>
          <w:tcPr>
            <w:tcW w:w="1435" w:type="dxa"/>
          </w:tcPr>
          <w:p w14:paraId="0EF03D4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Inventory Turnover</w:t>
            </w:r>
          </w:p>
        </w:tc>
        <w:tc>
          <w:tcPr>
            <w:tcW w:w="900" w:type="dxa"/>
          </w:tcPr>
          <w:p w14:paraId="316B8F2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00" w:type="dxa"/>
          </w:tcPr>
          <w:p w14:paraId="0660AF0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00" w:type="dxa"/>
          </w:tcPr>
          <w:p w14:paraId="4626844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1080" w:type="dxa"/>
          </w:tcPr>
          <w:p w14:paraId="4EADFD4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00" w:type="dxa"/>
          </w:tcPr>
          <w:p w14:paraId="03DB347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90" w:type="dxa"/>
          </w:tcPr>
          <w:p w14:paraId="0B78634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810" w:type="dxa"/>
          </w:tcPr>
          <w:p w14:paraId="2484FDB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90" w:type="dxa"/>
          </w:tcPr>
          <w:p w14:paraId="1D0669C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00" w:type="dxa"/>
          </w:tcPr>
          <w:p w14:paraId="1A14499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r>
      <w:tr w:rsidR="00F37034" w:rsidRPr="00F37034" w14:paraId="621B21FF" w14:textId="77777777" w:rsidTr="00D40A8E">
        <w:trPr>
          <w:trHeight w:val="863"/>
        </w:trPr>
        <w:tc>
          <w:tcPr>
            <w:tcW w:w="1435" w:type="dxa"/>
          </w:tcPr>
          <w:p w14:paraId="215E965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Receivable Turnover</w:t>
            </w:r>
          </w:p>
        </w:tc>
        <w:tc>
          <w:tcPr>
            <w:tcW w:w="900" w:type="dxa"/>
          </w:tcPr>
          <w:p w14:paraId="44BB227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11.49</w:t>
            </w:r>
          </w:p>
        </w:tc>
        <w:tc>
          <w:tcPr>
            <w:tcW w:w="900" w:type="dxa"/>
          </w:tcPr>
          <w:p w14:paraId="5A25D6F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11.82</w:t>
            </w:r>
          </w:p>
        </w:tc>
        <w:tc>
          <w:tcPr>
            <w:tcW w:w="900" w:type="dxa"/>
          </w:tcPr>
          <w:p w14:paraId="78B3BFB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12.54</w:t>
            </w:r>
          </w:p>
        </w:tc>
        <w:tc>
          <w:tcPr>
            <w:tcW w:w="1080" w:type="dxa"/>
          </w:tcPr>
          <w:p w14:paraId="22CF3D2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13.13</w:t>
            </w:r>
          </w:p>
        </w:tc>
        <w:tc>
          <w:tcPr>
            <w:tcW w:w="900" w:type="dxa"/>
          </w:tcPr>
          <w:p w14:paraId="0369E14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9.08</w:t>
            </w:r>
          </w:p>
        </w:tc>
        <w:tc>
          <w:tcPr>
            <w:tcW w:w="990" w:type="dxa"/>
          </w:tcPr>
          <w:p w14:paraId="0FF5228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10.36</w:t>
            </w:r>
          </w:p>
        </w:tc>
        <w:tc>
          <w:tcPr>
            <w:tcW w:w="810" w:type="dxa"/>
          </w:tcPr>
          <w:p w14:paraId="4A3ABA4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9.7</w:t>
            </w:r>
          </w:p>
        </w:tc>
        <w:tc>
          <w:tcPr>
            <w:tcW w:w="990" w:type="dxa"/>
          </w:tcPr>
          <w:p w14:paraId="4A0863A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58.75</w:t>
            </w:r>
          </w:p>
        </w:tc>
        <w:tc>
          <w:tcPr>
            <w:tcW w:w="900" w:type="dxa"/>
          </w:tcPr>
          <w:p w14:paraId="3EE4945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5.97</w:t>
            </w:r>
          </w:p>
        </w:tc>
      </w:tr>
    </w:tbl>
    <w:p w14:paraId="45F4186A" w14:textId="77777777" w:rsidR="00F37034" w:rsidRPr="00F37034" w:rsidRDefault="00F37034" w:rsidP="00F37034">
      <w:pPr>
        <w:spacing w:line="360" w:lineRule="auto"/>
        <w:jc w:val="both"/>
        <w:rPr>
          <w:rFonts w:ascii="Arial" w:hAnsi="Arial" w:cs="Arial"/>
          <w:sz w:val="24"/>
          <w:szCs w:val="24"/>
        </w:rPr>
      </w:pPr>
    </w:p>
    <w:p w14:paraId="4059801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Table 3. Changes in Marriott’s liquidity ratio between 2012 and 2020</w:t>
      </w:r>
    </w:p>
    <w:p w14:paraId="449497B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Source: (</w:t>
      </w:r>
      <w:r w:rsidRPr="00F37034">
        <w:rPr>
          <w:rFonts w:ascii="Arial" w:hAnsi="Arial" w:cs="Arial"/>
          <w:color w:val="000000"/>
          <w:sz w:val="24"/>
          <w:szCs w:val="24"/>
          <w:shd w:val="clear" w:color="auto" w:fill="FFFFFF"/>
        </w:rPr>
        <w:t>StudyCorgi.com, 2022)</w:t>
      </w:r>
    </w:p>
    <w:tbl>
      <w:tblPr>
        <w:tblStyle w:val="TableGrid"/>
        <w:tblW w:w="9805" w:type="dxa"/>
        <w:tblLayout w:type="fixed"/>
        <w:tblLook w:val="04A0" w:firstRow="1" w:lastRow="0" w:firstColumn="1" w:lastColumn="0" w:noHBand="0" w:noVBand="1"/>
      </w:tblPr>
      <w:tblGrid>
        <w:gridCol w:w="1435"/>
        <w:gridCol w:w="900"/>
        <w:gridCol w:w="900"/>
        <w:gridCol w:w="900"/>
        <w:gridCol w:w="1080"/>
        <w:gridCol w:w="900"/>
        <w:gridCol w:w="990"/>
        <w:gridCol w:w="810"/>
        <w:gridCol w:w="990"/>
        <w:gridCol w:w="900"/>
      </w:tblGrid>
      <w:tr w:rsidR="00F37034" w:rsidRPr="00F37034" w14:paraId="50527DA5" w14:textId="77777777" w:rsidTr="00D40A8E">
        <w:trPr>
          <w:trHeight w:val="548"/>
        </w:trPr>
        <w:tc>
          <w:tcPr>
            <w:tcW w:w="1435" w:type="dxa"/>
          </w:tcPr>
          <w:p w14:paraId="138C8C97" w14:textId="77777777" w:rsidR="00F37034" w:rsidRPr="00F37034" w:rsidRDefault="00F37034" w:rsidP="00F37034">
            <w:pPr>
              <w:spacing w:line="360" w:lineRule="auto"/>
              <w:jc w:val="both"/>
              <w:rPr>
                <w:rFonts w:ascii="Arial" w:hAnsi="Arial" w:cs="Arial"/>
                <w:sz w:val="24"/>
                <w:szCs w:val="24"/>
              </w:rPr>
            </w:pPr>
          </w:p>
        </w:tc>
        <w:tc>
          <w:tcPr>
            <w:tcW w:w="900" w:type="dxa"/>
          </w:tcPr>
          <w:p w14:paraId="11FA392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2012</w:t>
            </w:r>
          </w:p>
        </w:tc>
        <w:tc>
          <w:tcPr>
            <w:tcW w:w="900" w:type="dxa"/>
          </w:tcPr>
          <w:p w14:paraId="47702F4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2013</w:t>
            </w:r>
          </w:p>
        </w:tc>
        <w:tc>
          <w:tcPr>
            <w:tcW w:w="900" w:type="dxa"/>
          </w:tcPr>
          <w:p w14:paraId="35D30FB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2014</w:t>
            </w:r>
          </w:p>
        </w:tc>
        <w:tc>
          <w:tcPr>
            <w:tcW w:w="1080" w:type="dxa"/>
          </w:tcPr>
          <w:p w14:paraId="7D0E8D2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2015</w:t>
            </w:r>
          </w:p>
        </w:tc>
        <w:tc>
          <w:tcPr>
            <w:tcW w:w="900" w:type="dxa"/>
          </w:tcPr>
          <w:p w14:paraId="324B3CA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2016</w:t>
            </w:r>
          </w:p>
        </w:tc>
        <w:tc>
          <w:tcPr>
            <w:tcW w:w="990" w:type="dxa"/>
          </w:tcPr>
          <w:p w14:paraId="0B61F6B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2017</w:t>
            </w:r>
          </w:p>
        </w:tc>
        <w:tc>
          <w:tcPr>
            <w:tcW w:w="810" w:type="dxa"/>
          </w:tcPr>
          <w:p w14:paraId="484342A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2018</w:t>
            </w:r>
          </w:p>
        </w:tc>
        <w:tc>
          <w:tcPr>
            <w:tcW w:w="990" w:type="dxa"/>
          </w:tcPr>
          <w:p w14:paraId="57607E3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2019</w:t>
            </w:r>
          </w:p>
        </w:tc>
        <w:tc>
          <w:tcPr>
            <w:tcW w:w="900" w:type="dxa"/>
          </w:tcPr>
          <w:p w14:paraId="2BD61E3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2020</w:t>
            </w:r>
          </w:p>
        </w:tc>
      </w:tr>
      <w:tr w:rsidR="00F37034" w:rsidRPr="00F37034" w14:paraId="6D7DF3E5" w14:textId="77777777" w:rsidTr="00D40A8E">
        <w:trPr>
          <w:trHeight w:val="935"/>
        </w:trPr>
        <w:tc>
          <w:tcPr>
            <w:tcW w:w="1435" w:type="dxa"/>
          </w:tcPr>
          <w:p w14:paraId="07AB165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Current assets</w:t>
            </w:r>
          </w:p>
        </w:tc>
        <w:tc>
          <w:tcPr>
            <w:tcW w:w="900" w:type="dxa"/>
          </w:tcPr>
          <w:p w14:paraId="49848A3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1.47</w:t>
            </w:r>
          </w:p>
        </w:tc>
        <w:tc>
          <w:tcPr>
            <w:tcW w:w="900" w:type="dxa"/>
          </w:tcPr>
          <w:p w14:paraId="7CB7BA9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1.9</w:t>
            </w:r>
          </w:p>
        </w:tc>
        <w:tc>
          <w:tcPr>
            <w:tcW w:w="900" w:type="dxa"/>
          </w:tcPr>
          <w:p w14:paraId="2F7F40A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1.6</w:t>
            </w:r>
          </w:p>
        </w:tc>
        <w:tc>
          <w:tcPr>
            <w:tcW w:w="1080" w:type="dxa"/>
          </w:tcPr>
          <w:p w14:paraId="3FE006E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1.38</w:t>
            </w:r>
          </w:p>
        </w:tc>
        <w:tc>
          <w:tcPr>
            <w:tcW w:w="900" w:type="dxa"/>
          </w:tcPr>
          <w:p w14:paraId="1074D92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3.37</w:t>
            </w:r>
          </w:p>
        </w:tc>
        <w:tc>
          <w:tcPr>
            <w:tcW w:w="990" w:type="dxa"/>
          </w:tcPr>
          <w:p w14:paraId="6DBA965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2.74</w:t>
            </w:r>
          </w:p>
        </w:tc>
        <w:tc>
          <w:tcPr>
            <w:tcW w:w="810" w:type="dxa"/>
          </w:tcPr>
          <w:p w14:paraId="2A2648C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2.71</w:t>
            </w:r>
          </w:p>
        </w:tc>
        <w:tc>
          <w:tcPr>
            <w:tcW w:w="990" w:type="dxa"/>
          </w:tcPr>
          <w:p w14:paraId="19C36EC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3.13</w:t>
            </w:r>
          </w:p>
        </w:tc>
        <w:tc>
          <w:tcPr>
            <w:tcW w:w="900" w:type="dxa"/>
          </w:tcPr>
          <w:p w14:paraId="797DE31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2.82</w:t>
            </w:r>
          </w:p>
        </w:tc>
      </w:tr>
      <w:tr w:rsidR="00F37034" w:rsidRPr="00F37034" w14:paraId="065D7D07" w14:textId="77777777" w:rsidTr="00D40A8E">
        <w:trPr>
          <w:trHeight w:val="863"/>
        </w:trPr>
        <w:tc>
          <w:tcPr>
            <w:tcW w:w="1435" w:type="dxa"/>
          </w:tcPr>
          <w:p w14:paraId="140292D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Current liabilities</w:t>
            </w:r>
          </w:p>
        </w:tc>
        <w:tc>
          <w:tcPr>
            <w:tcW w:w="900" w:type="dxa"/>
          </w:tcPr>
          <w:p w14:paraId="41C8760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2.77</w:t>
            </w:r>
          </w:p>
        </w:tc>
        <w:tc>
          <w:tcPr>
            <w:tcW w:w="900" w:type="dxa"/>
          </w:tcPr>
          <w:p w14:paraId="4264092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2.67</w:t>
            </w:r>
          </w:p>
        </w:tc>
        <w:tc>
          <w:tcPr>
            <w:tcW w:w="900" w:type="dxa"/>
          </w:tcPr>
          <w:p w14:paraId="12BF587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3.03</w:t>
            </w:r>
          </w:p>
        </w:tc>
        <w:tc>
          <w:tcPr>
            <w:tcW w:w="1080" w:type="dxa"/>
          </w:tcPr>
          <w:p w14:paraId="51B16B0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3.23</w:t>
            </w:r>
          </w:p>
        </w:tc>
        <w:tc>
          <w:tcPr>
            <w:tcW w:w="900" w:type="dxa"/>
          </w:tcPr>
          <w:p w14:paraId="1E64B6C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5.15</w:t>
            </w:r>
          </w:p>
        </w:tc>
        <w:tc>
          <w:tcPr>
            <w:tcW w:w="990" w:type="dxa"/>
          </w:tcPr>
          <w:p w14:paraId="18C5B19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5.8</w:t>
            </w:r>
          </w:p>
        </w:tc>
        <w:tc>
          <w:tcPr>
            <w:tcW w:w="810" w:type="dxa"/>
          </w:tcPr>
          <w:p w14:paraId="733A9C8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6.44</w:t>
            </w:r>
          </w:p>
        </w:tc>
        <w:tc>
          <w:tcPr>
            <w:tcW w:w="990" w:type="dxa"/>
          </w:tcPr>
          <w:p w14:paraId="2A9413D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6.68</w:t>
            </w:r>
          </w:p>
        </w:tc>
        <w:tc>
          <w:tcPr>
            <w:tcW w:w="900" w:type="dxa"/>
          </w:tcPr>
          <w:p w14:paraId="0DC980C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5.75</w:t>
            </w:r>
          </w:p>
        </w:tc>
      </w:tr>
      <w:tr w:rsidR="00F37034" w:rsidRPr="00F37034" w14:paraId="46FA46CA" w14:textId="77777777" w:rsidTr="00D40A8E">
        <w:trPr>
          <w:trHeight w:val="863"/>
        </w:trPr>
        <w:tc>
          <w:tcPr>
            <w:tcW w:w="1435" w:type="dxa"/>
          </w:tcPr>
          <w:p w14:paraId="4B92344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Current liquidity ratio</w:t>
            </w:r>
          </w:p>
        </w:tc>
        <w:tc>
          <w:tcPr>
            <w:tcW w:w="900" w:type="dxa"/>
          </w:tcPr>
          <w:p w14:paraId="42EBA31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0.53</w:t>
            </w:r>
          </w:p>
        </w:tc>
        <w:tc>
          <w:tcPr>
            <w:tcW w:w="900" w:type="dxa"/>
          </w:tcPr>
          <w:p w14:paraId="64DC7E6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0.71</w:t>
            </w:r>
          </w:p>
        </w:tc>
        <w:tc>
          <w:tcPr>
            <w:tcW w:w="900" w:type="dxa"/>
          </w:tcPr>
          <w:p w14:paraId="79E9EF1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0.53</w:t>
            </w:r>
          </w:p>
        </w:tc>
        <w:tc>
          <w:tcPr>
            <w:tcW w:w="1080" w:type="dxa"/>
          </w:tcPr>
          <w:p w14:paraId="1E87002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0.43</w:t>
            </w:r>
          </w:p>
        </w:tc>
        <w:tc>
          <w:tcPr>
            <w:tcW w:w="900" w:type="dxa"/>
          </w:tcPr>
          <w:p w14:paraId="3C1CCEA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0.65</w:t>
            </w:r>
          </w:p>
        </w:tc>
        <w:tc>
          <w:tcPr>
            <w:tcW w:w="990" w:type="dxa"/>
          </w:tcPr>
          <w:p w14:paraId="383190C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0.47</w:t>
            </w:r>
          </w:p>
        </w:tc>
        <w:tc>
          <w:tcPr>
            <w:tcW w:w="810" w:type="dxa"/>
          </w:tcPr>
          <w:p w14:paraId="608BD22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0.42</w:t>
            </w:r>
          </w:p>
        </w:tc>
        <w:tc>
          <w:tcPr>
            <w:tcW w:w="990" w:type="dxa"/>
          </w:tcPr>
          <w:p w14:paraId="6F0ABE7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0.47</w:t>
            </w:r>
          </w:p>
        </w:tc>
        <w:tc>
          <w:tcPr>
            <w:tcW w:w="900" w:type="dxa"/>
          </w:tcPr>
          <w:p w14:paraId="0A38FAC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0.49</w:t>
            </w:r>
          </w:p>
        </w:tc>
      </w:tr>
    </w:tbl>
    <w:p w14:paraId="1BCD66C5" w14:textId="3847B746" w:rsidR="00F37034" w:rsidRDefault="00F37034" w:rsidP="00F37034">
      <w:pPr>
        <w:pStyle w:val="Heading2"/>
        <w:spacing w:line="360" w:lineRule="auto"/>
        <w:jc w:val="both"/>
        <w:rPr>
          <w:rFonts w:ascii="Arial" w:hAnsi="Arial" w:cs="Arial"/>
          <w:sz w:val="24"/>
          <w:szCs w:val="24"/>
        </w:rPr>
      </w:pPr>
    </w:p>
    <w:p w14:paraId="11C93691" w14:textId="6F3D2098" w:rsidR="00F37034" w:rsidRPr="00F37034" w:rsidRDefault="00F37034" w:rsidP="00F37034">
      <w:pPr>
        <w:rPr>
          <w:rFonts w:ascii="Arial" w:hAnsi="Arial" w:cs="Arial"/>
          <w:sz w:val="24"/>
          <w:szCs w:val="24"/>
        </w:rPr>
      </w:pPr>
      <w:r>
        <w:rPr>
          <w:rFonts w:ascii="Arial" w:hAnsi="Arial" w:cs="Arial"/>
          <w:sz w:val="24"/>
          <w:szCs w:val="24"/>
        </w:rPr>
        <w:t>Hilton Hotels</w:t>
      </w:r>
    </w:p>
    <w:p w14:paraId="31EC414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Table 4. Changes in Hilton’s cash flow between 2012 and 2020</w:t>
      </w:r>
    </w:p>
    <w:p w14:paraId="4F90ECA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Source: (</w:t>
      </w:r>
      <w:r w:rsidRPr="00F37034">
        <w:rPr>
          <w:rFonts w:ascii="Arial" w:hAnsi="Arial" w:cs="Arial"/>
          <w:color w:val="000000"/>
          <w:sz w:val="24"/>
          <w:szCs w:val="24"/>
          <w:shd w:val="clear" w:color="auto" w:fill="FFFFFF"/>
        </w:rPr>
        <w:t>StudyCorgi.com, 2022)</w:t>
      </w:r>
    </w:p>
    <w:tbl>
      <w:tblPr>
        <w:tblStyle w:val="TableGrid"/>
        <w:tblW w:w="9895" w:type="dxa"/>
        <w:tblLayout w:type="fixed"/>
        <w:tblLook w:val="04A0" w:firstRow="1" w:lastRow="0" w:firstColumn="1" w:lastColumn="0" w:noHBand="0" w:noVBand="1"/>
      </w:tblPr>
      <w:tblGrid>
        <w:gridCol w:w="1270"/>
        <w:gridCol w:w="975"/>
        <w:gridCol w:w="990"/>
        <w:gridCol w:w="990"/>
        <w:gridCol w:w="990"/>
        <w:gridCol w:w="900"/>
        <w:gridCol w:w="990"/>
        <w:gridCol w:w="990"/>
        <w:gridCol w:w="900"/>
        <w:gridCol w:w="900"/>
      </w:tblGrid>
      <w:tr w:rsidR="00F37034" w:rsidRPr="00F37034" w14:paraId="1E1C63E3" w14:textId="77777777" w:rsidTr="00D40A8E">
        <w:trPr>
          <w:trHeight w:val="548"/>
        </w:trPr>
        <w:tc>
          <w:tcPr>
            <w:tcW w:w="1270" w:type="dxa"/>
          </w:tcPr>
          <w:p w14:paraId="05D299EF" w14:textId="77777777" w:rsidR="00F37034" w:rsidRPr="00F37034" w:rsidRDefault="00F37034" w:rsidP="00F37034">
            <w:pPr>
              <w:spacing w:line="360" w:lineRule="auto"/>
              <w:jc w:val="both"/>
              <w:rPr>
                <w:rFonts w:ascii="Arial" w:hAnsi="Arial" w:cs="Arial"/>
                <w:sz w:val="24"/>
                <w:szCs w:val="24"/>
              </w:rPr>
            </w:pPr>
          </w:p>
        </w:tc>
        <w:tc>
          <w:tcPr>
            <w:tcW w:w="975" w:type="dxa"/>
          </w:tcPr>
          <w:p w14:paraId="7B68173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2012</w:t>
            </w:r>
          </w:p>
        </w:tc>
        <w:tc>
          <w:tcPr>
            <w:tcW w:w="990" w:type="dxa"/>
          </w:tcPr>
          <w:p w14:paraId="634EF44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2013</w:t>
            </w:r>
          </w:p>
        </w:tc>
        <w:tc>
          <w:tcPr>
            <w:tcW w:w="990" w:type="dxa"/>
          </w:tcPr>
          <w:p w14:paraId="66FDAE8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2014</w:t>
            </w:r>
          </w:p>
        </w:tc>
        <w:tc>
          <w:tcPr>
            <w:tcW w:w="990" w:type="dxa"/>
          </w:tcPr>
          <w:p w14:paraId="2D1DDC2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2015</w:t>
            </w:r>
          </w:p>
        </w:tc>
        <w:tc>
          <w:tcPr>
            <w:tcW w:w="900" w:type="dxa"/>
          </w:tcPr>
          <w:p w14:paraId="6D94370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2016</w:t>
            </w:r>
          </w:p>
        </w:tc>
        <w:tc>
          <w:tcPr>
            <w:tcW w:w="990" w:type="dxa"/>
          </w:tcPr>
          <w:p w14:paraId="6A0F3C5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2017</w:t>
            </w:r>
          </w:p>
        </w:tc>
        <w:tc>
          <w:tcPr>
            <w:tcW w:w="990" w:type="dxa"/>
          </w:tcPr>
          <w:p w14:paraId="6589BB2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2018</w:t>
            </w:r>
          </w:p>
        </w:tc>
        <w:tc>
          <w:tcPr>
            <w:tcW w:w="900" w:type="dxa"/>
          </w:tcPr>
          <w:p w14:paraId="6FDE9FB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2019</w:t>
            </w:r>
          </w:p>
        </w:tc>
        <w:tc>
          <w:tcPr>
            <w:tcW w:w="900" w:type="dxa"/>
          </w:tcPr>
          <w:p w14:paraId="4AA103D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2020</w:t>
            </w:r>
          </w:p>
        </w:tc>
      </w:tr>
      <w:tr w:rsidR="00F37034" w:rsidRPr="00F37034" w14:paraId="0FC64C52" w14:textId="77777777" w:rsidTr="00D40A8E">
        <w:trPr>
          <w:trHeight w:val="935"/>
        </w:trPr>
        <w:tc>
          <w:tcPr>
            <w:tcW w:w="1270" w:type="dxa"/>
          </w:tcPr>
          <w:p w14:paraId="4230B1B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Net Cash Flow</w:t>
            </w:r>
          </w:p>
        </w:tc>
        <w:tc>
          <w:tcPr>
            <w:tcW w:w="975" w:type="dxa"/>
          </w:tcPr>
          <w:p w14:paraId="611E807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-0.02B</w:t>
            </w:r>
          </w:p>
        </w:tc>
        <w:tc>
          <w:tcPr>
            <w:tcW w:w="990" w:type="dxa"/>
          </w:tcPr>
          <w:p w14:paraId="6A32230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-0.16B</w:t>
            </w:r>
          </w:p>
        </w:tc>
        <w:tc>
          <w:tcPr>
            <w:tcW w:w="990" w:type="dxa"/>
          </w:tcPr>
          <w:p w14:paraId="207785D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-0.09B</w:t>
            </w:r>
          </w:p>
        </w:tc>
        <w:tc>
          <w:tcPr>
            <w:tcW w:w="990" w:type="dxa"/>
          </w:tcPr>
          <w:p w14:paraId="2455391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0.09B</w:t>
            </w:r>
          </w:p>
        </w:tc>
        <w:tc>
          <w:tcPr>
            <w:tcW w:w="900" w:type="dxa"/>
          </w:tcPr>
          <w:p w14:paraId="747C91A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0.83B</w:t>
            </w:r>
          </w:p>
        </w:tc>
        <w:tc>
          <w:tcPr>
            <w:tcW w:w="990" w:type="dxa"/>
          </w:tcPr>
          <w:p w14:paraId="69ECB37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-1.01B</w:t>
            </w:r>
          </w:p>
        </w:tc>
        <w:tc>
          <w:tcPr>
            <w:tcW w:w="990" w:type="dxa"/>
          </w:tcPr>
          <w:p w14:paraId="38AEE47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-0.19B</w:t>
            </w:r>
          </w:p>
        </w:tc>
        <w:tc>
          <w:tcPr>
            <w:tcW w:w="900" w:type="dxa"/>
          </w:tcPr>
          <w:p w14:paraId="2880184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0.14B</w:t>
            </w:r>
          </w:p>
        </w:tc>
        <w:tc>
          <w:tcPr>
            <w:tcW w:w="900" w:type="dxa"/>
          </w:tcPr>
          <w:p w14:paraId="552F39B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2.63B</w:t>
            </w:r>
          </w:p>
        </w:tc>
      </w:tr>
      <w:tr w:rsidR="00F37034" w:rsidRPr="00F37034" w14:paraId="27A8BC2C" w14:textId="77777777" w:rsidTr="00D40A8E">
        <w:trPr>
          <w:trHeight w:val="863"/>
        </w:trPr>
        <w:tc>
          <w:tcPr>
            <w:tcW w:w="1270" w:type="dxa"/>
          </w:tcPr>
          <w:p w14:paraId="456A9EA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Operating Cash Flow</w:t>
            </w:r>
          </w:p>
        </w:tc>
        <w:tc>
          <w:tcPr>
            <w:tcW w:w="975" w:type="dxa"/>
          </w:tcPr>
          <w:p w14:paraId="26558E1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-0.18</w:t>
            </w:r>
          </w:p>
        </w:tc>
        <w:tc>
          <w:tcPr>
            <w:tcW w:w="990" w:type="dxa"/>
          </w:tcPr>
          <w:p w14:paraId="3B37DF6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3.21</w:t>
            </w:r>
          </w:p>
        </w:tc>
        <w:tc>
          <w:tcPr>
            <w:tcW w:w="990" w:type="dxa"/>
          </w:tcPr>
          <w:p w14:paraId="6981E88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-2.86</w:t>
            </w:r>
          </w:p>
        </w:tc>
        <w:tc>
          <w:tcPr>
            <w:tcW w:w="990" w:type="dxa"/>
          </w:tcPr>
          <w:p w14:paraId="37C25DC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0.41</w:t>
            </w:r>
          </w:p>
        </w:tc>
        <w:tc>
          <w:tcPr>
            <w:tcW w:w="900" w:type="dxa"/>
          </w:tcPr>
          <w:p w14:paraId="36949A3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w:t>
            </w:r>
          </w:p>
        </w:tc>
        <w:tc>
          <w:tcPr>
            <w:tcW w:w="990" w:type="dxa"/>
          </w:tcPr>
          <w:p w14:paraId="7DED4B0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-1.68</w:t>
            </w:r>
          </w:p>
        </w:tc>
        <w:tc>
          <w:tcPr>
            <w:tcW w:w="990" w:type="dxa"/>
          </w:tcPr>
          <w:p w14:paraId="13635E7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1.52</w:t>
            </w:r>
          </w:p>
        </w:tc>
        <w:tc>
          <w:tcPr>
            <w:tcW w:w="900" w:type="dxa"/>
          </w:tcPr>
          <w:p w14:paraId="662B29A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0.66</w:t>
            </w:r>
          </w:p>
        </w:tc>
        <w:tc>
          <w:tcPr>
            <w:tcW w:w="900" w:type="dxa"/>
          </w:tcPr>
          <w:p w14:paraId="20E90D1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-2.23</w:t>
            </w:r>
          </w:p>
        </w:tc>
      </w:tr>
    </w:tbl>
    <w:p w14:paraId="0F47A507" w14:textId="77777777" w:rsidR="00F37034" w:rsidRPr="00F37034" w:rsidRDefault="00F37034" w:rsidP="00F37034">
      <w:pPr>
        <w:spacing w:line="360" w:lineRule="auto"/>
        <w:jc w:val="both"/>
        <w:rPr>
          <w:rFonts w:ascii="Arial" w:hAnsi="Arial" w:cs="Arial"/>
          <w:sz w:val="24"/>
          <w:szCs w:val="24"/>
        </w:rPr>
      </w:pPr>
    </w:p>
    <w:p w14:paraId="4A92A42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Table 5. Changes in Hilton’s liquidity ratio between 2012 and 2020</w:t>
      </w:r>
    </w:p>
    <w:p w14:paraId="76AF74B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Source: (</w:t>
      </w:r>
      <w:r w:rsidRPr="00F37034">
        <w:rPr>
          <w:rFonts w:ascii="Arial" w:hAnsi="Arial" w:cs="Arial"/>
          <w:color w:val="000000"/>
          <w:sz w:val="24"/>
          <w:szCs w:val="24"/>
          <w:shd w:val="clear" w:color="auto" w:fill="FFFFFF"/>
        </w:rPr>
        <w:t>StudyCorgi.com, 2022)</w:t>
      </w:r>
    </w:p>
    <w:tbl>
      <w:tblPr>
        <w:tblStyle w:val="TableGrid"/>
        <w:tblW w:w="9805" w:type="dxa"/>
        <w:tblLayout w:type="fixed"/>
        <w:tblLook w:val="04A0" w:firstRow="1" w:lastRow="0" w:firstColumn="1" w:lastColumn="0" w:noHBand="0" w:noVBand="1"/>
      </w:tblPr>
      <w:tblGrid>
        <w:gridCol w:w="1435"/>
        <w:gridCol w:w="900"/>
        <w:gridCol w:w="900"/>
        <w:gridCol w:w="900"/>
        <w:gridCol w:w="1080"/>
        <w:gridCol w:w="900"/>
        <w:gridCol w:w="990"/>
        <w:gridCol w:w="810"/>
        <w:gridCol w:w="990"/>
        <w:gridCol w:w="900"/>
      </w:tblGrid>
      <w:tr w:rsidR="00F37034" w:rsidRPr="00F37034" w14:paraId="1DD10C71" w14:textId="77777777" w:rsidTr="00D40A8E">
        <w:trPr>
          <w:trHeight w:val="548"/>
        </w:trPr>
        <w:tc>
          <w:tcPr>
            <w:tcW w:w="1435" w:type="dxa"/>
          </w:tcPr>
          <w:p w14:paraId="441E159B" w14:textId="77777777" w:rsidR="00F37034" w:rsidRPr="00F37034" w:rsidRDefault="00F37034" w:rsidP="00F37034">
            <w:pPr>
              <w:spacing w:line="360" w:lineRule="auto"/>
              <w:jc w:val="both"/>
              <w:rPr>
                <w:rFonts w:ascii="Arial" w:hAnsi="Arial" w:cs="Arial"/>
                <w:sz w:val="24"/>
                <w:szCs w:val="24"/>
              </w:rPr>
            </w:pPr>
          </w:p>
        </w:tc>
        <w:tc>
          <w:tcPr>
            <w:tcW w:w="900" w:type="dxa"/>
          </w:tcPr>
          <w:p w14:paraId="512FB5E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2012</w:t>
            </w:r>
          </w:p>
        </w:tc>
        <w:tc>
          <w:tcPr>
            <w:tcW w:w="900" w:type="dxa"/>
          </w:tcPr>
          <w:p w14:paraId="2E62032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2013</w:t>
            </w:r>
          </w:p>
        </w:tc>
        <w:tc>
          <w:tcPr>
            <w:tcW w:w="900" w:type="dxa"/>
          </w:tcPr>
          <w:p w14:paraId="0120F89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2014</w:t>
            </w:r>
          </w:p>
        </w:tc>
        <w:tc>
          <w:tcPr>
            <w:tcW w:w="1080" w:type="dxa"/>
          </w:tcPr>
          <w:p w14:paraId="68EE975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2015</w:t>
            </w:r>
          </w:p>
        </w:tc>
        <w:tc>
          <w:tcPr>
            <w:tcW w:w="900" w:type="dxa"/>
          </w:tcPr>
          <w:p w14:paraId="2431E66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2016</w:t>
            </w:r>
          </w:p>
        </w:tc>
        <w:tc>
          <w:tcPr>
            <w:tcW w:w="990" w:type="dxa"/>
          </w:tcPr>
          <w:p w14:paraId="296139B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2017</w:t>
            </w:r>
          </w:p>
        </w:tc>
        <w:tc>
          <w:tcPr>
            <w:tcW w:w="810" w:type="dxa"/>
          </w:tcPr>
          <w:p w14:paraId="11EFE6B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2018</w:t>
            </w:r>
          </w:p>
        </w:tc>
        <w:tc>
          <w:tcPr>
            <w:tcW w:w="990" w:type="dxa"/>
          </w:tcPr>
          <w:p w14:paraId="3B72CE0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2019</w:t>
            </w:r>
          </w:p>
        </w:tc>
        <w:tc>
          <w:tcPr>
            <w:tcW w:w="900" w:type="dxa"/>
          </w:tcPr>
          <w:p w14:paraId="3E56AA5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2020</w:t>
            </w:r>
          </w:p>
        </w:tc>
      </w:tr>
      <w:tr w:rsidR="00F37034" w:rsidRPr="00F37034" w14:paraId="154C26F8" w14:textId="77777777" w:rsidTr="00D40A8E">
        <w:trPr>
          <w:trHeight w:val="935"/>
        </w:trPr>
        <w:tc>
          <w:tcPr>
            <w:tcW w:w="1435" w:type="dxa"/>
          </w:tcPr>
          <w:p w14:paraId="77D7202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Asset Turnover</w:t>
            </w:r>
          </w:p>
        </w:tc>
        <w:tc>
          <w:tcPr>
            <w:tcW w:w="900" w:type="dxa"/>
          </w:tcPr>
          <w:p w14:paraId="12F9F8A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2.82</w:t>
            </w:r>
          </w:p>
        </w:tc>
        <w:tc>
          <w:tcPr>
            <w:tcW w:w="900" w:type="dxa"/>
          </w:tcPr>
          <w:p w14:paraId="1AC4C8D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2.38</w:t>
            </w:r>
          </w:p>
        </w:tc>
        <w:tc>
          <w:tcPr>
            <w:tcW w:w="900" w:type="dxa"/>
          </w:tcPr>
          <w:p w14:paraId="0A5A372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2.49</w:t>
            </w:r>
          </w:p>
        </w:tc>
        <w:tc>
          <w:tcPr>
            <w:tcW w:w="1080" w:type="dxa"/>
          </w:tcPr>
          <w:p w14:paraId="4202927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2.58</w:t>
            </w:r>
          </w:p>
        </w:tc>
        <w:tc>
          <w:tcPr>
            <w:tcW w:w="900" w:type="dxa"/>
          </w:tcPr>
          <w:p w14:paraId="77BA652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3.55</w:t>
            </w:r>
          </w:p>
        </w:tc>
        <w:tc>
          <w:tcPr>
            <w:tcW w:w="990" w:type="dxa"/>
          </w:tcPr>
          <w:p w14:paraId="44C8702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w:t>
            </w:r>
          </w:p>
        </w:tc>
        <w:tc>
          <w:tcPr>
            <w:tcW w:w="810" w:type="dxa"/>
          </w:tcPr>
          <w:p w14:paraId="588344E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1.98</w:t>
            </w:r>
          </w:p>
        </w:tc>
        <w:tc>
          <w:tcPr>
            <w:tcW w:w="990" w:type="dxa"/>
          </w:tcPr>
          <w:p w14:paraId="3EF86A9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2.09</w:t>
            </w:r>
          </w:p>
        </w:tc>
        <w:tc>
          <w:tcPr>
            <w:tcW w:w="900" w:type="dxa"/>
          </w:tcPr>
          <w:p w14:paraId="5B1D7CD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4.2</w:t>
            </w:r>
          </w:p>
        </w:tc>
      </w:tr>
      <w:tr w:rsidR="00F37034" w:rsidRPr="00F37034" w14:paraId="4438C081" w14:textId="77777777" w:rsidTr="00D40A8E">
        <w:trPr>
          <w:trHeight w:val="863"/>
        </w:trPr>
        <w:tc>
          <w:tcPr>
            <w:tcW w:w="1435" w:type="dxa"/>
          </w:tcPr>
          <w:p w14:paraId="257FB52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Inventory Turnover</w:t>
            </w:r>
          </w:p>
        </w:tc>
        <w:tc>
          <w:tcPr>
            <w:tcW w:w="900" w:type="dxa"/>
          </w:tcPr>
          <w:p w14:paraId="2F55C12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2.34</w:t>
            </w:r>
          </w:p>
        </w:tc>
        <w:tc>
          <w:tcPr>
            <w:tcW w:w="900" w:type="dxa"/>
          </w:tcPr>
          <w:p w14:paraId="07DFFE8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2.14</w:t>
            </w:r>
          </w:p>
        </w:tc>
        <w:tc>
          <w:tcPr>
            <w:tcW w:w="900" w:type="dxa"/>
          </w:tcPr>
          <w:p w14:paraId="3733BF68"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2.25</w:t>
            </w:r>
          </w:p>
        </w:tc>
        <w:tc>
          <w:tcPr>
            <w:tcW w:w="1080" w:type="dxa"/>
          </w:tcPr>
          <w:p w14:paraId="5742CE2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2.44</w:t>
            </w:r>
          </w:p>
        </w:tc>
        <w:tc>
          <w:tcPr>
            <w:tcW w:w="900" w:type="dxa"/>
          </w:tcPr>
          <w:p w14:paraId="38EA773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2.68</w:t>
            </w:r>
          </w:p>
        </w:tc>
        <w:tc>
          <w:tcPr>
            <w:tcW w:w="990" w:type="dxa"/>
          </w:tcPr>
          <w:p w14:paraId="15EB7D4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2.46</w:t>
            </w:r>
          </w:p>
        </w:tc>
        <w:tc>
          <w:tcPr>
            <w:tcW w:w="810" w:type="dxa"/>
          </w:tcPr>
          <w:p w14:paraId="0631C48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2.6</w:t>
            </w:r>
          </w:p>
        </w:tc>
        <w:tc>
          <w:tcPr>
            <w:tcW w:w="990" w:type="dxa"/>
          </w:tcPr>
          <w:p w14:paraId="3E4DC15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2.87</w:t>
            </w:r>
          </w:p>
        </w:tc>
        <w:tc>
          <w:tcPr>
            <w:tcW w:w="900" w:type="dxa"/>
          </w:tcPr>
          <w:p w14:paraId="480007D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2.43</w:t>
            </w:r>
          </w:p>
        </w:tc>
      </w:tr>
      <w:tr w:rsidR="00F37034" w:rsidRPr="00F37034" w14:paraId="7C5F6DDD" w14:textId="77777777" w:rsidTr="00D40A8E">
        <w:trPr>
          <w:trHeight w:val="863"/>
        </w:trPr>
        <w:tc>
          <w:tcPr>
            <w:tcW w:w="1435" w:type="dxa"/>
          </w:tcPr>
          <w:p w14:paraId="503DFE1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Receivable Turnover</w:t>
            </w:r>
          </w:p>
        </w:tc>
        <w:tc>
          <w:tcPr>
            <w:tcW w:w="900" w:type="dxa"/>
          </w:tcPr>
          <w:p w14:paraId="7548868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1.2</w:t>
            </w:r>
          </w:p>
        </w:tc>
        <w:tc>
          <w:tcPr>
            <w:tcW w:w="900" w:type="dxa"/>
          </w:tcPr>
          <w:p w14:paraId="7A5EA7C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1.11</w:t>
            </w:r>
          </w:p>
        </w:tc>
        <w:tc>
          <w:tcPr>
            <w:tcW w:w="900" w:type="dxa"/>
          </w:tcPr>
          <w:p w14:paraId="1C57BED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1.10</w:t>
            </w:r>
          </w:p>
        </w:tc>
        <w:tc>
          <w:tcPr>
            <w:tcW w:w="1080" w:type="dxa"/>
          </w:tcPr>
          <w:p w14:paraId="6D40D21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1.05</w:t>
            </w:r>
          </w:p>
        </w:tc>
        <w:tc>
          <w:tcPr>
            <w:tcW w:w="900" w:type="dxa"/>
          </w:tcPr>
          <w:p w14:paraId="6AC9691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1.32</w:t>
            </w:r>
          </w:p>
        </w:tc>
        <w:tc>
          <w:tcPr>
            <w:tcW w:w="990" w:type="dxa"/>
          </w:tcPr>
          <w:p w14:paraId="4BD281E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0.81</w:t>
            </w:r>
          </w:p>
        </w:tc>
        <w:tc>
          <w:tcPr>
            <w:tcW w:w="810" w:type="dxa"/>
          </w:tcPr>
          <w:p w14:paraId="65CF862A"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0.75</w:t>
            </w:r>
          </w:p>
        </w:tc>
        <w:tc>
          <w:tcPr>
            <w:tcW w:w="990" w:type="dxa"/>
          </w:tcPr>
          <w:p w14:paraId="655AD90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0.72</w:t>
            </w:r>
          </w:p>
        </w:tc>
        <w:tc>
          <w:tcPr>
            <w:tcW w:w="900" w:type="dxa"/>
          </w:tcPr>
          <w:p w14:paraId="69444D8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1.72</w:t>
            </w:r>
          </w:p>
        </w:tc>
      </w:tr>
    </w:tbl>
    <w:p w14:paraId="7406A31B" w14:textId="77777777" w:rsidR="00F37034" w:rsidRPr="00F37034" w:rsidRDefault="00F37034" w:rsidP="00F37034">
      <w:pPr>
        <w:spacing w:line="360" w:lineRule="auto"/>
        <w:jc w:val="both"/>
        <w:rPr>
          <w:rFonts w:ascii="Arial" w:hAnsi="Arial" w:cs="Arial"/>
          <w:sz w:val="24"/>
          <w:szCs w:val="24"/>
        </w:rPr>
      </w:pPr>
    </w:p>
    <w:p w14:paraId="3DAC2B5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Table 6. Changes in Hilton’s efficiency ratio between 2012 and 2020</w:t>
      </w:r>
    </w:p>
    <w:p w14:paraId="110744B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Source: (</w:t>
      </w:r>
      <w:r w:rsidRPr="00F37034">
        <w:rPr>
          <w:rFonts w:ascii="Arial" w:hAnsi="Arial" w:cs="Arial"/>
          <w:color w:val="000000"/>
          <w:sz w:val="24"/>
          <w:szCs w:val="24"/>
          <w:shd w:val="clear" w:color="auto" w:fill="FFFFFF"/>
        </w:rPr>
        <w:t>StudyCorgi.com, 2022)</w:t>
      </w:r>
    </w:p>
    <w:tbl>
      <w:tblPr>
        <w:tblStyle w:val="TableGrid"/>
        <w:tblW w:w="9805" w:type="dxa"/>
        <w:tblLayout w:type="fixed"/>
        <w:tblLook w:val="04A0" w:firstRow="1" w:lastRow="0" w:firstColumn="1" w:lastColumn="0" w:noHBand="0" w:noVBand="1"/>
      </w:tblPr>
      <w:tblGrid>
        <w:gridCol w:w="1435"/>
        <w:gridCol w:w="900"/>
        <w:gridCol w:w="900"/>
        <w:gridCol w:w="900"/>
        <w:gridCol w:w="1080"/>
        <w:gridCol w:w="900"/>
        <w:gridCol w:w="990"/>
        <w:gridCol w:w="810"/>
        <w:gridCol w:w="990"/>
        <w:gridCol w:w="900"/>
      </w:tblGrid>
      <w:tr w:rsidR="00F37034" w:rsidRPr="00F37034" w14:paraId="4143361A" w14:textId="77777777" w:rsidTr="00D40A8E">
        <w:trPr>
          <w:trHeight w:val="548"/>
        </w:trPr>
        <w:tc>
          <w:tcPr>
            <w:tcW w:w="1435" w:type="dxa"/>
          </w:tcPr>
          <w:p w14:paraId="5EE38BA6" w14:textId="77777777" w:rsidR="00F37034" w:rsidRPr="00F37034" w:rsidRDefault="00F37034" w:rsidP="00F37034">
            <w:pPr>
              <w:spacing w:line="360" w:lineRule="auto"/>
              <w:jc w:val="both"/>
              <w:rPr>
                <w:rFonts w:ascii="Arial" w:hAnsi="Arial" w:cs="Arial"/>
                <w:sz w:val="24"/>
                <w:szCs w:val="24"/>
              </w:rPr>
            </w:pPr>
          </w:p>
        </w:tc>
        <w:tc>
          <w:tcPr>
            <w:tcW w:w="900" w:type="dxa"/>
          </w:tcPr>
          <w:p w14:paraId="5A714C7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2012</w:t>
            </w:r>
          </w:p>
        </w:tc>
        <w:tc>
          <w:tcPr>
            <w:tcW w:w="900" w:type="dxa"/>
          </w:tcPr>
          <w:p w14:paraId="478FB0B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2013</w:t>
            </w:r>
          </w:p>
        </w:tc>
        <w:tc>
          <w:tcPr>
            <w:tcW w:w="900" w:type="dxa"/>
          </w:tcPr>
          <w:p w14:paraId="6E7C73B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2014</w:t>
            </w:r>
          </w:p>
        </w:tc>
        <w:tc>
          <w:tcPr>
            <w:tcW w:w="1080" w:type="dxa"/>
          </w:tcPr>
          <w:p w14:paraId="377015A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2015</w:t>
            </w:r>
          </w:p>
        </w:tc>
        <w:tc>
          <w:tcPr>
            <w:tcW w:w="900" w:type="dxa"/>
          </w:tcPr>
          <w:p w14:paraId="61FAE64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2016</w:t>
            </w:r>
          </w:p>
        </w:tc>
        <w:tc>
          <w:tcPr>
            <w:tcW w:w="990" w:type="dxa"/>
          </w:tcPr>
          <w:p w14:paraId="716035D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2017</w:t>
            </w:r>
          </w:p>
        </w:tc>
        <w:tc>
          <w:tcPr>
            <w:tcW w:w="810" w:type="dxa"/>
          </w:tcPr>
          <w:p w14:paraId="12FF287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2018</w:t>
            </w:r>
          </w:p>
        </w:tc>
        <w:tc>
          <w:tcPr>
            <w:tcW w:w="990" w:type="dxa"/>
          </w:tcPr>
          <w:p w14:paraId="61C12F1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2019</w:t>
            </w:r>
          </w:p>
        </w:tc>
        <w:tc>
          <w:tcPr>
            <w:tcW w:w="900" w:type="dxa"/>
          </w:tcPr>
          <w:p w14:paraId="4B38132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2020</w:t>
            </w:r>
          </w:p>
        </w:tc>
      </w:tr>
      <w:tr w:rsidR="00F37034" w:rsidRPr="00F37034" w14:paraId="11F9ABD9" w14:textId="77777777" w:rsidTr="00D40A8E">
        <w:trPr>
          <w:trHeight w:val="935"/>
        </w:trPr>
        <w:tc>
          <w:tcPr>
            <w:tcW w:w="1435" w:type="dxa"/>
          </w:tcPr>
          <w:p w14:paraId="4A7F5E1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Current assets</w:t>
            </w:r>
          </w:p>
        </w:tc>
        <w:tc>
          <w:tcPr>
            <w:tcW w:w="900" w:type="dxa"/>
          </w:tcPr>
          <w:p w14:paraId="134A29C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0.34</w:t>
            </w:r>
          </w:p>
        </w:tc>
        <w:tc>
          <w:tcPr>
            <w:tcW w:w="900" w:type="dxa"/>
          </w:tcPr>
          <w:p w14:paraId="1F313CF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0.36</w:t>
            </w:r>
          </w:p>
        </w:tc>
        <w:tc>
          <w:tcPr>
            <w:tcW w:w="900" w:type="dxa"/>
          </w:tcPr>
          <w:p w14:paraId="3EFD884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0.4</w:t>
            </w:r>
          </w:p>
        </w:tc>
        <w:tc>
          <w:tcPr>
            <w:tcW w:w="1080" w:type="dxa"/>
          </w:tcPr>
          <w:p w14:paraId="1F61175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0.27</w:t>
            </w:r>
          </w:p>
        </w:tc>
        <w:tc>
          <w:tcPr>
            <w:tcW w:w="900" w:type="dxa"/>
          </w:tcPr>
          <w:p w14:paraId="6AC9CD8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0.25</w:t>
            </w:r>
          </w:p>
        </w:tc>
        <w:tc>
          <w:tcPr>
            <w:tcW w:w="990" w:type="dxa"/>
          </w:tcPr>
          <w:p w14:paraId="5ADFB61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0.57</w:t>
            </w:r>
          </w:p>
        </w:tc>
        <w:tc>
          <w:tcPr>
            <w:tcW w:w="810" w:type="dxa"/>
          </w:tcPr>
          <w:p w14:paraId="5358C98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0.63</w:t>
            </w:r>
          </w:p>
        </w:tc>
        <w:tc>
          <w:tcPr>
            <w:tcW w:w="990" w:type="dxa"/>
          </w:tcPr>
          <w:p w14:paraId="1038E71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0.63</w:t>
            </w:r>
          </w:p>
        </w:tc>
        <w:tc>
          <w:tcPr>
            <w:tcW w:w="900" w:type="dxa"/>
          </w:tcPr>
          <w:p w14:paraId="7207028C"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0.25</w:t>
            </w:r>
          </w:p>
        </w:tc>
      </w:tr>
      <w:tr w:rsidR="00F37034" w:rsidRPr="00F37034" w14:paraId="2FA8ACD8" w14:textId="77777777" w:rsidTr="00D40A8E">
        <w:trPr>
          <w:trHeight w:val="863"/>
        </w:trPr>
        <w:tc>
          <w:tcPr>
            <w:tcW w:w="1435" w:type="dxa"/>
          </w:tcPr>
          <w:p w14:paraId="32426865"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Current liabilities</w:t>
            </w:r>
          </w:p>
        </w:tc>
        <w:tc>
          <w:tcPr>
            <w:tcW w:w="900" w:type="dxa"/>
          </w:tcPr>
          <w:p w14:paraId="38ABA5E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9.6</w:t>
            </w:r>
          </w:p>
        </w:tc>
        <w:tc>
          <w:tcPr>
            <w:tcW w:w="900" w:type="dxa"/>
          </w:tcPr>
          <w:p w14:paraId="2C07BBF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9.7</w:t>
            </w:r>
          </w:p>
        </w:tc>
        <w:tc>
          <w:tcPr>
            <w:tcW w:w="900" w:type="dxa"/>
          </w:tcPr>
          <w:p w14:paraId="3FC3166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9.94</w:t>
            </w:r>
          </w:p>
        </w:tc>
        <w:tc>
          <w:tcPr>
            <w:tcW w:w="1080" w:type="dxa"/>
          </w:tcPr>
          <w:p w14:paraId="3A3E2F5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3.19</w:t>
            </w:r>
          </w:p>
        </w:tc>
        <w:tc>
          <w:tcPr>
            <w:tcW w:w="900" w:type="dxa"/>
          </w:tcPr>
          <w:p w14:paraId="7EAA63C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90" w:type="dxa"/>
          </w:tcPr>
          <w:p w14:paraId="69C3E22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810" w:type="dxa"/>
          </w:tcPr>
          <w:p w14:paraId="1AC8BA6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90" w:type="dxa"/>
          </w:tcPr>
          <w:p w14:paraId="21A4DEE3"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c>
          <w:tcPr>
            <w:tcW w:w="900" w:type="dxa"/>
          </w:tcPr>
          <w:p w14:paraId="4D07648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w:t>
            </w:r>
          </w:p>
        </w:tc>
      </w:tr>
      <w:tr w:rsidR="00F37034" w:rsidRPr="00F37034" w14:paraId="254229B4" w14:textId="77777777" w:rsidTr="00D40A8E">
        <w:trPr>
          <w:trHeight w:val="863"/>
        </w:trPr>
        <w:tc>
          <w:tcPr>
            <w:tcW w:w="1435" w:type="dxa"/>
          </w:tcPr>
          <w:p w14:paraId="74FBA27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Current liquidity ratio</w:t>
            </w:r>
          </w:p>
        </w:tc>
        <w:tc>
          <w:tcPr>
            <w:tcW w:w="900" w:type="dxa"/>
          </w:tcPr>
          <w:p w14:paraId="7494EB2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11.06</w:t>
            </w:r>
          </w:p>
        </w:tc>
        <w:tc>
          <w:tcPr>
            <w:tcW w:w="900" w:type="dxa"/>
          </w:tcPr>
          <w:p w14:paraId="100DFFE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10.5</w:t>
            </w:r>
          </w:p>
        </w:tc>
        <w:tc>
          <w:tcPr>
            <w:tcW w:w="900" w:type="dxa"/>
          </w:tcPr>
          <w:p w14:paraId="041FE8F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9.5</w:t>
            </w:r>
          </w:p>
        </w:tc>
        <w:tc>
          <w:tcPr>
            <w:tcW w:w="1080" w:type="dxa"/>
          </w:tcPr>
          <w:p w14:paraId="5738F23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6.47</w:t>
            </w:r>
          </w:p>
        </w:tc>
        <w:tc>
          <w:tcPr>
            <w:tcW w:w="900" w:type="dxa"/>
          </w:tcPr>
          <w:p w14:paraId="3EB21C4D"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8.56</w:t>
            </w:r>
          </w:p>
        </w:tc>
        <w:tc>
          <w:tcPr>
            <w:tcW w:w="990" w:type="dxa"/>
          </w:tcPr>
          <w:p w14:paraId="51F47F67"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7.81</w:t>
            </w:r>
          </w:p>
        </w:tc>
        <w:tc>
          <w:tcPr>
            <w:tcW w:w="810" w:type="dxa"/>
          </w:tcPr>
          <w:p w14:paraId="2BC86C8F"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7.74</w:t>
            </w:r>
          </w:p>
        </w:tc>
        <w:tc>
          <w:tcPr>
            <w:tcW w:w="990" w:type="dxa"/>
          </w:tcPr>
          <w:p w14:paraId="42F97122"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7.49</w:t>
            </w:r>
          </w:p>
        </w:tc>
        <w:tc>
          <w:tcPr>
            <w:tcW w:w="900" w:type="dxa"/>
          </w:tcPr>
          <w:p w14:paraId="7675EE41"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5.58</w:t>
            </w:r>
          </w:p>
        </w:tc>
      </w:tr>
    </w:tbl>
    <w:p w14:paraId="0DDDB1BC" w14:textId="7928457C" w:rsidR="00F37034" w:rsidRDefault="00F37034" w:rsidP="00F37034">
      <w:pPr>
        <w:pStyle w:val="Heading2"/>
        <w:spacing w:line="360" w:lineRule="auto"/>
        <w:jc w:val="both"/>
        <w:rPr>
          <w:rFonts w:ascii="Arial" w:hAnsi="Arial" w:cs="Arial"/>
          <w:sz w:val="24"/>
          <w:szCs w:val="24"/>
        </w:rPr>
      </w:pPr>
    </w:p>
    <w:p w14:paraId="7B0C04B4" w14:textId="61257AD8" w:rsidR="00F37034" w:rsidRPr="00F37034" w:rsidRDefault="00F37034" w:rsidP="00F37034">
      <w:pPr>
        <w:rPr>
          <w:rFonts w:ascii="Arial" w:hAnsi="Arial" w:cs="Arial"/>
          <w:sz w:val="24"/>
          <w:szCs w:val="24"/>
        </w:rPr>
      </w:pPr>
      <w:r>
        <w:rPr>
          <w:rFonts w:ascii="Arial" w:hAnsi="Arial" w:cs="Arial"/>
          <w:sz w:val="24"/>
          <w:szCs w:val="24"/>
        </w:rPr>
        <w:t>Price Performance</w:t>
      </w:r>
    </w:p>
    <w:p w14:paraId="7160F4E7" w14:textId="76A1814E" w:rsidR="00F37034" w:rsidRDefault="00F37034" w:rsidP="00F37034">
      <w:pPr>
        <w:spacing w:line="360" w:lineRule="auto"/>
        <w:jc w:val="both"/>
        <w:rPr>
          <w:rFonts w:ascii="Arial" w:hAnsi="Arial" w:cs="Arial"/>
          <w:sz w:val="24"/>
          <w:szCs w:val="24"/>
        </w:rPr>
      </w:pPr>
      <w:r w:rsidRPr="00F37034">
        <w:rPr>
          <w:rFonts w:ascii="Arial" w:hAnsi="Arial" w:cs="Arial"/>
          <w:sz w:val="24"/>
          <w:szCs w:val="24"/>
        </w:rPr>
        <w:lastRenderedPageBreak/>
        <w:t>Marriott International has a 13.2% higher price performance as compared to other broader industries where 9.9% was increased over the past three months</w:t>
      </w:r>
      <w:r w:rsidRPr="00F37034">
        <w:rPr>
          <w:rFonts w:ascii="Arial" w:hAnsi="Arial" w:cs="Arial"/>
          <w:color w:val="000000"/>
          <w:sz w:val="24"/>
          <w:szCs w:val="24"/>
          <w:shd w:val="clear" w:color="auto" w:fill="FFFFFF"/>
        </w:rPr>
        <w:t xml:space="preserve"> (Nasdaq.com, 2018)</w:t>
      </w:r>
      <w:r w:rsidRPr="00F37034">
        <w:rPr>
          <w:rFonts w:ascii="Arial" w:hAnsi="Arial" w:cs="Arial"/>
          <w:sz w:val="24"/>
          <w:szCs w:val="24"/>
        </w:rPr>
        <w:t>. In comparison, Hilton has managed to gain 10.8% during this time which is potentially great compared to the rest of the industry's performance but has fallen short compared to Marriott</w:t>
      </w:r>
      <w:r w:rsidRPr="00F37034">
        <w:rPr>
          <w:rFonts w:ascii="Arial" w:hAnsi="Arial" w:cs="Arial"/>
          <w:color w:val="000000"/>
          <w:sz w:val="24"/>
          <w:szCs w:val="24"/>
          <w:shd w:val="clear" w:color="auto" w:fill="FFFFFF"/>
        </w:rPr>
        <w:t xml:space="preserve"> (Nasdaq.com, 2018)</w:t>
      </w:r>
      <w:r w:rsidRPr="00F37034">
        <w:rPr>
          <w:rFonts w:ascii="Arial" w:hAnsi="Arial" w:cs="Arial"/>
          <w:sz w:val="24"/>
          <w:szCs w:val="24"/>
        </w:rPr>
        <w:t>.</w:t>
      </w:r>
    </w:p>
    <w:p w14:paraId="3C8141AD" w14:textId="77777777" w:rsidR="00F37034" w:rsidRDefault="00F37034" w:rsidP="00F37034">
      <w:pPr>
        <w:spacing w:line="360" w:lineRule="auto"/>
        <w:jc w:val="both"/>
        <w:rPr>
          <w:rFonts w:ascii="Arial" w:hAnsi="Arial" w:cs="Arial"/>
          <w:sz w:val="24"/>
          <w:szCs w:val="24"/>
        </w:rPr>
      </w:pPr>
    </w:p>
    <w:p w14:paraId="2414EB66" w14:textId="77777777" w:rsidR="00F37034" w:rsidRDefault="00F37034" w:rsidP="00F37034">
      <w:pPr>
        <w:spacing w:line="360" w:lineRule="auto"/>
        <w:jc w:val="both"/>
        <w:rPr>
          <w:rFonts w:ascii="Arial" w:hAnsi="Arial" w:cs="Arial"/>
          <w:sz w:val="24"/>
          <w:szCs w:val="24"/>
        </w:rPr>
      </w:pPr>
    </w:p>
    <w:p w14:paraId="3BB5677E" w14:textId="1F47AADB" w:rsidR="00F37034" w:rsidRPr="00F37034" w:rsidRDefault="00F37034" w:rsidP="00F37034">
      <w:pPr>
        <w:spacing w:line="360" w:lineRule="auto"/>
        <w:jc w:val="both"/>
        <w:rPr>
          <w:rFonts w:ascii="Arial" w:hAnsi="Arial" w:cs="Arial"/>
          <w:sz w:val="24"/>
          <w:szCs w:val="24"/>
        </w:rPr>
      </w:pPr>
      <w:r>
        <w:rPr>
          <w:rFonts w:ascii="Arial" w:hAnsi="Arial" w:cs="Arial"/>
          <w:sz w:val="24"/>
          <w:szCs w:val="24"/>
        </w:rPr>
        <w:t>Market Position</w:t>
      </w:r>
    </w:p>
    <w:p w14:paraId="2FD96AAC" w14:textId="01DC31F0" w:rsidR="00F37034" w:rsidRDefault="00F37034" w:rsidP="00F37034">
      <w:pPr>
        <w:spacing w:line="360" w:lineRule="auto"/>
        <w:jc w:val="both"/>
        <w:rPr>
          <w:rFonts w:ascii="Arial" w:hAnsi="Arial" w:cs="Arial"/>
          <w:sz w:val="24"/>
          <w:szCs w:val="24"/>
        </w:rPr>
      </w:pPr>
      <w:r w:rsidRPr="00F37034">
        <w:rPr>
          <w:rFonts w:ascii="Arial" w:hAnsi="Arial" w:cs="Arial"/>
          <w:sz w:val="24"/>
          <w:szCs w:val="24"/>
        </w:rPr>
        <w:t>Hilton Hotels has a market cap value of around $38.80 billion. It is the second leading company in the Hospitality industry whereas Marriott is the leader in the chart of the hospitality industry (</w:t>
      </w:r>
      <w:r w:rsidRPr="00F37034">
        <w:rPr>
          <w:rFonts w:ascii="Arial" w:hAnsi="Arial" w:cs="Arial"/>
          <w:color w:val="000000"/>
          <w:sz w:val="24"/>
          <w:szCs w:val="24"/>
        </w:rPr>
        <w:t>Hayes and Miller, 2012)</w:t>
      </w:r>
      <w:r w:rsidRPr="00F37034">
        <w:rPr>
          <w:rFonts w:ascii="Arial" w:hAnsi="Arial" w:cs="Arial"/>
          <w:sz w:val="24"/>
          <w:szCs w:val="24"/>
        </w:rPr>
        <w:t>. Similarly, Marriott has a market cap value of around $55.17 billion.</w:t>
      </w:r>
    </w:p>
    <w:p w14:paraId="4A814209" w14:textId="303C4A26" w:rsidR="00F37034" w:rsidRPr="00F37034" w:rsidRDefault="00F37034" w:rsidP="00F37034">
      <w:pPr>
        <w:spacing w:line="360" w:lineRule="auto"/>
        <w:jc w:val="both"/>
        <w:rPr>
          <w:rFonts w:ascii="Arial" w:hAnsi="Arial" w:cs="Arial"/>
          <w:b/>
          <w:i/>
          <w:sz w:val="24"/>
          <w:szCs w:val="24"/>
        </w:rPr>
      </w:pPr>
      <w:r>
        <w:rPr>
          <w:rFonts w:ascii="Arial" w:hAnsi="Arial" w:cs="Arial"/>
          <w:sz w:val="24"/>
          <w:szCs w:val="24"/>
        </w:rPr>
        <w:t>Total Revenue</w:t>
      </w:r>
    </w:p>
    <w:p w14:paraId="42DE09F9"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Hilton has shown improvement in its business after the stroke of the pandemic (</w:t>
      </w:r>
      <w:r w:rsidRPr="00F37034">
        <w:rPr>
          <w:rFonts w:ascii="Arial" w:hAnsi="Arial" w:cs="Arial"/>
          <w:color w:val="000000"/>
          <w:sz w:val="24"/>
          <w:szCs w:val="24"/>
        </w:rPr>
        <w:t>Hayes and Miller, 2012)</w:t>
      </w:r>
      <w:r w:rsidRPr="00F37034">
        <w:rPr>
          <w:rFonts w:ascii="Arial" w:hAnsi="Arial" w:cs="Arial"/>
          <w:sz w:val="24"/>
          <w:szCs w:val="24"/>
        </w:rPr>
        <w:t>. Specifically, Hilton's revenue was $2.293 billion, a 33.24% increase year-over-year, for the quarter ending March 31, 2023</w:t>
      </w:r>
      <w:r w:rsidRPr="00F37034">
        <w:rPr>
          <w:rFonts w:ascii="Arial" w:hAnsi="Arial" w:cs="Arial"/>
          <w:color w:val="000000"/>
          <w:sz w:val="24"/>
          <w:szCs w:val="24"/>
          <w:shd w:val="clear" w:color="auto" w:fill="FFFFFF"/>
        </w:rPr>
        <w:t xml:space="preserve"> (Macrotrends.net, 2023)</w:t>
      </w:r>
      <w:r w:rsidRPr="00F37034">
        <w:rPr>
          <w:rFonts w:ascii="Arial" w:hAnsi="Arial" w:cs="Arial"/>
          <w:sz w:val="24"/>
          <w:szCs w:val="24"/>
        </w:rPr>
        <w:t>. Whereas, the revenue of Hilton for the whole year i.e. twelve months which is ending April 01, 2023, has seen a 41.01% surge year-over-year, making it $9.34 billion. Similarly, Hilton's annual revenue for 2022 was $8.77 billion which was a 51.57% increase from 2021</w:t>
      </w:r>
      <w:r w:rsidRPr="00F37034">
        <w:rPr>
          <w:rFonts w:ascii="Arial" w:hAnsi="Arial" w:cs="Arial"/>
          <w:color w:val="000000"/>
          <w:sz w:val="24"/>
          <w:szCs w:val="24"/>
          <w:shd w:val="clear" w:color="auto" w:fill="FFFFFF"/>
        </w:rPr>
        <w:t xml:space="preserve"> (Macrotrends.net, 2023)</w:t>
      </w:r>
      <w:r w:rsidRPr="00F37034">
        <w:rPr>
          <w:rFonts w:ascii="Arial" w:hAnsi="Arial" w:cs="Arial"/>
          <w:sz w:val="24"/>
          <w:szCs w:val="24"/>
        </w:rPr>
        <w:t>. Similarly, 2021 annual revenue was $5.78 billion, 34.39% more than 2020. But in 2020, Hilton witness a 54.43%decline than 2019 in its annual revenue which was $4.307 billion.</w:t>
      </w:r>
    </w:p>
    <w:p w14:paraId="5B3165DB" w14:textId="77777777" w:rsidR="00F37034" w:rsidRPr="00F37034" w:rsidRDefault="00F37034" w:rsidP="00F37034">
      <w:pPr>
        <w:keepNext/>
        <w:spacing w:line="360" w:lineRule="auto"/>
        <w:jc w:val="both"/>
        <w:rPr>
          <w:rFonts w:ascii="Arial" w:hAnsi="Arial" w:cs="Arial"/>
          <w:sz w:val="24"/>
          <w:szCs w:val="24"/>
        </w:rPr>
      </w:pPr>
      <w:r w:rsidRPr="00F37034">
        <w:rPr>
          <w:rFonts w:ascii="Arial" w:hAnsi="Arial" w:cs="Arial"/>
          <w:noProof/>
          <w:sz w:val="24"/>
          <w:szCs w:val="24"/>
          <w:lang w:val="en-US"/>
        </w:rPr>
        <w:drawing>
          <wp:inline distT="0" distB="0" distL="0" distR="0" wp14:anchorId="56B45996" wp14:editId="5FDDB6F7">
            <wp:extent cx="5731510" cy="1389380"/>
            <wp:effectExtent l="0" t="0" r="2540" b="1270"/>
            <wp:docPr id="2" name="Picture 2" descr="A picture containing plot, line, diagram,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lot, line, diagram, screenshot&#10;&#10;Description automatically generated"/>
                    <pic:cNvPicPr/>
                  </pic:nvPicPr>
                  <pic:blipFill>
                    <a:blip r:embed="rId5"/>
                    <a:stretch>
                      <a:fillRect/>
                    </a:stretch>
                  </pic:blipFill>
                  <pic:spPr>
                    <a:xfrm>
                      <a:off x="0" y="0"/>
                      <a:ext cx="5731510" cy="1389380"/>
                    </a:xfrm>
                    <a:prstGeom prst="rect">
                      <a:avLst/>
                    </a:prstGeom>
                  </pic:spPr>
                </pic:pic>
              </a:graphicData>
            </a:graphic>
          </wp:inline>
        </w:drawing>
      </w:r>
    </w:p>
    <w:p w14:paraId="111D5894"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 xml:space="preserve">Figure </w:t>
      </w:r>
      <w:r w:rsidRPr="00F37034">
        <w:rPr>
          <w:rFonts w:ascii="Arial" w:hAnsi="Arial" w:cs="Arial"/>
          <w:sz w:val="24"/>
          <w:szCs w:val="24"/>
        </w:rPr>
        <w:fldChar w:fldCharType="begin"/>
      </w:r>
      <w:r w:rsidRPr="00F37034">
        <w:rPr>
          <w:rFonts w:ascii="Arial" w:hAnsi="Arial" w:cs="Arial"/>
          <w:sz w:val="24"/>
          <w:szCs w:val="24"/>
        </w:rPr>
        <w:instrText xml:space="preserve"> SEQ Figure \* ARABIC </w:instrText>
      </w:r>
      <w:r w:rsidRPr="00F37034">
        <w:rPr>
          <w:rFonts w:ascii="Arial" w:hAnsi="Arial" w:cs="Arial"/>
          <w:sz w:val="24"/>
          <w:szCs w:val="24"/>
        </w:rPr>
        <w:fldChar w:fldCharType="separate"/>
      </w:r>
      <w:r w:rsidRPr="00F37034">
        <w:rPr>
          <w:rFonts w:ascii="Arial" w:hAnsi="Arial" w:cs="Arial"/>
          <w:noProof/>
          <w:sz w:val="24"/>
          <w:szCs w:val="24"/>
        </w:rPr>
        <w:t>1</w:t>
      </w:r>
      <w:r w:rsidRPr="00F37034">
        <w:rPr>
          <w:rFonts w:ascii="Arial" w:hAnsi="Arial" w:cs="Arial"/>
          <w:noProof/>
          <w:sz w:val="24"/>
          <w:szCs w:val="24"/>
        </w:rPr>
        <w:fldChar w:fldCharType="end"/>
      </w:r>
      <w:r w:rsidRPr="00F37034">
        <w:rPr>
          <w:rFonts w:ascii="Arial" w:hAnsi="Arial" w:cs="Arial"/>
          <w:sz w:val="24"/>
          <w:szCs w:val="24"/>
        </w:rPr>
        <w:t>: Hilton's Year-to-Year Quarterly Growth</w:t>
      </w:r>
    </w:p>
    <w:p w14:paraId="2DDBED53" w14:textId="77777777" w:rsidR="00F37034" w:rsidRPr="00F37034" w:rsidRDefault="00F37034" w:rsidP="00F37034">
      <w:pPr>
        <w:spacing w:line="360" w:lineRule="auto"/>
        <w:jc w:val="both"/>
        <w:rPr>
          <w:rFonts w:ascii="Arial" w:hAnsi="Arial" w:cs="Arial"/>
          <w:color w:val="000000"/>
          <w:sz w:val="24"/>
          <w:szCs w:val="24"/>
          <w:shd w:val="clear" w:color="auto" w:fill="FFFFFF"/>
        </w:rPr>
      </w:pPr>
      <w:r w:rsidRPr="00F37034">
        <w:rPr>
          <w:rFonts w:ascii="Arial" w:hAnsi="Arial" w:cs="Arial"/>
          <w:sz w:val="24"/>
          <w:szCs w:val="24"/>
        </w:rPr>
        <w:t>Source: (</w:t>
      </w:r>
      <w:r w:rsidRPr="00F37034">
        <w:rPr>
          <w:rFonts w:ascii="Arial" w:hAnsi="Arial" w:cs="Arial"/>
          <w:color w:val="000000"/>
          <w:sz w:val="24"/>
          <w:szCs w:val="24"/>
          <w:shd w:val="clear" w:color="auto" w:fill="FFFFFF"/>
        </w:rPr>
        <w:t>Macrotrends.net, 2023)</w:t>
      </w:r>
    </w:p>
    <w:p w14:paraId="692C4E89" w14:textId="77777777" w:rsidR="00F37034" w:rsidRPr="00F37034" w:rsidRDefault="00F37034" w:rsidP="00F37034">
      <w:pPr>
        <w:keepNext/>
        <w:spacing w:line="360" w:lineRule="auto"/>
        <w:jc w:val="both"/>
        <w:rPr>
          <w:rFonts w:ascii="Arial" w:hAnsi="Arial" w:cs="Arial"/>
          <w:sz w:val="24"/>
          <w:szCs w:val="24"/>
        </w:rPr>
      </w:pPr>
      <w:r w:rsidRPr="00F37034">
        <w:rPr>
          <w:rFonts w:ascii="Arial" w:hAnsi="Arial" w:cs="Arial"/>
          <w:noProof/>
          <w:sz w:val="24"/>
          <w:szCs w:val="24"/>
          <w:lang w:val="en-US"/>
        </w:rPr>
        <w:lastRenderedPageBreak/>
        <w:drawing>
          <wp:inline distT="0" distB="0" distL="0" distR="0" wp14:anchorId="57C11C03" wp14:editId="265C89B7">
            <wp:extent cx="4391025" cy="2838450"/>
            <wp:effectExtent l="0" t="0" r="9525" b="0"/>
            <wp:docPr id="3" name="Picture 3" descr="A picture containing text, number, menu,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number, menu, screenshot&#10;&#10;Description automatically generated"/>
                    <pic:cNvPicPr/>
                  </pic:nvPicPr>
                  <pic:blipFill>
                    <a:blip r:embed="rId6"/>
                    <a:stretch>
                      <a:fillRect/>
                    </a:stretch>
                  </pic:blipFill>
                  <pic:spPr>
                    <a:xfrm>
                      <a:off x="0" y="0"/>
                      <a:ext cx="4391025" cy="2838450"/>
                    </a:xfrm>
                    <a:prstGeom prst="rect">
                      <a:avLst/>
                    </a:prstGeom>
                  </pic:spPr>
                </pic:pic>
              </a:graphicData>
            </a:graphic>
          </wp:inline>
        </w:drawing>
      </w:r>
    </w:p>
    <w:p w14:paraId="63CDBF40"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 xml:space="preserve">Figure </w:t>
      </w:r>
      <w:r w:rsidRPr="00F37034">
        <w:rPr>
          <w:rFonts w:ascii="Arial" w:hAnsi="Arial" w:cs="Arial"/>
          <w:sz w:val="24"/>
          <w:szCs w:val="24"/>
        </w:rPr>
        <w:fldChar w:fldCharType="begin"/>
      </w:r>
      <w:r w:rsidRPr="00F37034">
        <w:rPr>
          <w:rFonts w:ascii="Arial" w:hAnsi="Arial" w:cs="Arial"/>
          <w:sz w:val="24"/>
          <w:szCs w:val="24"/>
        </w:rPr>
        <w:instrText xml:space="preserve"> SEQ Figure \* ARABIC </w:instrText>
      </w:r>
      <w:r w:rsidRPr="00F37034">
        <w:rPr>
          <w:rFonts w:ascii="Arial" w:hAnsi="Arial" w:cs="Arial"/>
          <w:sz w:val="24"/>
          <w:szCs w:val="24"/>
        </w:rPr>
        <w:fldChar w:fldCharType="separate"/>
      </w:r>
      <w:r w:rsidRPr="00F37034">
        <w:rPr>
          <w:rFonts w:ascii="Arial" w:hAnsi="Arial" w:cs="Arial"/>
          <w:noProof/>
          <w:sz w:val="24"/>
          <w:szCs w:val="24"/>
        </w:rPr>
        <w:t>2</w:t>
      </w:r>
      <w:r w:rsidRPr="00F37034">
        <w:rPr>
          <w:rFonts w:ascii="Arial" w:hAnsi="Arial" w:cs="Arial"/>
          <w:noProof/>
          <w:sz w:val="24"/>
          <w:szCs w:val="24"/>
        </w:rPr>
        <w:fldChar w:fldCharType="end"/>
      </w:r>
      <w:r w:rsidRPr="00F37034">
        <w:rPr>
          <w:rFonts w:ascii="Arial" w:hAnsi="Arial" w:cs="Arial"/>
          <w:sz w:val="24"/>
          <w:szCs w:val="24"/>
        </w:rPr>
        <w:t>: Hilton Yearly Revenue</w:t>
      </w:r>
    </w:p>
    <w:p w14:paraId="672EE027" w14:textId="77777777" w:rsidR="00F37034" w:rsidRPr="00F37034" w:rsidRDefault="00F37034" w:rsidP="00F37034">
      <w:pPr>
        <w:spacing w:line="360" w:lineRule="auto"/>
        <w:jc w:val="both"/>
        <w:rPr>
          <w:rFonts w:ascii="Arial" w:hAnsi="Arial" w:cs="Arial"/>
          <w:color w:val="000000"/>
          <w:sz w:val="24"/>
          <w:szCs w:val="24"/>
          <w:shd w:val="clear" w:color="auto" w:fill="FFFFFF"/>
        </w:rPr>
      </w:pPr>
      <w:r w:rsidRPr="00F37034">
        <w:rPr>
          <w:rFonts w:ascii="Arial" w:hAnsi="Arial" w:cs="Arial"/>
          <w:sz w:val="24"/>
          <w:szCs w:val="24"/>
        </w:rPr>
        <w:t>Source: (</w:t>
      </w:r>
      <w:r w:rsidRPr="00F37034">
        <w:rPr>
          <w:rFonts w:ascii="Arial" w:hAnsi="Arial" w:cs="Arial"/>
          <w:color w:val="000000"/>
          <w:sz w:val="24"/>
          <w:szCs w:val="24"/>
          <w:shd w:val="clear" w:color="auto" w:fill="FFFFFF"/>
        </w:rPr>
        <w:t>Macrotrends.net, 2023)</w:t>
      </w:r>
    </w:p>
    <w:p w14:paraId="0C5A1336" w14:textId="77777777" w:rsidR="00F37034" w:rsidRPr="00F37034" w:rsidRDefault="00F37034" w:rsidP="00F37034">
      <w:pPr>
        <w:spacing w:line="360" w:lineRule="auto"/>
        <w:jc w:val="both"/>
        <w:rPr>
          <w:rFonts w:ascii="Arial" w:hAnsi="Arial" w:cs="Arial"/>
          <w:color w:val="000000"/>
          <w:sz w:val="24"/>
          <w:szCs w:val="24"/>
          <w:shd w:val="clear" w:color="auto" w:fill="FFFFFF"/>
        </w:rPr>
      </w:pPr>
    </w:p>
    <w:p w14:paraId="769FA654" w14:textId="77777777" w:rsidR="00F37034" w:rsidRPr="00F37034" w:rsidRDefault="00F37034" w:rsidP="00F37034">
      <w:pPr>
        <w:spacing w:line="360" w:lineRule="auto"/>
        <w:jc w:val="both"/>
        <w:rPr>
          <w:rFonts w:ascii="Arial" w:hAnsi="Arial" w:cs="Arial"/>
          <w:color w:val="000000"/>
          <w:sz w:val="24"/>
          <w:szCs w:val="24"/>
          <w:shd w:val="clear" w:color="auto" w:fill="FFFFFF"/>
        </w:rPr>
      </w:pPr>
      <w:r w:rsidRPr="00F37034">
        <w:rPr>
          <w:rFonts w:ascii="Arial" w:hAnsi="Arial" w:cs="Arial"/>
          <w:color w:val="000000"/>
          <w:sz w:val="24"/>
          <w:szCs w:val="24"/>
          <w:shd w:val="clear" w:color="auto" w:fill="FFFFFF"/>
        </w:rPr>
        <w:t>Similarly, Marriott International also had a hard time during the pandemic</w:t>
      </w:r>
      <w:r w:rsidRPr="00F37034">
        <w:rPr>
          <w:rFonts w:ascii="Arial" w:hAnsi="Arial" w:cs="Arial"/>
          <w:sz w:val="24"/>
          <w:szCs w:val="24"/>
        </w:rPr>
        <w:t xml:space="preserve"> (</w:t>
      </w:r>
      <w:r w:rsidRPr="00F37034">
        <w:rPr>
          <w:rFonts w:ascii="Arial" w:hAnsi="Arial" w:cs="Arial"/>
          <w:color w:val="000000"/>
          <w:sz w:val="24"/>
          <w:szCs w:val="24"/>
        </w:rPr>
        <w:t>Hayes and Miller, 2012)</w:t>
      </w:r>
      <w:r w:rsidRPr="00F37034">
        <w:rPr>
          <w:rFonts w:ascii="Arial" w:hAnsi="Arial" w:cs="Arial"/>
          <w:color w:val="000000"/>
          <w:sz w:val="24"/>
          <w:szCs w:val="24"/>
          <w:shd w:val="clear" w:color="auto" w:fill="FFFFFF"/>
        </w:rPr>
        <w:t xml:space="preserve">. </w:t>
      </w:r>
      <w:r w:rsidRPr="00F37034">
        <w:rPr>
          <w:rFonts w:ascii="Arial" w:hAnsi="Arial" w:cs="Arial"/>
          <w:sz w:val="24"/>
          <w:szCs w:val="24"/>
        </w:rPr>
        <w:t>More precisely, Marriott International Inc.'s revenue was $5.923 billion, a 34.02% surge year-over-year, for the quarter ending December 29, 2022</w:t>
      </w:r>
      <w:r w:rsidRPr="00F37034">
        <w:rPr>
          <w:rFonts w:ascii="Arial" w:hAnsi="Arial" w:cs="Arial"/>
          <w:color w:val="000000"/>
          <w:sz w:val="24"/>
          <w:szCs w:val="24"/>
          <w:shd w:val="clear" w:color="auto" w:fill="FFFFFF"/>
        </w:rPr>
        <w:t xml:space="preserve"> (Macrotrends.net, 2022)</w:t>
      </w:r>
      <w:r w:rsidRPr="00F37034">
        <w:rPr>
          <w:rFonts w:ascii="Arial" w:hAnsi="Arial" w:cs="Arial"/>
          <w:sz w:val="24"/>
          <w:szCs w:val="24"/>
        </w:rPr>
        <w:t>. Whereas, the revenue of Marriott for the whole year i.e. twelve months which is ending December 31, 2022, has seen a 49.94% increase year-over-year, making it $20.773 billion. Similarly, Marriott's yearly income for 2022 was $21.07 billion which was a 49.91% surge from 2021</w:t>
      </w:r>
      <w:r w:rsidRPr="00F37034">
        <w:rPr>
          <w:rFonts w:ascii="Arial" w:hAnsi="Arial" w:cs="Arial"/>
          <w:color w:val="000000"/>
          <w:sz w:val="24"/>
          <w:szCs w:val="24"/>
          <w:shd w:val="clear" w:color="auto" w:fill="FFFFFF"/>
        </w:rPr>
        <w:t xml:space="preserve"> (Macrotrends.net, 2022)</w:t>
      </w:r>
      <w:r w:rsidRPr="00F37034">
        <w:rPr>
          <w:rFonts w:ascii="Arial" w:hAnsi="Arial" w:cs="Arial"/>
          <w:sz w:val="24"/>
          <w:szCs w:val="24"/>
        </w:rPr>
        <w:t>. Similarly, 2021 annual revenue was $13.857 billion, 31.09% more than 2020. But in 2020, Marriott witnessed a 49.59% decline than 2019 in its annual revenue which was $10.57 billion.</w:t>
      </w:r>
    </w:p>
    <w:p w14:paraId="65BCC8B1" w14:textId="77777777" w:rsidR="00F37034" w:rsidRPr="00F37034" w:rsidRDefault="00F37034" w:rsidP="00F37034">
      <w:pPr>
        <w:keepNext/>
        <w:spacing w:line="360" w:lineRule="auto"/>
        <w:jc w:val="both"/>
        <w:rPr>
          <w:rFonts w:ascii="Arial" w:hAnsi="Arial" w:cs="Arial"/>
          <w:sz w:val="24"/>
          <w:szCs w:val="24"/>
        </w:rPr>
      </w:pPr>
      <w:r w:rsidRPr="00F37034">
        <w:rPr>
          <w:rFonts w:ascii="Arial" w:hAnsi="Arial" w:cs="Arial"/>
          <w:noProof/>
          <w:sz w:val="24"/>
          <w:szCs w:val="24"/>
          <w:lang w:val="en-US"/>
        </w:rPr>
        <w:drawing>
          <wp:inline distT="0" distB="0" distL="0" distR="0" wp14:anchorId="471BF72A" wp14:editId="16E5DD41">
            <wp:extent cx="5731510" cy="1406525"/>
            <wp:effectExtent l="0" t="0" r="2540" b="3175"/>
            <wp:docPr id="4" name="Picture 4" descr="A picture containing plot, line,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lot, line, screenshot, diagram&#10;&#10;Description automatically generated"/>
                    <pic:cNvPicPr/>
                  </pic:nvPicPr>
                  <pic:blipFill>
                    <a:blip r:embed="rId7"/>
                    <a:stretch>
                      <a:fillRect/>
                    </a:stretch>
                  </pic:blipFill>
                  <pic:spPr>
                    <a:xfrm>
                      <a:off x="0" y="0"/>
                      <a:ext cx="5731510" cy="1406525"/>
                    </a:xfrm>
                    <a:prstGeom prst="rect">
                      <a:avLst/>
                    </a:prstGeom>
                  </pic:spPr>
                </pic:pic>
              </a:graphicData>
            </a:graphic>
          </wp:inline>
        </w:drawing>
      </w:r>
    </w:p>
    <w:p w14:paraId="166C28F6"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 xml:space="preserve">Figure </w:t>
      </w:r>
      <w:r w:rsidRPr="00F37034">
        <w:rPr>
          <w:rFonts w:ascii="Arial" w:hAnsi="Arial" w:cs="Arial"/>
          <w:sz w:val="24"/>
          <w:szCs w:val="24"/>
        </w:rPr>
        <w:fldChar w:fldCharType="begin"/>
      </w:r>
      <w:r w:rsidRPr="00F37034">
        <w:rPr>
          <w:rFonts w:ascii="Arial" w:hAnsi="Arial" w:cs="Arial"/>
          <w:sz w:val="24"/>
          <w:szCs w:val="24"/>
        </w:rPr>
        <w:instrText xml:space="preserve"> SEQ Figure \* ARABIC </w:instrText>
      </w:r>
      <w:r w:rsidRPr="00F37034">
        <w:rPr>
          <w:rFonts w:ascii="Arial" w:hAnsi="Arial" w:cs="Arial"/>
          <w:sz w:val="24"/>
          <w:szCs w:val="24"/>
        </w:rPr>
        <w:fldChar w:fldCharType="separate"/>
      </w:r>
      <w:r w:rsidRPr="00F37034">
        <w:rPr>
          <w:rFonts w:ascii="Arial" w:hAnsi="Arial" w:cs="Arial"/>
          <w:noProof/>
          <w:sz w:val="24"/>
          <w:szCs w:val="24"/>
        </w:rPr>
        <w:t>3</w:t>
      </w:r>
      <w:r w:rsidRPr="00F37034">
        <w:rPr>
          <w:rFonts w:ascii="Arial" w:hAnsi="Arial" w:cs="Arial"/>
          <w:noProof/>
          <w:sz w:val="24"/>
          <w:szCs w:val="24"/>
        </w:rPr>
        <w:fldChar w:fldCharType="end"/>
      </w:r>
      <w:r w:rsidRPr="00F37034">
        <w:rPr>
          <w:rFonts w:ascii="Arial" w:hAnsi="Arial" w:cs="Arial"/>
          <w:sz w:val="24"/>
          <w:szCs w:val="24"/>
        </w:rPr>
        <w:t>: Marriott's Year-to-Year Quarterly Growth</w:t>
      </w:r>
    </w:p>
    <w:p w14:paraId="4E6C261B"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lastRenderedPageBreak/>
        <w:t>Source: (</w:t>
      </w:r>
      <w:r w:rsidRPr="00F37034">
        <w:rPr>
          <w:rFonts w:ascii="Arial" w:hAnsi="Arial" w:cs="Arial"/>
          <w:color w:val="000000"/>
          <w:sz w:val="24"/>
          <w:szCs w:val="24"/>
          <w:shd w:val="clear" w:color="auto" w:fill="FFFFFF"/>
        </w:rPr>
        <w:t>Macrotrends.net, 2022)</w:t>
      </w:r>
    </w:p>
    <w:p w14:paraId="25FEB140" w14:textId="77777777" w:rsidR="00F37034" w:rsidRPr="00F37034" w:rsidRDefault="00F37034" w:rsidP="00F37034">
      <w:pPr>
        <w:keepNext/>
        <w:spacing w:line="360" w:lineRule="auto"/>
        <w:jc w:val="both"/>
        <w:rPr>
          <w:rFonts w:ascii="Arial" w:hAnsi="Arial" w:cs="Arial"/>
          <w:sz w:val="24"/>
          <w:szCs w:val="24"/>
        </w:rPr>
      </w:pPr>
      <w:r w:rsidRPr="00F37034">
        <w:rPr>
          <w:rFonts w:ascii="Arial" w:hAnsi="Arial" w:cs="Arial"/>
          <w:noProof/>
          <w:sz w:val="24"/>
          <w:szCs w:val="24"/>
          <w:lang w:val="en-US"/>
        </w:rPr>
        <w:drawing>
          <wp:inline distT="0" distB="0" distL="0" distR="0" wp14:anchorId="0B65B5AC" wp14:editId="57F73DA8">
            <wp:extent cx="4657725" cy="3057525"/>
            <wp:effectExtent l="0" t="0" r="9525" b="9525"/>
            <wp:docPr id="5" name="Picture 5" descr="A picture containing text, number, menu,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umber, menu, document&#10;&#10;Description automatically generated"/>
                    <pic:cNvPicPr/>
                  </pic:nvPicPr>
                  <pic:blipFill>
                    <a:blip r:embed="rId8"/>
                    <a:stretch>
                      <a:fillRect/>
                    </a:stretch>
                  </pic:blipFill>
                  <pic:spPr>
                    <a:xfrm>
                      <a:off x="0" y="0"/>
                      <a:ext cx="4657725" cy="3057525"/>
                    </a:xfrm>
                    <a:prstGeom prst="rect">
                      <a:avLst/>
                    </a:prstGeom>
                  </pic:spPr>
                </pic:pic>
              </a:graphicData>
            </a:graphic>
          </wp:inline>
        </w:drawing>
      </w:r>
    </w:p>
    <w:p w14:paraId="36E2BD1E" w14:textId="77777777" w:rsidR="00F37034" w:rsidRPr="00F37034" w:rsidRDefault="00F37034" w:rsidP="00F37034">
      <w:pPr>
        <w:spacing w:line="360" w:lineRule="auto"/>
        <w:jc w:val="both"/>
        <w:rPr>
          <w:rFonts w:ascii="Arial" w:hAnsi="Arial" w:cs="Arial"/>
          <w:sz w:val="24"/>
          <w:szCs w:val="24"/>
        </w:rPr>
      </w:pPr>
      <w:r w:rsidRPr="00F37034">
        <w:rPr>
          <w:rFonts w:ascii="Arial" w:hAnsi="Arial" w:cs="Arial"/>
          <w:sz w:val="24"/>
          <w:szCs w:val="24"/>
        </w:rPr>
        <w:t xml:space="preserve">Figure </w:t>
      </w:r>
      <w:r w:rsidRPr="00F37034">
        <w:rPr>
          <w:rFonts w:ascii="Arial" w:hAnsi="Arial" w:cs="Arial"/>
          <w:sz w:val="24"/>
          <w:szCs w:val="24"/>
        </w:rPr>
        <w:fldChar w:fldCharType="begin"/>
      </w:r>
      <w:r w:rsidRPr="00F37034">
        <w:rPr>
          <w:rFonts w:ascii="Arial" w:hAnsi="Arial" w:cs="Arial"/>
          <w:sz w:val="24"/>
          <w:szCs w:val="24"/>
        </w:rPr>
        <w:instrText xml:space="preserve"> SEQ Figure \* ARABIC </w:instrText>
      </w:r>
      <w:r w:rsidRPr="00F37034">
        <w:rPr>
          <w:rFonts w:ascii="Arial" w:hAnsi="Arial" w:cs="Arial"/>
          <w:sz w:val="24"/>
          <w:szCs w:val="24"/>
        </w:rPr>
        <w:fldChar w:fldCharType="separate"/>
      </w:r>
      <w:r w:rsidRPr="00F37034">
        <w:rPr>
          <w:rFonts w:ascii="Arial" w:hAnsi="Arial" w:cs="Arial"/>
          <w:noProof/>
          <w:sz w:val="24"/>
          <w:szCs w:val="24"/>
        </w:rPr>
        <w:t>4</w:t>
      </w:r>
      <w:r w:rsidRPr="00F37034">
        <w:rPr>
          <w:rFonts w:ascii="Arial" w:hAnsi="Arial" w:cs="Arial"/>
          <w:noProof/>
          <w:sz w:val="24"/>
          <w:szCs w:val="24"/>
        </w:rPr>
        <w:fldChar w:fldCharType="end"/>
      </w:r>
      <w:r w:rsidRPr="00F37034">
        <w:rPr>
          <w:rFonts w:ascii="Arial" w:hAnsi="Arial" w:cs="Arial"/>
          <w:sz w:val="24"/>
          <w:szCs w:val="24"/>
        </w:rPr>
        <w:t>: Marriott's Yearly Revenue</w:t>
      </w:r>
    </w:p>
    <w:p w14:paraId="00C8675C" w14:textId="19795484" w:rsidR="00F37034" w:rsidRDefault="00F37034" w:rsidP="00F37034">
      <w:pPr>
        <w:spacing w:line="360" w:lineRule="auto"/>
        <w:jc w:val="both"/>
        <w:rPr>
          <w:rFonts w:ascii="Arial" w:hAnsi="Arial" w:cs="Arial"/>
          <w:color w:val="000000"/>
          <w:sz w:val="24"/>
          <w:szCs w:val="24"/>
          <w:shd w:val="clear" w:color="auto" w:fill="FFFFFF"/>
        </w:rPr>
      </w:pPr>
      <w:r w:rsidRPr="00F37034">
        <w:rPr>
          <w:rFonts w:ascii="Arial" w:hAnsi="Arial" w:cs="Arial"/>
          <w:sz w:val="24"/>
          <w:szCs w:val="24"/>
        </w:rPr>
        <w:t>Source: (</w:t>
      </w:r>
      <w:r w:rsidRPr="00F37034">
        <w:rPr>
          <w:rFonts w:ascii="Arial" w:hAnsi="Arial" w:cs="Arial"/>
          <w:color w:val="000000"/>
          <w:sz w:val="24"/>
          <w:szCs w:val="24"/>
          <w:shd w:val="clear" w:color="auto" w:fill="FFFFFF"/>
        </w:rPr>
        <w:t>Macrotrends.net, 2022</w:t>
      </w:r>
    </w:p>
    <w:p w14:paraId="08A0C30F" w14:textId="4F1326BB" w:rsidR="00F37034" w:rsidRPr="00F37034" w:rsidRDefault="00F37034" w:rsidP="00F37034">
      <w:pPr>
        <w:spacing w:line="360" w:lineRule="auto"/>
        <w:jc w:val="both"/>
        <w:rPr>
          <w:rFonts w:ascii="Arial" w:hAnsi="Arial" w:cs="Arial"/>
          <w:sz w:val="24"/>
          <w:szCs w:val="24"/>
        </w:rPr>
      </w:pPr>
      <w:r>
        <w:rPr>
          <w:rFonts w:ascii="Arial" w:hAnsi="Arial" w:cs="Arial"/>
          <w:color w:val="000000"/>
          <w:sz w:val="24"/>
          <w:szCs w:val="24"/>
          <w:shd w:val="clear" w:color="auto" w:fill="FFFFFF"/>
        </w:rPr>
        <w:t>Growth Potential</w:t>
      </w:r>
    </w:p>
    <w:p w14:paraId="4A21D0AE" w14:textId="0D57F4A5" w:rsidR="00F37034" w:rsidRDefault="00F37034" w:rsidP="00F37034">
      <w:pPr>
        <w:spacing w:line="360" w:lineRule="auto"/>
        <w:jc w:val="both"/>
        <w:rPr>
          <w:rFonts w:ascii="Arial" w:hAnsi="Arial" w:cs="Arial"/>
          <w:sz w:val="24"/>
          <w:szCs w:val="24"/>
        </w:rPr>
      </w:pPr>
      <w:r w:rsidRPr="00F37034">
        <w:rPr>
          <w:rFonts w:ascii="Arial" w:hAnsi="Arial" w:cs="Arial"/>
          <w:sz w:val="24"/>
          <w:szCs w:val="24"/>
        </w:rPr>
        <w:t>Hilton is among the dominant companies in the hospitality industry. Almost 18 brands are claimed by its portfolio which consists of over 6,799belongings and more than a million accommodations in 122 nations. According to the current data, Hilton has managed to acquire 54 properties, manage 745 hotels and had around 6038 franchised hotels</w:t>
      </w:r>
      <w:r w:rsidRPr="00F37034">
        <w:rPr>
          <w:rFonts w:ascii="Arial" w:hAnsi="Arial" w:cs="Arial"/>
          <w:color w:val="000000"/>
          <w:sz w:val="24"/>
          <w:szCs w:val="24"/>
          <w:shd w:val="clear" w:color="auto" w:fill="FFFFFF"/>
        </w:rPr>
        <w:t xml:space="preserve"> (Nasdaq.com, 2021)</w:t>
      </w:r>
      <w:r w:rsidRPr="00F37034">
        <w:rPr>
          <w:rFonts w:ascii="Arial" w:hAnsi="Arial" w:cs="Arial"/>
          <w:sz w:val="24"/>
          <w:szCs w:val="24"/>
        </w:rPr>
        <w:t>. On the other hand, Marriott International Inc. has a prominent existence in 139 nations with almost 8000 belongings under 30 prominent brands, with some major labels like The Ritz-Carlton, Marriott hotels, Sheraton, JW Marriott, Bulgari and St. Regis. And according to the current data, Marriott has managed to acquire 64 properties, managing 1943 properties and having around 5880 licensed and franchised properties</w:t>
      </w:r>
      <w:r w:rsidRPr="00F37034">
        <w:rPr>
          <w:rFonts w:ascii="Arial" w:hAnsi="Arial" w:cs="Arial"/>
          <w:color w:val="000000"/>
          <w:sz w:val="24"/>
          <w:szCs w:val="24"/>
          <w:shd w:val="clear" w:color="auto" w:fill="FFFFFF"/>
        </w:rPr>
        <w:t xml:space="preserve"> (Nasdaq.com, 2021)</w:t>
      </w:r>
      <w:r w:rsidRPr="00F37034">
        <w:rPr>
          <w:rFonts w:ascii="Arial" w:hAnsi="Arial" w:cs="Arial"/>
          <w:sz w:val="24"/>
          <w:szCs w:val="24"/>
        </w:rPr>
        <w:t>.</w:t>
      </w:r>
    </w:p>
    <w:p w14:paraId="7994D8DF" w14:textId="5008B0DD" w:rsidR="00F37034" w:rsidRPr="00F37034" w:rsidRDefault="00F37034" w:rsidP="00F37034">
      <w:pPr>
        <w:spacing w:line="360" w:lineRule="auto"/>
        <w:jc w:val="both"/>
        <w:rPr>
          <w:rFonts w:ascii="Arial" w:hAnsi="Arial" w:cs="Arial"/>
          <w:sz w:val="24"/>
          <w:szCs w:val="24"/>
        </w:rPr>
      </w:pPr>
      <w:r>
        <w:rPr>
          <w:rFonts w:ascii="Arial" w:hAnsi="Arial" w:cs="Arial"/>
          <w:sz w:val="24"/>
          <w:szCs w:val="24"/>
        </w:rPr>
        <w:t>Financial Commitment to CSR</w:t>
      </w:r>
    </w:p>
    <w:p w14:paraId="1A08C2AC" w14:textId="399646B2" w:rsidR="00F37034" w:rsidRDefault="00F37034" w:rsidP="00F37034">
      <w:pPr>
        <w:spacing w:line="360" w:lineRule="auto"/>
        <w:jc w:val="both"/>
        <w:rPr>
          <w:rFonts w:ascii="Arial" w:hAnsi="Arial" w:cs="Arial"/>
          <w:sz w:val="24"/>
          <w:szCs w:val="24"/>
        </w:rPr>
      </w:pPr>
      <w:r w:rsidRPr="00F37034">
        <w:rPr>
          <w:rFonts w:ascii="Arial" w:hAnsi="Arial" w:cs="Arial"/>
          <w:sz w:val="24"/>
          <w:szCs w:val="24"/>
        </w:rPr>
        <w:t xml:space="preserve">Hilton Hotels have committed to raising its investment in lessening its ecological influencepartially by 2030 and increasing social influence. The Hilton Hotel's predominant travel with purpose 2030 objectives are reinforced through sub-objectivesapproved by United Nations in 2015 that are carefully arranged according </w:t>
      </w:r>
      <w:r w:rsidRPr="00F37034">
        <w:rPr>
          <w:rFonts w:ascii="Arial" w:hAnsi="Arial" w:cs="Arial"/>
          <w:sz w:val="24"/>
          <w:szCs w:val="24"/>
        </w:rPr>
        <w:lastRenderedPageBreak/>
        <w:t>to the worldwide Sustainable Development Goals (SDGs)</w:t>
      </w:r>
      <w:r w:rsidRPr="00F37034">
        <w:rPr>
          <w:rFonts w:ascii="Arial" w:hAnsi="Arial" w:cs="Arial"/>
          <w:color w:val="000000"/>
          <w:sz w:val="24"/>
          <w:szCs w:val="24"/>
          <w:shd w:val="clear" w:color="auto" w:fill="FFFFFF"/>
        </w:rPr>
        <w:t xml:space="preserve"> (Hilton 2019 Corporate Responsibility Report, 2019)</w:t>
      </w:r>
      <w:r w:rsidRPr="00F37034">
        <w:rPr>
          <w:rFonts w:ascii="Arial" w:hAnsi="Arial" w:cs="Arial"/>
          <w:sz w:val="24"/>
          <w:szCs w:val="24"/>
        </w:rPr>
        <w:t>. At the same time, Marriott International Inc. has initiated a program called Serve360, which is a commitment to making a sustainable and constructive impact wherever they do business as per the guidance provided by their 2025 Sustainability and Social Impact Goals, and also as instructed by the UN Sustainable Development Goals (SDG)</w:t>
      </w:r>
      <w:r w:rsidRPr="00F37034">
        <w:rPr>
          <w:rFonts w:ascii="Arial" w:hAnsi="Arial" w:cs="Arial"/>
          <w:color w:val="000000"/>
          <w:sz w:val="24"/>
          <w:szCs w:val="24"/>
          <w:shd w:val="clear" w:color="auto" w:fill="FFFFFF"/>
        </w:rPr>
        <w:t xml:space="preserve"> (Marriott.com, 2023)</w:t>
      </w:r>
      <w:r w:rsidRPr="00F37034">
        <w:rPr>
          <w:rFonts w:ascii="Arial" w:hAnsi="Arial" w:cs="Arial"/>
          <w:sz w:val="24"/>
          <w:szCs w:val="24"/>
        </w:rPr>
        <w:t>. The main aim of Marriott is to improve the living standards of the communities where they operate. It also makes sure to provide sustainable and resiliency development support to these communities. Marriott ensures to invest a valuable amount in the strength and development of the children and their natural resources and also offers support and aid in times of need</w:t>
      </w:r>
      <w:r w:rsidRPr="00F37034">
        <w:rPr>
          <w:rFonts w:ascii="Arial" w:hAnsi="Arial" w:cs="Arial"/>
          <w:color w:val="000000"/>
          <w:sz w:val="24"/>
          <w:szCs w:val="24"/>
          <w:shd w:val="clear" w:color="auto" w:fill="FFFFFF"/>
        </w:rPr>
        <w:t xml:space="preserve"> (csr-marriott, 2019)</w:t>
      </w:r>
      <w:r w:rsidRPr="00F37034">
        <w:rPr>
          <w:rFonts w:ascii="Arial" w:hAnsi="Arial" w:cs="Arial"/>
          <w:sz w:val="24"/>
          <w:szCs w:val="24"/>
        </w:rPr>
        <w:t>.</w:t>
      </w:r>
    </w:p>
    <w:p w14:paraId="371F40A7" w14:textId="26A59AAF" w:rsidR="00F37034" w:rsidRPr="00F37034" w:rsidRDefault="00F37034" w:rsidP="00F37034">
      <w:pPr>
        <w:spacing w:line="360" w:lineRule="auto"/>
        <w:jc w:val="both"/>
        <w:rPr>
          <w:rFonts w:ascii="Arial" w:hAnsi="Arial" w:cs="Arial"/>
          <w:sz w:val="24"/>
          <w:szCs w:val="24"/>
        </w:rPr>
      </w:pPr>
      <w:r>
        <w:rPr>
          <w:rFonts w:ascii="Arial" w:hAnsi="Arial" w:cs="Arial"/>
          <w:sz w:val="24"/>
          <w:szCs w:val="24"/>
        </w:rPr>
        <w:t>Conclusion</w:t>
      </w:r>
    </w:p>
    <w:p w14:paraId="1876A839" w14:textId="5D210471" w:rsidR="00D038C2" w:rsidRDefault="00F37034" w:rsidP="00F37034">
      <w:pPr>
        <w:spacing w:line="360" w:lineRule="auto"/>
        <w:jc w:val="both"/>
        <w:rPr>
          <w:rFonts w:ascii="Arial" w:hAnsi="Arial" w:cs="Arial"/>
          <w:sz w:val="24"/>
          <w:szCs w:val="24"/>
        </w:rPr>
      </w:pPr>
      <w:r w:rsidRPr="00F37034">
        <w:rPr>
          <w:rFonts w:ascii="Arial" w:hAnsi="Arial" w:cs="Arial"/>
          <w:sz w:val="24"/>
          <w:szCs w:val="24"/>
        </w:rPr>
        <w:t>In conclusion, it is determined that the hospitality industry has witnessed a tremendous breakdown during the Covid-19 pandemic and it took a whole year for the industry to regain its self-consciousness. Similarly, Marriott and Hilton hotels also had a declining pace during the Covid-19 pandemic but with appropriate approaches and strategies, they made to get out of that rat-trap. However, the approaches that Marriott took were far better than the ones Hilton took, as Marriott manage to come back with a sustainable amount of impeccable performance in its growth rate, annual revenue and also market position. The report also concludes that Marriott has captured a lot more market areas as compared to Hilton, when it was focusing on expanding its business domestically, Marriott managed to expand through different regions of the world, making itself the leading company in the hospitality industry. Although Marriott also gives Hilton a tough time at the domestic level but the approaches of Marriott in expanding itself earlier than the other companies, give an insight about its strategies, superior projecting skills and a firm knowledge of the market trends.</w:t>
      </w:r>
    </w:p>
    <w:p w14:paraId="57EC5EA5" w14:textId="77777777" w:rsidR="00AC479D" w:rsidRDefault="00AC479D" w:rsidP="00F37034">
      <w:pPr>
        <w:spacing w:line="360" w:lineRule="auto"/>
        <w:jc w:val="both"/>
        <w:rPr>
          <w:rFonts w:ascii="Arial" w:hAnsi="Arial" w:cs="Arial"/>
          <w:sz w:val="24"/>
          <w:szCs w:val="24"/>
        </w:rPr>
      </w:pPr>
    </w:p>
    <w:p w14:paraId="366E4D0A" w14:textId="77777777" w:rsidR="00AC479D" w:rsidRDefault="00AC479D" w:rsidP="00F37034">
      <w:pPr>
        <w:spacing w:line="360" w:lineRule="auto"/>
        <w:jc w:val="both"/>
        <w:rPr>
          <w:rFonts w:ascii="Arial" w:hAnsi="Arial" w:cs="Arial"/>
          <w:sz w:val="24"/>
          <w:szCs w:val="24"/>
        </w:rPr>
      </w:pPr>
    </w:p>
    <w:p w14:paraId="2B66E704" w14:textId="77777777" w:rsidR="00AC479D" w:rsidRDefault="00AC479D" w:rsidP="00F37034">
      <w:pPr>
        <w:spacing w:line="360" w:lineRule="auto"/>
        <w:jc w:val="both"/>
        <w:rPr>
          <w:rFonts w:ascii="Arial" w:hAnsi="Arial" w:cs="Arial"/>
          <w:sz w:val="24"/>
          <w:szCs w:val="24"/>
        </w:rPr>
      </w:pPr>
    </w:p>
    <w:p w14:paraId="4FBA1F14" w14:textId="77777777" w:rsidR="00AC479D" w:rsidRDefault="00AC479D" w:rsidP="00F37034">
      <w:pPr>
        <w:spacing w:line="360" w:lineRule="auto"/>
        <w:jc w:val="both"/>
        <w:rPr>
          <w:rFonts w:ascii="Arial" w:hAnsi="Arial" w:cs="Arial"/>
          <w:sz w:val="24"/>
          <w:szCs w:val="24"/>
        </w:rPr>
      </w:pPr>
    </w:p>
    <w:p w14:paraId="6D1988F6" w14:textId="77777777" w:rsidR="00AC479D" w:rsidRDefault="00AC479D" w:rsidP="00F37034">
      <w:pPr>
        <w:spacing w:line="360" w:lineRule="auto"/>
        <w:jc w:val="both"/>
        <w:rPr>
          <w:rFonts w:ascii="Arial" w:hAnsi="Arial" w:cs="Arial"/>
          <w:sz w:val="24"/>
          <w:szCs w:val="24"/>
        </w:rPr>
      </w:pPr>
    </w:p>
    <w:p w14:paraId="270E4385" w14:textId="2158B6E8" w:rsidR="00AC479D" w:rsidRDefault="00AC479D" w:rsidP="00F37034">
      <w:pPr>
        <w:spacing w:line="360" w:lineRule="auto"/>
        <w:jc w:val="both"/>
        <w:rPr>
          <w:rFonts w:ascii="Arial" w:hAnsi="Arial" w:cs="Arial"/>
          <w:sz w:val="24"/>
          <w:szCs w:val="24"/>
        </w:rPr>
      </w:pPr>
      <w:r>
        <w:rPr>
          <w:rFonts w:ascii="Arial" w:hAnsi="Arial" w:cs="Arial"/>
          <w:sz w:val="24"/>
          <w:szCs w:val="24"/>
        </w:rPr>
        <w:lastRenderedPageBreak/>
        <w:t>References</w:t>
      </w:r>
    </w:p>
    <w:p w14:paraId="00B1E726" w14:textId="77777777" w:rsidR="00AC479D" w:rsidRDefault="00AC479D" w:rsidP="00F37034">
      <w:pPr>
        <w:spacing w:line="360" w:lineRule="auto"/>
        <w:jc w:val="both"/>
        <w:rPr>
          <w:rFonts w:ascii="Arial" w:hAnsi="Arial" w:cs="Arial"/>
          <w:sz w:val="24"/>
          <w:szCs w:val="24"/>
        </w:rPr>
      </w:pPr>
    </w:p>
    <w:p w14:paraId="04F00C34"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Ahsan, L., Qazi, B. and Syed, S., 2014. </w:t>
      </w:r>
      <w:r w:rsidRPr="00AC479D">
        <w:rPr>
          <w:rFonts w:ascii="Arial" w:hAnsi="Arial" w:cs="Arial"/>
          <w:i/>
          <w:iCs/>
          <w:sz w:val="24"/>
          <w:szCs w:val="24"/>
        </w:rPr>
        <w:t>M P RA Munich Personal RePEc Archive Strategic Management of Multinational Companies: Case of Hilton</w:t>
      </w:r>
      <w:r w:rsidRPr="00AC479D">
        <w:rPr>
          <w:rFonts w:ascii="Arial" w:hAnsi="Arial" w:cs="Arial"/>
          <w:sz w:val="24"/>
          <w:szCs w:val="24"/>
        </w:rPr>
        <w:t>. [online] Available at: https://mpra.ub.uni-muenchen.de/58366/1/MPRA_paper_58366.pdf.</w:t>
      </w:r>
    </w:p>
    <w:p w14:paraId="0810E1DD"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Chcom., 2013. </w:t>
      </w:r>
      <w:r w:rsidRPr="00AC479D">
        <w:rPr>
          <w:rFonts w:ascii="Arial" w:hAnsi="Arial" w:cs="Arial"/>
          <w:i/>
          <w:iCs/>
          <w:sz w:val="24"/>
          <w:szCs w:val="24"/>
        </w:rPr>
        <w:t>Marriott International</w:t>
      </w:r>
      <w:r w:rsidRPr="00AC479D">
        <w:rPr>
          <w:rFonts w:ascii="Arial" w:hAnsi="Arial" w:cs="Arial"/>
          <w:sz w:val="24"/>
          <w:szCs w:val="24"/>
        </w:rPr>
        <w:t>. [online] CompaniesHistory.com - The largest companies and brands in the world. Available at: https://www.companieshistory.com/marriott-international/</w:t>
      </w:r>
    </w:p>
    <w:p w14:paraId="0AB58CE4"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eastAsia="Times New Roman" w:hAnsi="Arial" w:cs="Arial"/>
          <w:sz w:val="24"/>
          <w:szCs w:val="24"/>
          <w:lang w:val="en-US"/>
        </w:rPr>
        <w:t>‌</w:t>
      </w:r>
      <w:r w:rsidRPr="00AC479D">
        <w:rPr>
          <w:rFonts w:ascii="Arial" w:hAnsi="Arial" w:cs="Arial"/>
          <w:sz w:val="24"/>
          <w:szCs w:val="24"/>
        </w:rPr>
        <w:t>csr-marriott., 2019. </w:t>
      </w:r>
      <w:r w:rsidRPr="00AC479D">
        <w:rPr>
          <w:rFonts w:ascii="Arial" w:hAnsi="Arial" w:cs="Arial"/>
          <w:i/>
          <w:iCs/>
          <w:sz w:val="24"/>
          <w:szCs w:val="24"/>
        </w:rPr>
        <w:t>csr-marriott</w:t>
      </w:r>
      <w:r w:rsidRPr="00AC479D">
        <w:rPr>
          <w:rFonts w:ascii="Arial" w:hAnsi="Arial" w:cs="Arial"/>
          <w:sz w:val="24"/>
          <w:szCs w:val="24"/>
        </w:rPr>
        <w:t>. [online] Available at: https://serve360.marriott.com/#:~:text=We%20believe%20in%20making%20the,especially%20in%20times%20of%20need.</w:t>
      </w:r>
    </w:p>
    <w:p w14:paraId="71EAC3BE"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Drury C., 2015 (9 th Ed) Management and Cost Accounting, London, Prentice Hall</w:t>
      </w:r>
    </w:p>
    <w:p w14:paraId="566443B6"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Ehl.edu.,2019. </w:t>
      </w:r>
      <w:r w:rsidRPr="00AC479D">
        <w:rPr>
          <w:rFonts w:ascii="Arial" w:hAnsi="Arial" w:cs="Arial"/>
          <w:i/>
          <w:iCs/>
          <w:sz w:val="24"/>
          <w:szCs w:val="24"/>
        </w:rPr>
        <w:t>Hospitality Industry: All your questions answered</w:t>
      </w:r>
      <w:r w:rsidRPr="00AC479D">
        <w:rPr>
          <w:rFonts w:ascii="Arial" w:hAnsi="Arial" w:cs="Arial"/>
          <w:sz w:val="24"/>
          <w:szCs w:val="24"/>
        </w:rPr>
        <w:t>. [online] Available at: https://hospitalityinsights.ehl.edu/hospitality-industry</w:t>
      </w:r>
    </w:p>
    <w:p w14:paraId="5F868857"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Guilding,C., 2013 Accounting Essentials for Hospitality Managers, London, Taylor and Francis.</w:t>
      </w:r>
    </w:p>
    <w:p w14:paraId="472948AC"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Hayes,M. and Miller, A., 2012 Revenue Management for the Hospitality Industry, London, Wiley</w:t>
      </w:r>
    </w:p>
    <w:p w14:paraId="15D5CAE0"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eastAsia="Times New Roman" w:hAnsi="Arial" w:cs="Arial"/>
          <w:sz w:val="24"/>
          <w:szCs w:val="24"/>
          <w:lang w:val="en-US"/>
        </w:rPr>
        <w:t>‌</w:t>
      </w:r>
      <w:r w:rsidRPr="00AC479D">
        <w:rPr>
          <w:rFonts w:ascii="Arial" w:hAnsi="Arial" w:cs="Arial"/>
          <w:sz w:val="24"/>
          <w:szCs w:val="24"/>
        </w:rPr>
        <w:t>Hilton 2019 Corporate Responsibility Report., 2019. Available at: https://cr.hilton.com/wp-content/uploads/2020/04/Hilton-2019-CR-Report.pdf.</w:t>
      </w:r>
    </w:p>
    <w:p w14:paraId="45D4A56D"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‌Macrotrends.net., 2022. </w:t>
      </w:r>
      <w:r w:rsidRPr="00AC479D">
        <w:rPr>
          <w:rFonts w:ascii="Arial" w:hAnsi="Arial" w:cs="Arial"/>
          <w:i/>
          <w:iCs/>
          <w:sz w:val="24"/>
          <w:szCs w:val="24"/>
        </w:rPr>
        <w:t>Marriott Revenue 2010-2022 | MAR</w:t>
      </w:r>
      <w:r w:rsidRPr="00AC479D">
        <w:rPr>
          <w:rFonts w:ascii="Arial" w:hAnsi="Arial" w:cs="Arial"/>
          <w:sz w:val="24"/>
          <w:szCs w:val="24"/>
        </w:rPr>
        <w:t xml:space="preserve">. [online] Available at: https://www.macrotrends.net/stocks/charts/MAR/marriott/revenue </w:t>
      </w:r>
    </w:p>
    <w:p w14:paraId="09DB2D54"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‌Macrotrends.net., 2023. </w:t>
      </w:r>
      <w:r w:rsidRPr="00AC479D">
        <w:rPr>
          <w:rFonts w:ascii="Arial" w:hAnsi="Arial" w:cs="Arial"/>
          <w:i/>
          <w:iCs/>
          <w:sz w:val="24"/>
          <w:szCs w:val="24"/>
        </w:rPr>
        <w:t>Hilton Worldwide Holdings Revenue 2011-2023 | HLT</w:t>
      </w:r>
      <w:r w:rsidRPr="00AC479D">
        <w:rPr>
          <w:rFonts w:ascii="Arial" w:hAnsi="Arial" w:cs="Arial"/>
          <w:sz w:val="24"/>
          <w:szCs w:val="24"/>
        </w:rPr>
        <w:t>. [online] Available at: https://www.macrotrends.net/stocks/charts/HLT/hilton-worldwide-holdings/revenue</w:t>
      </w:r>
    </w:p>
    <w:p w14:paraId="3866A41E"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eastAsia="Times New Roman" w:hAnsi="Arial" w:cs="Arial"/>
          <w:sz w:val="24"/>
          <w:szCs w:val="24"/>
          <w:lang w:val="en-US"/>
        </w:rPr>
        <w:t>‌</w:t>
      </w:r>
      <w:r w:rsidRPr="00AC479D">
        <w:rPr>
          <w:rFonts w:ascii="Arial" w:hAnsi="Arial" w:cs="Arial"/>
          <w:sz w:val="24"/>
          <w:szCs w:val="24"/>
        </w:rPr>
        <w:t>Marriott.com., 2023. </w:t>
      </w:r>
      <w:r w:rsidRPr="00AC479D">
        <w:rPr>
          <w:rFonts w:ascii="Arial" w:hAnsi="Arial" w:cs="Arial"/>
          <w:i/>
          <w:iCs/>
          <w:sz w:val="24"/>
          <w:szCs w:val="24"/>
        </w:rPr>
        <w:t>Marriott Bonvoy Customer Service and Online Help</w:t>
      </w:r>
      <w:r w:rsidRPr="00AC479D">
        <w:rPr>
          <w:rFonts w:ascii="Arial" w:hAnsi="Arial" w:cs="Arial"/>
          <w:sz w:val="24"/>
          <w:szCs w:val="24"/>
        </w:rPr>
        <w:t>. [online] Available at: https://help.marriott.com/s/article/Article-</w:t>
      </w:r>
      <w:r w:rsidRPr="00AC479D">
        <w:rPr>
          <w:rFonts w:ascii="Arial" w:hAnsi="Arial" w:cs="Arial"/>
          <w:sz w:val="24"/>
          <w:szCs w:val="24"/>
        </w:rPr>
        <w:lastRenderedPageBreak/>
        <w:t>22522#:~:text=Serve360%20is%20our%20commitment%20to,Ambition%20To%20Go%20Net%2DZero</w:t>
      </w:r>
    </w:p>
    <w:p w14:paraId="54B2DA01" w14:textId="77777777" w:rsidR="00AC479D" w:rsidRPr="00AC479D" w:rsidRDefault="00AC479D" w:rsidP="00AC479D">
      <w:pPr>
        <w:spacing w:line="360" w:lineRule="auto"/>
        <w:ind w:left="720" w:hanging="720"/>
        <w:jc w:val="both"/>
        <w:rPr>
          <w:rFonts w:ascii="Arial" w:eastAsia="Times New Roman" w:hAnsi="Arial" w:cs="Arial"/>
          <w:sz w:val="24"/>
          <w:szCs w:val="24"/>
          <w:lang w:val="en-US"/>
        </w:rPr>
      </w:pPr>
      <w:r w:rsidRPr="00AC479D">
        <w:rPr>
          <w:rFonts w:ascii="Arial" w:eastAsia="Times New Roman" w:hAnsi="Arial" w:cs="Arial"/>
          <w:sz w:val="24"/>
          <w:szCs w:val="24"/>
          <w:lang w:val="en-US"/>
        </w:rPr>
        <w:t>Nasdaq.com., 2018. </w:t>
      </w:r>
      <w:r w:rsidRPr="00AC479D">
        <w:rPr>
          <w:rFonts w:ascii="Arial" w:eastAsia="Times New Roman" w:hAnsi="Arial" w:cs="Arial"/>
          <w:i/>
          <w:iCs/>
          <w:sz w:val="24"/>
          <w:szCs w:val="24"/>
          <w:lang w:val="en-US"/>
        </w:rPr>
        <w:t>Hilton vs. Marriott: Which is A Better Buy Ahead of Q4 Earnings?</w:t>
      </w:r>
      <w:r w:rsidRPr="00AC479D">
        <w:rPr>
          <w:rFonts w:ascii="Arial" w:eastAsia="Times New Roman" w:hAnsi="Arial" w:cs="Arial"/>
          <w:sz w:val="24"/>
          <w:szCs w:val="24"/>
          <w:lang w:val="en-US"/>
        </w:rPr>
        <w:t> [online] Available at: https://www.nasdaq.com/articles/hilton-vs-marriott-which-better-buy-ahead-q4-earnings-2018-02-13</w:t>
      </w:r>
    </w:p>
    <w:p w14:paraId="6C6240A9" w14:textId="77777777" w:rsidR="00AC479D" w:rsidRPr="00AC479D" w:rsidRDefault="00AC479D" w:rsidP="00AC479D">
      <w:pPr>
        <w:spacing w:line="360" w:lineRule="auto"/>
        <w:ind w:left="720" w:hanging="720"/>
        <w:jc w:val="both"/>
        <w:rPr>
          <w:rFonts w:ascii="Arial" w:eastAsia="Times New Roman" w:hAnsi="Arial" w:cs="Arial"/>
          <w:sz w:val="24"/>
          <w:szCs w:val="24"/>
          <w:lang w:val="en-US"/>
        </w:rPr>
      </w:pPr>
      <w:r w:rsidRPr="00AC479D">
        <w:rPr>
          <w:rFonts w:ascii="Arial" w:eastAsia="Times New Roman" w:hAnsi="Arial" w:cs="Arial"/>
          <w:sz w:val="24"/>
          <w:szCs w:val="24"/>
          <w:lang w:val="en-US"/>
        </w:rPr>
        <w:t>Nasdaq.com., 2021. </w:t>
      </w:r>
      <w:r w:rsidRPr="00AC479D">
        <w:rPr>
          <w:rFonts w:ascii="Arial" w:eastAsia="Times New Roman" w:hAnsi="Arial" w:cs="Arial"/>
          <w:i/>
          <w:iCs/>
          <w:sz w:val="24"/>
          <w:szCs w:val="24"/>
          <w:lang w:val="en-US"/>
        </w:rPr>
        <w:t>Wyndham vs. Hilton vs. Marriott: Which Hotel Stock Has More Room to Run?</w:t>
      </w:r>
      <w:r w:rsidRPr="00AC479D">
        <w:rPr>
          <w:rFonts w:ascii="Arial" w:eastAsia="Times New Roman" w:hAnsi="Arial" w:cs="Arial"/>
          <w:sz w:val="24"/>
          <w:szCs w:val="24"/>
          <w:lang w:val="en-US"/>
        </w:rPr>
        <w:t xml:space="preserve"> [online] Available at: https://www.nasdaq.com/articles/wyndham-vs.-hilton-vs.-marriott:-which-hotel-stock-has-more-room-to-run </w:t>
      </w:r>
    </w:p>
    <w:p w14:paraId="10578D9B" w14:textId="77777777" w:rsidR="00AC479D" w:rsidRPr="00AC479D" w:rsidRDefault="00AC479D" w:rsidP="00AC479D">
      <w:pPr>
        <w:spacing w:line="360" w:lineRule="auto"/>
        <w:ind w:left="720" w:hanging="720"/>
        <w:jc w:val="both"/>
        <w:rPr>
          <w:rFonts w:ascii="Arial" w:hAnsi="Arial" w:cs="Arial"/>
          <w:sz w:val="24"/>
          <w:szCs w:val="24"/>
          <w:shd w:val="clear" w:color="auto" w:fill="FFFFFF"/>
        </w:rPr>
      </w:pPr>
      <w:r w:rsidRPr="00AC479D">
        <w:rPr>
          <w:rFonts w:ascii="Arial" w:hAnsi="Arial" w:cs="Arial"/>
          <w:sz w:val="24"/>
          <w:szCs w:val="24"/>
          <w:shd w:val="clear" w:color="auto" w:fill="FFFFFF"/>
        </w:rPr>
        <w:t>Reidhead, C., 2020. Impact of organizational culture on employee satisfaction: A case of Hilton hotel, United Kingdom. </w:t>
      </w:r>
      <w:r w:rsidRPr="00AC479D">
        <w:rPr>
          <w:rFonts w:ascii="Arial" w:hAnsi="Arial" w:cs="Arial"/>
          <w:i/>
          <w:iCs/>
          <w:sz w:val="24"/>
          <w:szCs w:val="24"/>
          <w:shd w:val="clear" w:color="auto" w:fill="FFFFFF"/>
        </w:rPr>
        <w:t>Journal of Economics and Business</w:t>
      </w:r>
      <w:r w:rsidRPr="00AC479D">
        <w:rPr>
          <w:rFonts w:ascii="Arial" w:hAnsi="Arial" w:cs="Arial"/>
          <w:sz w:val="24"/>
          <w:szCs w:val="24"/>
          <w:shd w:val="clear" w:color="auto" w:fill="FFFFFF"/>
        </w:rPr>
        <w:t>, </w:t>
      </w:r>
      <w:r w:rsidRPr="00AC479D">
        <w:rPr>
          <w:rFonts w:ascii="Arial" w:hAnsi="Arial" w:cs="Arial"/>
          <w:i/>
          <w:iCs/>
          <w:sz w:val="24"/>
          <w:szCs w:val="24"/>
          <w:shd w:val="clear" w:color="auto" w:fill="FFFFFF"/>
        </w:rPr>
        <w:t>3</w:t>
      </w:r>
      <w:r w:rsidRPr="00AC479D">
        <w:rPr>
          <w:rFonts w:ascii="Arial" w:hAnsi="Arial" w:cs="Arial"/>
          <w:sz w:val="24"/>
          <w:szCs w:val="24"/>
          <w:shd w:val="clear" w:color="auto" w:fill="FFFFFF"/>
        </w:rPr>
        <w:t xml:space="preserve"> (1).</w:t>
      </w:r>
    </w:p>
    <w:p w14:paraId="09E030AE" w14:textId="77777777" w:rsidR="00AC479D" w:rsidRPr="00AC479D" w:rsidRDefault="00AC479D" w:rsidP="00AC479D">
      <w:pPr>
        <w:spacing w:line="360" w:lineRule="auto"/>
        <w:ind w:left="720" w:hanging="720"/>
        <w:jc w:val="both"/>
        <w:rPr>
          <w:rFonts w:ascii="Arial" w:hAnsi="Arial" w:cs="Arial"/>
          <w:sz w:val="24"/>
          <w:szCs w:val="24"/>
        </w:rPr>
      </w:pPr>
      <w:r w:rsidRPr="00AC479D">
        <w:rPr>
          <w:rFonts w:ascii="Arial" w:hAnsi="Arial" w:cs="Arial"/>
          <w:sz w:val="24"/>
          <w:szCs w:val="24"/>
        </w:rPr>
        <w:t>‌SanniOlawale., 2020. </w:t>
      </w:r>
      <w:r w:rsidRPr="00AC479D">
        <w:rPr>
          <w:rFonts w:ascii="Arial" w:hAnsi="Arial" w:cs="Arial"/>
          <w:i/>
          <w:iCs/>
          <w:sz w:val="24"/>
          <w:szCs w:val="24"/>
        </w:rPr>
        <w:t>The Competitive Position of Marriott International Inc. and Starwood Worldwide. An Assessment using Porter’s Five Forces and PESTLE-Analysis</w:t>
      </w:r>
      <w:r w:rsidRPr="00AC479D">
        <w:rPr>
          <w:rFonts w:ascii="Arial" w:hAnsi="Arial" w:cs="Arial"/>
          <w:sz w:val="24"/>
          <w:szCs w:val="24"/>
        </w:rPr>
        <w:t>. [online] GRIN Verlag. Available at: https://www.grin.com/document/932142</w:t>
      </w:r>
    </w:p>
    <w:p w14:paraId="685F676E" w14:textId="78B82D9E" w:rsidR="00AC479D" w:rsidRPr="00AC479D" w:rsidRDefault="00AC479D" w:rsidP="00AC479D">
      <w:pPr>
        <w:spacing w:line="360" w:lineRule="auto"/>
        <w:jc w:val="both"/>
        <w:rPr>
          <w:rFonts w:ascii="Arial" w:hAnsi="Arial" w:cs="Arial"/>
          <w:sz w:val="24"/>
          <w:szCs w:val="24"/>
        </w:rPr>
      </w:pPr>
      <w:r w:rsidRPr="00AC479D">
        <w:rPr>
          <w:rFonts w:ascii="Arial" w:hAnsi="Arial" w:cs="Arial"/>
          <w:sz w:val="24"/>
          <w:szCs w:val="24"/>
        </w:rPr>
        <w:t>StudyCorgi.com., 2022. </w:t>
      </w:r>
      <w:r w:rsidRPr="00AC479D">
        <w:rPr>
          <w:rFonts w:ascii="Arial" w:hAnsi="Arial" w:cs="Arial"/>
          <w:i/>
          <w:iCs/>
          <w:sz w:val="24"/>
          <w:szCs w:val="24"/>
        </w:rPr>
        <w:t>Marriott, Intercontinental, and Hilton Hotel Chains’ Financial Indicators | Free Essay Example</w:t>
      </w:r>
      <w:r w:rsidRPr="00AC479D">
        <w:rPr>
          <w:rFonts w:ascii="Arial" w:hAnsi="Arial" w:cs="Arial"/>
          <w:sz w:val="24"/>
          <w:szCs w:val="24"/>
        </w:rPr>
        <w:t xml:space="preserve">. [online] Available at: </w:t>
      </w:r>
      <w:hyperlink r:id="rId9" w:history="1">
        <w:r w:rsidRPr="00AC479D">
          <w:rPr>
            <w:rStyle w:val="Hyperlink"/>
            <w:rFonts w:ascii="Arial" w:hAnsi="Arial" w:cs="Arial"/>
            <w:sz w:val="24"/>
            <w:szCs w:val="24"/>
          </w:rPr>
          <w:t>https://studycorgi.com/marriott-intercontinental-and-hilton-hotel-chains-financial-indicators/</w:t>
        </w:r>
      </w:hyperlink>
    </w:p>
    <w:p w14:paraId="4FA64F07" w14:textId="77777777" w:rsidR="00E76E59" w:rsidRPr="00E76E59" w:rsidRDefault="00E76E59" w:rsidP="00E76E59">
      <w:pPr>
        <w:spacing w:line="360" w:lineRule="auto"/>
        <w:jc w:val="both"/>
        <w:rPr>
          <w:rFonts w:ascii="Arial" w:hAnsi="Arial" w:cs="Arial"/>
          <w:sz w:val="24"/>
          <w:szCs w:val="24"/>
        </w:rPr>
      </w:pPr>
    </w:p>
    <w:p w14:paraId="75941D3C" w14:textId="77777777" w:rsidR="00E76E59" w:rsidRPr="00E76E59" w:rsidRDefault="00E76E59" w:rsidP="00E76E59">
      <w:pPr>
        <w:spacing w:line="360" w:lineRule="auto"/>
        <w:jc w:val="both"/>
        <w:rPr>
          <w:rFonts w:ascii="Arial" w:hAnsi="Arial" w:cs="Arial"/>
          <w:sz w:val="24"/>
          <w:szCs w:val="24"/>
        </w:rPr>
      </w:pPr>
    </w:p>
    <w:p w14:paraId="688E53AE" w14:textId="1E8A80B7" w:rsidR="00237722" w:rsidRPr="00237722" w:rsidRDefault="00237722" w:rsidP="00237722">
      <w:pPr>
        <w:spacing w:line="360" w:lineRule="auto"/>
        <w:jc w:val="both"/>
        <w:rPr>
          <w:rFonts w:ascii="Arial" w:hAnsi="Arial" w:cs="Arial"/>
          <w:sz w:val="24"/>
          <w:szCs w:val="24"/>
        </w:rPr>
      </w:pPr>
      <w:r w:rsidRPr="00237722">
        <w:rPr>
          <w:rFonts w:ascii="Arial" w:hAnsi="Arial" w:cs="Arial"/>
          <w:sz w:val="24"/>
          <w:szCs w:val="24"/>
        </w:rPr>
        <w:t xml:space="preserve"> </w:t>
      </w:r>
    </w:p>
    <w:p w14:paraId="11395741" w14:textId="77777777" w:rsidR="00237722" w:rsidRPr="00237722" w:rsidRDefault="00237722" w:rsidP="00237722">
      <w:pPr>
        <w:spacing w:line="360" w:lineRule="auto"/>
        <w:jc w:val="both"/>
        <w:rPr>
          <w:rFonts w:ascii="Arial" w:hAnsi="Arial" w:cs="Arial"/>
          <w:sz w:val="24"/>
          <w:szCs w:val="24"/>
          <w:lang w:val="en-US"/>
        </w:rPr>
      </w:pPr>
    </w:p>
    <w:sectPr w:rsidR="00237722" w:rsidRPr="00237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54791"/>
    <w:multiLevelType w:val="hybridMultilevel"/>
    <w:tmpl w:val="975E6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6927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592"/>
    <w:rsid w:val="00093592"/>
    <w:rsid w:val="00237722"/>
    <w:rsid w:val="00525FA5"/>
    <w:rsid w:val="00AC479D"/>
    <w:rsid w:val="00D038C2"/>
    <w:rsid w:val="00D35C6F"/>
    <w:rsid w:val="00D43B1E"/>
    <w:rsid w:val="00D857E5"/>
    <w:rsid w:val="00DB66B9"/>
    <w:rsid w:val="00E76E59"/>
    <w:rsid w:val="00F04774"/>
    <w:rsid w:val="00F37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BCEF4"/>
  <w15:chartTrackingRefBased/>
  <w15:docId w15:val="{71907B89-5C58-4B09-9DBF-F80AFB5D6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8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6E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76E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76E59"/>
    <w:pPr>
      <w:keepNext/>
      <w:keepLines/>
      <w:spacing w:after="0" w:line="360" w:lineRule="auto"/>
      <w:jc w:val="center"/>
      <w:outlineLvl w:val="3"/>
    </w:pPr>
    <w:rPr>
      <w:rFonts w:ascii="Arial" w:eastAsiaTheme="majorEastAsia" w:hAnsi="Arial" w:cstheme="majorBidi"/>
      <w:b/>
      <w:i/>
      <w:iCs/>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76E59"/>
    <w:rPr>
      <w:rFonts w:ascii="Arial" w:eastAsiaTheme="majorEastAsia" w:hAnsi="Arial" w:cstheme="majorBidi"/>
      <w:b/>
      <w:i/>
      <w:iCs/>
      <w:kern w:val="0"/>
      <w:sz w:val="24"/>
      <w14:ligatures w14:val="none"/>
    </w:rPr>
  </w:style>
  <w:style w:type="character" w:customStyle="1" w:styleId="Heading2Char">
    <w:name w:val="Heading 2 Char"/>
    <w:basedOn w:val="DefaultParagraphFont"/>
    <w:link w:val="Heading2"/>
    <w:uiPriority w:val="9"/>
    <w:rsid w:val="00E76E5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76E5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76E59"/>
    <w:pPr>
      <w:ind w:left="720"/>
      <w:contextualSpacing/>
    </w:pPr>
  </w:style>
  <w:style w:type="character" w:customStyle="1" w:styleId="Heading1Char">
    <w:name w:val="Heading 1 Char"/>
    <w:basedOn w:val="DefaultParagraphFont"/>
    <w:link w:val="Heading1"/>
    <w:uiPriority w:val="9"/>
    <w:rsid w:val="00D038C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3703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47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tudycorgi.com/marriott-intercontinental-and-hilton-hotel-chains-financial-indic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2458</Words>
  <Characters>14014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Gheorghe-Minel Nica (2122262)</dc:creator>
  <cp:keywords/>
  <dc:description/>
  <cp:lastModifiedBy>Gheorghe-Minel Nica (2122262)</cp:lastModifiedBy>
  <cp:revision>9</cp:revision>
  <dcterms:created xsi:type="dcterms:W3CDTF">2023-05-21T13:36:00Z</dcterms:created>
  <dcterms:modified xsi:type="dcterms:W3CDTF">2023-05-21T14:10:00Z</dcterms:modified>
</cp:coreProperties>
</file>