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AB218" w14:textId="77777777" w:rsidR="00B051DF" w:rsidRPr="00B051DF" w:rsidRDefault="00B051DF" w:rsidP="00B051DF">
      <w:pPr>
        <w:pStyle w:val="Heading2"/>
        <w:rPr>
          <w:rFonts w:ascii="Trebuchet MS" w:eastAsia="Calibri" w:hAnsi="Trebuchet MS"/>
          <w:color w:val="auto"/>
        </w:rPr>
      </w:pPr>
      <w:r w:rsidRPr="00B051DF">
        <w:rPr>
          <w:rFonts w:ascii="Trebuchet MS" w:hAnsi="Trebuchet MS"/>
          <w:color w:val="auto"/>
        </w:rPr>
        <w:t xml:space="preserve">It has been stated that the process of </w:t>
      </w:r>
      <w:r w:rsidRPr="00C264A1">
        <w:rPr>
          <w:rFonts w:ascii="Trebuchet MS" w:hAnsi="Trebuchet MS"/>
          <w:color w:val="auto"/>
          <w:highlight w:val="yellow"/>
        </w:rPr>
        <w:t>remembrance and commemoration in Britain was an agent for order and contentment</w:t>
      </w:r>
      <w:r w:rsidRPr="00B051DF">
        <w:rPr>
          <w:rFonts w:ascii="Trebuchet MS" w:hAnsi="Trebuchet MS"/>
          <w:color w:val="auto"/>
        </w:rPr>
        <w:t xml:space="preserve"> following World War One. Discuss with reference to the </w:t>
      </w:r>
      <w:r w:rsidRPr="00C264A1">
        <w:rPr>
          <w:rFonts w:ascii="Trebuchet MS" w:hAnsi="Trebuchet MS"/>
          <w:color w:val="auto"/>
          <w:highlight w:val="yellow"/>
        </w:rPr>
        <w:t>political and social situation</w:t>
      </w:r>
      <w:r w:rsidRPr="00B051DF">
        <w:rPr>
          <w:rFonts w:ascii="Trebuchet MS" w:hAnsi="Trebuchet MS"/>
          <w:color w:val="auto"/>
        </w:rPr>
        <w:t xml:space="preserve"> in the post-war years and the </w:t>
      </w:r>
      <w:r w:rsidRPr="00C264A1">
        <w:rPr>
          <w:rFonts w:ascii="Trebuchet MS" w:hAnsi="Trebuchet MS"/>
          <w:color w:val="auto"/>
          <w:highlight w:val="yellow"/>
        </w:rPr>
        <w:t>discourse in more recent years between historians of the conflict.</w:t>
      </w:r>
    </w:p>
    <w:p w14:paraId="744F241F" w14:textId="77777777" w:rsidR="0069702B" w:rsidRPr="00B051DF" w:rsidRDefault="0069702B">
      <w:pPr>
        <w:rPr>
          <w:rFonts w:ascii="Trebuchet MS" w:hAnsi="Trebuchet MS"/>
        </w:rPr>
      </w:pPr>
    </w:p>
    <w:p w14:paraId="1B29BE90" w14:textId="77777777" w:rsidR="00B051DF" w:rsidRPr="002375DD" w:rsidRDefault="00B051DF">
      <w:pPr>
        <w:rPr>
          <w:rFonts w:ascii="Trebuchet MS" w:hAnsi="Trebuchet MS"/>
        </w:rPr>
      </w:pPr>
      <w:r w:rsidRPr="002375DD">
        <w:rPr>
          <w:rFonts w:ascii="Trebuchet MS" w:hAnsi="Trebuchet MS"/>
        </w:rPr>
        <w:t>Intro</w:t>
      </w:r>
    </w:p>
    <w:p w14:paraId="2CD579E2" w14:textId="2093AC81" w:rsidR="00CB1B29" w:rsidRDefault="00CB1B29" w:rsidP="00CB1B29">
      <w:pPr>
        <w:rPr>
          <w:rFonts w:ascii="Trebuchet MS" w:hAnsi="Trebuchet MS"/>
        </w:rPr>
      </w:pPr>
    </w:p>
    <w:p w14:paraId="5C4D92CC" w14:textId="01F672DE" w:rsidR="007E2B11" w:rsidRDefault="007E2B11" w:rsidP="00CB1B29">
      <w:pPr>
        <w:rPr>
          <w:rFonts w:ascii="Trebuchet MS" w:hAnsi="Trebuchet MS"/>
        </w:rPr>
      </w:pPr>
      <w:r>
        <w:rPr>
          <w:rFonts w:ascii="Trebuchet MS" w:hAnsi="Trebuchet MS"/>
        </w:rPr>
        <w:t>The process of remembrance and commemoration occurred across Britain after the end of the First World War.</w:t>
      </w:r>
      <w:r w:rsidR="005A3E8E">
        <w:rPr>
          <w:rFonts w:ascii="Trebuchet MS" w:hAnsi="Trebuchet MS"/>
        </w:rPr>
        <w:t xml:space="preserve"> The war was of an unprecedented scale with approximately 10 million killed on the front lines, </w:t>
      </w:r>
      <w:r w:rsidR="005A3E8E" w:rsidRPr="005A3E8E">
        <w:rPr>
          <w:rFonts w:ascii="Trebuchet MS" w:hAnsi="Trebuchet MS"/>
        </w:rPr>
        <w:t>761,000</w:t>
      </w:r>
      <w:r w:rsidR="005A3E8E">
        <w:rPr>
          <w:rFonts w:ascii="Trebuchet MS" w:hAnsi="Trebuchet MS"/>
        </w:rPr>
        <w:t xml:space="preserve"> of which British, </w:t>
      </w:r>
      <w:r w:rsidR="00CC196E">
        <w:rPr>
          <w:rFonts w:ascii="Trebuchet MS" w:hAnsi="Trebuchet MS"/>
        </w:rPr>
        <w:t>and 32 countries participating over the 4 years</w:t>
      </w:r>
      <w:r w:rsidR="00CC196E">
        <w:rPr>
          <w:rStyle w:val="FootnoteReference"/>
          <w:rFonts w:ascii="Trebuchet MS" w:hAnsi="Trebuchet MS"/>
        </w:rPr>
        <w:footnoteReference w:id="1"/>
      </w:r>
      <w:r w:rsidR="00CC196E">
        <w:rPr>
          <w:rFonts w:ascii="Trebuchet MS" w:hAnsi="Trebuchet MS"/>
        </w:rPr>
        <w:t xml:space="preserve">. With such great losses the impact was felt across Britain, with most towns, villages, and cities erecting their own publicly funded memorials to commemorate their lost loved ones. There was also a wealth of war memorabilia, art, and poetry involved in the remembrance process. </w:t>
      </w:r>
    </w:p>
    <w:p w14:paraId="66A14DD1" w14:textId="339F6C1E" w:rsidR="00A05664" w:rsidRDefault="00A05664" w:rsidP="00CB1B29">
      <w:pPr>
        <w:rPr>
          <w:rFonts w:ascii="Trebuchet MS" w:hAnsi="Trebuchet MS"/>
        </w:rPr>
      </w:pPr>
      <w:r>
        <w:rPr>
          <w:rFonts w:ascii="Trebuchet MS" w:hAnsi="Trebuchet MS"/>
        </w:rPr>
        <w:t>Society was changing, there were women in the workplace for the first time, a loss of critically skilled workers, and a new government.</w:t>
      </w:r>
    </w:p>
    <w:p w14:paraId="7BF794B3" w14:textId="67318A12" w:rsidR="00CB1B29" w:rsidRPr="002375DD" w:rsidRDefault="00CB1B29">
      <w:pPr>
        <w:rPr>
          <w:rFonts w:ascii="Trebuchet MS" w:hAnsi="Trebuchet MS"/>
        </w:rPr>
      </w:pPr>
    </w:p>
    <w:p w14:paraId="5A9CBB55" w14:textId="77777777" w:rsidR="00206F25" w:rsidRPr="002375DD" w:rsidRDefault="00206F25" w:rsidP="00206F25">
      <w:pPr>
        <w:rPr>
          <w:rFonts w:ascii="Trebuchet MS" w:hAnsi="Trebuchet MS"/>
        </w:rPr>
      </w:pPr>
    </w:p>
    <w:p w14:paraId="2F9C4176" w14:textId="3F3DC70C" w:rsidR="00206F25" w:rsidRDefault="00206F25" w:rsidP="00206F25">
      <w:pPr>
        <w:rPr>
          <w:rFonts w:ascii="Trebuchet MS" w:hAnsi="Trebuchet MS"/>
        </w:rPr>
      </w:pPr>
      <w:r w:rsidRPr="002375DD">
        <w:rPr>
          <w:rFonts w:ascii="Trebuchet MS" w:hAnsi="Trebuchet MS"/>
        </w:rPr>
        <w:t xml:space="preserve">Many scholars have observed the way in which memorialisation helps communities </w:t>
      </w:r>
      <w:r w:rsidR="008A3EEA" w:rsidRPr="002375DD">
        <w:rPr>
          <w:rFonts w:ascii="Trebuchet MS" w:hAnsi="Trebuchet MS"/>
        </w:rPr>
        <w:t xml:space="preserve"> </w:t>
      </w:r>
      <w:r w:rsidRPr="002375DD">
        <w:rPr>
          <w:rFonts w:ascii="Trebuchet MS" w:hAnsi="Trebuchet MS"/>
        </w:rPr>
        <w:t>move on following the trauma of conflict. Naidu articulates this well,</w:t>
      </w:r>
    </w:p>
    <w:p w14:paraId="4009FE3C" w14:textId="77777777" w:rsidR="00B0040F" w:rsidRPr="002375DD" w:rsidRDefault="00B0040F" w:rsidP="00206F25">
      <w:pPr>
        <w:rPr>
          <w:rFonts w:ascii="Trebuchet MS" w:hAnsi="Trebuchet MS"/>
        </w:rPr>
      </w:pPr>
    </w:p>
    <w:p w14:paraId="49CB8558" w14:textId="5A6B2CB2" w:rsidR="00206F25" w:rsidRDefault="00206F25" w:rsidP="00206F25">
      <w:pPr>
        <w:ind w:left="720" w:right="804"/>
        <w:rPr>
          <w:rFonts w:ascii="Trebuchet MS" w:hAnsi="Trebuchet MS"/>
        </w:rPr>
      </w:pPr>
      <w:r w:rsidRPr="002375DD">
        <w:rPr>
          <w:rFonts w:ascii="Trebuchet MS" w:hAnsi="Trebuchet MS"/>
        </w:rPr>
        <w:t>if used constructively, memory and memorialisation processes can play a significant role in the reconciliation process as it allows for the recognition of individual victims and survivors of the conflict; allows different generations to understand the conflict and mediate between the past and the present; and allows the society collective spaces for mourning that can promote the process of healing past wounds.</w:t>
      </w:r>
      <w:r w:rsidRPr="002375DD">
        <w:rPr>
          <w:rStyle w:val="FootnoteReference"/>
          <w:rFonts w:ascii="Trebuchet MS" w:hAnsi="Trebuchet MS"/>
        </w:rPr>
        <w:footnoteReference w:id="2"/>
      </w:r>
    </w:p>
    <w:p w14:paraId="5C9E8DE4" w14:textId="77777777" w:rsidR="00B0040F" w:rsidRPr="002375DD" w:rsidRDefault="00B0040F" w:rsidP="00206F25">
      <w:pPr>
        <w:ind w:left="720" w:right="804"/>
        <w:rPr>
          <w:rFonts w:ascii="Trebuchet MS" w:hAnsi="Trebuchet MS"/>
        </w:rPr>
      </w:pPr>
    </w:p>
    <w:p w14:paraId="0A2A1E33" w14:textId="0BCC52BE" w:rsidR="00CB1B29" w:rsidRPr="002375DD" w:rsidRDefault="00206F25">
      <w:pPr>
        <w:rPr>
          <w:rFonts w:ascii="Trebuchet MS" w:hAnsi="Trebuchet MS"/>
        </w:rPr>
      </w:pPr>
      <w:r w:rsidRPr="002375DD">
        <w:rPr>
          <w:rFonts w:ascii="Trebuchet MS" w:hAnsi="Trebuchet MS"/>
        </w:rPr>
        <w:t>Following the Great War memorial processes were established at the national, community, and personal levels</w:t>
      </w:r>
      <w:r w:rsidR="009672F0" w:rsidRPr="002375DD">
        <w:rPr>
          <w:rFonts w:ascii="Trebuchet MS" w:hAnsi="Trebuchet MS"/>
        </w:rPr>
        <w:t>, and these continue to be significant to this day</w:t>
      </w:r>
      <w:r w:rsidR="00B0040F">
        <w:rPr>
          <w:rFonts w:ascii="Trebuchet MS" w:hAnsi="Trebuchet MS"/>
        </w:rPr>
        <w:t xml:space="preserve">. </w:t>
      </w:r>
    </w:p>
    <w:p w14:paraId="552E32EF" w14:textId="77777777" w:rsidR="00206F25" w:rsidRPr="002375DD" w:rsidRDefault="00206F25">
      <w:pPr>
        <w:rPr>
          <w:rFonts w:ascii="Trebuchet MS" w:hAnsi="Trebuchet MS"/>
        </w:rPr>
      </w:pPr>
    </w:p>
    <w:p w14:paraId="0EEE85AA" w14:textId="370BA6D6" w:rsidR="009A548E" w:rsidRPr="002375DD" w:rsidRDefault="009A548E">
      <w:pPr>
        <w:rPr>
          <w:rFonts w:ascii="Trebuchet MS" w:hAnsi="Trebuchet MS"/>
        </w:rPr>
      </w:pPr>
      <w:r w:rsidRPr="002375DD">
        <w:rPr>
          <w:rFonts w:ascii="Trebuchet MS" w:hAnsi="Trebuchet MS"/>
        </w:rPr>
        <w:t>Memorials and the</w:t>
      </w:r>
      <w:r w:rsidR="00922880" w:rsidRPr="002375DD">
        <w:rPr>
          <w:rFonts w:ascii="Trebuchet MS" w:hAnsi="Trebuchet MS"/>
        </w:rPr>
        <w:t xml:space="preserve"> rituals that happen at </w:t>
      </w:r>
      <w:r w:rsidR="002208CB" w:rsidRPr="002375DD">
        <w:rPr>
          <w:rFonts w:ascii="Trebuchet MS" w:hAnsi="Trebuchet MS"/>
        </w:rPr>
        <w:t>memorial</w:t>
      </w:r>
      <w:r w:rsidR="00922880" w:rsidRPr="002375DD">
        <w:rPr>
          <w:rFonts w:ascii="Trebuchet MS" w:hAnsi="Trebuchet MS"/>
        </w:rPr>
        <w:t xml:space="preserve"> sites fall under the umbrella of ‘heritage’ described by Giblin. Giblin examines the debate around whether such heritage has the capacity to ‘heal’.</w:t>
      </w:r>
      <w:r w:rsidR="002208CB" w:rsidRPr="002375DD">
        <w:rPr>
          <w:rFonts w:ascii="Trebuchet MS" w:hAnsi="Trebuchet MS"/>
        </w:rPr>
        <w:t xml:space="preserve"> According to Giblin,</w:t>
      </w:r>
    </w:p>
    <w:p w14:paraId="5D7F779D" w14:textId="486CDFF1" w:rsidR="00CB1B29" w:rsidRPr="002375DD" w:rsidRDefault="00CB1B29">
      <w:pPr>
        <w:rPr>
          <w:rFonts w:ascii="Trebuchet MS" w:hAnsi="Trebuchet MS"/>
        </w:rPr>
      </w:pPr>
      <w:r w:rsidRPr="002375DD">
        <w:rPr>
          <w:rFonts w:ascii="Trebuchet MS" w:hAnsi="Trebuchet MS"/>
        </w:rPr>
        <w:t>‘heritage is better understood as a common element of post-conflict renewal, which becomes intensified as the past is aggressively negotiated to provide healing related to conflict traumas.’</w:t>
      </w:r>
      <w:r w:rsidRPr="002375DD">
        <w:rPr>
          <w:rStyle w:val="FootnoteReference"/>
          <w:rFonts w:ascii="Trebuchet MS" w:hAnsi="Trebuchet MS"/>
        </w:rPr>
        <w:footnoteReference w:id="3"/>
      </w:r>
      <w:r w:rsidR="00922880" w:rsidRPr="002375DD">
        <w:rPr>
          <w:rFonts w:ascii="Trebuchet MS" w:hAnsi="Trebuchet MS"/>
        </w:rPr>
        <w:t xml:space="preserve">Giblin argues that questioning the role of memorialisation in healing distracts from the larger post-conflict landscape that contributes to healing, of which memorialisation is just one aspect. This in itself does not discredit the part that memorialisation plays in healing, but places it </w:t>
      </w:r>
      <w:r w:rsidR="00922880" w:rsidRPr="002375DD">
        <w:rPr>
          <w:rFonts w:ascii="Trebuchet MS" w:hAnsi="Trebuchet MS"/>
        </w:rPr>
        <w:lastRenderedPageBreak/>
        <w:t>within the context</w:t>
      </w:r>
      <w:r w:rsidR="002208CB" w:rsidRPr="002375DD">
        <w:rPr>
          <w:rFonts w:ascii="Trebuchet MS" w:hAnsi="Trebuchet MS"/>
        </w:rPr>
        <w:t>.</w:t>
      </w:r>
      <w:r w:rsidR="00922880" w:rsidRPr="002375DD">
        <w:rPr>
          <w:rFonts w:ascii="Trebuchet MS" w:hAnsi="Trebuchet MS"/>
        </w:rPr>
        <w:t xml:space="preserve"> </w:t>
      </w:r>
      <w:r w:rsidR="002208CB" w:rsidRPr="002375DD">
        <w:rPr>
          <w:rFonts w:ascii="Trebuchet MS" w:hAnsi="Trebuchet MS"/>
        </w:rPr>
        <w:t>In doing this he acknowledges the healing role of rebuilding, and political and social change that may occur following a conflict.</w:t>
      </w:r>
    </w:p>
    <w:p w14:paraId="51389260" w14:textId="77777777" w:rsidR="00CB1B29" w:rsidRPr="002375DD" w:rsidRDefault="00CB1B29">
      <w:pPr>
        <w:rPr>
          <w:rFonts w:ascii="Trebuchet MS" w:hAnsi="Trebuchet MS"/>
        </w:rPr>
      </w:pPr>
    </w:p>
    <w:p w14:paraId="163A33F7" w14:textId="2451447E" w:rsidR="00B52F5C" w:rsidRDefault="00CB1B29">
      <w:pPr>
        <w:rPr>
          <w:rFonts w:ascii="Trebuchet MS" w:hAnsi="Trebuchet MS"/>
        </w:rPr>
      </w:pPr>
      <w:r w:rsidRPr="002375DD">
        <w:rPr>
          <w:rFonts w:ascii="Trebuchet MS" w:hAnsi="Trebuchet MS"/>
        </w:rPr>
        <w:t>Memorialisation is a complex, multi-layered process that was necessary on both an individual and community level for the public to adjust to the</w:t>
      </w:r>
      <w:r w:rsidR="00B52F5C">
        <w:rPr>
          <w:rFonts w:ascii="Trebuchet MS" w:hAnsi="Trebuchet MS"/>
        </w:rPr>
        <w:t xml:space="preserve"> national trauma and the social upheavals of the</w:t>
      </w:r>
      <w:r w:rsidRPr="002375DD">
        <w:rPr>
          <w:rFonts w:ascii="Trebuchet MS" w:hAnsi="Trebuchet MS"/>
        </w:rPr>
        <w:t xml:space="preserve"> post war years. </w:t>
      </w:r>
    </w:p>
    <w:p w14:paraId="2EDF890D" w14:textId="3036269D" w:rsidR="00B051DF" w:rsidRDefault="00B051DF">
      <w:pPr>
        <w:rPr>
          <w:rFonts w:ascii="Trebuchet MS" w:hAnsi="Trebuchet MS"/>
        </w:rPr>
      </w:pPr>
    </w:p>
    <w:p w14:paraId="28742DE7" w14:textId="63571AB1" w:rsidR="0045438D" w:rsidRPr="002375DD" w:rsidRDefault="0045438D">
      <w:pPr>
        <w:rPr>
          <w:rFonts w:ascii="Trebuchet MS" w:hAnsi="Trebuchet MS"/>
        </w:rPr>
      </w:pPr>
      <w:r>
        <w:rPr>
          <w:rFonts w:ascii="Trebuchet MS" w:hAnsi="Trebuchet MS"/>
        </w:rPr>
        <w:t>This essay focuses largely on memorialisation with regards to war memorials,</w:t>
      </w:r>
      <w:r w:rsidR="00106C4F">
        <w:rPr>
          <w:rFonts w:ascii="Trebuchet MS" w:hAnsi="Trebuchet MS"/>
        </w:rPr>
        <w:t xml:space="preserve"> and how they helped the British public recover from war.</w:t>
      </w:r>
    </w:p>
    <w:p w14:paraId="5A9952F9" w14:textId="77777777" w:rsidR="00CB1B29" w:rsidRPr="002375DD" w:rsidRDefault="00CB1B29">
      <w:pPr>
        <w:rPr>
          <w:rFonts w:ascii="Trebuchet MS" w:hAnsi="Trebuchet MS"/>
        </w:rPr>
      </w:pPr>
    </w:p>
    <w:p w14:paraId="70C955A8" w14:textId="77777777" w:rsidR="00CB1B29" w:rsidRPr="002375DD" w:rsidRDefault="00CB1B29" w:rsidP="00B051DF">
      <w:pPr>
        <w:rPr>
          <w:rFonts w:ascii="Trebuchet MS" w:hAnsi="Trebuchet MS"/>
        </w:rPr>
      </w:pPr>
    </w:p>
    <w:p w14:paraId="2DA31C4C" w14:textId="0C5689F6" w:rsidR="00B051DF" w:rsidRPr="00106C4F" w:rsidRDefault="00D6710B" w:rsidP="00B051DF">
      <w:pPr>
        <w:rPr>
          <w:rFonts w:ascii="Trebuchet MS" w:hAnsi="Trebuchet MS"/>
        </w:rPr>
      </w:pPr>
      <w:r w:rsidRPr="00106C4F">
        <w:rPr>
          <w:rFonts w:ascii="Trebuchet MS" w:hAnsi="Trebuchet MS"/>
        </w:rPr>
        <w:t xml:space="preserve">The </w:t>
      </w:r>
      <w:r w:rsidR="00B051DF" w:rsidRPr="00106C4F">
        <w:rPr>
          <w:rFonts w:ascii="Trebuchet MS" w:hAnsi="Trebuchet MS"/>
        </w:rPr>
        <w:t xml:space="preserve">political and Social landscape following </w:t>
      </w:r>
      <w:r w:rsidRPr="00106C4F">
        <w:rPr>
          <w:rFonts w:ascii="Trebuchet MS" w:hAnsi="Trebuchet MS"/>
        </w:rPr>
        <w:t>the Great War was one of c</w:t>
      </w:r>
      <w:r w:rsidR="00BF6700" w:rsidRPr="00106C4F">
        <w:rPr>
          <w:rFonts w:ascii="Trebuchet MS" w:hAnsi="Trebuchet MS"/>
        </w:rPr>
        <w:t xml:space="preserve">hange, with </w:t>
      </w:r>
      <w:r w:rsidR="004B724C" w:rsidRPr="00106C4F">
        <w:rPr>
          <w:rFonts w:ascii="Trebuchet MS" w:hAnsi="Trebuchet MS"/>
        </w:rPr>
        <w:t>a new government</w:t>
      </w:r>
      <w:r w:rsidR="00A05664" w:rsidRPr="00106C4F">
        <w:rPr>
          <w:rFonts w:ascii="Trebuchet MS" w:hAnsi="Trebuchet MS"/>
        </w:rPr>
        <w:t xml:space="preserve"> under David Lloyd George,</w:t>
      </w:r>
      <w:r w:rsidR="004B724C" w:rsidRPr="00106C4F">
        <w:rPr>
          <w:rFonts w:ascii="Trebuchet MS" w:hAnsi="Trebuchet MS"/>
        </w:rPr>
        <w:t xml:space="preserve"> technological and medical advancement, and, of course, the aftermath of the war. </w:t>
      </w:r>
      <w:r w:rsidR="00A05664" w:rsidRPr="00106C4F">
        <w:rPr>
          <w:rFonts w:ascii="Trebuchet MS" w:hAnsi="Trebuchet MS"/>
        </w:rPr>
        <w:t>All men over 21 and women over 30 were allowed to vote for the first time, tripling the number of active voters in the UK. The liberal party were split between those who supported the David Lloyd George coalition and those who still supported former prime minister Asquith, a split they never recovered from</w:t>
      </w:r>
      <w:r w:rsidR="00F046AA" w:rsidRPr="00106C4F">
        <w:rPr>
          <w:rStyle w:val="FootnoteReference"/>
          <w:rFonts w:ascii="Trebuchet MS" w:hAnsi="Trebuchet MS"/>
        </w:rPr>
        <w:footnoteReference w:id="4"/>
      </w:r>
      <w:r w:rsidR="00A05664" w:rsidRPr="00106C4F">
        <w:rPr>
          <w:rFonts w:ascii="Trebuchet MS" w:hAnsi="Trebuchet MS"/>
        </w:rPr>
        <w:t xml:space="preserve">. The labour party became the </w:t>
      </w:r>
      <w:r w:rsidR="007B24BE" w:rsidRPr="00106C4F">
        <w:rPr>
          <w:rFonts w:ascii="Trebuchet MS" w:hAnsi="Trebuchet MS"/>
        </w:rPr>
        <w:t>main rival party to the conservatives post-war.</w:t>
      </w:r>
      <w:r w:rsidR="00560576" w:rsidRPr="00106C4F">
        <w:rPr>
          <w:rFonts w:ascii="Trebuchet MS" w:hAnsi="Trebuchet MS"/>
        </w:rPr>
        <w:t xml:space="preserve"> Remembrance rituals were key to helping the public adjust to this new post-war society.</w:t>
      </w:r>
    </w:p>
    <w:p w14:paraId="191CDD97" w14:textId="77777777" w:rsidR="00E1080C" w:rsidRPr="00106C4F" w:rsidRDefault="00E1080C" w:rsidP="00E1080C">
      <w:pPr>
        <w:autoSpaceDE w:val="0"/>
        <w:autoSpaceDN w:val="0"/>
        <w:adjustRightInd w:val="0"/>
        <w:rPr>
          <w:rFonts w:ascii="Trebuchet MS" w:hAnsi="Trebuchet MS"/>
        </w:rPr>
      </w:pPr>
    </w:p>
    <w:p w14:paraId="18232F0F" w14:textId="77777777" w:rsidR="0022427F" w:rsidRPr="00106C4F" w:rsidRDefault="00E1080C" w:rsidP="0022427F">
      <w:pPr>
        <w:rPr>
          <w:rFonts w:ascii="Trebuchet MS" w:hAnsi="Trebuchet MS"/>
        </w:rPr>
      </w:pPr>
      <w:r w:rsidRPr="00106C4F">
        <w:rPr>
          <w:rFonts w:ascii="Trebuchet MS" w:hAnsi="Trebuchet MS"/>
        </w:rPr>
        <w:t>Its important to address here how scholars have long debated if memorialisation and remembrance aids the process of healing in post-conflict society.</w:t>
      </w:r>
      <w:r w:rsidR="0022427F" w:rsidRPr="00106C4F">
        <w:rPr>
          <w:rFonts w:ascii="Trebuchet MS" w:hAnsi="Trebuchet MS"/>
        </w:rPr>
        <w:t xml:space="preserve"> Johnson observes Paul Fussell and Jay Winter’s opposing stances on the language of memory with respects to the great war. She highlights that where Fussell ‘tracks the languages of ironic modernism that were found</w:t>
      </w:r>
    </w:p>
    <w:p w14:paraId="2FC98306" w14:textId="6B56D0B1" w:rsidR="0022427F" w:rsidRPr="00106C4F" w:rsidRDefault="0022427F" w:rsidP="0022427F">
      <w:pPr>
        <w:rPr>
          <w:rFonts w:ascii="Trebuchet MS" w:hAnsi="Trebuchet MS"/>
        </w:rPr>
      </w:pPr>
      <w:r w:rsidRPr="00106C4F">
        <w:rPr>
          <w:rFonts w:ascii="Trebuchet MS" w:hAnsi="Trebuchet MS"/>
        </w:rPr>
        <w:t>in the prose, novels, and poetry of the war’s literary soldiers’</w:t>
      </w:r>
      <w:r w:rsidRPr="00106C4F">
        <w:rPr>
          <w:rStyle w:val="FootnoteReference"/>
          <w:rFonts w:ascii="Trebuchet MS" w:hAnsi="Trebuchet MS"/>
        </w:rPr>
        <w:footnoteReference w:id="5"/>
      </w:r>
      <w:r w:rsidRPr="00106C4F">
        <w:rPr>
          <w:rFonts w:ascii="Trebuchet MS" w:hAnsi="Trebuchet MS"/>
        </w:rPr>
        <w:t xml:space="preserve"> which he considered ‘the emergence of modern memory’</w:t>
      </w:r>
      <w:r w:rsidRPr="00106C4F">
        <w:rPr>
          <w:rStyle w:val="FootnoteReference"/>
          <w:rFonts w:ascii="Trebuchet MS" w:hAnsi="Trebuchet MS"/>
        </w:rPr>
        <w:footnoteReference w:id="6"/>
      </w:r>
      <w:r w:rsidRPr="00106C4F">
        <w:rPr>
          <w:rFonts w:ascii="Trebuchet MS" w:hAnsi="Trebuchet MS"/>
        </w:rPr>
        <w:t>, Winter ‘is convinced that the language and practices of tradition—religious motifs, romantic forms,</w:t>
      </w:r>
    </w:p>
    <w:p w14:paraId="172BD783" w14:textId="1C0957DF" w:rsidR="0022427F" w:rsidRPr="00A136AD" w:rsidRDefault="0022427F" w:rsidP="0022427F">
      <w:pPr>
        <w:rPr>
          <w:rFonts w:ascii="Trebuchet MS" w:hAnsi="Trebuchet MS"/>
          <w:b/>
          <w:bCs/>
        </w:rPr>
      </w:pPr>
      <w:r w:rsidRPr="00106C4F">
        <w:rPr>
          <w:rFonts w:ascii="Trebuchet MS" w:hAnsi="Trebuchet MS"/>
        </w:rPr>
        <w:t>classical designs—continued to find expression and value in the years following the conflict</w:t>
      </w:r>
      <w:r w:rsidR="00A136AD" w:rsidRPr="00106C4F">
        <w:rPr>
          <w:rFonts w:ascii="Trebuchet MS" w:hAnsi="Trebuchet MS"/>
        </w:rPr>
        <w:t>’. Fussell focuses on the shift from patriotism to grieving, while Winter observes that while this shift happened, it was traditions such as building memorials that the bereaved turned to. Johnson summarises,</w:t>
      </w:r>
      <w:r w:rsidR="00E77CC1" w:rsidRPr="00106C4F">
        <w:rPr>
          <w:rFonts w:ascii="Trebuchet MS" w:hAnsi="Trebuchet MS"/>
        </w:rPr>
        <w:t xml:space="preserve"> </w:t>
      </w:r>
      <w:r w:rsidRPr="00106C4F">
        <w:rPr>
          <w:rFonts w:ascii="Trebuchet MS" w:hAnsi="Trebuchet MS"/>
          <w:lang w:eastAsia="en-GB"/>
        </w:rPr>
        <w:t>‘Overall, perhaps, it is the co-existence of traditional and modernist modes of</w:t>
      </w:r>
      <w:r w:rsidR="00A136AD" w:rsidRPr="00106C4F">
        <w:rPr>
          <w:rFonts w:ascii="Trebuchet MS" w:hAnsi="Trebuchet MS"/>
          <w:lang w:eastAsia="en-GB"/>
        </w:rPr>
        <w:t xml:space="preserve"> </w:t>
      </w:r>
      <w:r w:rsidRPr="00106C4F">
        <w:rPr>
          <w:rFonts w:ascii="Trebuchet MS" w:hAnsi="Trebuchet MS"/>
          <w:lang w:eastAsia="en-GB"/>
        </w:rPr>
        <w:t>representation—the desire to simultaneously remember and to forget—that marks war as a particular form of memory-work, and one that is laced with contradictions and disputes’</w:t>
      </w:r>
      <w:r w:rsidRPr="00106C4F">
        <w:rPr>
          <w:rStyle w:val="FootnoteReference"/>
          <w:rFonts w:ascii="Trebuchet MS" w:hAnsi="Trebuchet MS"/>
          <w:lang w:eastAsia="en-GB"/>
        </w:rPr>
        <w:footnoteReference w:id="7"/>
      </w:r>
      <w:r w:rsidR="00A136AD" w:rsidRPr="00106C4F">
        <w:rPr>
          <w:rFonts w:ascii="Trebuchet MS" w:hAnsi="Trebuchet MS"/>
          <w:lang w:eastAsia="en-GB"/>
        </w:rPr>
        <w:t>.  This co-existence is evidenced in war memorials, as they both</w:t>
      </w:r>
      <w:r w:rsidR="00A136AD">
        <w:rPr>
          <w:rFonts w:ascii="Trebuchet MS" w:hAnsi="Trebuchet MS"/>
          <w:lang w:eastAsia="en-GB"/>
        </w:rPr>
        <w:t xml:space="preserve"> embody the tradition of building monuments to celebrate the end of war, and </w:t>
      </w:r>
      <w:r w:rsidR="008D6D72">
        <w:rPr>
          <w:rFonts w:ascii="Trebuchet MS" w:hAnsi="Trebuchet MS"/>
          <w:lang w:eastAsia="en-GB"/>
        </w:rPr>
        <w:t>the shift towards remembrance over celebration</w:t>
      </w:r>
      <w:r w:rsidR="00106C4F">
        <w:rPr>
          <w:rStyle w:val="FootnoteReference"/>
          <w:rFonts w:ascii="Trebuchet MS" w:hAnsi="Trebuchet MS"/>
          <w:lang w:eastAsia="en-GB"/>
        </w:rPr>
        <w:footnoteReference w:id="8"/>
      </w:r>
      <w:r w:rsidR="008D6D72">
        <w:rPr>
          <w:rFonts w:ascii="Trebuchet MS" w:hAnsi="Trebuchet MS"/>
          <w:lang w:eastAsia="en-GB"/>
        </w:rPr>
        <w:t xml:space="preserve">. They </w:t>
      </w:r>
      <w:r w:rsidR="00A136AD">
        <w:rPr>
          <w:rFonts w:ascii="Trebuchet MS" w:hAnsi="Trebuchet MS"/>
          <w:lang w:eastAsia="en-GB"/>
        </w:rPr>
        <w:t>provide</w:t>
      </w:r>
      <w:r w:rsidR="008D6D72">
        <w:rPr>
          <w:rFonts w:ascii="Trebuchet MS" w:hAnsi="Trebuchet MS"/>
          <w:lang w:eastAsia="en-GB"/>
        </w:rPr>
        <w:t>d</w:t>
      </w:r>
      <w:r w:rsidR="00A136AD">
        <w:rPr>
          <w:rFonts w:ascii="Trebuchet MS" w:hAnsi="Trebuchet MS"/>
          <w:lang w:eastAsia="en-GB"/>
        </w:rPr>
        <w:t xml:space="preserve"> a site for remembrance and mourning where the bereaved c</w:t>
      </w:r>
      <w:r w:rsidR="008E6EC3">
        <w:rPr>
          <w:rFonts w:ascii="Trebuchet MS" w:hAnsi="Trebuchet MS"/>
          <w:lang w:eastAsia="en-GB"/>
        </w:rPr>
        <w:t>ould</w:t>
      </w:r>
      <w:r w:rsidR="00A136AD">
        <w:rPr>
          <w:rFonts w:ascii="Trebuchet MS" w:hAnsi="Trebuchet MS"/>
          <w:lang w:eastAsia="en-GB"/>
        </w:rPr>
        <w:t xml:space="preserve"> publicly express grief rather that patriotism</w:t>
      </w:r>
      <w:r w:rsidR="008E6EC3">
        <w:rPr>
          <w:rFonts w:ascii="Trebuchet MS" w:hAnsi="Trebuchet MS"/>
          <w:lang w:eastAsia="en-GB"/>
        </w:rPr>
        <w:t>, which allowed the community to process their loss collectively as well as privately.</w:t>
      </w:r>
    </w:p>
    <w:p w14:paraId="595C36ED" w14:textId="07F78041" w:rsidR="00E1080C" w:rsidRPr="002375DD" w:rsidRDefault="00E1080C" w:rsidP="00E1080C">
      <w:pPr>
        <w:rPr>
          <w:rFonts w:ascii="Trebuchet MS" w:hAnsi="Trebuchet MS"/>
        </w:rPr>
      </w:pPr>
    </w:p>
    <w:p w14:paraId="191E6B13" w14:textId="77777777" w:rsidR="00441584" w:rsidRPr="002375DD" w:rsidRDefault="00441584" w:rsidP="00441584">
      <w:pPr>
        <w:rPr>
          <w:rFonts w:ascii="Trebuchet MS" w:hAnsi="Trebuchet MS"/>
          <w:lang w:eastAsia="en-GB"/>
        </w:rPr>
      </w:pPr>
    </w:p>
    <w:p w14:paraId="59D441BD" w14:textId="77777777" w:rsidR="002375DD" w:rsidRDefault="002375DD" w:rsidP="002375DD">
      <w:pPr>
        <w:autoSpaceDE w:val="0"/>
        <w:autoSpaceDN w:val="0"/>
        <w:adjustRightInd w:val="0"/>
        <w:rPr>
          <w:rFonts w:ascii="Trebuchet MS" w:hAnsi="Trebuchet MS"/>
        </w:rPr>
      </w:pPr>
    </w:p>
    <w:p w14:paraId="3B8B4B18" w14:textId="46D0E334" w:rsidR="008E6EC3" w:rsidRDefault="001B7D55" w:rsidP="001B7D55">
      <w:pPr>
        <w:rPr>
          <w:rFonts w:ascii="Trebuchet MS" w:hAnsi="Trebuchet MS"/>
        </w:rPr>
      </w:pPr>
      <w:r w:rsidRPr="00106C4F">
        <w:rPr>
          <w:rFonts w:ascii="Trebuchet MS" w:hAnsi="Trebuchet MS"/>
        </w:rPr>
        <w:lastRenderedPageBreak/>
        <w:t>War memorials provide longstanding, material artefacts that encapsulate the social and political environment in which they were created. The rituals held at these sites since their creation also demonstrate these aspects of society</w:t>
      </w:r>
      <w:r>
        <w:rPr>
          <w:rFonts w:ascii="Trebuchet MS" w:hAnsi="Trebuchet MS"/>
        </w:rPr>
        <w:t>.</w:t>
      </w:r>
      <w:r w:rsidR="00B52F5C">
        <w:rPr>
          <w:rFonts w:ascii="Trebuchet MS" w:hAnsi="Trebuchet MS"/>
        </w:rPr>
        <w:t xml:space="preserve"> </w:t>
      </w:r>
      <w:r w:rsidR="00404CAE">
        <w:rPr>
          <w:rFonts w:ascii="Trebuchet MS" w:hAnsi="Trebuchet MS"/>
        </w:rPr>
        <w:t>War memorials are evidence of a society in need of closure, the memorials a physical marker to signify the end of the war</w:t>
      </w:r>
      <w:r w:rsidR="00106C4F">
        <w:rPr>
          <w:rStyle w:val="FootnoteReference"/>
          <w:rFonts w:ascii="Trebuchet MS" w:hAnsi="Trebuchet MS"/>
        </w:rPr>
        <w:footnoteReference w:id="9"/>
      </w:r>
      <w:r w:rsidR="00404CAE">
        <w:rPr>
          <w:rFonts w:ascii="Trebuchet MS" w:hAnsi="Trebuchet MS"/>
        </w:rPr>
        <w:t xml:space="preserve">. </w:t>
      </w:r>
      <w:r w:rsidR="00106C4F">
        <w:rPr>
          <w:rFonts w:ascii="Trebuchet MS" w:hAnsi="Trebuchet MS"/>
        </w:rPr>
        <w:t>Jay Winter observes that,</w:t>
      </w:r>
      <w:r w:rsidR="00404CAE">
        <w:rPr>
          <w:rFonts w:ascii="Trebuchet MS" w:hAnsi="Trebuchet MS"/>
        </w:rPr>
        <w:t xml:space="preserve"> </w:t>
      </w:r>
      <w:r w:rsidR="00404CAE" w:rsidRPr="002375DD">
        <w:rPr>
          <w:rFonts w:ascii="Trebuchet MS" w:hAnsi="Trebuchet MS"/>
        </w:rPr>
        <w:t>‘while ambiguities of iconography and ritual are undeniably present in war memorials, and while they embody and proclaim a host of commemorative messages about war, they do not obliterate the simple truth that people die in war’</w:t>
      </w:r>
      <w:r w:rsidR="00404CAE" w:rsidRPr="002375DD">
        <w:rPr>
          <w:rStyle w:val="FootnoteReference"/>
          <w:rFonts w:ascii="Trebuchet MS" w:hAnsi="Trebuchet MS"/>
        </w:rPr>
        <w:footnoteReference w:id="10"/>
      </w:r>
      <w:r w:rsidR="00106C4F">
        <w:rPr>
          <w:rFonts w:ascii="Trebuchet MS" w:hAnsi="Trebuchet MS"/>
        </w:rPr>
        <w:t xml:space="preserve"> He highlights that though there is discussion about ritual at war memorials, the primary focus should be that they provided the bereaved with a place to mourn the dead that did not have a grave.</w:t>
      </w:r>
    </w:p>
    <w:p w14:paraId="3B3C5D1F" w14:textId="77777777" w:rsidR="00B52F5C" w:rsidRPr="00D96725" w:rsidRDefault="00B52F5C" w:rsidP="001B7D55">
      <w:pPr>
        <w:rPr>
          <w:rFonts w:ascii="Trebuchet MS" w:hAnsi="Trebuchet MS"/>
        </w:rPr>
      </w:pPr>
    </w:p>
    <w:p w14:paraId="22461F87" w14:textId="45D27CC4" w:rsidR="001B7D55" w:rsidRPr="002375DD" w:rsidRDefault="00B52F5C" w:rsidP="001B7D55">
      <w:pPr>
        <w:rPr>
          <w:rFonts w:ascii="Trebuchet MS" w:hAnsi="Trebuchet MS"/>
        </w:rPr>
      </w:pPr>
      <w:r w:rsidRPr="00D96725">
        <w:rPr>
          <w:rFonts w:ascii="Trebuchet MS" w:hAnsi="Trebuchet MS"/>
        </w:rPr>
        <w:t>Communities were keen to embrace memorialisation</w:t>
      </w:r>
      <w:r w:rsidR="00C82F65" w:rsidRPr="00D96725">
        <w:rPr>
          <w:rFonts w:ascii="Trebuchet MS" w:hAnsi="Trebuchet MS"/>
        </w:rPr>
        <w:t xml:space="preserve"> for their loved ones</w:t>
      </w:r>
      <w:r w:rsidRPr="00D96725">
        <w:rPr>
          <w:rFonts w:ascii="Trebuchet MS" w:hAnsi="Trebuchet MS"/>
        </w:rPr>
        <w:t xml:space="preserve"> across Britain, with almost every town and village building some form of memorial</w:t>
      </w:r>
      <w:r w:rsidR="00C82F65" w:rsidRPr="00D96725">
        <w:rPr>
          <w:rFonts w:ascii="Trebuchet MS" w:hAnsi="Trebuchet MS"/>
        </w:rPr>
        <w:t>, h</w:t>
      </w:r>
      <w:r w:rsidRPr="00D96725">
        <w:rPr>
          <w:rFonts w:ascii="Trebuchet MS" w:hAnsi="Trebuchet MS"/>
        </w:rPr>
        <w:t xml:space="preserve">owever these memorials were </w:t>
      </w:r>
      <w:r w:rsidR="00C82F65" w:rsidRPr="00D96725">
        <w:rPr>
          <w:rFonts w:ascii="Trebuchet MS" w:hAnsi="Trebuchet MS"/>
        </w:rPr>
        <w:t>not always exempt from political agendas</w:t>
      </w:r>
      <w:r w:rsidR="00D96725" w:rsidRPr="00D96725">
        <w:rPr>
          <w:rStyle w:val="FootnoteReference"/>
          <w:rFonts w:ascii="Trebuchet MS" w:hAnsi="Trebuchet MS"/>
        </w:rPr>
        <w:footnoteReference w:id="11"/>
      </w:r>
      <w:r w:rsidR="00C82F65" w:rsidRPr="00D96725">
        <w:rPr>
          <w:rFonts w:ascii="Trebuchet MS" w:hAnsi="Trebuchet MS"/>
        </w:rPr>
        <w:t>.</w:t>
      </w:r>
      <w:r w:rsidRPr="00D96725">
        <w:rPr>
          <w:rFonts w:ascii="Trebuchet MS" w:hAnsi="Trebuchet MS"/>
        </w:rPr>
        <w:t xml:space="preserve"> </w:t>
      </w:r>
      <w:r w:rsidR="001D535C" w:rsidRPr="00D96725">
        <w:rPr>
          <w:rFonts w:ascii="Trebuchet MS" w:hAnsi="Trebuchet MS"/>
        </w:rPr>
        <w:t xml:space="preserve">While looking at war memorials in East Kent, </w:t>
      </w:r>
      <w:r w:rsidR="001B7D55" w:rsidRPr="00D96725">
        <w:rPr>
          <w:rFonts w:ascii="Trebuchet MS" w:hAnsi="Trebuchet MS"/>
        </w:rPr>
        <w:t xml:space="preserve">Donaldson </w:t>
      </w:r>
      <w:r w:rsidR="001D535C" w:rsidRPr="00D96725">
        <w:rPr>
          <w:rFonts w:ascii="Trebuchet MS" w:hAnsi="Trebuchet MS"/>
        </w:rPr>
        <w:t xml:space="preserve">suggests that </w:t>
      </w:r>
      <w:r w:rsidR="001B7D55" w:rsidRPr="00D96725">
        <w:rPr>
          <w:rFonts w:ascii="Trebuchet MS" w:hAnsi="Trebuchet MS"/>
        </w:rPr>
        <w:t>‘</w:t>
      </w:r>
      <w:r w:rsidR="001D535C" w:rsidRPr="00D96725">
        <w:rPr>
          <w:rFonts w:ascii="Trebuchet MS" w:hAnsi="Trebuchet MS"/>
        </w:rPr>
        <w:t>i</w:t>
      </w:r>
      <w:r w:rsidR="001B7D55" w:rsidRPr="00D96725">
        <w:rPr>
          <w:rFonts w:ascii="Trebuchet MS" w:hAnsi="Trebuchet MS"/>
        </w:rPr>
        <w:t>n uncovering the process by which local dignitaries actively sought the participation of the bereaved in the rites of constructing a war memorial, not least through the compilation of the names of the fallen, an impression of the almost palpable</w:t>
      </w:r>
      <w:r w:rsidR="001B7D55" w:rsidRPr="002375DD">
        <w:rPr>
          <w:rFonts w:ascii="Trebuchet MS" w:hAnsi="Trebuchet MS"/>
        </w:rPr>
        <w:t xml:space="preserve"> sense of sorrow that pervaded society in the immediate aftermath of the fighting is captured.’</w:t>
      </w:r>
      <w:r w:rsidR="001B7D55">
        <w:rPr>
          <w:rStyle w:val="FootnoteReference"/>
          <w:rFonts w:ascii="Trebuchet MS" w:hAnsi="Trebuchet MS"/>
        </w:rPr>
        <w:footnoteReference w:id="12"/>
      </w:r>
      <w:r w:rsidR="001D535C">
        <w:rPr>
          <w:rFonts w:ascii="Trebuchet MS" w:hAnsi="Trebuchet MS"/>
        </w:rPr>
        <w:t xml:space="preserve"> The need for unity post-war is demonstrated here as the community came together for the construction of their war memorial. The </w:t>
      </w:r>
      <w:r w:rsidR="000D4BE0">
        <w:rPr>
          <w:rFonts w:ascii="Trebuchet MS" w:hAnsi="Trebuchet MS"/>
        </w:rPr>
        <w:t>construction remains politically charged, as those in authority positions consult</w:t>
      </w:r>
      <w:r w:rsidR="00F47C1D">
        <w:rPr>
          <w:rFonts w:ascii="Trebuchet MS" w:hAnsi="Trebuchet MS"/>
        </w:rPr>
        <w:t>ing</w:t>
      </w:r>
      <w:r w:rsidR="000D4BE0">
        <w:rPr>
          <w:rFonts w:ascii="Trebuchet MS" w:hAnsi="Trebuchet MS"/>
        </w:rPr>
        <w:t xml:space="preserve"> the public in building the memorial served to keep the public on their side, consolidating their power</w:t>
      </w:r>
      <w:r w:rsidR="008E6EC3">
        <w:rPr>
          <w:rStyle w:val="FootnoteReference"/>
          <w:rFonts w:ascii="Trebuchet MS" w:hAnsi="Trebuchet MS"/>
        </w:rPr>
        <w:footnoteReference w:id="13"/>
      </w:r>
      <w:r w:rsidR="000D4BE0">
        <w:rPr>
          <w:rFonts w:ascii="Trebuchet MS" w:hAnsi="Trebuchet MS"/>
        </w:rPr>
        <w:t xml:space="preserve">. This may not be the agenda behind the construction of </w:t>
      </w:r>
      <w:r>
        <w:rPr>
          <w:rFonts w:ascii="Trebuchet MS" w:hAnsi="Trebuchet MS"/>
        </w:rPr>
        <w:t xml:space="preserve">war </w:t>
      </w:r>
      <w:r w:rsidR="00F47C1D">
        <w:rPr>
          <w:rFonts w:ascii="Trebuchet MS" w:hAnsi="Trebuchet MS"/>
        </w:rPr>
        <w:t>memorials,</w:t>
      </w:r>
      <w:r w:rsidR="000D4BE0">
        <w:rPr>
          <w:rFonts w:ascii="Trebuchet MS" w:hAnsi="Trebuchet MS"/>
        </w:rPr>
        <w:t xml:space="preserve"> but the involvement of local government and the clergy is </w:t>
      </w:r>
      <w:r w:rsidR="00F47C1D">
        <w:rPr>
          <w:rFonts w:ascii="Trebuchet MS" w:hAnsi="Trebuchet MS"/>
        </w:rPr>
        <w:t xml:space="preserve">significant. </w:t>
      </w:r>
    </w:p>
    <w:p w14:paraId="74669CB2" w14:textId="72910F09" w:rsidR="001B7D55" w:rsidRPr="00D96725" w:rsidRDefault="001B7D55" w:rsidP="002375DD">
      <w:pPr>
        <w:autoSpaceDE w:val="0"/>
        <w:autoSpaceDN w:val="0"/>
        <w:adjustRightInd w:val="0"/>
        <w:rPr>
          <w:rFonts w:ascii="Trebuchet MS" w:hAnsi="Trebuchet MS"/>
        </w:rPr>
      </w:pPr>
    </w:p>
    <w:p w14:paraId="26957958" w14:textId="77777777" w:rsidR="00C82F65" w:rsidRDefault="00F47C1D" w:rsidP="009F76B1">
      <w:pPr>
        <w:rPr>
          <w:rFonts w:ascii="Trebuchet MS" w:hAnsi="Trebuchet MS"/>
        </w:rPr>
      </w:pPr>
      <w:r w:rsidRPr="00D96725">
        <w:rPr>
          <w:rFonts w:ascii="Trebuchet MS" w:hAnsi="Trebuchet MS"/>
        </w:rPr>
        <w:t>While the loss was felt most powerfully on a private level, it has been argued that the public nature of constructing memorials enabled those in power positions to control what was appropriate for the bereaved.</w:t>
      </w:r>
      <w:r w:rsidRPr="002375DD">
        <w:rPr>
          <w:rFonts w:ascii="Trebuchet MS" w:hAnsi="Trebuchet MS"/>
        </w:rPr>
        <w:t xml:space="preserve"> While communal commemoration was and continues to be a necessary process and activity, the form that this took was for the most part determined by community leaders. </w:t>
      </w:r>
    </w:p>
    <w:p w14:paraId="2B11FC81" w14:textId="5E013DF2" w:rsidR="008E6EC3" w:rsidRDefault="009F76B1" w:rsidP="009F76B1">
      <w:pPr>
        <w:rPr>
          <w:rFonts w:ascii="Trebuchet MS" w:hAnsi="Trebuchet MS"/>
        </w:rPr>
      </w:pPr>
      <w:r>
        <w:rPr>
          <w:rFonts w:ascii="Trebuchet MS" w:hAnsi="Trebuchet MS"/>
        </w:rPr>
        <w:t xml:space="preserve">Donaldson furthers his point about </w:t>
      </w:r>
      <w:r w:rsidR="008E6EC3">
        <w:rPr>
          <w:rFonts w:ascii="Trebuchet MS" w:hAnsi="Trebuchet MS"/>
        </w:rPr>
        <w:t xml:space="preserve">the underlying </w:t>
      </w:r>
      <w:r>
        <w:rPr>
          <w:rFonts w:ascii="Trebuchet MS" w:hAnsi="Trebuchet MS"/>
        </w:rPr>
        <w:t>political</w:t>
      </w:r>
      <w:r w:rsidR="008E6EC3">
        <w:rPr>
          <w:rFonts w:ascii="Trebuchet MS" w:hAnsi="Trebuchet MS"/>
        </w:rPr>
        <w:t xml:space="preserve"> nature of memorialisation</w:t>
      </w:r>
      <w:r w:rsidR="00B52F5C">
        <w:rPr>
          <w:rFonts w:ascii="Trebuchet MS" w:hAnsi="Trebuchet MS"/>
        </w:rPr>
        <w:t>,</w:t>
      </w:r>
    </w:p>
    <w:p w14:paraId="70B264A6" w14:textId="77777777" w:rsidR="00D96725" w:rsidRDefault="00D96725" w:rsidP="009F76B1">
      <w:pPr>
        <w:rPr>
          <w:rFonts w:ascii="Trebuchet MS" w:hAnsi="Trebuchet MS"/>
        </w:rPr>
      </w:pPr>
    </w:p>
    <w:p w14:paraId="0D222AF4" w14:textId="4273A3AA" w:rsidR="008E6EC3" w:rsidRDefault="009F76B1" w:rsidP="008E6EC3">
      <w:pPr>
        <w:ind w:left="720" w:right="804"/>
        <w:rPr>
          <w:rFonts w:ascii="Trebuchet MS" w:hAnsi="Trebuchet MS"/>
        </w:rPr>
      </w:pPr>
      <w:r w:rsidRPr="002375DD">
        <w:rPr>
          <w:rFonts w:ascii="Trebuchet MS" w:hAnsi="Trebuchet MS"/>
        </w:rPr>
        <w:t xml:space="preserve">in particular the focus falls on the memorialisation process itself, the debates over form and style, the rituals of naming and financing and the ceremonies for unveiling and dedication, for it was in this often lengthy and convoluted process that those in authority </w:t>
      </w:r>
      <w:r w:rsidR="00E1080C">
        <w:rPr>
          <w:rFonts w:ascii="Trebuchet MS" w:hAnsi="Trebuchet MS"/>
        </w:rPr>
        <w:t xml:space="preserve"> </w:t>
      </w:r>
      <w:r w:rsidRPr="002375DD">
        <w:rPr>
          <w:rFonts w:ascii="Trebuchet MS" w:hAnsi="Trebuchet MS"/>
        </w:rPr>
        <w:t>could assume control over the rites of mourning and transform private grief into a public narrative.</w:t>
      </w:r>
      <w:r>
        <w:rPr>
          <w:rStyle w:val="FootnoteReference"/>
          <w:rFonts w:ascii="Trebuchet MS" w:hAnsi="Trebuchet MS"/>
        </w:rPr>
        <w:footnoteReference w:id="14"/>
      </w:r>
      <w:r>
        <w:rPr>
          <w:rFonts w:ascii="Trebuchet MS" w:hAnsi="Trebuchet MS"/>
        </w:rPr>
        <w:t xml:space="preserve"> </w:t>
      </w:r>
    </w:p>
    <w:p w14:paraId="25D3A973" w14:textId="0DCBA15C" w:rsidR="00D96725" w:rsidRDefault="009F76B1" w:rsidP="00D96725">
      <w:pPr>
        <w:rPr>
          <w:rFonts w:ascii="Trebuchet MS" w:eastAsiaTheme="minorHAnsi" w:hAnsi="Trebuchet MS" w:cs="SPPhotina-Regular"/>
          <w:spacing w:val="20"/>
        </w:rPr>
      </w:pPr>
      <w:r>
        <w:rPr>
          <w:rFonts w:ascii="Trebuchet MS" w:hAnsi="Trebuchet MS"/>
        </w:rPr>
        <w:lastRenderedPageBreak/>
        <w:t xml:space="preserve">It could be argued, then, that the construction of war memorials was an agent for political control in the post-war </w:t>
      </w:r>
      <w:r w:rsidR="00175B15">
        <w:rPr>
          <w:rFonts w:ascii="Trebuchet MS" w:hAnsi="Trebuchet MS"/>
        </w:rPr>
        <w:t xml:space="preserve">landscape. </w:t>
      </w:r>
      <w:r w:rsidR="00D96725">
        <w:rPr>
          <w:rFonts w:ascii="Trebuchet MS" w:hAnsi="Trebuchet MS"/>
        </w:rPr>
        <w:t xml:space="preserve">As Niven put it, </w:t>
      </w:r>
      <w:r w:rsidR="00D96725" w:rsidRPr="002375DD">
        <w:rPr>
          <w:rFonts w:ascii="Trebuchet MS" w:hAnsi="Trebuchet MS"/>
        </w:rPr>
        <w:t>‘More so than any other cultural articulation</w:t>
      </w:r>
      <w:r w:rsidR="00D96725">
        <w:rPr>
          <w:rFonts w:ascii="Trebuchet MS" w:hAnsi="Trebuchet MS"/>
        </w:rPr>
        <w:t xml:space="preserve"> </w:t>
      </w:r>
      <w:r w:rsidR="00D96725" w:rsidRPr="002375DD">
        <w:rPr>
          <w:rFonts w:ascii="Trebuchet MS" w:hAnsi="Trebuchet MS"/>
        </w:rPr>
        <w:t>of war, war monuments operated at the nexus of politics and culture.</w:t>
      </w:r>
      <w:r w:rsidR="00D96725" w:rsidRPr="002375DD">
        <w:rPr>
          <w:rFonts w:ascii="Trebuchet MS" w:eastAsiaTheme="minorHAnsi" w:hAnsi="Trebuchet MS" w:cs="SPPhotina-Regular"/>
          <w:spacing w:val="20"/>
        </w:rPr>
        <w:t>’</w:t>
      </w:r>
      <w:r w:rsidR="00D96725" w:rsidRPr="002375DD">
        <w:rPr>
          <w:rStyle w:val="FootnoteReference"/>
          <w:rFonts w:ascii="Trebuchet MS" w:eastAsiaTheme="minorHAnsi" w:hAnsi="Trebuchet MS" w:cs="SPPhotina-Regular"/>
          <w:spacing w:val="20"/>
        </w:rPr>
        <w:footnoteReference w:id="15"/>
      </w:r>
    </w:p>
    <w:p w14:paraId="5978AFE1" w14:textId="77777777" w:rsidR="00E1080C" w:rsidRPr="00D96725" w:rsidRDefault="00E1080C" w:rsidP="00AA0058">
      <w:pPr>
        <w:rPr>
          <w:rFonts w:ascii="Trebuchet MS" w:hAnsi="Trebuchet MS"/>
        </w:rPr>
      </w:pPr>
    </w:p>
    <w:p w14:paraId="61A3FAA0" w14:textId="47CF3A58" w:rsidR="00E84CFB" w:rsidRDefault="00175B15" w:rsidP="00E84CFB">
      <w:pPr>
        <w:rPr>
          <w:rFonts w:ascii="Trebuchet MS" w:hAnsi="Trebuchet MS"/>
        </w:rPr>
      </w:pPr>
      <w:r w:rsidRPr="00D96725">
        <w:rPr>
          <w:rFonts w:ascii="Trebuchet MS" w:hAnsi="Trebuchet MS"/>
        </w:rPr>
        <w:t xml:space="preserve">The rituals of remembrance held at war memorials </w:t>
      </w:r>
      <w:r w:rsidR="00AA0058" w:rsidRPr="00D96725">
        <w:rPr>
          <w:rFonts w:ascii="Trebuchet MS" w:hAnsi="Trebuchet MS"/>
        </w:rPr>
        <w:t>are often politically charged in the same way.</w:t>
      </w:r>
      <w:r w:rsidR="00AA0058">
        <w:rPr>
          <w:rFonts w:ascii="Trebuchet MS" w:hAnsi="Trebuchet MS"/>
        </w:rPr>
        <w:t xml:space="preserve"> As </w:t>
      </w:r>
      <w:r w:rsidR="00DD1A67">
        <w:rPr>
          <w:rFonts w:ascii="Trebuchet MS" w:hAnsi="Trebuchet MS"/>
        </w:rPr>
        <w:t xml:space="preserve">memorial services were often </w:t>
      </w:r>
      <w:r w:rsidR="00AA0058">
        <w:rPr>
          <w:rFonts w:ascii="Trebuchet MS" w:hAnsi="Trebuchet MS"/>
        </w:rPr>
        <w:t xml:space="preserve">organised and hosted by </w:t>
      </w:r>
      <w:r w:rsidR="00DD1A67">
        <w:rPr>
          <w:rFonts w:ascii="Trebuchet MS" w:hAnsi="Trebuchet MS"/>
        </w:rPr>
        <w:t>local government</w:t>
      </w:r>
      <w:r w:rsidR="00AA0058">
        <w:rPr>
          <w:rFonts w:ascii="Trebuchet MS" w:hAnsi="Trebuchet MS"/>
        </w:rPr>
        <w:t>, and more recently by the media</w:t>
      </w:r>
      <w:r w:rsidR="00DD1A67">
        <w:rPr>
          <w:rFonts w:ascii="Trebuchet MS" w:hAnsi="Trebuchet MS"/>
        </w:rPr>
        <w:t>, they reflect the agenda of those organisations</w:t>
      </w:r>
      <w:r w:rsidR="00D96725">
        <w:rPr>
          <w:rStyle w:val="FootnoteReference"/>
          <w:rFonts w:ascii="Trebuchet MS" w:hAnsi="Trebuchet MS"/>
        </w:rPr>
        <w:footnoteReference w:id="16"/>
      </w:r>
      <w:r w:rsidR="00DD1A67">
        <w:rPr>
          <w:rFonts w:ascii="Trebuchet MS" w:hAnsi="Trebuchet MS"/>
        </w:rPr>
        <w:t xml:space="preserve">. Niven summarises this concisely, as </w:t>
      </w:r>
      <w:r w:rsidR="00AA0058">
        <w:rPr>
          <w:rFonts w:ascii="Trebuchet MS" w:hAnsi="Trebuchet MS"/>
        </w:rPr>
        <w:t>‘</w:t>
      </w:r>
      <w:r w:rsidR="00DD1A67">
        <w:rPr>
          <w:rFonts w:ascii="Trebuchet MS" w:hAnsi="Trebuchet MS"/>
        </w:rPr>
        <w:t>c</w:t>
      </w:r>
      <w:r w:rsidR="00AA0058" w:rsidRPr="00AA0058">
        <w:rPr>
          <w:rFonts w:ascii="Trebuchet MS" w:hAnsi="Trebuchet MS"/>
        </w:rPr>
        <w:t>ommemorative rituals often involve politicians, their structure and</w:t>
      </w:r>
      <w:r w:rsidR="00DD1A67">
        <w:rPr>
          <w:rFonts w:ascii="Trebuchet MS" w:hAnsi="Trebuchet MS"/>
        </w:rPr>
        <w:t xml:space="preserve"> </w:t>
      </w:r>
      <w:r w:rsidR="00AA0058" w:rsidRPr="00AA0058">
        <w:rPr>
          <w:rFonts w:ascii="Trebuchet MS" w:hAnsi="Trebuchet MS"/>
        </w:rPr>
        <w:t>contents often reflect political interest.</w:t>
      </w:r>
      <w:r w:rsidR="00AA0058">
        <w:rPr>
          <w:rFonts w:ascii="Trebuchet MS" w:hAnsi="Trebuchet MS"/>
        </w:rPr>
        <w:t>’</w:t>
      </w:r>
      <w:r w:rsidR="00AA0058">
        <w:rPr>
          <w:rStyle w:val="FootnoteReference"/>
          <w:rFonts w:ascii="Trebuchet MS" w:hAnsi="Trebuchet MS"/>
        </w:rPr>
        <w:footnoteReference w:id="17"/>
      </w:r>
      <w:r w:rsidR="00DD1A67">
        <w:rPr>
          <w:rFonts w:ascii="Trebuchet MS" w:hAnsi="Trebuchet MS"/>
        </w:rPr>
        <w:t xml:space="preserve"> He further elaborates that this ‘political interest’ post-war was national unity. </w:t>
      </w:r>
      <w:r w:rsidR="00AA0058">
        <w:rPr>
          <w:rFonts w:ascii="Trebuchet MS" w:hAnsi="Trebuchet MS"/>
        </w:rPr>
        <w:t>‘</w:t>
      </w:r>
      <w:r w:rsidR="00AA0058" w:rsidRPr="00AA0058">
        <w:rPr>
          <w:rFonts w:ascii="Trebuchet MS" w:hAnsi="Trebuchet MS"/>
        </w:rPr>
        <w:t>The carefully orchestrated performance</w:t>
      </w:r>
      <w:r w:rsidR="00AA0058">
        <w:rPr>
          <w:rFonts w:ascii="Trebuchet MS" w:hAnsi="Trebuchet MS"/>
        </w:rPr>
        <w:t xml:space="preserve"> </w:t>
      </w:r>
      <w:r w:rsidR="00AA0058" w:rsidRPr="00AA0058">
        <w:rPr>
          <w:rFonts w:ascii="Trebuchet MS" w:hAnsi="Trebuchet MS"/>
        </w:rPr>
        <w:t>of private grief as a public experience served to express the need for,</w:t>
      </w:r>
      <w:r w:rsidR="00AA0058">
        <w:rPr>
          <w:rFonts w:ascii="Trebuchet MS" w:hAnsi="Trebuchet MS"/>
        </w:rPr>
        <w:t xml:space="preserve"> </w:t>
      </w:r>
      <w:r w:rsidR="00AA0058" w:rsidRPr="00AA0058">
        <w:rPr>
          <w:rFonts w:ascii="Trebuchet MS" w:hAnsi="Trebuchet MS"/>
        </w:rPr>
        <w:t>and perhaps even achieve, national unity and purpose for the future.</w:t>
      </w:r>
      <w:r w:rsidR="00AA0058">
        <w:rPr>
          <w:rFonts w:ascii="Trebuchet MS" w:hAnsi="Trebuchet MS"/>
        </w:rPr>
        <w:t>’</w:t>
      </w:r>
      <w:r w:rsidR="00AA0058">
        <w:rPr>
          <w:rStyle w:val="FootnoteReference"/>
          <w:rFonts w:ascii="Trebuchet MS" w:hAnsi="Trebuchet MS"/>
        </w:rPr>
        <w:footnoteReference w:id="18"/>
      </w:r>
      <w:r w:rsidR="00D96725">
        <w:rPr>
          <w:rFonts w:ascii="Trebuchet MS" w:hAnsi="Trebuchet MS"/>
        </w:rPr>
        <w:t xml:space="preserve">  Using war memorials this way </w:t>
      </w:r>
      <w:r w:rsidR="00800FC6">
        <w:rPr>
          <w:rFonts w:ascii="Trebuchet MS" w:hAnsi="Trebuchet MS"/>
        </w:rPr>
        <w:t xml:space="preserve">allows them to be functional in the recovery of the British public. Jay Winter also </w:t>
      </w:r>
      <w:r w:rsidR="008A6D45">
        <w:rPr>
          <w:rFonts w:ascii="Trebuchet MS" w:hAnsi="Trebuchet MS"/>
        </w:rPr>
        <w:t xml:space="preserve">comments on the political nature of war memorials, </w:t>
      </w:r>
      <w:r w:rsidR="00D96725" w:rsidRPr="002375DD">
        <w:rPr>
          <w:rFonts w:ascii="Trebuchet MS" w:hAnsi="Trebuchet MS"/>
        </w:rPr>
        <w:t>‘commemoration was a political act; it could not be neutral, and war memorials carried political messages from the earliest days of the war’</w:t>
      </w:r>
      <w:r w:rsidR="00D96725" w:rsidRPr="002375DD">
        <w:rPr>
          <w:rStyle w:val="FootnoteReference"/>
          <w:rFonts w:ascii="Trebuchet MS" w:hAnsi="Trebuchet MS"/>
        </w:rPr>
        <w:footnoteReference w:id="19"/>
      </w:r>
      <w:r w:rsidR="008A6D45">
        <w:rPr>
          <w:rFonts w:ascii="Trebuchet MS" w:hAnsi="Trebuchet MS"/>
        </w:rPr>
        <w:t xml:space="preserve">. </w:t>
      </w:r>
      <w:r w:rsidR="008A6D45">
        <w:rPr>
          <w:rFonts w:ascii="Trebuchet MS" w:hAnsi="Trebuchet MS"/>
          <w:lang w:eastAsia="en-GB"/>
        </w:rPr>
        <w:t>War memorials helped reinforce curated versions of the past by creating an advertised version of memory.</w:t>
      </w:r>
    </w:p>
    <w:p w14:paraId="31464BB5" w14:textId="77777777" w:rsidR="00F47C1D" w:rsidRPr="002375DD" w:rsidRDefault="00F47C1D" w:rsidP="00F47C1D">
      <w:pPr>
        <w:rPr>
          <w:rFonts w:ascii="Trebuchet MS" w:hAnsi="Trebuchet MS"/>
        </w:rPr>
      </w:pPr>
    </w:p>
    <w:p w14:paraId="70D327CE" w14:textId="162DC970" w:rsidR="00F47C1D" w:rsidRPr="002375DD" w:rsidRDefault="00F47C1D" w:rsidP="00F47C1D">
      <w:pPr>
        <w:rPr>
          <w:rFonts w:ascii="Trebuchet MS" w:hAnsi="Trebuchet MS"/>
        </w:rPr>
      </w:pPr>
      <w:r w:rsidRPr="002375DD">
        <w:rPr>
          <w:rFonts w:ascii="Trebuchet MS" w:hAnsi="Trebuchet MS"/>
        </w:rPr>
        <w:t>Donaldson highlights what he calls the ‘conflicting claims, the tension that existed within this complex matrix of remembrance and the extent to which the memory of the fallen was shaped by the demands of competing schemes’</w:t>
      </w:r>
      <w:r w:rsidR="008A6D45">
        <w:rPr>
          <w:rStyle w:val="FootnoteReference"/>
          <w:rFonts w:ascii="Trebuchet MS" w:hAnsi="Trebuchet MS"/>
        </w:rPr>
        <w:footnoteReference w:id="20"/>
      </w:r>
      <w:r w:rsidR="008A6D45">
        <w:rPr>
          <w:rFonts w:ascii="Trebuchet MS" w:hAnsi="Trebuchet MS"/>
        </w:rPr>
        <w:t>. He identifies the power that memorial services had in shaping collective memory of the war, allowing those organising them to consciously use them as an agent for change.</w:t>
      </w:r>
    </w:p>
    <w:p w14:paraId="348F109F" w14:textId="77777777" w:rsidR="009B451F" w:rsidRPr="002375DD" w:rsidRDefault="009B451F" w:rsidP="009B451F">
      <w:pPr>
        <w:rPr>
          <w:rFonts w:ascii="Trebuchet MS" w:hAnsi="Trebuchet MS"/>
          <w:lang w:eastAsia="en-GB"/>
        </w:rPr>
      </w:pPr>
      <w:r w:rsidRPr="002375DD">
        <w:rPr>
          <w:rFonts w:ascii="Trebuchet MS" w:hAnsi="Trebuchet MS"/>
        </w:rPr>
        <w:t>‘</w:t>
      </w:r>
      <w:r w:rsidRPr="002375DD">
        <w:rPr>
          <w:rFonts w:ascii="Trebuchet MS" w:hAnsi="Trebuchet MS"/>
          <w:lang w:eastAsia="en-GB"/>
        </w:rPr>
        <w:t>There is considerable literature emphasizing the politics of memory</w:t>
      </w:r>
    </w:p>
    <w:p w14:paraId="6F7D6971" w14:textId="77777777" w:rsidR="009B451F" w:rsidRPr="002375DD" w:rsidRDefault="009B451F" w:rsidP="009B451F">
      <w:pPr>
        <w:rPr>
          <w:rFonts w:ascii="Trebuchet MS" w:hAnsi="Trebuchet MS"/>
          <w:lang w:eastAsia="en-GB"/>
        </w:rPr>
      </w:pPr>
      <w:r w:rsidRPr="002375DD">
        <w:rPr>
          <w:rFonts w:ascii="Trebuchet MS" w:hAnsi="Trebuchet MS"/>
          <w:lang w:eastAsia="en-GB"/>
        </w:rPr>
        <w:t>especially where dominant groups in society are concerned vis-à-vis their</w:t>
      </w:r>
    </w:p>
    <w:p w14:paraId="39431168" w14:textId="77777777" w:rsidR="009B451F" w:rsidRPr="002375DD" w:rsidRDefault="009B451F" w:rsidP="009B451F">
      <w:pPr>
        <w:rPr>
          <w:rFonts w:ascii="Trebuchet MS" w:hAnsi="Trebuchet MS"/>
          <w:lang w:eastAsia="en-GB"/>
        </w:rPr>
      </w:pPr>
      <w:r w:rsidRPr="002375DD">
        <w:rPr>
          <w:rFonts w:ascii="Trebuchet MS" w:hAnsi="Trebuchet MS"/>
          <w:lang w:eastAsia="en-GB"/>
        </w:rPr>
        <w:t>shaping of interpretations of the past. Yet it is increasingly clear that the</w:t>
      </w:r>
    </w:p>
    <w:p w14:paraId="5CFF9846" w14:textId="77777777" w:rsidR="009B451F" w:rsidRPr="002375DD" w:rsidRDefault="009B451F" w:rsidP="009B451F">
      <w:pPr>
        <w:rPr>
          <w:rFonts w:ascii="Trebuchet MS" w:hAnsi="Trebuchet MS"/>
          <w:lang w:eastAsia="en-GB"/>
        </w:rPr>
      </w:pPr>
      <w:r w:rsidRPr="002375DD">
        <w:rPr>
          <w:rFonts w:ascii="Trebuchet MS" w:hAnsi="Trebuchet MS"/>
          <w:lang w:eastAsia="en-GB"/>
        </w:rPr>
        <w:t>social process involved in memorialization is hotly contested with respect</w:t>
      </w:r>
    </w:p>
    <w:p w14:paraId="548198EF" w14:textId="77777777" w:rsidR="009B451F" w:rsidRPr="002375DD" w:rsidRDefault="009B451F" w:rsidP="009B451F">
      <w:pPr>
        <w:rPr>
          <w:rFonts w:ascii="Trebuchet MS" w:hAnsi="Trebuchet MS"/>
          <w:lang w:eastAsia="en-GB"/>
        </w:rPr>
      </w:pPr>
      <w:r w:rsidRPr="002375DD">
        <w:rPr>
          <w:rFonts w:ascii="Trebuchet MS" w:hAnsi="Trebuchet MS"/>
          <w:lang w:eastAsia="en-GB"/>
        </w:rPr>
        <w:t>not only to form and structure but also to the meaning attached to the</w:t>
      </w:r>
    </w:p>
    <w:p w14:paraId="0AD4EB0F" w14:textId="77777777" w:rsidR="009B451F" w:rsidRPr="002375DD" w:rsidRDefault="009B451F" w:rsidP="009B451F">
      <w:pPr>
        <w:rPr>
          <w:rFonts w:ascii="Trebuchet MS" w:hAnsi="Trebuchet MS"/>
          <w:lang w:eastAsia="en-GB"/>
        </w:rPr>
      </w:pPr>
      <w:r w:rsidRPr="002375DD">
        <w:rPr>
          <w:rFonts w:ascii="Trebuchet MS" w:hAnsi="Trebuchet MS"/>
          <w:lang w:eastAsia="en-GB"/>
        </w:rPr>
        <w:t>representation.</w:t>
      </w:r>
      <w:r>
        <w:rPr>
          <w:rFonts w:ascii="Trebuchet MS" w:hAnsi="Trebuchet MS"/>
          <w:lang w:eastAsia="en-GB"/>
        </w:rPr>
        <w:t>’</w:t>
      </w:r>
      <w:r>
        <w:rPr>
          <w:rStyle w:val="FootnoteReference"/>
          <w:rFonts w:ascii="Trebuchet MS" w:hAnsi="Trebuchet MS"/>
          <w:lang w:eastAsia="en-GB"/>
        </w:rPr>
        <w:footnoteReference w:id="21"/>
      </w:r>
      <w:r w:rsidRPr="002375DD">
        <w:rPr>
          <w:rFonts w:ascii="Trebuchet MS" w:hAnsi="Trebuchet MS"/>
          <w:lang w:eastAsia="en-GB"/>
        </w:rPr>
        <w:t xml:space="preserve"> </w:t>
      </w:r>
    </w:p>
    <w:p w14:paraId="53885F68" w14:textId="77777777" w:rsidR="002375DD" w:rsidRDefault="002375DD" w:rsidP="00B051DF">
      <w:pPr>
        <w:rPr>
          <w:rFonts w:ascii="Trebuchet MS" w:hAnsi="Trebuchet MS"/>
        </w:rPr>
      </w:pPr>
    </w:p>
    <w:p w14:paraId="30ED1E62" w14:textId="2E237A6E" w:rsidR="00241CDC" w:rsidRPr="002375DD" w:rsidRDefault="00241CDC" w:rsidP="00B051DF">
      <w:pPr>
        <w:rPr>
          <w:rFonts w:ascii="Trebuchet MS" w:hAnsi="Trebuchet MS"/>
        </w:rPr>
      </w:pPr>
      <w:r w:rsidRPr="008A6D45">
        <w:rPr>
          <w:rFonts w:ascii="Trebuchet MS" w:hAnsi="Trebuchet MS"/>
        </w:rPr>
        <w:t>Commemoration and memorialisation are important rituals. Turner examines rituals and explains how they are transformative</w:t>
      </w:r>
      <w:r w:rsidRPr="002375DD">
        <w:rPr>
          <w:rFonts w:ascii="Trebuchet MS" w:hAnsi="Trebuchet MS"/>
        </w:rPr>
        <w:t xml:space="preserve"> in nature, a product of how people process change</w:t>
      </w:r>
      <w:r w:rsidR="00FB3887">
        <w:rPr>
          <w:rStyle w:val="FootnoteReference"/>
          <w:rFonts w:ascii="Trebuchet MS" w:hAnsi="Trebuchet MS"/>
        </w:rPr>
        <w:footnoteReference w:id="22"/>
      </w:r>
      <w:r w:rsidRPr="002375DD">
        <w:rPr>
          <w:rFonts w:ascii="Trebuchet MS" w:hAnsi="Trebuchet MS"/>
        </w:rPr>
        <w:t xml:space="preserve">. </w:t>
      </w:r>
      <w:r w:rsidR="00FB3887">
        <w:rPr>
          <w:rFonts w:ascii="Trebuchet MS" w:hAnsi="Trebuchet MS"/>
        </w:rPr>
        <w:t>Rituals help people process change, as the enter a ritual in one state of being and leave in another.</w:t>
      </w:r>
      <w:r w:rsidRPr="002375DD">
        <w:rPr>
          <w:rFonts w:ascii="Trebuchet MS" w:hAnsi="Trebuchet MS"/>
        </w:rPr>
        <w:t xml:space="preserve"> In the context of war memorials, the</w:t>
      </w:r>
      <w:r w:rsidR="007C5A7A">
        <w:rPr>
          <w:rFonts w:ascii="Trebuchet MS" w:hAnsi="Trebuchet MS"/>
        </w:rPr>
        <w:t xml:space="preserve"> ritual of remembrance helped the</w:t>
      </w:r>
      <w:r w:rsidRPr="002375DD">
        <w:rPr>
          <w:rFonts w:ascii="Trebuchet MS" w:hAnsi="Trebuchet MS"/>
        </w:rPr>
        <w:t xml:space="preserve"> </w:t>
      </w:r>
      <w:r w:rsidR="007C5A7A">
        <w:rPr>
          <w:rFonts w:ascii="Trebuchet MS" w:hAnsi="Trebuchet MS"/>
        </w:rPr>
        <w:t xml:space="preserve">whole community shift from war time to post-war society. </w:t>
      </w:r>
    </w:p>
    <w:p w14:paraId="4C968A81" w14:textId="77777777" w:rsidR="00CB1B29" w:rsidRPr="002375DD" w:rsidRDefault="00CB1B29" w:rsidP="00B051DF">
      <w:pPr>
        <w:rPr>
          <w:rFonts w:ascii="Trebuchet MS" w:hAnsi="Trebuchet MS"/>
        </w:rPr>
      </w:pPr>
    </w:p>
    <w:p w14:paraId="5C0389A3" w14:textId="31E5199A" w:rsidR="00FC1C83" w:rsidRPr="00065CD3" w:rsidRDefault="002375DD" w:rsidP="00A70711">
      <w:pPr>
        <w:autoSpaceDE w:val="0"/>
        <w:autoSpaceDN w:val="0"/>
        <w:adjustRightInd w:val="0"/>
        <w:rPr>
          <w:rFonts w:ascii="Trebuchet MS" w:eastAsiaTheme="minorHAnsi" w:hAnsi="Trebuchet MS" w:cs="SPPhotina-Regular"/>
          <w:spacing w:val="20"/>
        </w:rPr>
      </w:pPr>
      <w:r w:rsidRPr="00FB3887">
        <w:rPr>
          <w:rFonts w:ascii="Trebuchet MS" w:hAnsi="Trebuchet MS"/>
        </w:rPr>
        <w:t xml:space="preserve">As war changed, memorialisation changed with it. The First World War was the first war fought on a global scale, with technological advancements making the experience of ‘total war’ very different to that of previous cavalry based war. </w:t>
      </w:r>
      <w:r w:rsidRPr="00FB3887">
        <w:rPr>
          <w:rFonts w:ascii="Trebuchet MS" w:hAnsi="Trebuchet MS"/>
        </w:rPr>
        <w:lastRenderedPageBreak/>
        <w:t>Niven</w:t>
      </w:r>
      <w:r w:rsidR="00790FF5" w:rsidRPr="00FB3887">
        <w:rPr>
          <w:rFonts w:ascii="Trebuchet MS" w:hAnsi="Trebuchet MS"/>
        </w:rPr>
        <w:t xml:space="preserve"> observes that as the war was ‘</w:t>
      </w:r>
      <w:r w:rsidR="00A70711" w:rsidRPr="00FB3887">
        <w:rPr>
          <w:rFonts w:ascii="Trebuchet MS" w:hAnsi="Trebuchet MS"/>
        </w:rPr>
        <w:t>the first truly global war, one fought out between citizens rather than professionalized soldiers, looking back on war became a process of mourning,</w:t>
      </w:r>
      <w:r w:rsidR="00790FF5" w:rsidRPr="00FB3887">
        <w:rPr>
          <w:rFonts w:ascii="Trebuchet MS" w:eastAsiaTheme="minorHAnsi" w:hAnsi="Trebuchet MS" w:cs="SPPhotina-Regular"/>
          <w:spacing w:val="20"/>
        </w:rPr>
        <w:t>’</w:t>
      </w:r>
      <w:r w:rsidR="00790FF5" w:rsidRPr="00FB3887">
        <w:rPr>
          <w:rStyle w:val="FootnoteReference"/>
          <w:rFonts w:ascii="Trebuchet MS" w:eastAsiaTheme="minorHAnsi" w:hAnsi="Trebuchet MS" w:cs="SPPhotina-Regular"/>
          <w:spacing w:val="20"/>
        </w:rPr>
        <w:footnoteReference w:id="23"/>
      </w:r>
      <w:r w:rsidR="008B46EE" w:rsidRPr="00FB3887">
        <w:rPr>
          <w:rFonts w:ascii="Trebuchet MS" w:eastAsiaTheme="minorHAnsi" w:hAnsi="Trebuchet MS" w:cs="SPPhotina-Regular"/>
          <w:spacing w:val="20"/>
        </w:rPr>
        <w:t xml:space="preserve"> and this is reflected in the</w:t>
      </w:r>
      <w:r w:rsidR="008B46EE">
        <w:rPr>
          <w:rFonts w:ascii="Trebuchet MS" w:eastAsiaTheme="minorHAnsi" w:hAnsi="Trebuchet MS" w:cs="SPPhotina-Regular"/>
          <w:spacing w:val="20"/>
        </w:rPr>
        <w:t xml:space="preserve"> way the war was commemorated. With such a huge loss of life, commemoration reflected the loss that was now felt in every aspect of society. War memorials were a place where the bereaved could go to mourn their lost ones whose bodies were never returned to them.</w:t>
      </w:r>
      <w:bookmarkStart w:id="0" w:name="_GoBack"/>
      <w:bookmarkEnd w:id="0"/>
    </w:p>
    <w:p w14:paraId="52723E80" w14:textId="77777777" w:rsidR="00D6710B" w:rsidRPr="002375DD" w:rsidRDefault="00D6710B" w:rsidP="00882E1D">
      <w:pPr>
        <w:rPr>
          <w:rFonts w:ascii="Trebuchet MS" w:hAnsi="Trebuchet MS"/>
          <w:lang w:eastAsia="en-GB"/>
        </w:rPr>
      </w:pPr>
    </w:p>
    <w:p w14:paraId="2058CC54" w14:textId="0CC45358" w:rsidR="00D6710B" w:rsidRPr="002375DD" w:rsidRDefault="00D6710B" w:rsidP="00D6710B">
      <w:pPr>
        <w:rPr>
          <w:rFonts w:ascii="Trebuchet MS" w:hAnsi="Trebuchet MS"/>
        </w:rPr>
      </w:pPr>
      <w:r w:rsidRPr="00E1080C">
        <w:rPr>
          <w:rFonts w:ascii="Trebuchet MS" w:hAnsi="Trebuchet MS"/>
          <w:b/>
          <w:bCs/>
        </w:rPr>
        <w:t>Post war commemorative art conveyed the same shift in</w:t>
      </w:r>
      <w:r w:rsidR="00FC1C83" w:rsidRPr="00E1080C">
        <w:rPr>
          <w:rFonts w:ascii="Trebuchet MS" w:hAnsi="Trebuchet MS"/>
          <w:b/>
          <w:bCs/>
        </w:rPr>
        <w:t xml:space="preserve"> community</w:t>
      </w:r>
      <w:r w:rsidRPr="00E1080C">
        <w:rPr>
          <w:rFonts w:ascii="Trebuchet MS" w:hAnsi="Trebuchet MS"/>
          <w:b/>
          <w:bCs/>
        </w:rPr>
        <w:t xml:space="preserve"> commemoration that was evident in the war memorials and rituals surrounding them.</w:t>
      </w:r>
      <w:r w:rsidRPr="002375DD">
        <w:rPr>
          <w:rFonts w:ascii="Trebuchet MS" w:hAnsi="Trebuchet MS"/>
        </w:rPr>
        <w:t xml:space="preserve"> The change from glorifying war to mourning the dead is recognised by Jay Winter</w:t>
      </w:r>
      <w:r w:rsidR="008B46EE" w:rsidRPr="008B46EE">
        <w:rPr>
          <w:rFonts w:ascii="Trebuchet MS" w:hAnsi="Trebuchet MS"/>
        </w:rPr>
        <w:t xml:space="preserve"> </w:t>
      </w:r>
      <w:r w:rsidR="008B46EE" w:rsidRPr="002375DD">
        <w:rPr>
          <w:rFonts w:ascii="Trebuchet MS" w:hAnsi="Trebuchet MS"/>
        </w:rPr>
        <w:t>in artwork</w:t>
      </w:r>
      <w:r w:rsidRPr="002375DD">
        <w:rPr>
          <w:rFonts w:ascii="Trebuchet MS" w:hAnsi="Trebuchet MS"/>
        </w:rPr>
        <w:t>, as he writes, ‘these objects and rituals expressed sadness rather than exhilaration, and addressed directly the experience of bereavement’</w:t>
      </w:r>
      <w:r w:rsidRPr="002375DD">
        <w:rPr>
          <w:rStyle w:val="FootnoteReference"/>
          <w:rFonts w:ascii="Trebuchet MS" w:hAnsi="Trebuchet MS"/>
        </w:rPr>
        <w:footnoteReference w:id="24"/>
      </w:r>
    </w:p>
    <w:p w14:paraId="2BCA8C56" w14:textId="69D7F702" w:rsidR="009672F0" w:rsidRDefault="009672F0" w:rsidP="00882E1D">
      <w:pPr>
        <w:rPr>
          <w:rFonts w:ascii="Trebuchet MS" w:hAnsi="Trebuchet MS"/>
          <w:lang w:eastAsia="en-GB"/>
        </w:rPr>
      </w:pPr>
    </w:p>
    <w:p w14:paraId="0A8D15B3" w14:textId="04303E6E" w:rsidR="009672F0" w:rsidRPr="00E1080C" w:rsidRDefault="009672F0" w:rsidP="00882E1D">
      <w:pPr>
        <w:rPr>
          <w:rFonts w:ascii="Trebuchet MS" w:hAnsi="Trebuchet MS"/>
          <w:b/>
          <w:bCs/>
        </w:rPr>
      </w:pPr>
      <w:r w:rsidRPr="00E1080C">
        <w:rPr>
          <w:rFonts w:ascii="Trebuchet MS" w:hAnsi="Trebuchet MS"/>
          <w:b/>
          <w:bCs/>
        </w:rPr>
        <w:t>War memorials were not the only form of commemoration of the dead.</w:t>
      </w:r>
    </w:p>
    <w:p w14:paraId="1206CF22" w14:textId="38680B7A" w:rsidR="00882E1D" w:rsidRPr="002375DD" w:rsidRDefault="00882E1D" w:rsidP="00882E1D">
      <w:pPr>
        <w:rPr>
          <w:rFonts w:ascii="Trebuchet MS" w:hAnsi="Trebuchet MS"/>
          <w:lang w:eastAsia="en-GB"/>
        </w:rPr>
      </w:pPr>
      <w:r w:rsidRPr="002375DD">
        <w:rPr>
          <w:rFonts w:ascii="Trebuchet MS" w:hAnsi="Trebuchet MS"/>
        </w:rPr>
        <w:t>‘</w:t>
      </w:r>
      <w:r w:rsidRPr="002375DD">
        <w:rPr>
          <w:rFonts w:ascii="Trebuchet MS" w:hAnsi="Trebuchet MS"/>
          <w:lang w:eastAsia="en-GB"/>
        </w:rPr>
        <w:t>That romantic notions</w:t>
      </w:r>
      <w:r w:rsidR="000F1F53" w:rsidRPr="002375DD">
        <w:rPr>
          <w:rFonts w:ascii="Trebuchet MS" w:hAnsi="Trebuchet MS"/>
          <w:lang w:eastAsia="en-GB"/>
        </w:rPr>
        <w:t xml:space="preserve"> </w:t>
      </w:r>
      <w:r w:rsidRPr="002375DD">
        <w:rPr>
          <w:rFonts w:ascii="Trebuchet MS" w:hAnsi="Trebuchet MS"/>
          <w:lang w:eastAsia="en-GB"/>
        </w:rPr>
        <w:t>of memory seemed inadequate to deal with the losses of the First World</w:t>
      </w:r>
      <w:r w:rsidR="000F1F53" w:rsidRPr="002375DD">
        <w:rPr>
          <w:rFonts w:ascii="Trebuchet MS" w:hAnsi="Trebuchet MS"/>
          <w:lang w:eastAsia="en-GB"/>
        </w:rPr>
        <w:t xml:space="preserve"> </w:t>
      </w:r>
      <w:r w:rsidRPr="002375DD">
        <w:rPr>
          <w:rFonts w:ascii="Trebuchet MS" w:hAnsi="Trebuchet MS"/>
          <w:lang w:eastAsia="en-GB"/>
        </w:rPr>
        <w:t>War is evidenced by the fact that enormous collective and individual efforts were made to articulate that sense of loss through public performance.’</w:t>
      </w:r>
      <w:r w:rsidRPr="002375DD">
        <w:rPr>
          <w:rStyle w:val="FootnoteReference"/>
          <w:rFonts w:ascii="Trebuchet MS" w:hAnsi="Trebuchet MS"/>
          <w:lang w:eastAsia="en-GB"/>
        </w:rPr>
        <w:footnoteReference w:id="25"/>
      </w:r>
    </w:p>
    <w:p w14:paraId="2A4822B2" w14:textId="6FB836A5" w:rsidR="00882E1D" w:rsidRPr="002375DD" w:rsidRDefault="009672F0" w:rsidP="00B051DF">
      <w:pPr>
        <w:rPr>
          <w:rFonts w:ascii="Trebuchet MS" w:hAnsi="Trebuchet MS"/>
        </w:rPr>
      </w:pPr>
      <w:r w:rsidRPr="002375DD">
        <w:rPr>
          <w:rFonts w:ascii="Trebuchet MS" w:hAnsi="Trebuchet MS"/>
        </w:rPr>
        <w:t>Public performance following the great war notably included…</w:t>
      </w:r>
    </w:p>
    <w:p w14:paraId="4165F776" w14:textId="77777777" w:rsidR="00FB3887" w:rsidRPr="002375DD" w:rsidRDefault="00FB3887" w:rsidP="00FB3887">
      <w:pPr>
        <w:rPr>
          <w:rFonts w:ascii="Trebuchet MS" w:hAnsi="Trebuchet MS"/>
        </w:rPr>
      </w:pPr>
      <w:r w:rsidRPr="002375DD">
        <w:rPr>
          <w:rFonts w:ascii="Trebuchet MS" w:hAnsi="Trebuchet MS"/>
        </w:rPr>
        <w:t>-forms of memorialisation (landscape, material)</w:t>
      </w:r>
    </w:p>
    <w:p w14:paraId="7FD350BD" w14:textId="77777777" w:rsidR="00FB3887" w:rsidRPr="002375DD" w:rsidRDefault="00FB3887" w:rsidP="00FB3887">
      <w:pPr>
        <w:rPr>
          <w:rFonts w:ascii="Trebuchet MS" w:hAnsi="Trebuchet MS"/>
        </w:rPr>
      </w:pPr>
      <w:r w:rsidRPr="002375DD">
        <w:rPr>
          <w:rFonts w:ascii="Trebuchet MS" w:hAnsi="Trebuchet MS"/>
        </w:rPr>
        <w:t xml:space="preserve">   -materialities, ‘set in stone’</w:t>
      </w:r>
    </w:p>
    <w:p w14:paraId="68CD71EC" w14:textId="77777777" w:rsidR="00FB3887" w:rsidRPr="002375DD" w:rsidRDefault="00FB3887" w:rsidP="00FB3887">
      <w:pPr>
        <w:rPr>
          <w:rFonts w:ascii="Trebuchet MS" w:hAnsi="Trebuchet MS"/>
        </w:rPr>
      </w:pPr>
      <w:r>
        <w:rPr>
          <w:rFonts w:ascii="Trebuchet MS" w:hAnsi="Trebuchet MS"/>
          <w:lang w:eastAsia="en-GB"/>
        </w:rPr>
        <w:t>‘the memory of the missing body was replaced by that of the present object’</w:t>
      </w:r>
      <w:r>
        <w:rPr>
          <w:rStyle w:val="FootnoteReference"/>
          <w:rFonts w:ascii="Trebuchet MS" w:hAnsi="Trebuchet MS"/>
          <w:lang w:eastAsia="en-GB"/>
        </w:rPr>
        <w:footnoteReference w:id="26"/>
      </w:r>
    </w:p>
    <w:p w14:paraId="7B5BC885" w14:textId="7B79098E" w:rsidR="00CB1B29" w:rsidRDefault="00CB1B29" w:rsidP="00B051DF">
      <w:pPr>
        <w:rPr>
          <w:rFonts w:ascii="Trebuchet MS" w:hAnsi="Trebuchet MS"/>
        </w:rPr>
      </w:pPr>
    </w:p>
    <w:p w14:paraId="6D708E0F" w14:textId="14307305" w:rsidR="007C5A7A" w:rsidRPr="00E1080C" w:rsidRDefault="007C5A7A" w:rsidP="00B051DF">
      <w:pPr>
        <w:rPr>
          <w:rFonts w:ascii="Trebuchet MS" w:hAnsi="Trebuchet MS"/>
          <w:b/>
          <w:bCs/>
        </w:rPr>
      </w:pPr>
      <w:r w:rsidRPr="00E1080C">
        <w:rPr>
          <w:rFonts w:ascii="Trebuchet MS" w:hAnsi="Trebuchet MS"/>
          <w:b/>
          <w:bCs/>
        </w:rPr>
        <w:t>Today the remembrance service seem</w:t>
      </w:r>
      <w:r w:rsidR="00FC1C83" w:rsidRPr="00E1080C">
        <w:rPr>
          <w:rFonts w:ascii="Trebuchet MS" w:hAnsi="Trebuchet MS"/>
          <w:b/>
          <w:bCs/>
        </w:rPr>
        <w:t>s</w:t>
      </w:r>
      <w:r w:rsidRPr="00E1080C">
        <w:rPr>
          <w:rFonts w:ascii="Trebuchet MS" w:hAnsi="Trebuchet MS"/>
          <w:b/>
          <w:bCs/>
        </w:rPr>
        <w:t xml:space="preserve"> to serve as more of a reminder of the danger of war than a public way to mourn lost ones, as the generation of war veterans has passed on.</w:t>
      </w:r>
    </w:p>
    <w:p w14:paraId="658AA60D" w14:textId="4D1C7FB7" w:rsidR="00B051DF" w:rsidRPr="002375DD" w:rsidRDefault="00B051DF" w:rsidP="00B051DF">
      <w:pPr>
        <w:rPr>
          <w:rFonts w:ascii="Trebuchet MS" w:hAnsi="Trebuchet MS"/>
        </w:rPr>
      </w:pPr>
      <w:r w:rsidRPr="002375DD">
        <w:rPr>
          <w:rFonts w:ascii="Trebuchet MS" w:hAnsi="Trebuchet MS"/>
        </w:rPr>
        <w:t>-symbolism of the poppy (materialities)</w:t>
      </w:r>
    </w:p>
    <w:p w14:paraId="595C62A6" w14:textId="4B59BF97" w:rsidR="00241CDC" w:rsidRPr="002375DD" w:rsidRDefault="00241CDC" w:rsidP="00B051DF">
      <w:pPr>
        <w:rPr>
          <w:rFonts w:ascii="Trebuchet MS" w:hAnsi="Trebuchet MS"/>
        </w:rPr>
      </w:pPr>
      <w:r w:rsidRPr="002375DD">
        <w:rPr>
          <w:rFonts w:ascii="Trebuchet MS" w:hAnsi="Trebuchet MS"/>
        </w:rPr>
        <w:t xml:space="preserve">  - bell, ritualization of the body</w:t>
      </w:r>
    </w:p>
    <w:p w14:paraId="13113431" w14:textId="0B28910D" w:rsidR="00B051DF" w:rsidRPr="002375DD" w:rsidRDefault="00B051DF" w:rsidP="00B051DF">
      <w:pPr>
        <w:rPr>
          <w:rFonts w:ascii="Trebuchet MS" w:hAnsi="Trebuchet MS"/>
        </w:rPr>
      </w:pPr>
      <w:r w:rsidRPr="002375DD">
        <w:rPr>
          <w:rFonts w:ascii="Trebuchet MS" w:hAnsi="Trebuchet MS"/>
        </w:rPr>
        <w:t xml:space="preserve">-How memorials work in collective memory </w:t>
      </w:r>
      <w:r w:rsidRPr="002375DD">
        <w:rPr>
          <w:rStyle w:val="FootnoteReference"/>
          <w:rFonts w:ascii="Trebuchet MS" w:hAnsi="Trebuchet MS"/>
        </w:rPr>
        <w:footnoteReference w:id="27"/>
      </w:r>
    </w:p>
    <w:p w14:paraId="487895B6" w14:textId="40A58B49" w:rsidR="00C264A1" w:rsidRPr="002375DD" w:rsidRDefault="00CB1B29" w:rsidP="00B051DF">
      <w:pPr>
        <w:rPr>
          <w:rFonts w:ascii="Trebuchet MS" w:hAnsi="Trebuchet MS"/>
        </w:rPr>
      </w:pPr>
      <w:r w:rsidRPr="002375DD">
        <w:rPr>
          <w:rFonts w:ascii="Trebuchet MS" w:hAnsi="Trebuchet MS"/>
        </w:rPr>
        <w:t xml:space="preserve"> </w:t>
      </w:r>
    </w:p>
    <w:p w14:paraId="137668AD" w14:textId="15804B9C" w:rsidR="00CB1B29" w:rsidRDefault="00241CDC" w:rsidP="00B051DF">
      <w:pPr>
        <w:rPr>
          <w:rFonts w:ascii="Trebuchet MS" w:hAnsi="Trebuchet MS"/>
        </w:rPr>
      </w:pPr>
      <w:r w:rsidRPr="00E1080C">
        <w:rPr>
          <w:rFonts w:ascii="Trebuchet MS" w:hAnsi="Trebuchet MS"/>
          <w:b/>
          <w:bCs/>
        </w:rPr>
        <w:t>Donaldson talks about the ‘</w:t>
      </w:r>
      <w:r w:rsidR="00CB1B29" w:rsidRPr="00E1080C">
        <w:rPr>
          <w:rFonts w:ascii="Trebuchet MS" w:hAnsi="Trebuchet MS"/>
          <w:b/>
          <w:bCs/>
        </w:rPr>
        <w:t>layering of memory</w:t>
      </w:r>
      <w:r w:rsidRPr="00E1080C">
        <w:rPr>
          <w:rFonts w:ascii="Trebuchet MS" w:hAnsi="Trebuchet MS"/>
          <w:b/>
          <w:bCs/>
        </w:rPr>
        <w:t>’ in memorialisation and commemoration.</w:t>
      </w:r>
      <w:r w:rsidRPr="002375DD">
        <w:rPr>
          <w:rFonts w:ascii="Trebuchet MS" w:hAnsi="Trebuchet MS"/>
        </w:rPr>
        <w:t xml:space="preserve"> During commemorative activities following the great war in communities in east Kent </w:t>
      </w:r>
      <w:r w:rsidR="009B451F">
        <w:rPr>
          <w:rFonts w:ascii="Trebuchet MS" w:hAnsi="Trebuchet MS"/>
        </w:rPr>
        <w:t xml:space="preserve">, </w:t>
      </w:r>
      <w:r w:rsidRPr="002375DD">
        <w:rPr>
          <w:rFonts w:ascii="Trebuchet MS" w:hAnsi="Trebuchet MS"/>
        </w:rPr>
        <w:t>‘</w:t>
      </w:r>
      <w:r w:rsidR="00CB1B29" w:rsidRPr="002375DD">
        <w:rPr>
          <w:rFonts w:ascii="Trebuchet MS" w:hAnsi="Trebuchet MS"/>
        </w:rPr>
        <w:t>the war dead were remembered in their various different roles, as citizens, work colleagues, school alumni, club members, parishioners, regimental comrades and, of course, fathers, husbands and sons’</w:t>
      </w:r>
      <w:r w:rsidR="00CB1B29" w:rsidRPr="002375DD">
        <w:rPr>
          <w:rStyle w:val="FootnoteReference"/>
          <w:rFonts w:ascii="Trebuchet MS" w:hAnsi="Trebuchet MS"/>
        </w:rPr>
        <w:footnoteReference w:id="28"/>
      </w:r>
      <w:r w:rsidRPr="002375DD">
        <w:rPr>
          <w:rFonts w:ascii="Trebuchet MS" w:hAnsi="Trebuchet MS"/>
        </w:rPr>
        <w:t xml:space="preserve"> key to this is the idea that commemoration is both communal and personal, as those lost each held their own multi-layered presence in their communities. </w:t>
      </w:r>
    </w:p>
    <w:p w14:paraId="358BDC6B" w14:textId="581A3C2A" w:rsidR="009B451F" w:rsidRDefault="009B451F" w:rsidP="00B051DF">
      <w:pPr>
        <w:rPr>
          <w:rFonts w:ascii="Trebuchet MS" w:hAnsi="Trebuchet MS"/>
        </w:rPr>
      </w:pPr>
    </w:p>
    <w:p w14:paraId="0182FA8B" w14:textId="3FEE3E9E" w:rsidR="009B451F" w:rsidRDefault="009B451F" w:rsidP="00B051DF">
      <w:pPr>
        <w:rPr>
          <w:rFonts w:ascii="Trebuchet MS" w:hAnsi="Trebuchet MS"/>
        </w:rPr>
      </w:pPr>
      <w:r>
        <w:rPr>
          <w:rFonts w:ascii="Trebuchet MS" w:hAnsi="Trebuchet MS"/>
        </w:rPr>
        <w:t>To conclude</w:t>
      </w:r>
    </w:p>
    <w:p w14:paraId="33353BA4" w14:textId="62BCE3BA" w:rsidR="009B451F" w:rsidRDefault="009B451F" w:rsidP="00B051DF">
      <w:pPr>
        <w:rPr>
          <w:rFonts w:ascii="Trebuchet MS" w:hAnsi="Trebuchet MS"/>
        </w:rPr>
      </w:pPr>
      <w:r>
        <w:rPr>
          <w:rFonts w:ascii="Trebuchet MS" w:hAnsi="Trebuchet MS"/>
        </w:rPr>
        <w:t>-war memorials conveyed political messages that helped bring the community together</w:t>
      </w:r>
    </w:p>
    <w:p w14:paraId="03793057" w14:textId="55D5B037" w:rsidR="009B451F" w:rsidRDefault="009B451F" w:rsidP="00B051DF">
      <w:pPr>
        <w:rPr>
          <w:rFonts w:ascii="Trebuchet MS" w:hAnsi="Trebuchet MS"/>
        </w:rPr>
      </w:pPr>
      <w:r>
        <w:rPr>
          <w:rFonts w:ascii="Trebuchet MS" w:hAnsi="Trebuchet MS"/>
        </w:rPr>
        <w:lastRenderedPageBreak/>
        <w:t>-remembrance was both public and private</w:t>
      </w:r>
    </w:p>
    <w:p w14:paraId="01D602F4" w14:textId="4E10C235" w:rsidR="009B451F" w:rsidRDefault="009B451F" w:rsidP="00B051DF">
      <w:pPr>
        <w:rPr>
          <w:rFonts w:ascii="Trebuchet MS" w:hAnsi="Trebuchet MS"/>
        </w:rPr>
      </w:pPr>
      <w:r>
        <w:rPr>
          <w:rFonts w:ascii="Trebuchet MS" w:hAnsi="Trebuchet MS"/>
        </w:rPr>
        <w:t>-ritual helped the public transition into a post war society</w:t>
      </w:r>
    </w:p>
    <w:p w14:paraId="73F751E7" w14:textId="6E930DAA" w:rsidR="00065CD3" w:rsidRDefault="00065CD3" w:rsidP="00B051DF">
      <w:pPr>
        <w:rPr>
          <w:rFonts w:ascii="Trebuchet MS" w:hAnsi="Trebuchet MS"/>
        </w:rPr>
      </w:pPr>
      <w:r>
        <w:rPr>
          <w:rFonts w:ascii="Trebuchet MS" w:hAnsi="Trebuchet MS"/>
        </w:rPr>
        <w:t>-memory is reinforce by memorial</w:t>
      </w:r>
    </w:p>
    <w:p w14:paraId="1A801D3C" w14:textId="77777777" w:rsidR="00065CD3" w:rsidRPr="002375DD" w:rsidRDefault="00065CD3" w:rsidP="00B051DF">
      <w:pPr>
        <w:rPr>
          <w:rFonts w:ascii="Trebuchet MS" w:hAnsi="Trebuchet MS"/>
        </w:rPr>
      </w:pPr>
    </w:p>
    <w:p w14:paraId="4F7AA6F1" w14:textId="48C5DBBF" w:rsidR="00E84CFB" w:rsidRPr="002375DD" w:rsidRDefault="00E84CFB">
      <w:pPr>
        <w:rPr>
          <w:rFonts w:ascii="Trebuchet MS" w:hAnsi="Trebuchet MS"/>
        </w:rPr>
      </w:pPr>
    </w:p>
    <w:p w14:paraId="337FACEC" w14:textId="44199620" w:rsidR="000F1F53" w:rsidRPr="002375DD" w:rsidRDefault="000F1F53">
      <w:pPr>
        <w:rPr>
          <w:rFonts w:ascii="Trebuchet MS" w:hAnsi="Trebuchet MS"/>
          <w:lang w:eastAsia="en-GB"/>
        </w:rPr>
      </w:pPr>
    </w:p>
    <w:p w14:paraId="32C252AE" w14:textId="77777777" w:rsidR="00473DB0" w:rsidRPr="002375DD" w:rsidRDefault="00473DB0">
      <w:pPr>
        <w:rPr>
          <w:rFonts w:ascii="Trebuchet MS" w:hAnsi="Trebuchet MS"/>
        </w:rPr>
      </w:pPr>
    </w:p>
    <w:p w14:paraId="0FE1CB07" w14:textId="77777777" w:rsidR="00473DB0" w:rsidRPr="002375DD" w:rsidRDefault="00473DB0">
      <w:pPr>
        <w:rPr>
          <w:rFonts w:ascii="Trebuchet MS" w:hAnsi="Trebuchet MS"/>
        </w:rPr>
      </w:pPr>
    </w:p>
    <w:p w14:paraId="689C5521" w14:textId="570FB00D" w:rsidR="00B051DF" w:rsidRPr="002375DD" w:rsidRDefault="00B051DF">
      <w:pPr>
        <w:rPr>
          <w:rFonts w:ascii="Trebuchet MS" w:hAnsi="Trebuchet MS"/>
        </w:rPr>
      </w:pPr>
      <w:r w:rsidRPr="002375DD">
        <w:rPr>
          <w:rFonts w:ascii="Trebuchet MS" w:hAnsi="Trebuchet MS"/>
        </w:rPr>
        <w:t>Bibliography</w:t>
      </w:r>
    </w:p>
    <w:p w14:paraId="6A5819FB" w14:textId="77777777" w:rsidR="00473DB0" w:rsidRPr="002375DD" w:rsidRDefault="00473DB0">
      <w:pPr>
        <w:rPr>
          <w:rFonts w:ascii="Trebuchet MS" w:hAnsi="Trebuchet MS"/>
        </w:rPr>
      </w:pPr>
    </w:p>
    <w:p w14:paraId="329A7967" w14:textId="77777777" w:rsidR="003D434B" w:rsidRPr="003D434B" w:rsidRDefault="003D434B" w:rsidP="003D434B">
      <w:pPr>
        <w:rPr>
          <w:rFonts w:ascii="Trebuchet MS" w:hAnsi="Trebuchet MS"/>
        </w:rPr>
      </w:pPr>
      <w:r w:rsidRPr="003D434B">
        <w:rPr>
          <w:rFonts w:ascii="Trebuchet MS" w:hAnsi="Trebuchet MS"/>
        </w:rPr>
        <w:t xml:space="preserve">Alex. King, </w:t>
      </w:r>
      <w:r w:rsidRPr="003D434B">
        <w:rPr>
          <w:rFonts w:ascii="Trebuchet MS" w:hAnsi="Trebuchet MS"/>
          <w:i/>
          <w:iCs/>
        </w:rPr>
        <w:t>Memorials of the Great War in Britain: The Symbolism and Politics of Remembrance</w:t>
      </w:r>
      <w:r w:rsidRPr="003D434B">
        <w:rPr>
          <w:rFonts w:ascii="Trebuchet MS" w:hAnsi="Trebuchet MS"/>
        </w:rPr>
        <w:t>, The Legacy of the Great War (Oxford: Berg, 1998)</w:t>
      </w:r>
    </w:p>
    <w:p w14:paraId="6B302F58" w14:textId="77777777" w:rsidR="003D434B" w:rsidRPr="003D434B" w:rsidRDefault="003D434B" w:rsidP="003D434B">
      <w:pPr>
        <w:rPr>
          <w:rFonts w:ascii="Trebuchet MS" w:hAnsi="Trebuchet MS"/>
        </w:rPr>
      </w:pPr>
      <w:r w:rsidRPr="003D434B">
        <w:rPr>
          <w:rFonts w:ascii="Trebuchet MS" w:hAnsi="Trebuchet MS"/>
        </w:rPr>
        <w:t xml:space="preserve">Andrews, Maggie, ‘Poppies, Tommies and Remembrance’, </w:t>
      </w:r>
      <w:r w:rsidRPr="003D434B">
        <w:rPr>
          <w:rFonts w:ascii="Trebuchet MS" w:hAnsi="Trebuchet MS"/>
          <w:i/>
          <w:iCs/>
        </w:rPr>
        <w:t>Soundings; London</w:t>
      </w:r>
      <w:r w:rsidRPr="003D434B">
        <w:rPr>
          <w:rFonts w:ascii="Trebuchet MS" w:hAnsi="Trebuchet MS"/>
        </w:rPr>
        <w:t>, 58, 2014, 104–15</w:t>
      </w:r>
    </w:p>
    <w:p w14:paraId="59E67CB4" w14:textId="77777777" w:rsidR="003D434B" w:rsidRDefault="003D434B" w:rsidP="003D434B">
      <w:pPr>
        <w:rPr>
          <w:rFonts w:ascii="Trebuchet MS" w:hAnsi="Trebuchet MS"/>
        </w:rPr>
      </w:pPr>
    </w:p>
    <w:p w14:paraId="55992DCE" w14:textId="707F2CCC" w:rsidR="003D434B" w:rsidRDefault="003D434B" w:rsidP="003D434B">
      <w:pPr>
        <w:rPr>
          <w:rFonts w:ascii="Trebuchet MS" w:hAnsi="Trebuchet MS"/>
        </w:rPr>
      </w:pPr>
      <w:r w:rsidRPr="003D434B">
        <w:rPr>
          <w:rFonts w:ascii="Trebuchet MS" w:hAnsi="Trebuchet MS"/>
        </w:rPr>
        <w:t xml:space="preserve">Beckstead, Zachary, Gabriel Twose, Emily Levesque-Gottlieb, and Julia Rizzo, </w:t>
      </w:r>
    </w:p>
    <w:p w14:paraId="32953563" w14:textId="4009DE12" w:rsidR="003D434B" w:rsidRPr="003D434B" w:rsidRDefault="003D434B" w:rsidP="003D434B">
      <w:pPr>
        <w:rPr>
          <w:rFonts w:ascii="Trebuchet MS" w:hAnsi="Trebuchet MS"/>
        </w:rPr>
      </w:pPr>
      <w:r w:rsidRPr="003D434B">
        <w:rPr>
          <w:rFonts w:ascii="Trebuchet MS" w:hAnsi="Trebuchet MS"/>
        </w:rPr>
        <w:t xml:space="preserve">‘Collective Remembering through the Materiality and Organization of War Memorials’, </w:t>
      </w:r>
      <w:r w:rsidRPr="003D434B">
        <w:rPr>
          <w:rFonts w:ascii="Trebuchet MS" w:hAnsi="Trebuchet MS"/>
          <w:i/>
          <w:iCs/>
        </w:rPr>
        <w:t>Journal of Material Culture</w:t>
      </w:r>
      <w:r w:rsidRPr="003D434B">
        <w:rPr>
          <w:rFonts w:ascii="Trebuchet MS" w:hAnsi="Trebuchet MS"/>
        </w:rPr>
        <w:t>, 16.2 (2011), 193–213 &lt;https://doi.org/</w:t>
      </w:r>
      <w:hyperlink r:id="rId7" w:history="1">
        <w:r w:rsidRPr="003D434B">
          <w:rPr>
            <w:rStyle w:val="Hyperlink"/>
            <w:rFonts w:ascii="Trebuchet MS" w:hAnsi="Trebuchet MS"/>
          </w:rPr>
          <w:t>10.1177/1359183511401494</w:t>
        </w:r>
      </w:hyperlink>
      <w:r w:rsidRPr="003D434B">
        <w:rPr>
          <w:rFonts w:ascii="Trebuchet MS" w:hAnsi="Trebuchet MS"/>
        </w:rPr>
        <w:t>&gt;</w:t>
      </w:r>
    </w:p>
    <w:p w14:paraId="43842846" w14:textId="77777777" w:rsidR="003D434B" w:rsidRDefault="003D434B" w:rsidP="003D434B">
      <w:pPr>
        <w:rPr>
          <w:rFonts w:ascii="Trebuchet MS" w:hAnsi="Trebuchet MS"/>
        </w:rPr>
      </w:pPr>
    </w:p>
    <w:p w14:paraId="6C42B00A" w14:textId="6BAF6A0B" w:rsidR="003D434B" w:rsidRPr="003D434B" w:rsidRDefault="003D434B" w:rsidP="003D434B">
      <w:pPr>
        <w:rPr>
          <w:rFonts w:ascii="Trebuchet MS" w:hAnsi="Trebuchet MS"/>
        </w:rPr>
      </w:pPr>
      <w:r w:rsidRPr="003D434B">
        <w:rPr>
          <w:rFonts w:ascii="Trebuchet MS" w:hAnsi="Trebuchet MS"/>
        </w:rPr>
        <w:t xml:space="preserve">Donaldson, Peter, </w:t>
      </w:r>
      <w:r w:rsidRPr="003D434B">
        <w:rPr>
          <w:rFonts w:ascii="Trebuchet MS" w:hAnsi="Trebuchet MS"/>
          <w:i/>
          <w:iCs/>
        </w:rPr>
        <w:t>Ritual and Remembrance: The Memorialisation of the Great War in East Kent</w:t>
      </w:r>
      <w:r w:rsidRPr="003D434B">
        <w:rPr>
          <w:rFonts w:ascii="Trebuchet MS" w:hAnsi="Trebuchet MS"/>
        </w:rPr>
        <w:t xml:space="preserve"> (Cambridge Scholars Press, 2006) &lt;</w:t>
      </w:r>
      <w:hyperlink r:id="rId8" w:history="1">
        <w:r w:rsidRPr="003D434B">
          <w:rPr>
            <w:rStyle w:val="Hyperlink"/>
            <w:rFonts w:ascii="Trebuchet MS" w:hAnsi="Trebuchet MS"/>
          </w:rPr>
          <w:t>https://kar.kent.ac.uk/53916/</w:t>
        </w:r>
      </w:hyperlink>
      <w:r w:rsidRPr="003D434B">
        <w:rPr>
          <w:rFonts w:ascii="Trebuchet MS" w:hAnsi="Trebuchet MS"/>
        </w:rPr>
        <w:t>&gt; [accessed 4 November 2019]</w:t>
      </w:r>
    </w:p>
    <w:p w14:paraId="082B32FA" w14:textId="77777777" w:rsidR="003D434B" w:rsidRDefault="003D434B" w:rsidP="003D434B">
      <w:pPr>
        <w:rPr>
          <w:rFonts w:ascii="Trebuchet MS" w:hAnsi="Trebuchet MS"/>
        </w:rPr>
      </w:pPr>
    </w:p>
    <w:p w14:paraId="189BC7CB" w14:textId="429278A5" w:rsidR="003D434B" w:rsidRPr="003D434B" w:rsidRDefault="003D434B" w:rsidP="003D434B">
      <w:pPr>
        <w:rPr>
          <w:rFonts w:ascii="Trebuchet MS" w:hAnsi="Trebuchet MS"/>
        </w:rPr>
      </w:pPr>
      <w:r w:rsidRPr="003D434B">
        <w:rPr>
          <w:rFonts w:ascii="Trebuchet MS" w:hAnsi="Trebuchet MS"/>
        </w:rPr>
        <w:t xml:space="preserve">Egerton, George W, ‘The Lloyd George Government and the Creation of the League of Nations’, </w:t>
      </w:r>
      <w:r w:rsidRPr="003D434B">
        <w:rPr>
          <w:rFonts w:ascii="Trebuchet MS" w:hAnsi="Trebuchet MS"/>
          <w:i/>
          <w:iCs/>
        </w:rPr>
        <w:t>The American Historical Review</w:t>
      </w:r>
      <w:r w:rsidRPr="003D434B">
        <w:rPr>
          <w:rFonts w:ascii="Trebuchet MS" w:hAnsi="Trebuchet MS"/>
        </w:rPr>
        <w:t>, Vol. 79.2 (1974), 27</w:t>
      </w:r>
    </w:p>
    <w:p w14:paraId="0BAC4A6A" w14:textId="77777777" w:rsidR="003D434B" w:rsidRDefault="003D434B" w:rsidP="003D434B">
      <w:pPr>
        <w:rPr>
          <w:rFonts w:ascii="Trebuchet MS" w:hAnsi="Trebuchet MS"/>
        </w:rPr>
      </w:pPr>
    </w:p>
    <w:p w14:paraId="2B4C746A" w14:textId="7C4F5CE9" w:rsidR="003D434B" w:rsidRPr="003D434B" w:rsidRDefault="003D434B" w:rsidP="003D434B">
      <w:pPr>
        <w:rPr>
          <w:rFonts w:ascii="Trebuchet MS" w:hAnsi="Trebuchet MS"/>
        </w:rPr>
      </w:pPr>
      <w:r w:rsidRPr="003D434B">
        <w:rPr>
          <w:rFonts w:ascii="Trebuchet MS" w:hAnsi="Trebuchet MS"/>
        </w:rPr>
        <w:t xml:space="preserve">Furlong, Jane, Lorraine Knight, and Simon Slocombe, ‘“They Shall Grow Not Old”: An Analysis of Trends in Memorialisation Based on Information Held by the UK National Inventory of War Memorials’, </w:t>
      </w:r>
      <w:r w:rsidRPr="003D434B">
        <w:rPr>
          <w:rFonts w:ascii="Trebuchet MS" w:hAnsi="Trebuchet MS"/>
          <w:i/>
          <w:iCs/>
        </w:rPr>
        <w:t>Cultural Trends</w:t>
      </w:r>
      <w:r w:rsidRPr="003D434B">
        <w:rPr>
          <w:rFonts w:ascii="Trebuchet MS" w:hAnsi="Trebuchet MS"/>
        </w:rPr>
        <w:t>, 12.45 (2002), 1–42 &lt;https://doi.org/</w:t>
      </w:r>
      <w:hyperlink r:id="rId9" w:history="1">
        <w:r w:rsidRPr="003D434B">
          <w:rPr>
            <w:rStyle w:val="Hyperlink"/>
            <w:rFonts w:ascii="Trebuchet MS" w:hAnsi="Trebuchet MS"/>
          </w:rPr>
          <w:t>10.1080/09548960209390310</w:t>
        </w:r>
      </w:hyperlink>
      <w:r w:rsidRPr="003D434B">
        <w:rPr>
          <w:rFonts w:ascii="Trebuchet MS" w:hAnsi="Trebuchet MS"/>
        </w:rPr>
        <w:t>&gt;</w:t>
      </w:r>
    </w:p>
    <w:p w14:paraId="6C48DEA6" w14:textId="77777777" w:rsidR="003D434B" w:rsidRDefault="003D434B" w:rsidP="003D434B">
      <w:pPr>
        <w:rPr>
          <w:rFonts w:ascii="Trebuchet MS" w:hAnsi="Trebuchet MS"/>
        </w:rPr>
      </w:pPr>
    </w:p>
    <w:p w14:paraId="2F1ACCCB" w14:textId="48F4A41E" w:rsidR="003D434B" w:rsidRPr="003D434B" w:rsidRDefault="003D434B" w:rsidP="003D434B">
      <w:pPr>
        <w:rPr>
          <w:rFonts w:ascii="Trebuchet MS" w:hAnsi="Trebuchet MS"/>
        </w:rPr>
      </w:pPr>
      <w:r w:rsidRPr="003D434B">
        <w:rPr>
          <w:rFonts w:ascii="Trebuchet MS" w:hAnsi="Trebuchet MS"/>
        </w:rPr>
        <w:t xml:space="preserve">Giblin, John Daniel, ‘Post-Conflict Heritage: Symbolic Healing and Cultural Renewal’, </w:t>
      </w:r>
      <w:r w:rsidRPr="003D434B">
        <w:rPr>
          <w:rFonts w:ascii="Trebuchet MS" w:hAnsi="Trebuchet MS"/>
          <w:i/>
          <w:iCs/>
        </w:rPr>
        <w:t>International Journal of Heritage Studies</w:t>
      </w:r>
      <w:r w:rsidRPr="003D434B">
        <w:rPr>
          <w:rFonts w:ascii="Trebuchet MS" w:hAnsi="Trebuchet MS"/>
        </w:rPr>
        <w:t>, 20.5 (2014), 500–518 &lt;https://doi.org/</w:t>
      </w:r>
      <w:hyperlink r:id="rId10" w:history="1">
        <w:r w:rsidRPr="003D434B">
          <w:rPr>
            <w:rStyle w:val="Hyperlink"/>
            <w:rFonts w:ascii="Trebuchet MS" w:hAnsi="Trebuchet MS"/>
          </w:rPr>
          <w:t>10.1080/13527258.2013.772912</w:t>
        </w:r>
      </w:hyperlink>
      <w:r w:rsidRPr="003D434B">
        <w:rPr>
          <w:rFonts w:ascii="Trebuchet MS" w:hAnsi="Trebuchet MS"/>
        </w:rPr>
        <w:t>&gt;</w:t>
      </w:r>
    </w:p>
    <w:p w14:paraId="7BE98733" w14:textId="77777777" w:rsidR="003D434B" w:rsidRDefault="003D434B" w:rsidP="003D434B">
      <w:pPr>
        <w:rPr>
          <w:rFonts w:ascii="Trebuchet MS" w:hAnsi="Trebuchet MS"/>
        </w:rPr>
      </w:pPr>
    </w:p>
    <w:p w14:paraId="322F49C2" w14:textId="690EE80F" w:rsidR="003D434B" w:rsidRPr="003D434B" w:rsidRDefault="003D434B" w:rsidP="003D434B">
      <w:pPr>
        <w:rPr>
          <w:rFonts w:ascii="Trebuchet MS" w:hAnsi="Trebuchet MS"/>
        </w:rPr>
      </w:pPr>
      <w:r w:rsidRPr="003D434B">
        <w:rPr>
          <w:rFonts w:ascii="Trebuchet MS" w:hAnsi="Trebuchet MS"/>
        </w:rPr>
        <w:t xml:space="preserve">Graves, Matthew, and Elizabeth Rechniewski, ‘From Collective Memory to Transcultural Remembrance’, </w:t>
      </w:r>
      <w:r w:rsidRPr="003D434B">
        <w:rPr>
          <w:rFonts w:ascii="Trebuchet MS" w:hAnsi="Trebuchet MS"/>
          <w:i/>
          <w:iCs/>
        </w:rPr>
        <w:t>Portal</w:t>
      </w:r>
      <w:r w:rsidRPr="003D434B">
        <w:rPr>
          <w:rFonts w:ascii="Arial" w:hAnsi="Arial" w:cs="Arial"/>
          <w:i/>
          <w:iCs/>
        </w:rPr>
        <w:t> </w:t>
      </w:r>
      <w:r w:rsidRPr="003D434B">
        <w:rPr>
          <w:rFonts w:ascii="Trebuchet MS" w:hAnsi="Trebuchet MS"/>
          <w:i/>
          <w:iCs/>
        </w:rPr>
        <w:t>: Journal of Multidisciplinary International Studies</w:t>
      </w:r>
      <w:r w:rsidRPr="003D434B">
        <w:rPr>
          <w:rFonts w:ascii="Trebuchet MS" w:hAnsi="Trebuchet MS"/>
        </w:rPr>
        <w:t>, 7.1 (2010), 1</w:t>
      </w:r>
    </w:p>
    <w:p w14:paraId="6C0DD0C4" w14:textId="77777777" w:rsidR="003D434B" w:rsidRDefault="003D434B" w:rsidP="003D434B">
      <w:pPr>
        <w:rPr>
          <w:rFonts w:ascii="Trebuchet MS" w:hAnsi="Trebuchet MS"/>
        </w:rPr>
      </w:pPr>
    </w:p>
    <w:p w14:paraId="5B2D724A" w14:textId="0F13220C" w:rsidR="003D434B" w:rsidRPr="003D434B" w:rsidRDefault="003D434B" w:rsidP="003D434B">
      <w:pPr>
        <w:rPr>
          <w:rFonts w:ascii="Trebuchet MS" w:hAnsi="Trebuchet MS"/>
        </w:rPr>
      </w:pPr>
      <w:r w:rsidRPr="003D434B">
        <w:rPr>
          <w:rFonts w:ascii="Trebuchet MS" w:hAnsi="Trebuchet MS"/>
        </w:rPr>
        <w:t xml:space="preserve">Hutchinson, John, ‘Warfare and the Sacralisation of Nations: The Meanings, Rituals and Politics of National Remembrance’, </w:t>
      </w:r>
      <w:r w:rsidRPr="003D434B">
        <w:rPr>
          <w:rFonts w:ascii="Trebuchet MS" w:hAnsi="Trebuchet MS"/>
          <w:i/>
          <w:iCs/>
        </w:rPr>
        <w:t>Millennium</w:t>
      </w:r>
      <w:r w:rsidRPr="003D434B">
        <w:rPr>
          <w:rFonts w:ascii="Trebuchet MS" w:hAnsi="Trebuchet MS"/>
        </w:rPr>
        <w:t>, 38.2 (2009), 401–17 &lt;https://doi.org/</w:t>
      </w:r>
      <w:hyperlink r:id="rId11" w:history="1">
        <w:r w:rsidRPr="003D434B">
          <w:rPr>
            <w:rStyle w:val="Hyperlink"/>
            <w:rFonts w:ascii="Trebuchet MS" w:hAnsi="Trebuchet MS"/>
          </w:rPr>
          <w:t>10.1177/0305829809347538</w:t>
        </w:r>
      </w:hyperlink>
      <w:r w:rsidRPr="003D434B">
        <w:rPr>
          <w:rFonts w:ascii="Trebuchet MS" w:hAnsi="Trebuchet MS"/>
        </w:rPr>
        <w:t>&gt;</w:t>
      </w:r>
    </w:p>
    <w:p w14:paraId="2214B291" w14:textId="77777777" w:rsidR="003D434B" w:rsidRDefault="003D434B" w:rsidP="003D434B">
      <w:pPr>
        <w:rPr>
          <w:rFonts w:ascii="Trebuchet MS" w:hAnsi="Trebuchet MS"/>
        </w:rPr>
      </w:pPr>
    </w:p>
    <w:p w14:paraId="7986606A" w14:textId="6D84FE17" w:rsidR="003D434B" w:rsidRPr="003D434B" w:rsidRDefault="003D434B" w:rsidP="003D434B">
      <w:pPr>
        <w:rPr>
          <w:rFonts w:ascii="Trebuchet MS" w:hAnsi="Trebuchet MS"/>
        </w:rPr>
      </w:pPr>
      <w:r w:rsidRPr="003D434B">
        <w:rPr>
          <w:rFonts w:ascii="Trebuchet MS" w:hAnsi="Trebuchet MS"/>
        </w:rPr>
        <w:t xml:space="preserve">Iles, Jennifer, ‘In Remembrance: The Flanders Poppy’, </w:t>
      </w:r>
      <w:r w:rsidRPr="003D434B">
        <w:rPr>
          <w:rFonts w:ascii="Trebuchet MS" w:hAnsi="Trebuchet MS"/>
          <w:i/>
          <w:iCs/>
        </w:rPr>
        <w:t>Mortality</w:t>
      </w:r>
      <w:r w:rsidRPr="003D434B">
        <w:rPr>
          <w:rFonts w:ascii="Trebuchet MS" w:hAnsi="Trebuchet MS"/>
        </w:rPr>
        <w:t>, 13.3 (2008), 201–21 &lt;https://doi.org/</w:t>
      </w:r>
      <w:hyperlink r:id="rId12" w:history="1">
        <w:r w:rsidRPr="003D434B">
          <w:rPr>
            <w:rStyle w:val="Hyperlink"/>
            <w:rFonts w:ascii="Trebuchet MS" w:hAnsi="Trebuchet MS"/>
          </w:rPr>
          <w:t>10.1080/13576270802181640</w:t>
        </w:r>
      </w:hyperlink>
      <w:r w:rsidRPr="003D434B">
        <w:rPr>
          <w:rFonts w:ascii="Trebuchet MS" w:hAnsi="Trebuchet MS"/>
        </w:rPr>
        <w:t>&gt;</w:t>
      </w:r>
    </w:p>
    <w:p w14:paraId="10281A48" w14:textId="77777777" w:rsidR="003D434B" w:rsidRDefault="003D434B" w:rsidP="003D434B">
      <w:pPr>
        <w:rPr>
          <w:rFonts w:ascii="Trebuchet MS" w:hAnsi="Trebuchet MS"/>
        </w:rPr>
      </w:pPr>
    </w:p>
    <w:p w14:paraId="332DB30D" w14:textId="079F951C" w:rsidR="003D434B" w:rsidRPr="003D434B" w:rsidRDefault="003D434B" w:rsidP="003D434B">
      <w:pPr>
        <w:rPr>
          <w:rFonts w:ascii="Trebuchet MS" w:hAnsi="Trebuchet MS"/>
        </w:rPr>
      </w:pPr>
      <w:r w:rsidRPr="003D434B">
        <w:rPr>
          <w:rFonts w:ascii="Trebuchet MS" w:hAnsi="Trebuchet MS"/>
        </w:rPr>
        <w:t xml:space="preserve">Johnson, Nuala C., ‘Locating Memory: Tracing the Trajectories of Rememberance’, </w:t>
      </w:r>
      <w:r w:rsidRPr="003D434B">
        <w:rPr>
          <w:rFonts w:ascii="Trebuchet MS" w:hAnsi="Trebuchet MS"/>
          <w:i/>
          <w:iCs/>
        </w:rPr>
        <w:t>Historical Geography</w:t>
      </w:r>
      <w:r w:rsidRPr="003D434B">
        <w:rPr>
          <w:rFonts w:ascii="Trebuchet MS" w:hAnsi="Trebuchet MS"/>
        </w:rPr>
        <w:t>, 33.0 (2005), 165–79</w:t>
      </w:r>
    </w:p>
    <w:p w14:paraId="2CA31669" w14:textId="77777777" w:rsidR="003D434B" w:rsidRDefault="003D434B" w:rsidP="003D434B">
      <w:pPr>
        <w:rPr>
          <w:rFonts w:ascii="Trebuchet MS" w:hAnsi="Trebuchet MS"/>
        </w:rPr>
      </w:pPr>
    </w:p>
    <w:p w14:paraId="31160B50" w14:textId="21B4B57C" w:rsidR="003D434B" w:rsidRPr="003D434B" w:rsidRDefault="003D434B" w:rsidP="003D434B">
      <w:pPr>
        <w:rPr>
          <w:rFonts w:ascii="Trebuchet MS" w:hAnsi="Trebuchet MS"/>
        </w:rPr>
      </w:pPr>
      <w:r w:rsidRPr="003D434B">
        <w:rPr>
          <w:rFonts w:ascii="Trebuchet MS" w:hAnsi="Trebuchet MS"/>
        </w:rPr>
        <w:lastRenderedPageBreak/>
        <w:t>Naidu, Ereshnee, ‘Empowerment through Living Memory: A Community-Centred Model for Memorialisation’, 2004, 17</w:t>
      </w:r>
    </w:p>
    <w:p w14:paraId="1BDDFAAB" w14:textId="77777777" w:rsidR="003D434B" w:rsidRDefault="003D434B" w:rsidP="003D434B">
      <w:pPr>
        <w:rPr>
          <w:rFonts w:ascii="Trebuchet MS" w:hAnsi="Trebuchet MS"/>
        </w:rPr>
      </w:pPr>
    </w:p>
    <w:p w14:paraId="35BCC292" w14:textId="7FDB51CC" w:rsidR="003D434B" w:rsidRPr="003D434B" w:rsidRDefault="003D434B" w:rsidP="003D434B">
      <w:pPr>
        <w:rPr>
          <w:rFonts w:ascii="Trebuchet MS" w:hAnsi="Trebuchet MS"/>
        </w:rPr>
      </w:pPr>
      <w:r w:rsidRPr="003D434B">
        <w:rPr>
          <w:rFonts w:ascii="Trebuchet MS" w:hAnsi="Trebuchet MS"/>
        </w:rPr>
        <w:t xml:space="preserve">Niven, Bill, ‘War Memorials at the Intersection of Politics, Culture and Memory’, </w:t>
      </w:r>
      <w:r w:rsidRPr="003D434B">
        <w:rPr>
          <w:rFonts w:ascii="Trebuchet MS" w:hAnsi="Trebuchet MS"/>
          <w:i/>
          <w:iCs/>
        </w:rPr>
        <w:t>Journal of War &amp; Culture Studies</w:t>
      </w:r>
      <w:r w:rsidRPr="003D434B">
        <w:rPr>
          <w:rFonts w:ascii="Trebuchet MS" w:hAnsi="Trebuchet MS"/>
        </w:rPr>
        <w:t>, 1.1 (2008), 39–45 &lt;https://doi.org/</w:t>
      </w:r>
      <w:hyperlink r:id="rId13" w:history="1">
        <w:r w:rsidRPr="003D434B">
          <w:rPr>
            <w:rStyle w:val="Hyperlink"/>
            <w:rFonts w:ascii="Trebuchet MS" w:hAnsi="Trebuchet MS"/>
          </w:rPr>
          <w:t>10.1386/jwcs.1.1.39/0</w:t>
        </w:r>
      </w:hyperlink>
      <w:r w:rsidRPr="003D434B">
        <w:rPr>
          <w:rFonts w:ascii="Trebuchet MS" w:hAnsi="Trebuchet MS"/>
        </w:rPr>
        <w:t>&gt;</w:t>
      </w:r>
    </w:p>
    <w:p w14:paraId="74454D55" w14:textId="77777777" w:rsidR="003D434B" w:rsidRDefault="003D434B" w:rsidP="003D434B">
      <w:pPr>
        <w:rPr>
          <w:rFonts w:ascii="Trebuchet MS" w:hAnsi="Trebuchet MS"/>
        </w:rPr>
      </w:pPr>
    </w:p>
    <w:p w14:paraId="258131F5" w14:textId="2DE639D4" w:rsidR="003D434B" w:rsidRPr="003D434B" w:rsidRDefault="003D434B" w:rsidP="003D434B">
      <w:pPr>
        <w:rPr>
          <w:rFonts w:ascii="Trebuchet MS" w:hAnsi="Trebuchet MS"/>
        </w:rPr>
      </w:pPr>
      <w:r w:rsidRPr="003D434B">
        <w:rPr>
          <w:rFonts w:ascii="Trebuchet MS" w:hAnsi="Trebuchet MS"/>
        </w:rPr>
        <w:t xml:space="preserve">Rothberg, Michael, </w:t>
      </w:r>
      <w:r w:rsidRPr="003D434B">
        <w:rPr>
          <w:rFonts w:ascii="Trebuchet MS" w:hAnsi="Trebuchet MS"/>
          <w:i/>
          <w:iCs/>
        </w:rPr>
        <w:t>Multidirectional Memory: Remembering the Holocaust in the Age of Decolonization</w:t>
      </w:r>
      <w:r w:rsidRPr="003D434B">
        <w:rPr>
          <w:rFonts w:ascii="Trebuchet MS" w:hAnsi="Trebuchet MS"/>
        </w:rPr>
        <w:t xml:space="preserve"> (Stanford University Press, 2009)</w:t>
      </w:r>
    </w:p>
    <w:p w14:paraId="5491D52C" w14:textId="77777777" w:rsidR="003D434B" w:rsidRDefault="003D434B" w:rsidP="003D434B">
      <w:pPr>
        <w:rPr>
          <w:rFonts w:ascii="Trebuchet MS" w:hAnsi="Trebuchet MS"/>
        </w:rPr>
      </w:pPr>
    </w:p>
    <w:p w14:paraId="56F79ADD" w14:textId="604BBCAB" w:rsidR="003D434B" w:rsidRPr="003D434B" w:rsidRDefault="003D434B" w:rsidP="003D434B">
      <w:pPr>
        <w:rPr>
          <w:rFonts w:ascii="Trebuchet MS" w:hAnsi="Trebuchet MS"/>
        </w:rPr>
      </w:pPr>
      <w:r w:rsidRPr="003D434B">
        <w:rPr>
          <w:rFonts w:ascii="Trebuchet MS" w:hAnsi="Trebuchet MS"/>
        </w:rPr>
        <w:t xml:space="preserve">Turner, Victor, </w:t>
      </w:r>
      <w:r w:rsidRPr="003D434B">
        <w:rPr>
          <w:rFonts w:ascii="Trebuchet MS" w:hAnsi="Trebuchet MS"/>
          <w:i/>
          <w:iCs/>
        </w:rPr>
        <w:t>The Ritual Process: Structure and Anti-Structure</w:t>
      </w:r>
      <w:r w:rsidRPr="003D434B">
        <w:rPr>
          <w:rFonts w:ascii="Trebuchet MS" w:hAnsi="Trebuchet MS"/>
        </w:rPr>
        <w:t xml:space="preserve"> (Routledge, 2017)</w:t>
      </w:r>
    </w:p>
    <w:p w14:paraId="73FCF2D0" w14:textId="0271BC26" w:rsidR="003D434B" w:rsidRPr="003D434B" w:rsidRDefault="003D434B" w:rsidP="003D434B">
      <w:pPr>
        <w:rPr>
          <w:rFonts w:ascii="Trebuchet MS" w:hAnsi="Trebuchet MS"/>
        </w:rPr>
      </w:pPr>
      <w:r w:rsidRPr="003D434B">
        <w:rPr>
          <w:rFonts w:ascii="Trebuchet MS" w:hAnsi="Trebuchet MS"/>
        </w:rPr>
        <w:t>‘War Losses | International Encyclopedia of the First World War (WW1)’ &lt;</w:t>
      </w:r>
      <w:hyperlink r:id="rId14" w:history="1">
        <w:r w:rsidRPr="003D434B">
          <w:rPr>
            <w:rStyle w:val="Hyperlink"/>
            <w:rFonts w:ascii="Trebuchet MS" w:hAnsi="Trebuchet MS"/>
          </w:rPr>
          <w:t>https://encyclopedia.1914-1918-online.net/article/war_losses</w:t>
        </w:r>
      </w:hyperlink>
      <w:r w:rsidRPr="003D434B">
        <w:rPr>
          <w:rFonts w:ascii="Trebuchet MS" w:hAnsi="Trebuchet MS"/>
        </w:rPr>
        <w:t xml:space="preserve">&gt; </w:t>
      </w:r>
    </w:p>
    <w:p w14:paraId="72109D5C" w14:textId="77777777" w:rsidR="003D434B" w:rsidRDefault="003D434B" w:rsidP="003D434B">
      <w:pPr>
        <w:rPr>
          <w:rFonts w:ascii="Trebuchet MS" w:hAnsi="Trebuchet MS"/>
        </w:rPr>
      </w:pPr>
    </w:p>
    <w:p w14:paraId="49FC104B" w14:textId="14E00AF2" w:rsidR="003D434B" w:rsidRPr="003D434B" w:rsidRDefault="003D434B" w:rsidP="003D434B">
      <w:pPr>
        <w:rPr>
          <w:rFonts w:ascii="Trebuchet MS" w:hAnsi="Trebuchet MS"/>
        </w:rPr>
      </w:pPr>
      <w:r w:rsidRPr="003D434B">
        <w:rPr>
          <w:rFonts w:ascii="Trebuchet MS" w:hAnsi="Trebuchet MS"/>
        </w:rPr>
        <w:t xml:space="preserve">Winter, Jay, ‘Sites of Memory, Sites of Mourning: The Great War in European Cultural History’, </w:t>
      </w:r>
      <w:r w:rsidRPr="003D434B">
        <w:rPr>
          <w:rFonts w:ascii="Trebuchet MS" w:hAnsi="Trebuchet MS"/>
          <w:i/>
          <w:iCs/>
        </w:rPr>
        <w:t>Cambridge Core</w:t>
      </w:r>
      <w:r w:rsidRPr="003D434B">
        <w:rPr>
          <w:rFonts w:ascii="Trebuchet MS" w:hAnsi="Trebuchet MS"/>
        </w:rPr>
        <w:t>, 2014 &lt;https://doi.org/</w:t>
      </w:r>
      <w:hyperlink r:id="rId15" w:history="1">
        <w:r w:rsidRPr="003D434B">
          <w:rPr>
            <w:rStyle w:val="Hyperlink"/>
            <w:rFonts w:ascii="Trebuchet MS" w:hAnsi="Trebuchet MS"/>
          </w:rPr>
          <w:t>10.1017/CBO9781107589087</w:t>
        </w:r>
      </w:hyperlink>
      <w:r w:rsidRPr="003D434B">
        <w:rPr>
          <w:rFonts w:ascii="Trebuchet MS" w:hAnsi="Trebuchet MS"/>
        </w:rPr>
        <w:t>&gt;</w:t>
      </w:r>
    </w:p>
    <w:p w14:paraId="18360BC5" w14:textId="77777777" w:rsidR="00CB1B29" w:rsidRPr="002375DD" w:rsidRDefault="00CB1B29">
      <w:pPr>
        <w:rPr>
          <w:rFonts w:ascii="Trebuchet MS" w:hAnsi="Trebuchet MS"/>
        </w:rPr>
      </w:pPr>
    </w:p>
    <w:sectPr w:rsidR="00CB1B29" w:rsidRPr="002375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26DB8" w14:textId="77777777" w:rsidR="00807702" w:rsidRDefault="00807702" w:rsidP="00B051DF">
      <w:r>
        <w:separator/>
      </w:r>
    </w:p>
  </w:endnote>
  <w:endnote w:type="continuationSeparator" w:id="0">
    <w:p w14:paraId="380E95C8" w14:textId="77777777" w:rsidR="00807702" w:rsidRDefault="00807702" w:rsidP="00B05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Photina-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A8AB8" w14:textId="77777777" w:rsidR="00807702" w:rsidRDefault="00807702" w:rsidP="00B051DF">
      <w:r>
        <w:separator/>
      </w:r>
    </w:p>
  </w:footnote>
  <w:footnote w:type="continuationSeparator" w:id="0">
    <w:p w14:paraId="3BDEADC6" w14:textId="77777777" w:rsidR="00807702" w:rsidRDefault="00807702" w:rsidP="00B051DF">
      <w:r>
        <w:continuationSeparator/>
      </w:r>
    </w:p>
  </w:footnote>
  <w:footnote w:id="1">
    <w:p w14:paraId="11A1F5E1" w14:textId="12DB57A3" w:rsidR="0045438D" w:rsidRDefault="0045438D">
      <w:pPr>
        <w:pStyle w:val="FootnoteText"/>
      </w:pPr>
      <w:r>
        <w:rPr>
          <w:rStyle w:val="FootnoteReference"/>
        </w:rPr>
        <w:footnoteRef/>
      </w:r>
      <w:r>
        <w:t xml:space="preserve"> </w:t>
      </w:r>
      <w:r>
        <w:fldChar w:fldCharType="begin"/>
      </w:r>
      <w:r>
        <w:instrText xml:space="preserve"> ADDIN ZOTERO_ITEM CSL_CITATION {"citationID":"GlNKGgfO","properties":{"formattedCitation":"\\uc0\\u8216{}War Losses | International Encyclopedia of the First World War (WW1)\\uc0\\u8217{} &lt;https://encyclopedia.1914-1918-online.net/article/war_losses&gt; [accessed 22 November 2019].","plainCitation":"‘War Losses | International Encyclopedia of the First World War (WW1)’ &lt;https://encyclopedia.1914-1918-online.net/article/war_losses&gt; [accessed 22 November 2019].","noteIndex":1},"citationItems":[{"id":619,"uris":["http://zotero.org/users/local/Cjm78u2t/items/IPI2ALN8"],"uri":["http://zotero.org/users/local/Cjm78u2t/items/IPI2ALN8"],"itemData":{"id":619,"type":"webpage","title":"War Losses | International Encyclopedia of the First World War (WW1)","abstract":"Military sources provide the primary statistics of war losses and casualties during World War I. In order to review and eventually revise their figures, one must understand how military statistics were produced. This enquiry reveals the limits of generally accepted estimates and leads to a higher estimate of military deaths and a lower estimate of the wounded. The number of civilian dead and wounded is much more conjectural and depends on how the terms are defined. Estimates of military war losses are also a question of linguistics.","URL":"https://encyclopedia.1914-1918-online.net/article/war_losses","accessed":{"date-parts":[["2019",11,22]]}}}],"schema":"https://github.com/citation-style-language/schema/raw/master/csl-citation.json"} </w:instrText>
      </w:r>
      <w:r>
        <w:fldChar w:fldCharType="separate"/>
      </w:r>
      <w:r w:rsidRPr="00CC196E">
        <w:rPr>
          <w:szCs w:val="24"/>
        </w:rPr>
        <w:t xml:space="preserve">‘War Losses | International Encyclopedia of the First World War (WW1)’ &lt;https://encyclopedia.1914-1918-online.net/article/war_losses&gt; [accessed </w:t>
      </w:r>
      <w:r>
        <w:rPr>
          <w:szCs w:val="24"/>
        </w:rPr>
        <w:t>18</w:t>
      </w:r>
      <w:r w:rsidRPr="00CC196E">
        <w:rPr>
          <w:szCs w:val="24"/>
        </w:rPr>
        <w:t xml:space="preserve"> November 2019].</w:t>
      </w:r>
      <w:r>
        <w:fldChar w:fldCharType="end"/>
      </w:r>
    </w:p>
  </w:footnote>
  <w:footnote w:id="2">
    <w:p w14:paraId="1FC7562A" w14:textId="60DC00B1" w:rsidR="0045438D" w:rsidRDefault="0045438D" w:rsidP="00206F25">
      <w:pPr>
        <w:pStyle w:val="FootnoteText"/>
      </w:pPr>
      <w:r>
        <w:rPr>
          <w:rStyle w:val="FootnoteReference"/>
        </w:rPr>
        <w:footnoteRef/>
      </w:r>
      <w:r>
        <w:t xml:space="preserve"> </w:t>
      </w:r>
      <w:r>
        <w:fldChar w:fldCharType="begin"/>
      </w:r>
      <w:r>
        <w:instrText xml:space="preserve"> ADDIN ZOTERO_ITEM CSL_CITATION {"citationID":"dvo5iwBz","properties":{"formattedCitation":"Ereshnee Naidu, \\uc0\\u8216{}Empowerment through Living Memory: A Community-Centred Model for Memorialisation\\uc0\\u8217{}, 2004, 17.","plainCitation":"Ereshnee Naidu, ‘Empowerment through Living Memory: A Community-Centred Model for Memorialisation’, 2004, 17.","noteIndex":2},"citationItems":[{"id":602,"uris":["http://zotero.org/users/local/Cjm78u2t/items/VSFJPNC3"],"uri":["http://zotero.org/users/local/Cjm78u2t/items/VSFJPNC3"],"itemData":{"id":602,"type":"article-journal","title":"Empowerment through Living Memory: A community-centred model for memorialisation","page":"17","source":"Zotero","language":"en","author":[{"family":"Naidu","given":"Ereshnee"}],"issued":{"date-parts":[["2004"]]}}}],"schema":"https://github.com/citation-style-language/schema/raw/master/csl-citation.json"} </w:instrText>
      </w:r>
      <w:r>
        <w:fldChar w:fldCharType="separate"/>
      </w:r>
      <w:r w:rsidRPr="002208CB">
        <w:rPr>
          <w:szCs w:val="24"/>
        </w:rPr>
        <w:t>Ereshnee Naidu, ‘Empowerment through Living Memory: A Community-Centred Model for Memorialisation’, 2004, 17.</w:t>
      </w:r>
      <w:r>
        <w:fldChar w:fldCharType="end"/>
      </w:r>
      <w:r>
        <w:t xml:space="preserve"> P.1</w:t>
      </w:r>
    </w:p>
  </w:footnote>
  <w:footnote w:id="3">
    <w:p w14:paraId="56D50EDE" w14:textId="17C48BA6" w:rsidR="0045438D" w:rsidRDefault="0045438D">
      <w:pPr>
        <w:pStyle w:val="FootnoteText"/>
      </w:pPr>
      <w:r>
        <w:rPr>
          <w:rStyle w:val="FootnoteReference"/>
        </w:rPr>
        <w:footnoteRef/>
      </w:r>
      <w:r>
        <w:t xml:space="preserve"> </w:t>
      </w:r>
      <w:r>
        <w:fldChar w:fldCharType="begin"/>
      </w:r>
      <w:r>
        <w:instrText xml:space="preserve"> ADDIN ZOTERO_ITEM CSL_CITATION {"citationID":"JtmS6QZY","properties":{"formattedCitation":"John Daniel Giblin, \\uc0\\u8216{}Post-Conflict Heritage: Symbolic Healing and Cultural Renewal\\uc0\\u8217{}, {\\i{}International Journal of Heritage Studies}, 20.5 (2014), 500\\uc0\\u8211{}518 &lt;https://doi.org/10.1080/13527258.2013.772912&gt;.","plainCitation":"John Daniel Giblin, ‘Post-Conflict Heritage: Symbolic Healing and Cultural Renewal’, International Journal of Heritage Studies, 20.5 (2014), 500–518 &lt;https://doi.org/10.1080/13527258.2013.772912&gt;.","noteIndex":3},"citationItems":[{"id":598,"uris":["http://zotero.org/users/local/Cjm78u2t/items/M77D2WUE"],"uri":["http://zotero.org/users/local/Cjm78u2t/items/M77D2WUE"],"itemData":{"id":598,"type":"article-journal","title":"Post-conflict heritage: symbolic healing and cultural renewal","container-title":"International Journal of Heritage Studies","page":"500-518","volume":"20","issue":"5","source":"Taylor and Francis+NEJM","abstract":"Heritage is invoked for post-conflict development by international organisations, governments, and sub-national groups to provide emotional and cultural, including economic, healing for individuals and societies. However, academic critiques of healing-heritage typically cite the failure of heritage to heal, either because it cannot, or because it is managed incorrectly. Thus, an anomalous situation exists between expectations and critiques, which this study describes and explores through international policies and national and sub-national post-conflict healing-heritage initiatives from Rwanda and Uganda. Drawing on concepts of heritage as a cultural process, cultural trauma, and symbolic healing, this study proposes that heritage is neither an essentially positive nor negative post-conflict development strategy to select or avoid respectively. Instead, heritage is better understood as a common element of post-conflict renewal, which becomes intensified as the past is aggressively negotiated to provide healing related to conflict traumas. By moving beyond the ‘does heritage heal or hurt?’ distraction the meaning and function of heritage in post-conflict contexts as a common element of post-conflict healing complexes is elucidated. The implication for those who wish to manage post-conflict development through heritage is that they are just the latest in a long history of symbolic healers, from whom they have a lot to learn.","DOI":"10.1080/13527258.2013.772912","ISSN":"1352-7258","shortTitle":"Post-conflict heritage","author":[{"family":"Giblin","given":"John Daniel"}],"issued":{"date-parts":[["2014",7,4]]}}}],"schema":"https://github.com/citation-style-language/schema/raw/master/csl-citation.json"} </w:instrText>
      </w:r>
      <w:r>
        <w:fldChar w:fldCharType="separate"/>
      </w:r>
      <w:r w:rsidRPr="00CB1B29">
        <w:rPr>
          <w:szCs w:val="24"/>
        </w:rPr>
        <w:t xml:space="preserve">John Daniel Giblin, ‘Post-Conflict Heritage: Symbolic Healing and Cultural Renewal’, </w:t>
      </w:r>
      <w:r w:rsidRPr="00CB1B29">
        <w:rPr>
          <w:i/>
          <w:iCs/>
          <w:szCs w:val="24"/>
        </w:rPr>
        <w:t>International Journal of Heritage Studies</w:t>
      </w:r>
      <w:r w:rsidRPr="00CB1B29">
        <w:rPr>
          <w:szCs w:val="24"/>
        </w:rPr>
        <w:t xml:space="preserve">, 20.5 (2014), </w:t>
      </w:r>
      <w:r>
        <w:rPr>
          <w:szCs w:val="24"/>
        </w:rPr>
        <w:t>p.500</w:t>
      </w:r>
      <w:r w:rsidRPr="00CB1B29">
        <w:rPr>
          <w:szCs w:val="24"/>
        </w:rPr>
        <w:t xml:space="preserve"> &lt;https://doi.org/10.1080/13527258.2013.772912&gt;.</w:t>
      </w:r>
      <w:r>
        <w:fldChar w:fldCharType="end"/>
      </w:r>
    </w:p>
  </w:footnote>
  <w:footnote w:id="4">
    <w:p w14:paraId="5D28BD72" w14:textId="1BC1114E" w:rsidR="0045438D" w:rsidRDefault="0045438D">
      <w:pPr>
        <w:pStyle w:val="FootnoteText"/>
      </w:pPr>
      <w:r>
        <w:rPr>
          <w:rStyle w:val="FootnoteReference"/>
        </w:rPr>
        <w:footnoteRef/>
      </w:r>
      <w:r>
        <w:t xml:space="preserve"> </w:t>
      </w:r>
      <w:r>
        <w:fldChar w:fldCharType="begin"/>
      </w:r>
      <w:r>
        <w:instrText xml:space="preserve"> ADDIN ZOTERO_ITEM CSL_CITATION {"citationID":"gbAS4Lrs","properties":{"formattedCitation":"George W Egerton, \\uc0\\u8216{}The Lloyd George Government and the Creation of the League of Nations\\uc0\\u8217{}, 27.","plainCitation":"George W Egerton, ‘The Lloyd George Government and the Creation of the League of Nations’, 27.","noteIndex":4},"citationItems":[{"id":624,"uris":["http://zotero.org/users/local/Cjm78u2t/items/IP36HK35"],"uri":["http://zotero.org/users/local/Cjm78u2t/items/IP36HK35"],"itemData":{"id":624,"type":"article-journal","title":"The Lloyd George Government and the Creation of the League of Nations","page":"27","source":"Zotero","language":"en","author":[{"family":"Egerton","given":"George W"}]}}],"schema":"https://github.com/citation-style-language/schema/raw/master/csl-citation.json"} </w:instrText>
      </w:r>
      <w:r>
        <w:fldChar w:fldCharType="separate"/>
      </w:r>
      <w:r w:rsidRPr="00F046AA">
        <w:rPr>
          <w:szCs w:val="24"/>
        </w:rPr>
        <w:t>George W Egerton, ‘The Lloyd George Government and the Creation of the League of Nations’, 27.</w:t>
      </w:r>
      <w:r>
        <w:fldChar w:fldCharType="end"/>
      </w:r>
    </w:p>
  </w:footnote>
  <w:footnote w:id="5">
    <w:p w14:paraId="36B92413" w14:textId="4BE2C0AA" w:rsidR="0045438D" w:rsidRDefault="0045438D">
      <w:pPr>
        <w:pStyle w:val="FootnoteText"/>
      </w:pPr>
      <w:r>
        <w:rPr>
          <w:rStyle w:val="FootnoteReference"/>
        </w:rPr>
        <w:footnoteRef/>
      </w:r>
      <w:r>
        <w:t xml:space="preserve"> </w:t>
      </w:r>
      <w:r>
        <w:fldChar w:fldCharType="begin"/>
      </w:r>
      <w:r>
        <w:instrText xml:space="preserve"> ADDIN ZOTERO_ITEM CSL_CITATION {"citationID":"kqjBXPZl","properties":{"formattedCitation":"Nuala C. Johnson, \\uc0\\u8216{}Locating Memory: Tracing the Trajectories of Rememberance\\uc0\\u8217{}, {\\i{}Historical Geography}, 33.0 (2005), 165\\uc0\\u8211{}79.","plainCitation":"Nuala C. Johnson, ‘Locating Memory: Tracing the Trajectories of Rememberance’, Historical Geography, 33.0 (2005), 165–79.","noteIndex":5},"citationItems":[{"id":607,"uris":["http://zotero.org/users/local/Cjm78u2t/items/7FK92R5A"],"uri":["http://zotero.org/users/local/Cjm78u2t/items/7FK92R5A"],"itemData":{"id":607,"type":"article-journal","title":"Locating Memory: Tracing the Trajectories of Rememberance","container-title":"Historical Geography","page":"165-179","volume":"33","issue":"0","source":"ejournals.unm.edu","ISSN":"2331-7523","shortTitle":"Locating Memory","language":"en_US","author":[{"family":"Johnson","given":"Nuala C."}],"issued":{"date-parts":[["2005"]]}}}],"schema":"https://github.com/citation-style-language/schema/raw/master/csl-citation.json"} </w:instrText>
      </w:r>
      <w:r>
        <w:fldChar w:fldCharType="separate"/>
      </w:r>
      <w:r w:rsidRPr="0022427F">
        <w:rPr>
          <w:szCs w:val="24"/>
        </w:rPr>
        <w:t xml:space="preserve">Nuala C. Johnson, ‘Locating Memory: Tracing the Trajectories of Rememberance’, </w:t>
      </w:r>
      <w:r w:rsidRPr="0022427F">
        <w:rPr>
          <w:i/>
          <w:iCs/>
          <w:szCs w:val="24"/>
        </w:rPr>
        <w:t>Historical Geography</w:t>
      </w:r>
      <w:r w:rsidRPr="0022427F">
        <w:rPr>
          <w:szCs w:val="24"/>
        </w:rPr>
        <w:t xml:space="preserve">, 33.0 (2005), </w:t>
      </w:r>
      <w:r w:rsidR="00106C4F">
        <w:rPr>
          <w:szCs w:val="24"/>
        </w:rPr>
        <w:t>p.175</w:t>
      </w:r>
      <w:r>
        <w:fldChar w:fldCharType="end"/>
      </w:r>
    </w:p>
  </w:footnote>
  <w:footnote w:id="6">
    <w:p w14:paraId="254C3CC3" w14:textId="7F6ED26A" w:rsidR="0045438D" w:rsidRDefault="0045438D">
      <w:pPr>
        <w:pStyle w:val="FootnoteText"/>
      </w:pPr>
      <w:r>
        <w:rPr>
          <w:rStyle w:val="FootnoteReference"/>
        </w:rPr>
        <w:footnoteRef/>
      </w:r>
      <w:r>
        <w:t xml:space="preserve"> </w:t>
      </w:r>
      <w:r>
        <w:fldChar w:fldCharType="begin"/>
      </w:r>
      <w:r>
        <w:instrText xml:space="preserve"> ADDIN ZOTERO_ITEM CSL_CITATION {"citationID":"H8hKgGSk","properties":{"formattedCitation":"Johnson.","plainCitation":"Johnson.","noteIndex":6},"citationItems":[{"id":607,"uris":["http://zotero.org/users/local/Cjm78u2t/items/7FK92R5A"],"uri":["http://zotero.org/users/local/Cjm78u2t/items/7FK92R5A"],"itemData":{"id":607,"type":"article-journal","title":"Locating Memory: Tracing the Trajectories of Rememberance","container-title":"Historical Geography","page":"165-179","volume":"33","issue":"0","source":"ejournals.unm.edu","ISSN":"2331-7523","shortTitle":"Locating Memory","language":"en_US","author":[{"family":"Johnson","given":"Nuala C."}],"issued":{"date-parts":[["2005"]]}}}],"schema":"https://github.com/citation-style-language/schema/raw/master/csl-citation.json"} </w:instrText>
      </w:r>
      <w:r>
        <w:fldChar w:fldCharType="separate"/>
      </w:r>
      <w:r w:rsidRPr="0022427F">
        <w:t>Johnson.</w:t>
      </w:r>
      <w:r>
        <w:fldChar w:fldCharType="end"/>
      </w:r>
      <w:r w:rsidR="00106C4F">
        <w:t xml:space="preserve"> P.175</w:t>
      </w:r>
    </w:p>
  </w:footnote>
  <w:footnote w:id="7">
    <w:p w14:paraId="3CFFF1EA" w14:textId="7055862D" w:rsidR="0045438D" w:rsidRDefault="0045438D" w:rsidP="0022427F">
      <w:pPr>
        <w:pStyle w:val="FootnoteText"/>
      </w:pPr>
      <w:r>
        <w:rPr>
          <w:rStyle w:val="FootnoteReference"/>
        </w:rPr>
        <w:footnoteRef/>
      </w:r>
      <w:r>
        <w:t xml:space="preserve"> </w:t>
      </w:r>
      <w:r>
        <w:fldChar w:fldCharType="begin"/>
      </w:r>
      <w:r>
        <w:instrText xml:space="preserve"> ADDIN ZOTERO_ITEM CSL_CITATION {"citationID":"aOHjbYew","properties":{"formattedCitation":"Johnson.","plainCitation":"Johnson.","noteIndex":6},"citationItems":[{"id":607,"uris":["http://zotero.org/users/local/Cjm78u2t/items/7FK92R5A"],"uri":["http://zotero.org/users/local/Cjm78u2t/items/7FK92R5A"],"itemData":{"id":607,"type":"article-journal","title":"Locating Memory: Tracing the Trajectories of Rememberance","container-title":"Historical Geography","page":"165-179","volume":"33","issue":"0","source":"ejournals.unm.edu","ISSN":"2331-7523","shortTitle":"Locating Memory","language":"en_US","author":[{"family":"Johnson","given":"Nuala C."}],"issued":{"date-parts":[["2005"]]}}}],"schema":"https://github.com/citation-style-language/schema/raw/master/csl-citation.json"} </w:instrText>
      </w:r>
      <w:r>
        <w:fldChar w:fldCharType="separate"/>
      </w:r>
      <w:r w:rsidRPr="00AD5DF6">
        <w:t>Johnson.</w:t>
      </w:r>
      <w:r>
        <w:fldChar w:fldCharType="end"/>
      </w:r>
      <w:r w:rsidR="00106C4F">
        <w:t xml:space="preserve"> P.176</w:t>
      </w:r>
    </w:p>
  </w:footnote>
  <w:footnote w:id="8">
    <w:p w14:paraId="2D7CD2AA" w14:textId="342C88C1" w:rsidR="00106C4F" w:rsidRDefault="00106C4F">
      <w:pPr>
        <w:pStyle w:val="FootnoteText"/>
      </w:pPr>
      <w:r>
        <w:rPr>
          <w:rStyle w:val="FootnoteReference"/>
        </w:rPr>
        <w:footnoteRef/>
      </w:r>
      <w:r>
        <w:t xml:space="preserve"> </w:t>
      </w:r>
      <w:r>
        <w:fldChar w:fldCharType="begin"/>
      </w:r>
      <w:r>
        <w:instrText xml:space="preserve"> ADDIN ZOTERO_ITEM CSL_CITATION {"citationID":"hqHNOgyR","properties":{"formattedCitation":"Johnson.","plainCitation":"Johnson.","noteIndex":8},"citationItems":[{"id":607,"uris":["http://zotero.org/users/local/Cjm78u2t/items/7FK92R5A"],"uri":["http://zotero.org/users/local/Cjm78u2t/items/7FK92R5A"],"itemData":{"id":607,"type":"article-journal","title":"Locating Memory: Tracing the Trajectories of Rememberance","container-title":"Historical Geography","page":"165-179","volume":"33","issue":"0","source":"ejournals.unm.edu","ISSN":"2331-7523","shortTitle":"Locating Memory","language":"en_US","author":[{"family":"Johnson","given":"Nuala C."}],"issued":{"date-parts":[["2005"]]}}}],"schema":"https://github.com/citation-style-language/schema/raw/master/csl-citation.json"} </w:instrText>
      </w:r>
      <w:r>
        <w:fldChar w:fldCharType="separate"/>
      </w:r>
      <w:r w:rsidRPr="00106C4F">
        <w:t>Johnson.</w:t>
      </w:r>
      <w:r>
        <w:fldChar w:fldCharType="end"/>
      </w:r>
    </w:p>
  </w:footnote>
  <w:footnote w:id="9">
    <w:p w14:paraId="598A7A1A" w14:textId="7612E46F" w:rsidR="00106C4F" w:rsidRDefault="00106C4F">
      <w:pPr>
        <w:pStyle w:val="FootnoteText"/>
      </w:pPr>
      <w:r>
        <w:rPr>
          <w:rStyle w:val="FootnoteReference"/>
        </w:rPr>
        <w:footnoteRef/>
      </w:r>
      <w:r>
        <w:t xml:space="preserve"> </w:t>
      </w:r>
      <w:r>
        <w:fldChar w:fldCharType="begin"/>
      </w:r>
      <w:r>
        <w:instrText xml:space="preserve"> ADDIN ZOTERO_ITEM CSL_CITATION {"citationID":"jByVuxcO","properties":{"formattedCitation":"Jay Winter, \\uc0\\u8216{}Sites of Memory, Sites of Mourning: The Great War in European Cultural History\\uc0\\u8217{}, {\\i{}Cambridge Core}, 2014 &lt;https://doi.org/10.1017/CBO9781107589087&gt;.","plainCitation":"Jay Winter, ‘Sites of Memory, Sites of Mourning: The Great War in European Cultural History’, Cambridge Core, 2014 &lt;https://doi.org/10.1017/CBO9781107589087&gt;.","noteIndex":9},"citationItems":[{"id":613,"uris":["http://zotero.org/users/local/Cjm78u2t/items/6D26HPM7"],"uri":["http://zotero.org/users/local/Cjm78u2t/items/6D26HPM7"],"itemData":{"id":613,"type":"webpage","title":"Sites of Memory, Sites of Mourning: The Great War in European Cultural History","container-title":"Cambridge Core","abstract":"Cambridge Core - European History after 1450 - Sites of Memory, Sites of Mourning -  by Jay Winter","URL":"/core/books/sites-of-memory-sites-of-mourning/C4AD64FA163EAB4E00A2DB074D7C8B1D","note":"DOI: 10.1017/CBO9781107589087","shortTitle":"Sites of Memory, Sites of Mourning","language":"en","author":[{"family":"Winter","given":"Jay"}],"issued":{"date-parts":[["2014",5]]},"accessed":{"date-parts":[["2019",11,18]]}}}],"schema":"https://github.com/citation-style-language/schema/raw/master/csl-citation.json"} </w:instrText>
      </w:r>
      <w:r>
        <w:fldChar w:fldCharType="separate"/>
      </w:r>
      <w:r w:rsidRPr="00106C4F">
        <w:rPr>
          <w:szCs w:val="24"/>
        </w:rPr>
        <w:t xml:space="preserve">Jay Winter, ‘Sites of Memory, Sites of Mourning: The Great War in European Cultural History’, </w:t>
      </w:r>
      <w:r w:rsidRPr="00106C4F">
        <w:rPr>
          <w:i/>
          <w:iCs/>
          <w:szCs w:val="24"/>
        </w:rPr>
        <w:t>Cambridge Core</w:t>
      </w:r>
      <w:r w:rsidRPr="00106C4F">
        <w:rPr>
          <w:szCs w:val="24"/>
        </w:rPr>
        <w:t>, 2014 &lt;https://doi.org/10.1017/CBO9781107589087&gt;.</w:t>
      </w:r>
      <w:r>
        <w:fldChar w:fldCharType="end"/>
      </w:r>
    </w:p>
  </w:footnote>
  <w:footnote w:id="10">
    <w:p w14:paraId="260D7448" w14:textId="3D4AF453" w:rsidR="0045438D" w:rsidRDefault="0045438D" w:rsidP="00404CAE">
      <w:pPr>
        <w:pStyle w:val="FootnoteText"/>
      </w:pPr>
      <w:r>
        <w:rPr>
          <w:rStyle w:val="FootnoteReference"/>
        </w:rPr>
        <w:footnoteRef/>
      </w:r>
      <w:r>
        <w:t xml:space="preserve"> </w:t>
      </w:r>
      <w:r>
        <w:fldChar w:fldCharType="begin"/>
      </w:r>
      <w:r w:rsidR="00106C4F">
        <w:instrText xml:space="preserve"> ADDIN ZOTERO_ITEM CSL_CITATION {"citationID":"HMqqasOd","properties":{"formattedCitation":"Winter.","plainCitation":"Winter.","noteIndex":10},"citationItems":[{"id":613,"uris":["http://zotero.org/users/local/Cjm78u2t/items/6D26HPM7"],"uri":["http://zotero.org/users/local/Cjm78u2t/items/6D26HPM7"],"itemData":{"id":613,"type":"webpage","title":"Sites of Memory, Sites of Mourning: The Great War in European Cultural History","container-title":"Cambridge Core","abstract":"Cambridge Core - European History after 1450 - Sites of Memory, Sites of Mourning -  by Jay Winter","URL":"/core/books/sites-of-memory-sites-of-mourning/C4AD64FA163EAB4E00A2DB074D7C8B1D","note":"DOI: 10.1017/CBO9781107589087","shortTitle":"Sites of Memory, Sites of Mourning","language":"en","author":[{"family":"Winter","given":"Jay"}],"issued":{"date-parts":[["2014",5]]},"accessed":{"date-parts":[["2019",11,18]]}}}],"schema":"https://github.com/citation-style-language/schema/raw/master/csl-citation.json"} </w:instrText>
      </w:r>
      <w:r>
        <w:fldChar w:fldCharType="separate"/>
      </w:r>
      <w:r w:rsidR="00106C4F" w:rsidRPr="00106C4F">
        <w:t>Winter.</w:t>
      </w:r>
      <w:r>
        <w:fldChar w:fldCharType="end"/>
      </w:r>
      <w:r w:rsidR="00106C4F">
        <w:t xml:space="preserve"> P.78</w:t>
      </w:r>
    </w:p>
  </w:footnote>
  <w:footnote w:id="11">
    <w:p w14:paraId="3709559A" w14:textId="4657FDE0" w:rsidR="00D96725" w:rsidRDefault="00D96725">
      <w:pPr>
        <w:pStyle w:val="FootnoteText"/>
      </w:pPr>
      <w:r>
        <w:rPr>
          <w:rStyle w:val="FootnoteReference"/>
        </w:rPr>
        <w:footnoteRef/>
      </w:r>
      <w:r>
        <w:t xml:space="preserve"> </w:t>
      </w:r>
      <w:r>
        <w:fldChar w:fldCharType="begin"/>
      </w:r>
      <w:r>
        <w:instrText xml:space="preserve"> ADDIN ZOTERO_ITEM CSL_CITATION {"citationID":"ZIgRUiZe","properties":{"formattedCitation":"Peter Donaldson, {\\i{}Ritual and Remembrance: The Memorialisation of the Great War in East Kent} (Cambridge Scholars Press, 2006) &lt;https://kar.kent.ac.uk/53916/&gt; [accessed 4 November 2019].","plainCitation":"Peter Donaldson, Ritual and Remembrance: The Memorialisation of the Great War in East Kent (Cambridge Scholars Press, 2006) &lt;https://kar.kent.ac.uk/53916/&gt; [accessed 4 November 2019].","noteIndex":11},"citationItems":[{"id":605,"uris":["http://zotero.org/users/local/Cjm78u2t/items/WKJ4EUNQ"],"uri":["http://zotero.org/users/local/Cjm78u2t/items/WKJ4EUNQ"],"itemData":{"id":605,"type":"book","title":"Ritual and Remembrance: the Memorialisation of the Great War in East Kent","publisher":"Cambridge Scholars Press","number-of-pages":"350","source":"kar.kent.ac.uk","abstract":"This book seeks to explore the spate of memorial construction that took place at civic and local level in the immediate aftermath of the Great War. At the heart of the work lies an examination of the layering of memory in this commemorative activity as the war dead were remembered in their various different roles, as citizens, work colleagues, school alumni, club members, parishioners, regimental comrades and, of course, fathers, husbands and sons. The study concentrates on the major urban centres of Canterbury, Folkestone and Dover, each of which experienced something of a revival during the war years and sought to perpetuate this renewed standing through the rituals of remembrance. Yet, though the focus is on the conflicts and compromises that underpinned communal commemoration, sight is not lost of the private tragedies that lay at the heart of collective remembrance. In uncovering the process by which local dignitaries actively sought the participation of the bereaved in the rites of constructing a war memorial, not least through the compilation of the names of the fallen, an impression of the almost palpable sense of sorrow that pervaded society in the immediate aftermath of the fighting is captured. It is the impact of these conflicting claims, the tension that existed within this complex matrix of remembrance and the extent to which the memory of the fallen was shaped by the demands of competing schemes that forms the basis of this study. In particular the focus falls on the memorialisation process itself, the debates over form and style, the rituals of naming and financing and the ceremonies for unveiling and dedication, for it was in this often lengthy and convoluted process that those in authority could assume control over the rites of mourning and transform private grief into a public narrative.","URL":"https://kar.kent.ac.uk/53916/","ISBN":"978-1-84718-023-0","shortTitle":"Ritual and Remembrance","language":"en","author":[{"family":"Donaldson","given":"Peter"}],"issued":{"date-parts":[["2006",8,1]]},"accessed":{"date-parts":[["2019",11,4]]}}}],"schema":"https://github.com/citation-style-language/schema/raw/master/csl-citation.json"} </w:instrText>
      </w:r>
      <w:r>
        <w:fldChar w:fldCharType="separate"/>
      </w:r>
      <w:r w:rsidRPr="00D96725">
        <w:rPr>
          <w:szCs w:val="24"/>
        </w:rPr>
        <w:t xml:space="preserve">Peter Donaldson, </w:t>
      </w:r>
      <w:r w:rsidRPr="00D96725">
        <w:rPr>
          <w:i/>
          <w:iCs/>
          <w:szCs w:val="24"/>
        </w:rPr>
        <w:t>Ritual and Remembrance: The Memorialisation of the Great War in East Kent</w:t>
      </w:r>
      <w:r w:rsidRPr="00D96725">
        <w:rPr>
          <w:szCs w:val="24"/>
        </w:rPr>
        <w:t xml:space="preserve"> (Cambridge Scholars Press, 2006) &lt;https://kar.kent.ac.uk/53916/&gt; [accessed 4 November 2019].</w:t>
      </w:r>
      <w:r>
        <w:fldChar w:fldCharType="end"/>
      </w:r>
    </w:p>
  </w:footnote>
  <w:footnote w:id="12">
    <w:p w14:paraId="508BD4FC" w14:textId="262F9BF8" w:rsidR="0045438D" w:rsidRDefault="0045438D">
      <w:pPr>
        <w:pStyle w:val="FootnoteText"/>
      </w:pPr>
      <w:r>
        <w:rPr>
          <w:rStyle w:val="FootnoteReference"/>
        </w:rPr>
        <w:footnoteRef/>
      </w:r>
      <w:r>
        <w:t xml:space="preserve"> </w:t>
      </w:r>
      <w:r>
        <w:fldChar w:fldCharType="begin"/>
      </w:r>
      <w:r w:rsidR="00D96725">
        <w:instrText xml:space="preserve"> ADDIN ZOTERO_ITEM CSL_CITATION {"citationID":"EekHtE7U","properties":{"formattedCitation":"Donaldson.","plainCitation":"Donaldson.","noteIndex":12},"citationItems":[{"id":605,"uris":["http://zotero.org/users/local/Cjm78u2t/items/WKJ4EUNQ"],"uri":["http://zotero.org/users/local/Cjm78u2t/items/WKJ4EUNQ"],"itemData":{"id":605,"type":"book","title":"Ritual and Remembrance: the Memorialisation of the Great War in East Kent","publisher":"Cambridge Scholars Press","number-of-pages":"350","source":"kar.kent.ac.uk","abstract":"This book seeks to explore the spate of memorial construction that took place at civic and local level in the immediate aftermath of the Great War. At the heart of the work lies an examination of the layering of memory in this commemorative activity as the war dead were remembered in their various different roles, as citizens, work colleagues, school alumni, club members, parishioners, regimental comrades and, of course, fathers, husbands and sons. The study concentrates on the major urban centres of Canterbury, Folkestone and Dover, each of which experienced something of a revival during the war years and sought to perpetuate this renewed standing through the rituals of remembrance. Yet, though the focus is on the conflicts and compromises that underpinned communal commemoration, sight is not lost of the private tragedies that lay at the heart of collective remembrance. In uncovering the process by which local dignitaries actively sought the participation of the bereaved in the rites of constructing a war memorial, not least through the compilation of the names of the fallen, an impression of the almost palpable sense of sorrow that pervaded society in the immediate aftermath of the fighting is captured. It is the impact of these conflicting claims, the tension that existed within this complex matrix of remembrance and the extent to which the memory of the fallen was shaped by the demands of competing schemes that forms the basis of this study. In particular the focus falls on the memorialisation process itself, the debates over form and style, the rituals of naming and financing and the ceremonies for unveiling and dedication, for it was in this often lengthy and convoluted process that those in authority could assume control over the rites of mourning and transform private grief into a public narrative.","URL":"https://kar.kent.ac.uk/53916/","ISBN":"978-1-84718-023-0","shortTitle":"Ritual and Remembrance","language":"en","author":[{"family":"Donaldson","given":"Peter"}],"issued":{"date-parts":[["2006",8,1]]},"accessed":{"date-parts":[["2019",11,4]]}}}],"schema":"https://github.com/citation-style-language/schema/raw/master/csl-citation.json"} </w:instrText>
      </w:r>
      <w:r>
        <w:fldChar w:fldCharType="separate"/>
      </w:r>
      <w:r w:rsidR="00D96725" w:rsidRPr="00D96725">
        <w:t>Donaldson.</w:t>
      </w:r>
      <w:r>
        <w:fldChar w:fldCharType="end"/>
      </w:r>
    </w:p>
  </w:footnote>
  <w:footnote w:id="13">
    <w:p w14:paraId="6ACAA361" w14:textId="65713DA3" w:rsidR="0045438D" w:rsidRDefault="0045438D">
      <w:pPr>
        <w:pStyle w:val="FootnoteText"/>
      </w:pPr>
      <w:r>
        <w:rPr>
          <w:rStyle w:val="FootnoteReference"/>
        </w:rPr>
        <w:footnoteRef/>
      </w:r>
      <w:r>
        <w:t xml:space="preserve"> </w:t>
      </w:r>
      <w:r>
        <w:fldChar w:fldCharType="begin"/>
      </w:r>
      <w:r w:rsidR="00D96725">
        <w:instrText xml:space="preserve"> ADDIN ZOTERO_ITEM CSL_CITATION {"citationID":"siubSYd1","properties":{"formattedCitation":"Donaldson; Bill Niven, \\uc0\\u8216{}War Memorials at the Intersection of Politics, Culture and Memory\\uc0\\u8217{}, {\\i{}Journal of War &amp; Culture Studies}, 1.1 (2008), 39\\uc0\\u8211{}45 &lt;https://doi.org/10.1386/jwcs.1.1.39/0&gt;.","plainCitation":"Donaldson; Bill Niven, ‘War Memorials at the Intersection of Politics, Culture and Memory’, Journal of War &amp; Culture Studies, 1.1 (2008), 39–45 &lt;https://doi.org/10.1386/jwcs.1.1.39/0&gt;.","noteIndex":13},"citationItems":[{"id":605,"uris":["http://zotero.org/users/local/Cjm78u2t/items/WKJ4EUNQ"],"uri":["http://zotero.org/users/local/Cjm78u2t/items/WKJ4EUNQ"],"itemData":{"id":605,"type":"book","title":"Ritual and Remembrance: the Memorialisation of the Great War in East Kent","publisher":"Cambridge Scholars Press","number-of-pages":"350","source":"kar.kent.ac.uk","abstract":"This book seeks to explore the spate of memorial construction that took place at civic and local level in the immediate aftermath of the Great War. At the heart of the work lies an examination of the layering of memory in this commemorative activity as the war dead were remembered in their various different roles, as citizens, work colleagues, school alumni, club members, parishioners, regimental comrades and, of course, fathers, husbands and sons. The study concentrates on the major urban centres of Canterbury, Folkestone and Dover, each of which experienced something of a revival during the war years and sought to perpetuate this renewed standing through the rituals of remembrance. Yet, though the focus is on the conflicts and compromises that underpinned communal commemoration, sight is not lost of the private tragedies that lay at the heart of collective remembrance. In uncovering the process by which local dignitaries actively sought the participation of the bereaved in the rites of constructing a war memorial, not least through the compilation of the names of the fallen, an impression of the almost palpable sense of sorrow that pervaded society in the immediate aftermath of the fighting is captured. It is the impact of these conflicting claims, the tension that existed within this complex matrix of remembrance and the extent to which the memory of the fallen was shaped by the demands of competing schemes that forms the basis of this study. In particular the focus falls on the memorialisation process itself, the debates over form and style, the rituals of naming and financing and the ceremonies for unveiling and dedication, for it was in this often lengthy and convoluted process that those in authority could assume control over the rites of mourning and transform private grief into a public narrative.","URL":"https://kar.kent.ac.uk/53916/","ISBN":"978-1-84718-023-0","shortTitle":"Ritual and Remembrance","language":"en","author":[{"family":"Donaldson","given":"Peter"}],"issued":{"date-parts":[["2006",8,1]]},"accessed":{"date-parts":[["2019",11,4]]}}},{"id":577,"uris":["http://zotero.org/users/local/Cjm78u2t/items/NWR2YB4V"],"uri":["http://zotero.org/users/local/Cjm78u2t/items/NWR2YB4V"],"itemData":{"id":577,"type":"article-journal","title":"War memorials at the intersection of politics, culture and memory","container-title":"Journal of War &amp; Culture Studies","page":"39-45","volume":"1","issue":"1","source":"EBSCOhost","abstract":"War memorials are amongst the oldest memorials in the world. This paper provides a brief history of the way their function has evolved, focusing in particular on European war memorials constructed after the First and Second World Wars. It argues that, generally speaking, war memorials before the First World War were celebratory in character and served to underpin the authority of victorious leaders or nations. After 1918, they functioned often as crystallization points for collective mourning and remembrance. But the political interest in constructing celebratory war memorials remained, not least after the Second World War, as the example of the many Soviet war memorials erected in Eastern European countries demonstrates. However, this paper warns against understanding war memorials as immutable statements. Many memorials have undergone rededication, alteration, removal and reconstruction, and relocation during their history. This makes them significant as markers of political and cultural change.","DOI":"10.1386/jwcs.1.1.39/0","ISSN":"17526272","journalAbbreviation":"Journal of War &amp; Culture Studies","author":[{"family":"Niven","given":"Bill","suffix":""}],"issued":{"date-parts":[["2008",3]]}}}],"schema":"https://github.com/citation-style-language/schema/raw/master/csl-citation.json"} </w:instrText>
      </w:r>
      <w:r>
        <w:fldChar w:fldCharType="separate"/>
      </w:r>
      <w:r w:rsidRPr="008E6EC3">
        <w:rPr>
          <w:szCs w:val="24"/>
        </w:rPr>
        <w:t xml:space="preserve">Donaldson; Bill Niven, ‘War Memorials at the Intersection of Politics, Culture and Memory’, </w:t>
      </w:r>
      <w:r w:rsidRPr="008E6EC3">
        <w:rPr>
          <w:i/>
          <w:iCs/>
          <w:szCs w:val="24"/>
        </w:rPr>
        <w:t>Journal of War &amp; Culture Studies</w:t>
      </w:r>
      <w:r w:rsidRPr="008E6EC3">
        <w:rPr>
          <w:szCs w:val="24"/>
        </w:rPr>
        <w:t>, 1.1 (2008), 39–45 &lt;https://doi.org/10.1386/jwcs.1.1.39/0&gt;.</w:t>
      </w:r>
      <w:r>
        <w:fldChar w:fldCharType="end"/>
      </w:r>
    </w:p>
  </w:footnote>
  <w:footnote w:id="14">
    <w:p w14:paraId="5D5B6321" w14:textId="23B902E0" w:rsidR="0045438D" w:rsidRDefault="0045438D">
      <w:pPr>
        <w:pStyle w:val="FootnoteText"/>
      </w:pPr>
      <w:r>
        <w:rPr>
          <w:rStyle w:val="FootnoteReference"/>
        </w:rPr>
        <w:footnoteRef/>
      </w:r>
      <w:r>
        <w:t xml:space="preserve"> </w:t>
      </w:r>
      <w:r>
        <w:fldChar w:fldCharType="begin"/>
      </w:r>
      <w:r w:rsidR="00106C4F">
        <w:instrText xml:space="preserve"> ADDIN ZOTERO_ITEM CSL_CITATION {"citationID":"eHV6iJIb","properties":{"formattedCitation":"Donaldson.","plainCitation":"Donaldson.","noteIndex":16},"citationItems":[{"id":605,"uris":["http://zotero.org/users/local/Cjm78u2t/items/WKJ4EUNQ"],"uri":["http://zotero.org/users/local/Cjm78u2t/items/WKJ4EUNQ"],"itemData":{"id":605,"type":"book","title":"Ritual and Remembrance: the Memorialisation of the Great War in East Kent","publisher":"Cambridge Scholars Press","number-of-pages":"350","source":"kar.kent.ac.uk","abstract":"This book seeks to explore the spate of memorial construction that took place at civic and local level in the immediate aftermath of the Great War. At the heart of the work lies an examination of the layering of memory in this commemorative activity as the war dead were remembered in their various different roles, as citizens, work colleagues, school alumni, club members, parishioners, regimental comrades and, of course, fathers, husbands and sons. The study concentrates on the major urban centres of Canterbury, Folkestone and Dover, each of which experienced something of a revival during the war years and sought to perpetuate this renewed standing through the rituals of remembrance. Yet, though the focus is on the conflicts and compromises that underpinned communal commemoration, sight is not lost of the private tragedies that lay at the heart of collective remembrance. In uncovering the process by which local dignitaries actively sought the participation of the bereaved in the rites of constructing a war memorial, not least through the compilation of the names of the fallen, an impression of the almost palpable sense of sorrow that pervaded society in the immediate aftermath of the fighting is captured. It is the impact of these conflicting claims, the tension that existed within this complex matrix of remembrance and the extent to which the memory of the fallen was shaped by the demands of competing schemes that forms the basis of this study. In particular the focus falls on the memorialisation process itself, the debates over form and style, the rituals of naming and financing and the ceremonies for unveiling and dedication, for it was in this often lengthy and convoluted process that those in authority could assume control over the rites of mourning and transform private grief into a public narrative.","URL":"https://kar.kent.ac.uk/53916/","ISBN":"978-1-84718-023-0","shortTitle":"Ritual and Remembrance","language":"en","author":[{"family":"Donaldson","given":"Peter"}],"issued":{"date-parts":[["2006",8,1]]},"accessed":{"date-parts":[["2019",11,4]]}}}],"schema":"https://github.com/citation-style-language/schema/raw/master/csl-citation.json"} </w:instrText>
      </w:r>
      <w:r>
        <w:fldChar w:fldCharType="separate"/>
      </w:r>
      <w:r w:rsidRPr="009F76B1">
        <w:t>Donaldson.</w:t>
      </w:r>
      <w:r>
        <w:fldChar w:fldCharType="end"/>
      </w:r>
    </w:p>
  </w:footnote>
  <w:footnote w:id="15">
    <w:p w14:paraId="0FEEA79A" w14:textId="3902AC46" w:rsidR="00D96725" w:rsidRDefault="00D96725" w:rsidP="00D96725">
      <w:pPr>
        <w:pStyle w:val="FootnoteText"/>
      </w:pPr>
      <w:r>
        <w:rPr>
          <w:rStyle w:val="FootnoteReference"/>
        </w:rPr>
        <w:footnoteRef/>
      </w:r>
      <w:r>
        <w:t xml:space="preserve"> </w:t>
      </w:r>
      <w:r>
        <w:fldChar w:fldCharType="begin"/>
      </w:r>
      <w:r>
        <w:instrText xml:space="preserve"> ADDIN ZOTERO_ITEM CSL_CITATION {"citationID":"D0c7PIqX","properties":{"formattedCitation":"Niven.","plainCitation":"Niven.","noteIndex":15},"citationItems":[{"id":577,"uris":["http://zotero.org/users/local/Cjm78u2t/items/NWR2YB4V"],"uri":["http://zotero.org/users/local/Cjm78u2t/items/NWR2YB4V"],"itemData":{"id":577,"type":"article-journal","title":"War memorials at the intersection of politics, culture and memory","container-title":"Journal of War &amp; Culture Studies","page":"39-45","volume":"1","issue":"1","source":"EBSCOhost","abstract":"War memorials are amongst the oldest memorials in the world. This paper provides a brief history of the way their function has evolved, focusing in particular on European war memorials constructed after the First and Second World Wars. It argues that, generally speaking, war memorials before the First World War were celebratory in character and served to underpin the authority of victorious leaders or nations. After 1918, they functioned often as crystallization points for collective mourning and remembrance. But the political interest in constructing celebratory war memorials remained, not least after the Second World War, as the example of the many Soviet war memorials erected in Eastern European countries demonstrates. However, this paper warns against understanding war memorials as immutable statements. Many memorials have undergone rededication, alteration, removal and reconstruction, and relocation during their history. This makes them significant as markers of political and cultural change.","DOI":"10.1386/jwcs.1.1.39/0","ISSN":"17526272","journalAbbreviation":"Journal of War &amp; Culture Studies","author":[{"family":"Niven","given":"Bill","suffix":""}],"issued":{"date-parts":[["2008",3]]}}}],"schema":"https://github.com/citation-style-language/schema/raw/master/csl-citation.json"} </w:instrText>
      </w:r>
      <w:r>
        <w:fldChar w:fldCharType="separate"/>
      </w:r>
      <w:r w:rsidRPr="008E6EC3">
        <w:t>Niven.</w:t>
      </w:r>
      <w:r>
        <w:fldChar w:fldCharType="end"/>
      </w:r>
      <w:r>
        <w:t xml:space="preserve"> P. 39</w:t>
      </w:r>
    </w:p>
  </w:footnote>
  <w:footnote w:id="16">
    <w:p w14:paraId="276C35C2" w14:textId="4C2F431A" w:rsidR="00D96725" w:rsidRDefault="00D96725">
      <w:pPr>
        <w:pStyle w:val="FootnoteText"/>
      </w:pPr>
      <w:r>
        <w:rPr>
          <w:rStyle w:val="FootnoteReference"/>
        </w:rPr>
        <w:footnoteRef/>
      </w:r>
      <w:r>
        <w:t xml:space="preserve"> </w:t>
      </w:r>
      <w:r>
        <w:fldChar w:fldCharType="begin"/>
      </w:r>
      <w:r>
        <w:instrText xml:space="preserve"> ADDIN ZOTERO_ITEM CSL_CITATION {"citationID":"MX7AgPM6","properties":{"formattedCitation":"Niven.","plainCitation":"Niven.","noteIndex":16},"citationItems":[{"id":577,"uris":["http://zotero.org/users/local/Cjm78u2t/items/NWR2YB4V"],"uri":["http://zotero.org/users/local/Cjm78u2t/items/NWR2YB4V"],"itemData":{"id":577,"type":"article-journal","title":"War memorials at the intersection of politics, culture and memory","container-title":"Journal of War &amp; Culture Studies","page":"39-45","volume":"1","issue":"1","source":"EBSCOhost","abstract":"War memorials are amongst the oldest memorials in the world. This paper provides a brief history of the way their function has evolved, focusing in particular on European war memorials constructed after the First and Second World Wars. It argues that, generally speaking, war memorials before the First World War were celebratory in character and served to underpin the authority of victorious leaders or nations. After 1918, they functioned often as crystallization points for collective mourning and remembrance. But the political interest in constructing celebratory war memorials remained, not least after the Second World War, as the example of the many Soviet war memorials erected in Eastern European countries demonstrates. However, this paper warns against understanding war memorials as immutable statements. Many memorials have undergone rededication, alteration, removal and reconstruction, and relocation during their history. This makes them significant as markers of political and cultural change.","DOI":"10.1386/jwcs.1.1.39/0","ISSN":"17526272","journalAbbreviation":"Journal of War &amp; Culture Studies","author":[{"family":"Niven","given":"Bill","suffix":""}],"issued":{"date-parts":[["2008",3]]}}}],"schema":"https://github.com/citation-style-language/schema/raw/master/csl-citation.json"} </w:instrText>
      </w:r>
      <w:r>
        <w:fldChar w:fldCharType="separate"/>
      </w:r>
      <w:r w:rsidRPr="00D96725">
        <w:t>Niven.</w:t>
      </w:r>
      <w:r>
        <w:fldChar w:fldCharType="end"/>
      </w:r>
      <w:r>
        <w:t xml:space="preserve"> P.40</w:t>
      </w:r>
    </w:p>
  </w:footnote>
  <w:footnote w:id="17">
    <w:p w14:paraId="500C43B7" w14:textId="59F7553E" w:rsidR="0045438D" w:rsidRDefault="0045438D">
      <w:pPr>
        <w:pStyle w:val="FootnoteText"/>
      </w:pPr>
      <w:r>
        <w:rPr>
          <w:rStyle w:val="FootnoteReference"/>
        </w:rPr>
        <w:footnoteRef/>
      </w:r>
      <w:r>
        <w:t xml:space="preserve"> </w:t>
      </w:r>
      <w:r>
        <w:fldChar w:fldCharType="begin"/>
      </w:r>
      <w:r w:rsidR="00106C4F">
        <w:instrText xml:space="preserve"> ADDIN ZOTERO_ITEM CSL_CITATION {"citationID":"oTQYEFrE","properties":{"formattedCitation":"Niven.","plainCitation":"Niven.","noteIndex":17},"citationItems":[{"id":577,"uris":["http://zotero.org/users/local/Cjm78u2t/items/NWR2YB4V"],"uri":["http://zotero.org/users/local/Cjm78u2t/items/NWR2YB4V"],"itemData":{"id":577,"type":"article-journal","title":"War memorials at the intersection of politics, culture and memory","container-title":"Journal of War &amp; Culture Studies","page":"39-45","volume":"1","issue":"1","source":"EBSCOhost","abstract":"War memorials are amongst the oldest memorials in the world. This paper provides a brief history of the way their function has evolved, focusing in particular on European war memorials constructed after the First and Second World Wars. It argues that, generally speaking, war memorials before the First World War were celebratory in character and served to underpin the authority of victorious leaders or nations. After 1918, they functioned often as crystallization points for collective mourning and remembrance. But the political interest in constructing celebratory war memorials remained, not least after the Second World War, as the example of the many Soviet war memorials erected in Eastern European countries demonstrates. However, this paper warns against understanding war memorials as immutable statements. Many memorials have undergone rededication, alteration, removal and reconstruction, and relocation during their history. This makes them significant as markers of political and cultural change.","DOI":"10.1386/jwcs.1.1.39/0","ISSN":"17526272","journalAbbreviation":"Journal of War &amp; Culture Studies","author":[{"family":"Niven","given":"Bill","suffix":""}],"issued":{"date-parts":[["2008",3]]}}}],"schema":"https://github.com/citation-style-language/schema/raw/master/csl-citation.json"} </w:instrText>
      </w:r>
      <w:r>
        <w:fldChar w:fldCharType="separate"/>
      </w:r>
      <w:r w:rsidRPr="00AA0058">
        <w:t>Niven.</w:t>
      </w:r>
      <w:r>
        <w:fldChar w:fldCharType="end"/>
      </w:r>
      <w:r w:rsidR="00D96725">
        <w:t xml:space="preserve"> P.41</w:t>
      </w:r>
    </w:p>
  </w:footnote>
  <w:footnote w:id="18">
    <w:p w14:paraId="2A06750C" w14:textId="6C160C7A" w:rsidR="0045438D" w:rsidRDefault="0045438D">
      <w:pPr>
        <w:pStyle w:val="FootnoteText"/>
      </w:pPr>
      <w:r>
        <w:rPr>
          <w:rStyle w:val="FootnoteReference"/>
        </w:rPr>
        <w:footnoteRef/>
      </w:r>
      <w:r>
        <w:t xml:space="preserve"> </w:t>
      </w:r>
      <w:r>
        <w:fldChar w:fldCharType="begin"/>
      </w:r>
      <w:r w:rsidR="00106C4F">
        <w:instrText xml:space="preserve"> ADDIN ZOTERO_ITEM CSL_CITATION {"citationID":"j1sSok2w","properties":{"formattedCitation":"Niven.","plainCitation":"Niven.","noteIndex":18},"citationItems":[{"id":577,"uris":["http://zotero.org/users/local/Cjm78u2t/items/NWR2YB4V"],"uri":["http://zotero.org/users/local/Cjm78u2t/items/NWR2YB4V"],"itemData":{"id":577,"type":"article-journal","title":"War memorials at the intersection of politics, culture and memory","container-title":"Journal of War &amp; Culture Studies","page":"39-45","volume":"1","issue":"1","source":"EBSCOhost","abstract":"War memorials are amongst the oldest memorials in the world. This paper provides a brief history of the way their function has evolved, focusing in particular on European war memorials constructed after the First and Second World Wars. It argues that, generally speaking, war memorials before the First World War were celebratory in character and served to underpin the authority of victorious leaders or nations. After 1918, they functioned often as crystallization points for collective mourning and remembrance. But the political interest in constructing celebratory war memorials remained, not least after the Second World War, as the example of the many Soviet war memorials erected in Eastern European countries demonstrates. However, this paper warns against understanding war memorials as immutable statements. Many memorials have undergone rededication, alteration, removal and reconstruction, and relocation during their history. This makes them significant as markers of political and cultural change.","DOI":"10.1386/jwcs.1.1.39/0","ISSN":"17526272","journalAbbreviation":"Journal of War &amp; Culture Studies","author":[{"family":"Niven","given":"Bill","suffix":""}],"issued":{"date-parts":[["2008",3]]}}}],"schema":"https://github.com/citation-style-language/schema/raw/master/csl-citation.json"} </w:instrText>
      </w:r>
      <w:r>
        <w:fldChar w:fldCharType="separate"/>
      </w:r>
      <w:r w:rsidRPr="00AA0058">
        <w:t>Niven.</w:t>
      </w:r>
      <w:r>
        <w:fldChar w:fldCharType="end"/>
      </w:r>
      <w:r w:rsidR="00D96725">
        <w:t xml:space="preserve"> P.41</w:t>
      </w:r>
    </w:p>
  </w:footnote>
  <w:footnote w:id="19">
    <w:p w14:paraId="0E382242" w14:textId="7EFF7A06" w:rsidR="00D96725" w:rsidRDefault="00D96725" w:rsidP="00D96725">
      <w:pPr>
        <w:pStyle w:val="FootnoteText"/>
      </w:pPr>
      <w:r>
        <w:rPr>
          <w:rStyle w:val="FootnoteReference"/>
        </w:rPr>
        <w:footnoteRef/>
      </w:r>
      <w:r>
        <w:t xml:space="preserve"> </w:t>
      </w:r>
      <w:r>
        <w:fldChar w:fldCharType="begin"/>
      </w:r>
      <w:r>
        <w:instrText xml:space="preserve"> ADDIN ZOTERO_ITEM CSL_CITATION {"citationID":"JTilByTY","properties":{"formattedCitation":"Winter.","plainCitation":"Winter.","noteIndex":19},"citationItems":[{"id":613,"uris":["http://zotero.org/users/local/Cjm78u2t/items/6D26HPM7"],"uri":["http://zotero.org/users/local/Cjm78u2t/items/6D26HPM7"],"itemData":{"id":613,"type":"webpage","title":"Sites of Memory, Sites of Mourning: The Great War in European Cultural History","container-title":"Cambridge Core","abstract":"Cambridge Core - European History after 1450 - Sites of Memory, Sites of Mourning -  by Jay Winter","URL":"/core/books/sites-of-memory-sites-of-mourning/C4AD64FA163EAB4E00A2DB074D7C8B1D","note":"DOI: 10.1017/CBO9781107589087","shortTitle":"Sites of Memory, Sites of Mourning","language":"en","author":[{"family":"Winter","given":"Jay"}],"issued":{"date-parts":[["2014",5]]},"accessed":{"date-parts":[["2019",11,18]]}}}],"schema":"https://github.com/citation-style-language/schema/raw/master/csl-citation.json"} </w:instrText>
      </w:r>
      <w:r>
        <w:fldChar w:fldCharType="separate"/>
      </w:r>
      <w:r w:rsidRPr="00CC196E">
        <w:t>Winter.</w:t>
      </w:r>
      <w:r>
        <w:fldChar w:fldCharType="end"/>
      </w:r>
      <w:r>
        <w:t xml:space="preserve"> P.82</w:t>
      </w:r>
    </w:p>
  </w:footnote>
  <w:footnote w:id="20">
    <w:p w14:paraId="223BBDF5" w14:textId="2C1C2B36" w:rsidR="008A6D45" w:rsidRDefault="008A6D45">
      <w:pPr>
        <w:pStyle w:val="FootnoteText"/>
      </w:pPr>
      <w:r>
        <w:rPr>
          <w:rStyle w:val="FootnoteReference"/>
        </w:rPr>
        <w:footnoteRef/>
      </w:r>
      <w:r>
        <w:t xml:space="preserve"> </w:t>
      </w:r>
      <w:r>
        <w:fldChar w:fldCharType="begin"/>
      </w:r>
      <w:r>
        <w:instrText xml:space="preserve"> ADDIN ZOTERO_ITEM CSL_CITATION {"citationID":"p84rbItt","properties":{"formattedCitation":"Donaldson.","plainCitation":"Donaldson.","noteIndex":20},"citationItems":[{"id":605,"uris":["http://zotero.org/users/local/Cjm78u2t/items/WKJ4EUNQ"],"uri":["http://zotero.org/users/local/Cjm78u2t/items/WKJ4EUNQ"],"itemData":{"id":605,"type":"book","title":"Ritual and Remembrance: the Memorialisation of the Great War in East Kent","publisher":"Cambridge Scholars Press","number-of-pages":"350","source":"kar.kent.ac.uk","abstract":"This book seeks to explore the spate of memorial construction that took place at civic and local level in the immediate aftermath of the Great War. At the heart of the work lies an examination of the layering of memory in this commemorative activity as the war dead were remembered in their various different roles, as citizens, work colleagues, school alumni, club members, parishioners, regimental comrades and, of course, fathers, husbands and sons. The study concentrates on the major urban centres of Canterbury, Folkestone and Dover, each of which experienced something of a revival during the war years and sought to perpetuate this renewed standing through the rituals of remembrance. Yet, though the focus is on the conflicts and compromises that underpinned communal commemoration, sight is not lost of the private tragedies that lay at the heart of collective remembrance. In uncovering the process by which local dignitaries actively sought the participation of the bereaved in the rites of constructing a war memorial, not least through the compilation of the names of the fallen, an impression of the almost palpable sense of sorrow that pervaded society in the immediate aftermath of the fighting is captured. It is the impact of these conflicting claims, the tension that existed within this complex matrix of remembrance and the extent to which the memory of the fallen was shaped by the demands of competing schemes that forms the basis of this study. In particular the focus falls on the memorialisation process itself, the debates over form and style, the rituals of naming and financing and the ceremonies for unveiling and dedication, for it was in this often lengthy and convoluted process that those in authority could assume control over the rites of mourning and transform private grief into a public narrative.","URL":"https://kar.kent.ac.uk/53916/","ISBN":"978-1-84718-023-0","shortTitle":"Ritual and Remembrance","language":"en","author":[{"family":"Donaldson","given":"Peter"}],"issued":{"date-parts":[["2006",8,1]]},"accessed":{"date-parts":[["2019",11,4]]}}}],"schema":"https://github.com/citation-style-language/schema/raw/master/csl-citation.json"} </w:instrText>
      </w:r>
      <w:r>
        <w:fldChar w:fldCharType="separate"/>
      </w:r>
      <w:r w:rsidRPr="008A6D45">
        <w:t>Donaldson.</w:t>
      </w:r>
      <w:r>
        <w:fldChar w:fldCharType="end"/>
      </w:r>
    </w:p>
  </w:footnote>
  <w:footnote w:id="21">
    <w:p w14:paraId="254A56F2" w14:textId="060B2775" w:rsidR="009B451F" w:rsidRDefault="009B451F" w:rsidP="009B451F">
      <w:pPr>
        <w:pStyle w:val="FootnoteText"/>
      </w:pPr>
      <w:r>
        <w:rPr>
          <w:rStyle w:val="FootnoteReference"/>
        </w:rPr>
        <w:footnoteRef/>
      </w:r>
      <w:r>
        <w:t xml:space="preserve"> </w:t>
      </w:r>
      <w:r>
        <w:fldChar w:fldCharType="begin"/>
      </w:r>
      <w:r>
        <w:instrText xml:space="preserve"> ADDIN ZOTERO_ITEM CSL_CITATION {"citationID":"qAtc3aTV","properties":{"formattedCitation":"Johnson.","plainCitation":"Johnson.","noteIndex":26},"citationItems":[{"id":607,"uris":["http://zotero.org/users/local/Cjm78u2t/items/7FK92R5A"],"uri":["http://zotero.org/users/local/Cjm78u2t/items/7FK92R5A"],"itemData":{"id":607,"type":"article-journal","title":"Locating Memory: Tracing the Trajectories of Rememberance","container-title":"Historical Geography","page":"165-179","volume":"33","issue":"0","source":"ejournals.unm.edu","ISSN":"2331-7523","shortTitle":"Locating Memory","language":"en_US","author":[{"family":"Johnson","given":"Nuala C."}],"issued":{"date-parts":[["2005"]]}}}],"schema":"https://github.com/citation-style-language/schema/raw/master/csl-citation.json"} </w:instrText>
      </w:r>
      <w:r>
        <w:fldChar w:fldCharType="separate"/>
      </w:r>
      <w:r w:rsidRPr="00E84CFB">
        <w:t>Johnson.</w:t>
      </w:r>
      <w:r>
        <w:fldChar w:fldCharType="end"/>
      </w:r>
      <w:r>
        <w:t xml:space="preserve"> P.168</w:t>
      </w:r>
    </w:p>
  </w:footnote>
  <w:footnote w:id="22">
    <w:p w14:paraId="598F84DA" w14:textId="3CA59EE9" w:rsidR="00FB3887" w:rsidRDefault="00FB3887">
      <w:pPr>
        <w:pStyle w:val="FootnoteText"/>
      </w:pPr>
      <w:r>
        <w:rPr>
          <w:rStyle w:val="FootnoteReference"/>
        </w:rPr>
        <w:footnoteRef/>
      </w:r>
      <w:r>
        <w:t xml:space="preserve"> </w:t>
      </w:r>
      <w:r>
        <w:fldChar w:fldCharType="begin"/>
      </w:r>
      <w:r>
        <w:instrText xml:space="preserve"> ADDIN ZOTERO_ITEM CSL_CITATION {"citationID":"TNDnNmFw","properties":{"formattedCitation":"Victor Turner, {\\i{}The Ritual Process: Structure and Anti-Structure} (Routledge, 2017).","plainCitation":"Victor Turner, The Ritual Process: Structure and Anti-Structure (Routledge, 2017).","noteIndex":21},"citationItems":[{"id":50,"uris":["http://zotero.org/users/local/Cjm78u2t/items/YGITBRE7"],"uri":["http://zotero.org/users/local/Cjm78u2t/items/YGITBRE7"],"itemData":{"id":50,"type":"book","title":"The Ritual Process: Structure and Anti-Structure","publisher":"Routledge","number-of-pages":"232","source":"Google Books","abstract":"In The Ritual Process: Structure and Anti-Structure, Victor Turner examines rituals of the Ndembu in Zambia and develops his now-famous concept of \"Communitas.\" He characterizes it as an absolute inter-human relation beyond any form of structure.The Ritual Process has acquired the status of a small classic since these lectures were first published in 1969. Turner demonstrates how the analysis of ritual behavior and symbolism may be used as a key to understanding social structure and processes. He extends Van Gennep's notion of the \"liminal phase\" of rites of passage to a more general level, and applies it to gain understanding of a wide range of social phenomena. Once thought to be the \"vestigial\" organs of social conservatism, rituals are now seen as arenas in which social change may emerge and be absorbed into social practice.As Roger Abrahams writes in his foreword to the revised edition: \"Turner argued from specific field data. His special eloquence resided in his ability to lay open a sub-Saharan African system of belief and practice in terms that took the reader beyond the exotic features of the group among whom he carried out his fieldwork, translating his experience into the terms of contemporary Western perceptions. Reflecting Turner's range of intellectual interests, the book emerged as exceptional and eccentric in many ways: yet it achieved its place within the intellectual world because it so successfully synthesized continental theory with the practices of ethnographic reports.\"","ISBN":"978-1-351-47491-7","note":"Google-Books-ID: VywrDwAAQBAJ","shortTitle":"The Ritual Process","language":"en","author":[{"family":"Turner","given":"Victor"}],"issued":{"date-parts":[["2017",7,5]]}}}],"schema":"https://github.com/citation-style-language/schema/raw/master/csl-citation.json"} </w:instrText>
      </w:r>
      <w:r>
        <w:fldChar w:fldCharType="separate"/>
      </w:r>
      <w:r w:rsidRPr="00FB3887">
        <w:rPr>
          <w:szCs w:val="24"/>
        </w:rPr>
        <w:t xml:space="preserve">Victor Turner, </w:t>
      </w:r>
      <w:r w:rsidRPr="00FB3887">
        <w:rPr>
          <w:i/>
          <w:iCs/>
          <w:szCs w:val="24"/>
        </w:rPr>
        <w:t>The Ritual Process: Structure and Anti-Structure</w:t>
      </w:r>
      <w:r w:rsidRPr="00FB3887">
        <w:rPr>
          <w:szCs w:val="24"/>
        </w:rPr>
        <w:t xml:space="preserve"> (Routledge, 2017).</w:t>
      </w:r>
      <w:r>
        <w:fldChar w:fldCharType="end"/>
      </w:r>
    </w:p>
  </w:footnote>
  <w:footnote w:id="23">
    <w:p w14:paraId="606FC17C" w14:textId="366A7E0A" w:rsidR="0045438D" w:rsidRDefault="0045438D">
      <w:pPr>
        <w:pStyle w:val="FootnoteText"/>
      </w:pPr>
      <w:r>
        <w:rPr>
          <w:rStyle w:val="FootnoteReference"/>
        </w:rPr>
        <w:footnoteRef/>
      </w:r>
      <w:r>
        <w:t xml:space="preserve"> </w:t>
      </w:r>
      <w:r>
        <w:fldChar w:fldCharType="begin"/>
      </w:r>
      <w:r w:rsidR="00D96725">
        <w:instrText xml:space="preserve"> ADDIN ZOTERO_ITEM CSL_CITATION {"citationID":"FUOZxdtZ","properties":{"formattedCitation":"Niven.","plainCitation":"Niven.","noteIndex":24},"citationItems":[{"id":577,"uris":["http://zotero.org/users/local/Cjm78u2t/items/NWR2YB4V"],"uri":["http://zotero.org/users/local/Cjm78u2t/items/NWR2YB4V"],"itemData":{"id":577,"type":"article-journal","title":"War memorials at the intersection of politics, culture and memory","container-title":"Journal of War &amp; Culture Studies","page":"39-45","volume":"1","issue":"1","source":"EBSCOhost","abstract":"War memorials are amongst the oldest memorials in the world. This paper provides a brief history of the way their function has evolved, focusing in particular on European war memorials constructed after the First and Second World Wars. It argues that, generally speaking, war memorials before the First World War were celebratory in character and served to underpin the authority of victorious leaders or nations. After 1918, they functioned often as crystallization points for collective mourning and remembrance. But the political interest in constructing celebratory war memorials remained, not least after the Second World War, as the example of the many Soviet war memorials erected in Eastern European countries demonstrates. However, this paper warns against understanding war memorials as immutable statements. Many memorials have undergone rededication, alteration, removal and reconstruction, and relocation during their history. This makes them significant as markers of political and cultural change.","DOI":"10.1386/jwcs.1.1.39/0","ISSN":"17526272","journalAbbreviation":"Journal of War &amp; Culture Studies","author":[{"family":"Niven","given":"Bill","suffix":""}],"issued":{"date-parts":[["2008",3]]}}}],"schema":"https://github.com/citation-style-language/schema/raw/master/csl-citation.json"} </w:instrText>
      </w:r>
      <w:r>
        <w:fldChar w:fldCharType="separate"/>
      </w:r>
      <w:r w:rsidRPr="00790FF5">
        <w:t>Niven.</w:t>
      </w:r>
      <w:r>
        <w:fldChar w:fldCharType="end"/>
      </w:r>
      <w:r w:rsidR="00FB3887">
        <w:t xml:space="preserve"> P.40</w:t>
      </w:r>
    </w:p>
  </w:footnote>
  <w:footnote w:id="24">
    <w:p w14:paraId="09A37C79" w14:textId="6CA99427" w:rsidR="0045438D" w:rsidRDefault="0045438D" w:rsidP="00D6710B">
      <w:pPr>
        <w:pStyle w:val="FootnoteText"/>
      </w:pPr>
      <w:r>
        <w:rPr>
          <w:rStyle w:val="FootnoteReference"/>
        </w:rPr>
        <w:footnoteRef/>
      </w:r>
      <w:r>
        <w:t xml:space="preserve"> </w:t>
      </w:r>
      <w:r>
        <w:fldChar w:fldCharType="begin"/>
      </w:r>
      <w:r w:rsidR="00106C4F">
        <w:instrText xml:space="preserve"> ADDIN ZOTERO_ITEM CSL_CITATION {"citationID":"G7vfijmD","properties":{"formattedCitation":"Winter.","plainCitation":"Winter.","noteIndex":25},"citationItems":[{"id":613,"uris":["http://zotero.org/users/local/Cjm78u2t/items/6D26HPM7"],"uri":["http://zotero.org/users/local/Cjm78u2t/items/6D26HPM7"],"itemData":{"id":613,"type":"webpage","title":"Sites of Memory, Sites of Mourning: The Great War in European Cultural History","container-title":"Cambridge Core","abstract":"Cambridge Core - European History after 1450 - Sites of Memory, Sites of Mourning -  by Jay Winter","URL":"/core/books/sites-of-memory-sites-of-mourning/C4AD64FA163EAB4E00A2DB074D7C8B1D","note":"DOI: 10.1017/CBO9781107589087","shortTitle":"Sites of Memory, Sites of Mourning","language":"en","author":[{"family":"Winter","given":"Jay"}],"issued":{"date-parts":[["2014",5]]},"accessed":{"date-parts":[["2019",11,18]]}}}],"schema":"https://github.com/citation-style-language/schema/raw/master/csl-citation.json"} </w:instrText>
      </w:r>
      <w:r>
        <w:fldChar w:fldCharType="separate"/>
      </w:r>
      <w:r w:rsidRPr="00AA0058">
        <w:t>Winter.</w:t>
      </w:r>
      <w:r>
        <w:fldChar w:fldCharType="end"/>
      </w:r>
      <w:r w:rsidR="00FB3887">
        <w:t xml:space="preserve"> P. 85</w:t>
      </w:r>
    </w:p>
  </w:footnote>
  <w:footnote w:id="25">
    <w:p w14:paraId="78FF548D" w14:textId="73F9FADF" w:rsidR="0045438D" w:rsidRDefault="0045438D">
      <w:pPr>
        <w:pStyle w:val="FootnoteText"/>
      </w:pPr>
      <w:r>
        <w:rPr>
          <w:rStyle w:val="FootnoteReference"/>
        </w:rPr>
        <w:footnoteRef/>
      </w:r>
      <w:r>
        <w:t xml:space="preserve"> </w:t>
      </w:r>
      <w:r>
        <w:fldChar w:fldCharType="begin"/>
      </w:r>
      <w:r>
        <w:instrText xml:space="preserve"> ADDIN ZOTERO_ITEM CSL_CITATION {"citationID":"rYPBMdMC","properties":{"formattedCitation":"Johnson.","plainCitation":"Johnson.","noteIndex":22},"citationItems":[{"id":607,"uris":["http://zotero.org/users/local/Cjm78u2t/items/7FK92R5A"],"uri":["http://zotero.org/users/local/Cjm78u2t/items/7FK92R5A"],"itemData":{"id":607,"type":"article-journal","title":"Locating Memory: Tracing the Trajectories of Rememberance","container-title":"Historical Geography","page":"165-179","volume":"33","issue":"0","source":"ejournals.unm.edu","ISSN":"2331-7523","shortTitle":"Locating Memory","language":"en_US","author":[{"family":"Johnson","given":"Nuala C."}],"issued":{"date-parts":[["2005"]]}}}],"schema":"https://github.com/citation-style-language/schema/raw/master/csl-citation.json"} </w:instrText>
      </w:r>
      <w:r>
        <w:fldChar w:fldCharType="separate"/>
      </w:r>
      <w:r w:rsidRPr="009672F0">
        <w:t>Johnson.</w:t>
      </w:r>
      <w:r>
        <w:fldChar w:fldCharType="end"/>
      </w:r>
      <w:r w:rsidR="009B451F">
        <w:t xml:space="preserve"> P.175</w:t>
      </w:r>
    </w:p>
  </w:footnote>
  <w:footnote w:id="26">
    <w:p w14:paraId="5F9B4FCC" w14:textId="600A366E" w:rsidR="00FB3887" w:rsidRDefault="00FB3887" w:rsidP="00FB3887">
      <w:pPr>
        <w:pStyle w:val="FootnoteText"/>
      </w:pPr>
      <w:r>
        <w:rPr>
          <w:rStyle w:val="FootnoteReference"/>
        </w:rPr>
        <w:footnoteRef/>
      </w:r>
      <w:r>
        <w:t xml:space="preserve"> </w:t>
      </w:r>
      <w:r>
        <w:fldChar w:fldCharType="begin"/>
      </w:r>
      <w:r w:rsidR="003D434B">
        <w:instrText xml:space="preserve"> ADDIN ZOTERO_BIBL {"uncited":[],"omitted":[],"custom":[]} CSL_BIBLIOGRAPHY </w:instrText>
      </w:r>
      <w:r>
        <w:fldChar w:fldCharType="separate"/>
      </w:r>
      <w:r w:rsidRPr="008268DE">
        <w:rPr>
          <w:szCs w:val="24"/>
        </w:rPr>
        <w:t xml:space="preserve">Nicholas J. Saunders, </w:t>
      </w:r>
      <w:r w:rsidRPr="008268DE">
        <w:rPr>
          <w:i/>
          <w:iCs/>
          <w:szCs w:val="24"/>
        </w:rPr>
        <w:t>Matters of Conflict: Material Culture, Memory and the First World War</w:t>
      </w:r>
      <w:r w:rsidRPr="008268DE">
        <w:rPr>
          <w:szCs w:val="24"/>
        </w:rPr>
        <w:t xml:space="preserve">, 1st edn (Routledge, 2004) </w:t>
      </w:r>
      <w:r w:rsidR="003D434B">
        <w:rPr>
          <w:szCs w:val="24"/>
        </w:rPr>
        <w:t xml:space="preserve"> p. 14 </w:t>
      </w:r>
      <w:r w:rsidRPr="008268DE">
        <w:rPr>
          <w:szCs w:val="24"/>
        </w:rPr>
        <w:t>&lt;https://doi.org/10.4324/9780203502549&gt;.</w:t>
      </w:r>
      <w:r>
        <w:fldChar w:fldCharType="end"/>
      </w:r>
    </w:p>
  </w:footnote>
  <w:footnote w:id="27">
    <w:p w14:paraId="3635872C" w14:textId="696A4665" w:rsidR="0045438D" w:rsidRDefault="0045438D" w:rsidP="00B051DF">
      <w:pPr>
        <w:pStyle w:val="FootnoteText"/>
      </w:pPr>
      <w:r>
        <w:rPr>
          <w:rStyle w:val="FootnoteReference"/>
        </w:rPr>
        <w:footnoteRef/>
      </w:r>
      <w:r>
        <w:t xml:space="preserve"> </w:t>
      </w:r>
      <w:r>
        <w:fldChar w:fldCharType="begin"/>
      </w:r>
      <w:r w:rsidR="00FB3887">
        <w:instrText xml:space="preserve"> ADDIN ZOTERO_ITEM CSL_CITATION {"citationID":"Ne3YS93a","properties":{"formattedCitation":"Matthew Graves and Elizabeth Rechniewski, \\uc0\\u8216{}From Collective Memory to Transcultural Remembrance\\uc0\\u8217{}, {\\i{}Portal\\uc0\\u8239{}: Journal of Multidisciplinary International Studies}, 7.1 (2010), 1.","plainCitation":"Matthew Graves and Elizabeth Rechniewski, ‘From Collective Memory to Transcultural Remembrance’, Portal : Journal of Multidisciplinary International Studies, 7.1 (2010), 1.","noteIndex":29},"citationItems":[{"id":585,"uris":["http://zotero.org/users/local/Cjm78u2t/items/98AP7X38"],"uri":["http://zotero.org/users/local/Cjm78u2t/items/98AP7X38"],"itemData":{"id":585,"type":"article-journal","title":"From collective memory to transcultural remembrance","container-title":"Portal : Journal of Multidisciplinary International Studies","page":"1","volume":"7","issue":"1","source":"search.informit.com.au","abstract":"We can identify a 'turn to memory' in both the policies and practices of state and community organisations and the attention of the academic community over the last thirty years or so, a period that roughly corresponds to what, in the 1980s, Pierre Nora described as the 'era of commemoration.' There are many explanations offered for this turn; its existential origins include the 'crisis of history,' a particular example of the broader crises in representation that flow from the collapse of linear conceptualisations of time and progress and of the grand narratives of the past two centuries. David Harvey refers to this transformation of concepts of temporality as 'time-space compression': the acceleration of time and shrinking of space through globalisation that affects our sense of our place in the world, and our very idea of self (2001: 123-24). Resort to memory is one form of resistance to the 'utopia' of globalisation, a way of re-anchoring ourselves in space and time; the redemptive power of memory is compensation for the social and psychological disruption of 'super modernity' and the 'loss of place,' of rootedness, that accompanies it (Auge 1995). Memory seems to offer the authenticity that history has lost, one that claims to be based on direct transmission, lived experience or family or community tradition. And yet the turn to memory is in itself a symptom of its own decline: students of collective memory have long recognised that it is precisely when memory begins to lose its power and its salience in determining individual and communal daily life that it becomes necessary to consciously promote it, to concretise it in ritual and record, to revive or reinvent it through the construction of 'traditions.'","language":"EN","author":[{"family":"Graves","given":"Matthew"},{"family":"Rechniewski","given":"Elizabeth"}],"issued":{"date-parts":[["2010"]]}}}],"schema":"https://github.com/citation-style-language/schema/raw/master/csl-citation.json"} </w:instrText>
      </w:r>
      <w:r>
        <w:fldChar w:fldCharType="separate"/>
      </w:r>
      <w:r w:rsidRPr="00B051DF">
        <w:rPr>
          <w:szCs w:val="24"/>
        </w:rPr>
        <w:t xml:space="preserve">Matthew Graves and Elizabeth Rechniewski, ‘From Collective Memory to Transcultural Remembrance’, </w:t>
      </w:r>
      <w:r w:rsidRPr="00B051DF">
        <w:rPr>
          <w:i/>
          <w:iCs/>
          <w:szCs w:val="24"/>
        </w:rPr>
        <w:t>Portal : Journal of Multidisciplinary International Studies</w:t>
      </w:r>
      <w:r w:rsidRPr="00B051DF">
        <w:rPr>
          <w:szCs w:val="24"/>
        </w:rPr>
        <w:t>, 7.1 (2010), 1.</w:t>
      </w:r>
      <w:r>
        <w:fldChar w:fldCharType="end"/>
      </w:r>
    </w:p>
  </w:footnote>
  <w:footnote w:id="28">
    <w:p w14:paraId="758E762D" w14:textId="2C1298DD" w:rsidR="0045438D" w:rsidRDefault="0045438D">
      <w:pPr>
        <w:pStyle w:val="FootnoteText"/>
      </w:pPr>
      <w:r>
        <w:rPr>
          <w:rStyle w:val="FootnoteReference"/>
        </w:rPr>
        <w:footnoteRef/>
      </w:r>
      <w:r>
        <w:t xml:space="preserve"> </w:t>
      </w:r>
      <w:r>
        <w:fldChar w:fldCharType="begin"/>
      </w:r>
      <w:r w:rsidR="00106C4F">
        <w:instrText xml:space="preserve"> ADDIN ZOTERO_ITEM CSL_CITATION {"citationID":"06TA7LQc","properties":{"formattedCitation":"Donaldson.","plainCitation":"Donaldson.","noteIndex":28},"citationItems":[{"id":605,"uris":["http://zotero.org/users/local/Cjm78u2t/items/WKJ4EUNQ"],"uri":["http://zotero.org/users/local/Cjm78u2t/items/WKJ4EUNQ"],"itemData":{"id":605,"type":"book","title":"Ritual and Remembrance: the Memorialisation of the Great War in East Kent","publisher":"Cambridge Scholars Press","number-of-pages":"350","source":"kar.kent.ac.uk","abstract":"This book seeks to explore the spate of memorial construction that took place at civic and local level in the immediate aftermath of the Great War. At the heart of the work lies an examination of the layering of memory in this commemorative activity as the war dead were remembered in their various different roles, as citizens, work colleagues, school alumni, club members, parishioners, regimental comrades and, of course, fathers, husbands and sons. The study concentrates on the major urban centres of Canterbury, Folkestone and Dover, each of which experienced something of a revival during the war years and sought to perpetuate this renewed standing through the rituals of remembrance. Yet, though the focus is on the conflicts and compromises that underpinned communal commemoration, sight is not lost of the private tragedies that lay at the heart of collective remembrance. In uncovering the process by which local dignitaries actively sought the participation of the bereaved in the rites of constructing a war memorial, not least through the compilation of the names of the fallen, an impression of the almost palpable sense of sorrow that pervaded society in the immediate aftermath of the fighting is captured. It is the impact of these conflicting claims, the tension that existed within this complex matrix of remembrance and the extent to which the memory of the fallen was shaped by the demands of competing schemes that forms the basis of this study. In particular the focus falls on the memorialisation process itself, the debates over form and style, the rituals of naming and financing and the ceremonies for unveiling and dedication, for it was in this often lengthy and convoluted process that those in authority could assume control over the rites of mourning and transform private grief into a public narrative.","URL":"https://kar.kent.ac.uk/53916/","ISBN":"978-1-84718-023-0","shortTitle":"Ritual and Remembrance","language":"en","author":[{"family":"Donaldson","given":"Peter"}],"issued":{"date-parts":[["2006",8,1]]},"accessed":{"date-parts":[["2019",11,4]]}}}],"schema":"https://github.com/citation-style-language/schema/raw/master/csl-citation.json"} </w:instrText>
      </w:r>
      <w:r>
        <w:fldChar w:fldCharType="separate"/>
      </w:r>
      <w:r w:rsidRPr="001B7D55">
        <w:t>Donaldson.</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E6A73"/>
    <w:multiLevelType w:val="hybridMultilevel"/>
    <w:tmpl w:val="523E8D24"/>
    <w:lvl w:ilvl="0" w:tplc="8F925BCE">
      <w:numFmt w:val="bullet"/>
      <w:lvlText w:val="-"/>
      <w:lvlJc w:val="left"/>
      <w:pPr>
        <w:ind w:left="504" w:hanging="360"/>
      </w:pPr>
      <w:rPr>
        <w:rFonts w:ascii="Trebuchet MS" w:eastAsia="Times New Roman" w:hAnsi="Trebuchet MS" w:cs="Times New Roman"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 w15:restartNumberingAfterBreak="0">
    <w:nsid w:val="354D7FF5"/>
    <w:multiLevelType w:val="hybridMultilevel"/>
    <w:tmpl w:val="D1DC88B2"/>
    <w:lvl w:ilvl="0" w:tplc="790885EA">
      <w:numFmt w:val="bullet"/>
      <w:lvlText w:val="-"/>
      <w:lvlJc w:val="left"/>
      <w:pPr>
        <w:ind w:left="576" w:hanging="360"/>
      </w:pPr>
      <w:rPr>
        <w:rFonts w:ascii="Trebuchet MS" w:eastAsia="Times New Roman" w:hAnsi="Trebuchet MS" w:cs="Times New Roman" w:hint="default"/>
      </w:rPr>
    </w:lvl>
    <w:lvl w:ilvl="1" w:tplc="08090003" w:tentative="1">
      <w:start w:val="1"/>
      <w:numFmt w:val="bullet"/>
      <w:lvlText w:val="o"/>
      <w:lvlJc w:val="left"/>
      <w:pPr>
        <w:ind w:left="1296" w:hanging="360"/>
      </w:pPr>
      <w:rPr>
        <w:rFonts w:ascii="Courier New" w:hAnsi="Courier New" w:cs="Courier New" w:hint="default"/>
      </w:rPr>
    </w:lvl>
    <w:lvl w:ilvl="2" w:tplc="08090005" w:tentative="1">
      <w:start w:val="1"/>
      <w:numFmt w:val="bullet"/>
      <w:lvlText w:val=""/>
      <w:lvlJc w:val="left"/>
      <w:pPr>
        <w:ind w:left="2016" w:hanging="360"/>
      </w:pPr>
      <w:rPr>
        <w:rFonts w:ascii="Wingdings" w:hAnsi="Wingdings" w:hint="default"/>
      </w:rPr>
    </w:lvl>
    <w:lvl w:ilvl="3" w:tplc="08090001" w:tentative="1">
      <w:start w:val="1"/>
      <w:numFmt w:val="bullet"/>
      <w:lvlText w:val=""/>
      <w:lvlJc w:val="left"/>
      <w:pPr>
        <w:ind w:left="2736" w:hanging="360"/>
      </w:pPr>
      <w:rPr>
        <w:rFonts w:ascii="Symbol" w:hAnsi="Symbol" w:hint="default"/>
      </w:rPr>
    </w:lvl>
    <w:lvl w:ilvl="4" w:tplc="08090003" w:tentative="1">
      <w:start w:val="1"/>
      <w:numFmt w:val="bullet"/>
      <w:lvlText w:val="o"/>
      <w:lvlJc w:val="left"/>
      <w:pPr>
        <w:ind w:left="3456" w:hanging="360"/>
      </w:pPr>
      <w:rPr>
        <w:rFonts w:ascii="Courier New" w:hAnsi="Courier New" w:cs="Courier New" w:hint="default"/>
      </w:rPr>
    </w:lvl>
    <w:lvl w:ilvl="5" w:tplc="08090005" w:tentative="1">
      <w:start w:val="1"/>
      <w:numFmt w:val="bullet"/>
      <w:lvlText w:val=""/>
      <w:lvlJc w:val="left"/>
      <w:pPr>
        <w:ind w:left="4176" w:hanging="360"/>
      </w:pPr>
      <w:rPr>
        <w:rFonts w:ascii="Wingdings" w:hAnsi="Wingdings" w:hint="default"/>
      </w:rPr>
    </w:lvl>
    <w:lvl w:ilvl="6" w:tplc="08090001" w:tentative="1">
      <w:start w:val="1"/>
      <w:numFmt w:val="bullet"/>
      <w:lvlText w:val=""/>
      <w:lvlJc w:val="left"/>
      <w:pPr>
        <w:ind w:left="4896" w:hanging="360"/>
      </w:pPr>
      <w:rPr>
        <w:rFonts w:ascii="Symbol" w:hAnsi="Symbol" w:hint="default"/>
      </w:rPr>
    </w:lvl>
    <w:lvl w:ilvl="7" w:tplc="08090003" w:tentative="1">
      <w:start w:val="1"/>
      <w:numFmt w:val="bullet"/>
      <w:lvlText w:val="o"/>
      <w:lvlJc w:val="left"/>
      <w:pPr>
        <w:ind w:left="5616" w:hanging="360"/>
      </w:pPr>
      <w:rPr>
        <w:rFonts w:ascii="Courier New" w:hAnsi="Courier New" w:cs="Courier New" w:hint="default"/>
      </w:rPr>
    </w:lvl>
    <w:lvl w:ilvl="8" w:tplc="08090005" w:tentative="1">
      <w:start w:val="1"/>
      <w:numFmt w:val="bullet"/>
      <w:lvlText w:val=""/>
      <w:lvlJc w:val="left"/>
      <w:pPr>
        <w:ind w:left="6336" w:hanging="360"/>
      </w:pPr>
      <w:rPr>
        <w:rFonts w:ascii="Wingdings" w:hAnsi="Wingdings" w:hint="default"/>
      </w:rPr>
    </w:lvl>
  </w:abstractNum>
  <w:abstractNum w:abstractNumId="2" w15:restartNumberingAfterBreak="0">
    <w:nsid w:val="6F3B6B22"/>
    <w:multiLevelType w:val="hybridMultilevel"/>
    <w:tmpl w:val="8B0E3D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1DF"/>
    <w:rsid w:val="00065CD3"/>
    <w:rsid w:val="000D4BE0"/>
    <w:rsid w:val="000F1F53"/>
    <w:rsid w:val="00106C4F"/>
    <w:rsid w:val="00175B15"/>
    <w:rsid w:val="001B7D55"/>
    <w:rsid w:val="001D535C"/>
    <w:rsid w:val="00206F25"/>
    <w:rsid w:val="002208CB"/>
    <w:rsid w:val="0022427F"/>
    <w:rsid w:val="002375DD"/>
    <w:rsid w:val="00241CDC"/>
    <w:rsid w:val="0038420C"/>
    <w:rsid w:val="003D434B"/>
    <w:rsid w:val="00404CAE"/>
    <w:rsid w:val="00441584"/>
    <w:rsid w:val="0045438D"/>
    <w:rsid w:val="004678B9"/>
    <w:rsid w:val="00473DB0"/>
    <w:rsid w:val="00496622"/>
    <w:rsid w:val="004B724C"/>
    <w:rsid w:val="0053211F"/>
    <w:rsid w:val="00560576"/>
    <w:rsid w:val="00570EBC"/>
    <w:rsid w:val="005A3E8E"/>
    <w:rsid w:val="0069702B"/>
    <w:rsid w:val="006B7773"/>
    <w:rsid w:val="0075426D"/>
    <w:rsid w:val="00790FF5"/>
    <w:rsid w:val="007B1382"/>
    <w:rsid w:val="007B24BE"/>
    <w:rsid w:val="007C5A7A"/>
    <w:rsid w:val="007E15DA"/>
    <w:rsid w:val="007E2B11"/>
    <w:rsid w:val="00800FC6"/>
    <w:rsid w:val="00807702"/>
    <w:rsid w:val="00807F1B"/>
    <w:rsid w:val="008268DE"/>
    <w:rsid w:val="00882E1D"/>
    <w:rsid w:val="008A3EEA"/>
    <w:rsid w:val="008A6D45"/>
    <w:rsid w:val="008B46EE"/>
    <w:rsid w:val="008C35DD"/>
    <w:rsid w:val="008D6D72"/>
    <w:rsid w:val="008E63B9"/>
    <w:rsid w:val="008E6EC3"/>
    <w:rsid w:val="00922880"/>
    <w:rsid w:val="009672F0"/>
    <w:rsid w:val="009A548E"/>
    <w:rsid w:val="009B451F"/>
    <w:rsid w:val="009F5BE1"/>
    <w:rsid w:val="009F76B1"/>
    <w:rsid w:val="00A05664"/>
    <w:rsid w:val="00A136AD"/>
    <w:rsid w:val="00A70711"/>
    <w:rsid w:val="00AA0058"/>
    <w:rsid w:val="00AD5DF6"/>
    <w:rsid w:val="00B0040F"/>
    <w:rsid w:val="00B051DF"/>
    <w:rsid w:val="00B52F5C"/>
    <w:rsid w:val="00B76755"/>
    <w:rsid w:val="00B963B2"/>
    <w:rsid w:val="00BF6700"/>
    <w:rsid w:val="00C14226"/>
    <w:rsid w:val="00C264A1"/>
    <w:rsid w:val="00C82F65"/>
    <w:rsid w:val="00CB1B29"/>
    <w:rsid w:val="00CC196E"/>
    <w:rsid w:val="00D6710B"/>
    <w:rsid w:val="00D9233A"/>
    <w:rsid w:val="00D96725"/>
    <w:rsid w:val="00DD1A67"/>
    <w:rsid w:val="00E1080C"/>
    <w:rsid w:val="00E77CC1"/>
    <w:rsid w:val="00E84CFB"/>
    <w:rsid w:val="00EB53DB"/>
    <w:rsid w:val="00EC29C8"/>
    <w:rsid w:val="00F046AA"/>
    <w:rsid w:val="00F07FE8"/>
    <w:rsid w:val="00F47C1D"/>
    <w:rsid w:val="00FB3887"/>
    <w:rsid w:val="00FC1C83"/>
    <w:rsid w:val="00FF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664A7"/>
  <w15:chartTrackingRefBased/>
  <w15:docId w15:val="{EE4BA269-802B-4540-BBE9-AF894C46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1DF"/>
    <w:pPr>
      <w:spacing w:after="0" w:line="240" w:lineRule="auto"/>
    </w:pPr>
    <w:rPr>
      <w:rFonts w:ascii="Times New Roman" w:eastAsia="Times New Roman" w:hAnsi="Times New Roman" w:cs="Times New Roman"/>
      <w:spacing w:val="0"/>
      <w:sz w:val="24"/>
      <w:szCs w:val="24"/>
    </w:rPr>
  </w:style>
  <w:style w:type="paragraph" w:styleId="Heading2">
    <w:name w:val="heading 2"/>
    <w:basedOn w:val="Normal"/>
    <w:next w:val="Normal"/>
    <w:link w:val="Heading2Char"/>
    <w:uiPriority w:val="9"/>
    <w:unhideWhenUsed/>
    <w:qFormat/>
    <w:rsid w:val="00B051D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51DF"/>
    <w:rPr>
      <w:rFonts w:asciiTheme="majorHAnsi" w:eastAsiaTheme="majorEastAsia" w:hAnsiTheme="majorHAnsi" w:cstheme="majorBidi"/>
      <w:color w:val="2F5496" w:themeColor="accent1" w:themeShade="BF"/>
      <w:spacing w:val="0"/>
      <w:sz w:val="26"/>
      <w:szCs w:val="26"/>
    </w:rPr>
  </w:style>
  <w:style w:type="paragraph" w:styleId="FootnoteText">
    <w:name w:val="footnote text"/>
    <w:basedOn w:val="Normal"/>
    <w:link w:val="FootnoteTextChar"/>
    <w:uiPriority w:val="99"/>
    <w:semiHidden/>
    <w:unhideWhenUsed/>
    <w:rsid w:val="00B051DF"/>
    <w:rPr>
      <w:sz w:val="20"/>
      <w:szCs w:val="20"/>
    </w:rPr>
  </w:style>
  <w:style w:type="character" w:customStyle="1" w:styleId="FootnoteTextChar">
    <w:name w:val="Footnote Text Char"/>
    <w:basedOn w:val="DefaultParagraphFont"/>
    <w:link w:val="FootnoteText"/>
    <w:uiPriority w:val="99"/>
    <w:semiHidden/>
    <w:rsid w:val="00B051DF"/>
    <w:rPr>
      <w:rFonts w:ascii="Times New Roman" w:eastAsia="Times New Roman" w:hAnsi="Times New Roman" w:cs="Times New Roman"/>
      <w:spacing w:val="0"/>
      <w:sz w:val="20"/>
      <w:szCs w:val="20"/>
    </w:rPr>
  </w:style>
  <w:style w:type="character" w:styleId="FootnoteReference">
    <w:name w:val="footnote reference"/>
    <w:basedOn w:val="DefaultParagraphFont"/>
    <w:uiPriority w:val="99"/>
    <w:semiHidden/>
    <w:unhideWhenUsed/>
    <w:rsid w:val="00B051DF"/>
    <w:rPr>
      <w:vertAlign w:val="superscript"/>
    </w:rPr>
  </w:style>
  <w:style w:type="paragraph" w:styleId="ListParagraph">
    <w:name w:val="List Paragraph"/>
    <w:basedOn w:val="Normal"/>
    <w:uiPriority w:val="34"/>
    <w:qFormat/>
    <w:rsid w:val="00CB1B29"/>
    <w:pPr>
      <w:ind w:left="720"/>
      <w:contextualSpacing/>
    </w:pPr>
  </w:style>
  <w:style w:type="character" w:styleId="CommentReference">
    <w:name w:val="annotation reference"/>
    <w:basedOn w:val="DefaultParagraphFont"/>
    <w:uiPriority w:val="99"/>
    <w:semiHidden/>
    <w:unhideWhenUsed/>
    <w:rsid w:val="00B963B2"/>
    <w:rPr>
      <w:sz w:val="16"/>
      <w:szCs w:val="16"/>
    </w:rPr>
  </w:style>
  <w:style w:type="paragraph" w:styleId="CommentText">
    <w:name w:val="annotation text"/>
    <w:basedOn w:val="Normal"/>
    <w:link w:val="CommentTextChar"/>
    <w:uiPriority w:val="99"/>
    <w:semiHidden/>
    <w:unhideWhenUsed/>
    <w:rsid w:val="00B963B2"/>
    <w:rPr>
      <w:sz w:val="20"/>
      <w:szCs w:val="20"/>
    </w:rPr>
  </w:style>
  <w:style w:type="character" w:customStyle="1" w:styleId="CommentTextChar">
    <w:name w:val="Comment Text Char"/>
    <w:basedOn w:val="DefaultParagraphFont"/>
    <w:link w:val="CommentText"/>
    <w:uiPriority w:val="99"/>
    <w:semiHidden/>
    <w:rsid w:val="00B963B2"/>
    <w:rPr>
      <w:rFonts w:ascii="Times New Roman" w:eastAsia="Times New Roman" w:hAnsi="Times New Roman" w:cs="Times New Roman"/>
      <w:spacing w:val="0"/>
      <w:sz w:val="20"/>
      <w:szCs w:val="20"/>
    </w:rPr>
  </w:style>
  <w:style w:type="paragraph" w:styleId="CommentSubject">
    <w:name w:val="annotation subject"/>
    <w:basedOn w:val="CommentText"/>
    <w:next w:val="CommentText"/>
    <w:link w:val="CommentSubjectChar"/>
    <w:uiPriority w:val="99"/>
    <w:semiHidden/>
    <w:unhideWhenUsed/>
    <w:rsid w:val="00B963B2"/>
    <w:rPr>
      <w:b/>
      <w:bCs/>
    </w:rPr>
  </w:style>
  <w:style w:type="character" w:customStyle="1" w:styleId="CommentSubjectChar">
    <w:name w:val="Comment Subject Char"/>
    <w:basedOn w:val="CommentTextChar"/>
    <w:link w:val="CommentSubject"/>
    <w:uiPriority w:val="99"/>
    <w:semiHidden/>
    <w:rsid w:val="00B963B2"/>
    <w:rPr>
      <w:rFonts w:ascii="Times New Roman" w:eastAsia="Times New Roman" w:hAnsi="Times New Roman" w:cs="Times New Roman"/>
      <w:b/>
      <w:bCs/>
      <w:spacing w:val="0"/>
      <w:sz w:val="20"/>
      <w:szCs w:val="20"/>
    </w:rPr>
  </w:style>
  <w:style w:type="paragraph" w:styleId="BalloonText">
    <w:name w:val="Balloon Text"/>
    <w:basedOn w:val="Normal"/>
    <w:link w:val="BalloonTextChar"/>
    <w:uiPriority w:val="99"/>
    <w:semiHidden/>
    <w:unhideWhenUsed/>
    <w:rsid w:val="00B963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3B2"/>
    <w:rPr>
      <w:rFonts w:ascii="Segoe UI" w:eastAsia="Times New Roman" w:hAnsi="Segoe UI" w:cs="Segoe UI"/>
      <w:spacing w:val="0"/>
      <w:sz w:val="18"/>
      <w:szCs w:val="18"/>
    </w:rPr>
  </w:style>
  <w:style w:type="paragraph" w:styleId="Bibliography">
    <w:name w:val="Bibliography"/>
    <w:basedOn w:val="Normal"/>
    <w:next w:val="Normal"/>
    <w:uiPriority w:val="37"/>
    <w:unhideWhenUsed/>
    <w:rsid w:val="003D434B"/>
    <w:pPr>
      <w:spacing w:after="240"/>
      <w:ind w:left="720" w:hanging="720"/>
    </w:pPr>
  </w:style>
  <w:style w:type="character" w:styleId="Hyperlink">
    <w:name w:val="Hyperlink"/>
    <w:basedOn w:val="DefaultParagraphFont"/>
    <w:uiPriority w:val="99"/>
    <w:unhideWhenUsed/>
    <w:rsid w:val="003D434B"/>
    <w:rPr>
      <w:color w:val="0563C1" w:themeColor="hyperlink"/>
      <w:u w:val="single"/>
    </w:rPr>
  </w:style>
  <w:style w:type="character" w:styleId="UnresolvedMention">
    <w:name w:val="Unresolved Mention"/>
    <w:basedOn w:val="DefaultParagraphFont"/>
    <w:uiPriority w:val="99"/>
    <w:semiHidden/>
    <w:unhideWhenUsed/>
    <w:rsid w:val="003D4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541831">
      <w:bodyDiv w:val="1"/>
      <w:marLeft w:val="0"/>
      <w:marRight w:val="0"/>
      <w:marTop w:val="0"/>
      <w:marBottom w:val="0"/>
      <w:divBdr>
        <w:top w:val="none" w:sz="0" w:space="0" w:color="auto"/>
        <w:left w:val="none" w:sz="0" w:space="0" w:color="auto"/>
        <w:bottom w:val="none" w:sz="0" w:space="0" w:color="auto"/>
        <w:right w:val="none" w:sz="0" w:space="0" w:color="auto"/>
      </w:divBdr>
      <w:divsChild>
        <w:div w:id="178740432">
          <w:marLeft w:val="0"/>
          <w:marRight w:val="0"/>
          <w:marTop w:val="0"/>
          <w:marBottom w:val="0"/>
          <w:divBdr>
            <w:top w:val="none" w:sz="0" w:space="0" w:color="auto"/>
            <w:left w:val="none" w:sz="0" w:space="0" w:color="auto"/>
            <w:bottom w:val="none" w:sz="0" w:space="0" w:color="auto"/>
            <w:right w:val="none" w:sz="0" w:space="0" w:color="auto"/>
          </w:divBdr>
        </w:div>
        <w:div w:id="336155976">
          <w:marLeft w:val="0"/>
          <w:marRight w:val="0"/>
          <w:marTop w:val="0"/>
          <w:marBottom w:val="0"/>
          <w:divBdr>
            <w:top w:val="none" w:sz="0" w:space="0" w:color="auto"/>
            <w:left w:val="none" w:sz="0" w:space="0" w:color="auto"/>
            <w:bottom w:val="none" w:sz="0" w:space="0" w:color="auto"/>
            <w:right w:val="none" w:sz="0" w:space="0" w:color="auto"/>
          </w:divBdr>
        </w:div>
        <w:div w:id="755828036">
          <w:marLeft w:val="0"/>
          <w:marRight w:val="0"/>
          <w:marTop w:val="0"/>
          <w:marBottom w:val="0"/>
          <w:divBdr>
            <w:top w:val="none" w:sz="0" w:space="0" w:color="auto"/>
            <w:left w:val="none" w:sz="0" w:space="0" w:color="auto"/>
            <w:bottom w:val="none" w:sz="0" w:space="0" w:color="auto"/>
            <w:right w:val="none" w:sz="0" w:space="0" w:color="auto"/>
          </w:divBdr>
        </w:div>
        <w:div w:id="863055638">
          <w:marLeft w:val="0"/>
          <w:marRight w:val="0"/>
          <w:marTop w:val="0"/>
          <w:marBottom w:val="0"/>
          <w:divBdr>
            <w:top w:val="none" w:sz="0" w:space="0" w:color="auto"/>
            <w:left w:val="none" w:sz="0" w:space="0" w:color="auto"/>
            <w:bottom w:val="none" w:sz="0" w:space="0" w:color="auto"/>
            <w:right w:val="none" w:sz="0" w:space="0" w:color="auto"/>
          </w:divBdr>
        </w:div>
        <w:div w:id="1110125420">
          <w:marLeft w:val="0"/>
          <w:marRight w:val="0"/>
          <w:marTop w:val="0"/>
          <w:marBottom w:val="0"/>
          <w:divBdr>
            <w:top w:val="none" w:sz="0" w:space="0" w:color="auto"/>
            <w:left w:val="none" w:sz="0" w:space="0" w:color="auto"/>
            <w:bottom w:val="none" w:sz="0" w:space="0" w:color="auto"/>
            <w:right w:val="none" w:sz="0" w:space="0" w:color="auto"/>
          </w:divBdr>
        </w:div>
        <w:div w:id="1224215507">
          <w:marLeft w:val="0"/>
          <w:marRight w:val="0"/>
          <w:marTop w:val="0"/>
          <w:marBottom w:val="0"/>
          <w:divBdr>
            <w:top w:val="none" w:sz="0" w:space="0" w:color="auto"/>
            <w:left w:val="none" w:sz="0" w:space="0" w:color="auto"/>
            <w:bottom w:val="none" w:sz="0" w:space="0" w:color="auto"/>
            <w:right w:val="none" w:sz="0" w:space="0" w:color="auto"/>
          </w:divBdr>
        </w:div>
        <w:div w:id="1574662446">
          <w:marLeft w:val="0"/>
          <w:marRight w:val="0"/>
          <w:marTop w:val="0"/>
          <w:marBottom w:val="0"/>
          <w:divBdr>
            <w:top w:val="none" w:sz="0" w:space="0" w:color="auto"/>
            <w:left w:val="none" w:sz="0" w:space="0" w:color="auto"/>
            <w:bottom w:val="none" w:sz="0" w:space="0" w:color="auto"/>
            <w:right w:val="none" w:sz="0" w:space="0" w:color="auto"/>
          </w:divBdr>
        </w:div>
        <w:div w:id="1594245894">
          <w:marLeft w:val="0"/>
          <w:marRight w:val="0"/>
          <w:marTop w:val="0"/>
          <w:marBottom w:val="0"/>
          <w:divBdr>
            <w:top w:val="none" w:sz="0" w:space="0" w:color="auto"/>
            <w:left w:val="none" w:sz="0" w:space="0" w:color="auto"/>
            <w:bottom w:val="none" w:sz="0" w:space="0" w:color="auto"/>
            <w:right w:val="none" w:sz="0" w:space="0" w:color="auto"/>
          </w:divBdr>
        </w:div>
        <w:div w:id="2033189175">
          <w:marLeft w:val="0"/>
          <w:marRight w:val="0"/>
          <w:marTop w:val="0"/>
          <w:marBottom w:val="0"/>
          <w:divBdr>
            <w:top w:val="none" w:sz="0" w:space="0" w:color="auto"/>
            <w:left w:val="none" w:sz="0" w:space="0" w:color="auto"/>
            <w:bottom w:val="none" w:sz="0" w:space="0" w:color="auto"/>
            <w:right w:val="none" w:sz="0" w:space="0" w:color="auto"/>
          </w:divBdr>
        </w:div>
      </w:divsChild>
    </w:div>
    <w:div w:id="832188123">
      <w:bodyDiv w:val="1"/>
      <w:marLeft w:val="0"/>
      <w:marRight w:val="0"/>
      <w:marTop w:val="0"/>
      <w:marBottom w:val="0"/>
      <w:divBdr>
        <w:top w:val="none" w:sz="0" w:space="0" w:color="auto"/>
        <w:left w:val="none" w:sz="0" w:space="0" w:color="auto"/>
        <w:bottom w:val="none" w:sz="0" w:space="0" w:color="auto"/>
        <w:right w:val="none" w:sz="0" w:space="0" w:color="auto"/>
      </w:divBdr>
      <w:divsChild>
        <w:div w:id="216820368">
          <w:marLeft w:val="0"/>
          <w:marRight w:val="0"/>
          <w:marTop w:val="0"/>
          <w:marBottom w:val="0"/>
          <w:divBdr>
            <w:top w:val="none" w:sz="0" w:space="0" w:color="auto"/>
            <w:left w:val="none" w:sz="0" w:space="0" w:color="auto"/>
            <w:bottom w:val="none" w:sz="0" w:space="0" w:color="auto"/>
            <w:right w:val="none" w:sz="0" w:space="0" w:color="auto"/>
          </w:divBdr>
        </w:div>
        <w:div w:id="429590431">
          <w:marLeft w:val="0"/>
          <w:marRight w:val="0"/>
          <w:marTop w:val="0"/>
          <w:marBottom w:val="0"/>
          <w:divBdr>
            <w:top w:val="none" w:sz="0" w:space="0" w:color="auto"/>
            <w:left w:val="none" w:sz="0" w:space="0" w:color="auto"/>
            <w:bottom w:val="none" w:sz="0" w:space="0" w:color="auto"/>
            <w:right w:val="none" w:sz="0" w:space="0" w:color="auto"/>
          </w:divBdr>
        </w:div>
        <w:div w:id="468669443">
          <w:marLeft w:val="0"/>
          <w:marRight w:val="0"/>
          <w:marTop w:val="0"/>
          <w:marBottom w:val="0"/>
          <w:divBdr>
            <w:top w:val="none" w:sz="0" w:space="0" w:color="auto"/>
            <w:left w:val="none" w:sz="0" w:space="0" w:color="auto"/>
            <w:bottom w:val="none" w:sz="0" w:space="0" w:color="auto"/>
            <w:right w:val="none" w:sz="0" w:space="0" w:color="auto"/>
          </w:divBdr>
        </w:div>
        <w:div w:id="1270743835">
          <w:marLeft w:val="0"/>
          <w:marRight w:val="0"/>
          <w:marTop w:val="0"/>
          <w:marBottom w:val="0"/>
          <w:divBdr>
            <w:top w:val="none" w:sz="0" w:space="0" w:color="auto"/>
            <w:left w:val="none" w:sz="0" w:space="0" w:color="auto"/>
            <w:bottom w:val="none" w:sz="0" w:space="0" w:color="auto"/>
            <w:right w:val="none" w:sz="0" w:space="0" w:color="auto"/>
          </w:divBdr>
        </w:div>
        <w:div w:id="1800107033">
          <w:marLeft w:val="0"/>
          <w:marRight w:val="0"/>
          <w:marTop w:val="0"/>
          <w:marBottom w:val="0"/>
          <w:divBdr>
            <w:top w:val="none" w:sz="0" w:space="0" w:color="auto"/>
            <w:left w:val="none" w:sz="0" w:space="0" w:color="auto"/>
            <w:bottom w:val="none" w:sz="0" w:space="0" w:color="auto"/>
            <w:right w:val="none" w:sz="0" w:space="0" w:color="auto"/>
          </w:divBdr>
        </w:div>
      </w:divsChild>
    </w:div>
    <w:div w:id="874386377">
      <w:bodyDiv w:val="1"/>
      <w:marLeft w:val="0"/>
      <w:marRight w:val="0"/>
      <w:marTop w:val="0"/>
      <w:marBottom w:val="0"/>
      <w:divBdr>
        <w:top w:val="none" w:sz="0" w:space="0" w:color="auto"/>
        <w:left w:val="none" w:sz="0" w:space="0" w:color="auto"/>
        <w:bottom w:val="none" w:sz="0" w:space="0" w:color="auto"/>
        <w:right w:val="none" w:sz="0" w:space="0" w:color="auto"/>
      </w:divBdr>
      <w:divsChild>
        <w:div w:id="1250965351">
          <w:marLeft w:val="0"/>
          <w:marRight w:val="0"/>
          <w:marTop w:val="0"/>
          <w:marBottom w:val="0"/>
          <w:divBdr>
            <w:top w:val="none" w:sz="0" w:space="0" w:color="auto"/>
            <w:left w:val="none" w:sz="0" w:space="0" w:color="auto"/>
            <w:bottom w:val="none" w:sz="0" w:space="0" w:color="auto"/>
            <w:right w:val="none" w:sz="0" w:space="0" w:color="auto"/>
          </w:divBdr>
        </w:div>
        <w:div w:id="200485099">
          <w:marLeft w:val="0"/>
          <w:marRight w:val="0"/>
          <w:marTop w:val="0"/>
          <w:marBottom w:val="0"/>
          <w:divBdr>
            <w:top w:val="none" w:sz="0" w:space="0" w:color="auto"/>
            <w:left w:val="none" w:sz="0" w:space="0" w:color="auto"/>
            <w:bottom w:val="none" w:sz="0" w:space="0" w:color="auto"/>
            <w:right w:val="none" w:sz="0" w:space="0" w:color="auto"/>
          </w:divBdr>
        </w:div>
        <w:div w:id="1542980830">
          <w:marLeft w:val="0"/>
          <w:marRight w:val="0"/>
          <w:marTop w:val="0"/>
          <w:marBottom w:val="0"/>
          <w:divBdr>
            <w:top w:val="none" w:sz="0" w:space="0" w:color="auto"/>
            <w:left w:val="none" w:sz="0" w:space="0" w:color="auto"/>
            <w:bottom w:val="none" w:sz="0" w:space="0" w:color="auto"/>
            <w:right w:val="none" w:sz="0" w:space="0" w:color="auto"/>
          </w:divBdr>
        </w:div>
      </w:divsChild>
    </w:div>
    <w:div w:id="1345664556">
      <w:bodyDiv w:val="1"/>
      <w:marLeft w:val="0"/>
      <w:marRight w:val="0"/>
      <w:marTop w:val="0"/>
      <w:marBottom w:val="0"/>
      <w:divBdr>
        <w:top w:val="none" w:sz="0" w:space="0" w:color="auto"/>
        <w:left w:val="none" w:sz="0" w:space="0" w:color="auto"/>
        <w:bottom w:val="none" w:sz="0" w:space="0" w:color="auto"/>
        <w:right w:val="none" w:sz="0" w:space="0" w:color="auto"/>
      </w:divBdr>
      <w:divsChild>
        <w:div w:id="14112279">
          <w:marLeft w:val="480"/>
          <w:marRight w:val="0"/>
          <w:marTop w:val="0"/>
          <w:marBottom w:val="0"/>
          <w:divBdr>
            <w:top w:val="none" w:sz="0" w:space="0" w:color="auto"/>
            <w:left w:val="none" w:sz="0" w:space="0" w:color="auto"/>
            <w:bottom w:val="none" w:sz="0" w:space="0" w:color="auto"/>
            <w:right w:val="none" w:sz="0" w:space="0" w:color="auto"/>
          </w:divBdr>
          <w:divsChild>
            <w:div w:id="352341326">
              <w:marLeft w:val="0"/>
              <w:marRight w:val="0"/>
              <w:marTop w:val="0"/>
              <w:marBottom w:val="240"/>
              <w:divBdr>
                <w:top w:val="none" w:sz="0" w:space="0" w:color="auto"/>
                <w:left w:val="none" w:sz="0" w:space="0" w:color="auto"/>
                <w:bottom w:val="none" w:sz="0" w:space="0" w:color="auto"/>
                <w:right w:val="none" w:sz="0" w:space="0" w:color="auto"/>
              </w:divBdr>
            </w:div>
            <w:div w:id="1009723206">
              <w:marLeft w:val="0"/>
              <w:marRight w:val="0"/>
              <w:marTop w:val="0"/>
              <w:marBottom w:val="240"/>
              <w:divBdr>
                <w:top w:val="none" w:sz="0" w:space="0" w:color="auto"/>
                <w:left w:val="none" w:sz="0" w:space="0" w:color="auto"/>
                <w:bottom w:val="none" w:sz="0" w:space="0" w:color="auto"/>
                <w:right w:val="none" w:sz="0" w:space="0" w:color="auto"/>
              </w:divBdr>
            </w:div>
            <w:div w:id="1171876352">
              <w:marLeft w:val="0"/>
              <w:marRight w:val="0"/>
              <w:marTop w:val="0"/>
              <w:marBottom w:val="240"/>
              <w:divBdr>
                <w:top w:val="none" w:sz="0" w:space="0" w:color="auto"/>
                <w:left w:val="none" w:sz="0" w:space="0" w:color="auto"/>
                <w:bottom w:val="none" w:sz="0" w:space="0" w:color="auto"/>
                <w:right w:val="none" w:sz="0" w:space="0" w:color="auto"/>
              </w:divBdr>
            </w:div>
            <w:div w:id="545292228">
              <w:marLeft w:val="0"/>
              <w:marRight w:val="0"/>
              <w:marTop w:val="0"/>
              <w:marBottom w:val="240"/>
              <w:divBdr>
                <w:top w:val="none" w:sz="0" w:space="0" w:color="auto"/>
                <w:left w:val="none" w:sz="0" w:space="0" w:color="auto"/>
                <w:bottom w:val="none" w:sz="0" w:space="0" w:color="auto"/>
                <w:right w:val="none" w:sz="0" w:space="0" w:color="auto"/>
              </w:divBdr>
            </w:div>
            <w:div w:id="689989435">
              <w:marLeft w:val="0"/>
              <w:marRight w:val="0"/>
              <w:marTop w:val="0"/>
              <w:marBottom w:val="240"/>
              <w:divBdr>
                <w:top w:val="none" w:sz="0" w:space="0" w:color="auto"/>
                <w:left w:val="none" w:sz="0" w:space="0" w:color="auto"/>
                <w:bottom w:val="none" w:sz="0" w:space="0" w:color="auto"/>
                <w:right w:val="none" w:sz="0" w:space="0" w:color="auto"/>
              </w:divBdr>
            </w:div>
            <w:div w:id="1937518284">
              <w:marLeft w:val="0"/>
              <w:marRight w:val="0"/>
              <w:marTop w:val="0"/>
              <w:marBottom w:val="240"/>
              <w:divBdr>
                <w:top w:val="none" w:sz="0" w:space="0" w:color="auto"/>
                <w:left w:val="none" w:sz="0" w:space="0" w:color="auto"/>
                <w:bottom w:val="none" w:sz="0" w:space="0" w:color="auto"/>
                <w:right w:val="none" w:sz="0" w:space="0" w:color="auto"/>
              </w:divBdr>
            </w:div>
            <w:div w:id="1616137215">
              <w:marLeft w:val="0"/>
              <w:marRight w:val="0"/>
              <w:marTop w:val="0"/>
              <w:marBottom w:val="240"/>
              <w:divBdr>
                <w:top w:val="none" w:sz="0" w:space="0" w:color="auto"/>
                <w:left w:val="none" w:sz="0" w:space="0" w:color="auto"/>
                <w:bottom w:val="none" w:sz="0" w:space="0" w:color="auto"/>
                <w:right w:val="none" w:sz="0" w:space="0" w:color="auto"/>
              </w:divBdr>
            </w:div>
            <w:div w:id="653609025">
              <w:marLeft w:val="0"/>
              <w:marRight w:val="0"/>
              <w:marTop w:val="0"/>
              <w:marBottom w:val="240"/>
              <w:divBdr>
                <w:top w:val="none" w:sz="0" w:space="0" w:color="auto"/>
                <w:left w:val="none" w:sz="0" w:space="0" w:color="auto"/>
                <w:bottom w:val="none" w:sz="0" w:space="0" w:color="auto"/>
                <w:right w:val="none" w:sz="0" w:space="0" w:color="auto"/>
              </w:divBdr>
            </w:div>
            <w:div w:id="2097433325">
              <w:marLeft w:val="0"/>
              <w:marRight w:val="0"/>
              <w:marTop w:val="0"/>
              <w:marBottom w:val="240"/>
              <w:divBdr>
                <w:top w:val="none" w:sz="0" w:space="0" w:color="auto"/>
                <w:left w:val="none" w:sz="0" w:space="0" w:color="auto"/>
                <w:bottom w:val="none" w:sz="0" w:space="0" w:color="auto"/>
                <w:right w:val="none" w:sz="0" w:space="0" w:color="auto"/>
              </w:divBdr>
            </w:div>
            <w:div w:id="275986219">
              <w:marLeft w:val="0"/>
              <w:marRight w:val="0"/>
              <w:marTop w:val="0"/>
              <w:marBottom w:val="240"/>
              <w:divBdr>
                <w:top w:val="none" w:sz="0" w:space="0" w:color="auto"/>
                <w:left w:val="none" w:sz="0" w:space="0" w:color="auto"/>
                <w:bottom w:val="none" w:sz="0" w:space="0" w:color="auto"/>
                <w:right w:val="none" w:sz="0" w:space="0" w:color="auto"/>
              </w:divBdr>
            </w:div>
            <w:div w:id="2053533571">
              <w:marLeft w:val="0"/>
              <w:marRight w:val="0"/>
              <w:marTop w:val="0"/>
              <w:marBottom w:val="240"/>
              <w:divBdr>
                <w:top w:val="none" w:sz="0" w:space="0" w:color="auto"/>
                <w:left w:val="none" w:sz="0" w:space="0" w:color="auto"/>
                <w:bottom w:val="none" w:sz="0" w:space="0" w:color="auto"/>
                <w:right w:val="none" w:sz="0" w:space="0" w:color="auto"/>
              </w:divBdr>
            </w:div>
            <w:div w:id="398944936">
              <w:marLeft w:val="0"/>
              <w:marRight w:val="0"/>
              <w:marTop w:val="0"/>
              <w:marBottom w:val="240"/>
              <w:divBdr>
                <w:top w:val="none" w:sz="0" w:space="0" w:color="auto"/>
                <w:left w:val="none" w:sz="0" w:space="0" w:color="auto"/>
                <w:bottom w:val="none" w:sz="0" w:space="0" w:color="auto"/>
                <w:right w:val="none" w:sz="0" w:space="0" w:color="auto"/>
              </w:divBdr>
            </w:div>
            <w:div w:id="1771242248">
              <w:marLeft w:val="0"/>
              <w:marRight w:val="0"/>
              <w:marTop w:val="0"/>
              <w:marBottom w:val="240"/>
              <w:divBdr>
                <w:top w:val="none" w:sz="0" w:space="0" w:color="auto"/>
                <w:left w:val="none" w:sz="0" w:space="0" w:color="auto"/>
                <w:bottom w:val="none" w:sz="0" w:space="0" w:color="auto"/>
                <w:right w:val="none" w:sz="0" w:space="0" w:color="auto"/>
              </w:divBdr>
            </w:div>
            <w:div w:id="1103762199">
              <w:marLeft w:val="0"/>
              <w:marRight w:val="0"/>
              <w:marTop w:val="0"/>
              <w:marBottom w:val="240"/>
              <w:divBdr>
                <w:top w:val="none" w:sz="0" w:space="0" w:color="auto"/>
                <w:left w:val="none" w:sz="0" w:space="0" w:color="auto"/>
                <w:bottom w:val="none" w:sz="0" w:space="0" w:color="auto"/>
                <w:right w:val="none" w:sz="0" w:space="0" w:color="auto"/>
              </w:divBdr>
            </w:div>
            <w:div w:id="1727295233">
              <w:marLeft w:val="0"/>
              <w:marRight w:val="0"/>
              <w:marTop w:val="0"/>
              <w:marBottom w:val="240"/>
              <w:divBdr>
                <w:top w:val="none" w:sz="0" w:space="0" w:color="auto"/>
                <w:left w:val="none" w:sz="0" w:space="0" w:color="auto"/>
                <w:bottom w:val="none" w:sz="0" w:space="0" w:color="auto"/>
                <w:right w:val="none" w:sz="0" w:space="0" w:color="auto"/>
              </w:divBdr>
            </w:div>
            <w:div w:id="852259692">
              <w:marLeft w:val="0"/>
              <w:marRight w:val="0"/>
              <w:marTop w:val="0"/>
              <w:marBottom w:val="240"/>
              <w:divBdr>
                <w:top w:val="none" w:sz="0" w:space="0" w:color="auto"/>
                <w:left w:val="none" w:sz="0" w:space="0" w:color="auto"/>
                <w:bottom w:val="none" w:sz="0" w:space="0" w:color="auto"/>
                <w:right w:val="none" w:sz="0" w:space="0" w:color="auto"/>
              </w:divBdr>
            </w:div>
            <w:div w:id="643968817">
              <w:marLeft w:val="0"/>
              <w:marRight w:val="0"/>
              <w:marTop w:val="0"/>
              <w:marBottom w:val="240"/>
              <w:divBdr>
                <w:top w:val="none" w:sz="0" w:space="0" w:color="auto"/>
                <w:left w:val="none" w:sz="0" w:space="0" w:color="auto"/>
                <w:bottom w:val="none" w:sz="0" w:space="0" w:color="auto"/>
                <w:right w:val="none" w:sz="0" w:space="0" w:color="auto"/>
              </w:divBdr>
            </w:div>
            <w:div w:id="2003462464">
              <w:marLeft w:val="0"/>
              <w:marRight w:val="0"/>
              <w:marTop w:val="0"/>
              <w:marBottom w:val="240"/>
              <w:divBdr>
                <w:top w:val="none" w:sz="0" w:space="0" w:color="auto"/>
                <w:left w:val="none" w:sz="0" w:space="0" w:color="auto"/>
                <w:bottom w:val="none" w:sz="0" w:space="0" w:color="auto"/>
                <w:right w:val="none" w:sz="0" w:space="0" w:color="auto"/>
              </w:divBdr>
            </w:div>
            <w:div w:id="1674335449">
              <w:marLeft w:val="0"/>
              <w:marRight w:val="0"/>
              <w:marTop w:val="0"/>
              <w:marBottom w:val="240"/>
              <w:divBdr>
                <w:top w:val="none" w:sz="0" w:space="0" w:color="auto"/>
                <w:left w:val="none" w:sz="0" w:space="0" w:color="auto"/>
                <w:bottom w:val="none" w:sz="0" w:space="0" w:color="auto"/>
                <w:right w:val="none" w:sz="0" w:space="0" w:color="auto"/>
              </w:divBdr>
            </w:div>
            <w:div w:id="739258182">
              <w:marLeft w:val="0"/>
              <w:marRight w:val="0"/>
              <w:marTop w:val="0"/>
              <w:marBottom w:val="240"/>
              <w:divBdr>
                <w:top w:val="none" w:sz="0" w:space="0" w:color="auto"/>
                <w:left w:val="none" w:sz="0" w:space="0" w:color="auto"/>
                <w:bottom w:val="none" w:sz="0" w:space="0" w:color="auto"/>
                <w:right w:val="none" w:sz="0" w:space="0" w:color="auto"/>
              </w:divBdr>
            </w:div>
            <w:div w:id="800657558">
              <w:marLeft w:val="0"/>
              <w:marRight w:val="0"/>
              <w:marTop w:val="0"/>
              <w:marBottom w:val="240"/>
              <w:divBdr>
                <w:top w:val="none" w:sz="0" w:space="0" w:color="auto"/>
                <w:left w:val="none" w:sz="0" w:space="0" w:color="auto"/>
                <w:bottom w:val="none" w:sz="0" w:space="0" w:color="auto"/>
                <w:right w:val="none" w:sz="0" w:space="0" w:color="auto"/>
              </w:divBdr>
            </w:div>
            <w:div w:id="1750299424">
              <w:marLeft w:val="0"/>
              <w:marRight w:val="0"/>
              <w:marTop w:val="0"/>
              <w:marBottom w:val="240"/>
              <w:divBdr>
                <w:top w:val="none" w:sz="0" w:space="0" w:color="auto"/>
                <w:left w:val="none" w:sz="0" w:space="0" w:color="auto"/>
                <w:bottom w:val="none" w:sz="0" w:space="0" w:color="auto"/>
                <w:right w:val="none" w:sz="0" w:space="0" w:color="auto"/>
              </w:divBdr>
            </w:div>
            <w:div w:id="1260456092">
              <w:marLeft w:val="0"/>
              <w:marRight w:val="0"/>
              <w:marTop w:val="0"/>
              <w:marBottom w:val="240"/>
              <w:divBdr>
                <w:top w:val="none" w:sz="0" w:space="0" w:color="auto"/>
                <w:left w:val="none" w:sz="0" w:space="0" w:color="auto"/>
                <w:bottom w:val="none" w:sz="0" w:space="0" w:color="auto"/>
                <w:right w:val="none" w:sz="0" w:space="0" w:color="auto"/>
              </w:divBdr>
            </w:div>
            <w:div w:id="1115363788">
              <w:marLeft w:val="0"/>
              <w:marRight w:val="0"/>
              <w:marTop w:val="0"/>
              <w:marBottom w:val="240"/>
              <w:divBdr>
                <w:top w:val="none" w:sz="0" w:space="0" w:color="auto"/>
                <w:left w:val="none" w:sz="0" w:space="0" w:color="auto"/>
                <w:bottom w:val="none" w:sz="0" w:space="0" w:color="auto"/>
                <w:right w:val="none" w:sz="0" w:space="0" w:color="auto"/>
              </w:divBdr>
            </w:div>
            <w:div w:id="605043959">
              <w:marLeft w:val="0"/>
              <w:marRight w:val="0"/>
              <w:marTop w:val="0"/>
              <w:marBottom w:val="240"/>
              <w:divBdr>
                <w:top w:val="none" w:sz="0" w:space="0" w:color="auto"/>
                <w:left w:val="none" w:sz="0" w:space="0" w:color="auto"/>
                <w:bottom w:val="none" w:sz="0" w:space="0" w:color="auto"/>
                <w:right w:val="none" w:sz="0" w:space="0" w:color="auto"/>
              </w:divBdr>
            </w:div>
            <w:div w:id="1616134681">
              <w:marLeft w:val="0"/>
              <w:marRight w:val="0"/>
              <w:marTop w:val="0"/>
              <w:marBottom w:val="240"/>
              <w:divBdr>
                <w:top w:val="none" w:sz="0" w:space="0" w:color="auto"/>
                <w:left w:val="none" w:sz="0" w:space="0" w:color="auto"/>
                <w:bottom w:val="none" w:sz="0" w:space="0" w:color="auto"/>
                <w:right w:val="none" w:sz="0" w:space="0" w:color="auto"/>
              </w:divBdr>
            </w:div>
            <w:div w:id="1455169882">
              <w:marLeft w:val="0"/>
              <w:marRight w:val="0"/>
              <w:marTop w:val="0"/>
              <w:marBottom w:val="240"/>
              <w:divBdr>
                <w:top w:val="none" w:sz="0" w:space="0" w:color="auto"/>
                <w:left w:val="none" w:sz="0" w:space="0" w:color="auto"/>
                <w:bottom w:val="none" w:sz="0" w:space="0" w:color="auto"/>
                <w:right w:val="none" w:sz="0" w:space="0" w:color="auto"/>
              </w:divBdr>
            </w:div>
            <w:div w:id="3826718">
              <w:marLeft w:val="0"/>
              <w:marRight w:val="0"/>
              <w:marTop w:val="0"/>
              <w:marBottom w:val="240"/>
              <w:divBdr>
                <w:top w:val="none" w:sz="0" w:space="0" w:color="auto"/>
                <w:left w:val="none" w:sz="0" w:space="0" w:color="auto"/>
                <w:bottom w:val="none" w:sz="0" w:space="0" w:color="auto"/>
                <w:right w:val="none" w:sz="0" w:space="0" w:color="auto"/>
              </w:divBdr>
            </w:div>
            <w:div w:id="58597740">
              <w:marLeft w:val="0"/>
              <w:marRight w:val="0"/>
              <w:marTop w:val="0"/>
              <w:marBottom w:val="240"/>
              <w:divBdr>
                <w:top w:val="none" w:sz="0" w:space="0" w:color="auto"/>
                <w:left w:val="none" w:sz="0" w:space="0" w:color="auto"/>
                <w:bottom w:val="none" w:sz="0" w:space="0" w:color="auto"/>
                <w:right w:val="none" w:sz="0" w:space="0" w:color="auto"/>
              </w:divBdr>
            </w:div>
            <w:div w:id="757139109">
              <w:marLeft w:val="0"/>
              <w:marRight w:val="0"/>
              <w:marTop w:val="0"/>
              <w:marBottom w:val="240"/>
              <w:divBdr>
                <w:top w:val="none" w:sz="0" w:space="0" w:color="auto"/>
                <w:left w:val="none" w:sz="0" w:space="0" w:color="auto"/>
                <w:bottom w:val="none" w:sz="0" w:space="0" w:color="auto"/>
                <w:right w:val="none" w:sz="0" w:space="0" w:color="auto"/>
              </w:divBdr>
            </w:div>
            <w:div w:id="173789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8483">
      <w:bodyDiv w:val="1"/>
      <w:marLeft w:val="0"/>
      <w:marRight w:val="0"/>
      <w:marTop w:val="0"/>
      <w:marBottom w:val="0"/>
      <w:divBdr>
        <w:top w:val="none" w:sz="0" w:space="0" w:color="auto"/>
        <w:left w:val="none" w:sz="0" w:space="0" w:color="auto"/>
        <w:bottom w:val="none" w:sz="0" w:space="0" w:color="auto"/>
        <w:right w:val="none" w:sz="0" w:space="0" w:color="auto"/>
      </w:divBdr>
      <w:divsChild>
        <w:div w:id="878591760">
          <w:marLeft w:val="0"/>
          <w:marRight w:val="0"/>
          <w:marTop w:val="0"/>
          <w:marBottom w:val="0"/>
          <w:divBdr>
            <w:top w:val="none" w:sz="0" w:space="0" w:color="auto"/>
            <w:left w:val="none" w:sz="0" w:space="0" w:color="auto"/>
            <w:bottom w:val="none" w:sz="0" w:space="0" w:color="auto"/>
            <w:right w:val="none" w:sz="0" w:space="0" w:color="auto"/>
          </w:divBdr>
        </w:div>
        <w:div w:id="1086343241">
          <w:marLeft w:val="0"/>
          <w:marRight w:val="0"/>
          <w:marTop w:val="0"/>
          <w:marBottom w:val="0"/>
          <w:divBdr>
            <w:top w:val="none" w:sz="0" w:space="0" w:color="auto"/>
            <w:left w:val="none" w:sz="0" w:space="0" w:color="auto"/>
            <w:bottom w:val="none" w:sz="0" w:space="0" w:color="auto"/>
            <w:right w:val="none" w:sz="0" w:space="0" w:color="auto"/>
          </w:divBdr>
        </w:div>
        <w:div w:id="1164785437">
          <w:marLeft w:val="0"/>
          <w:marRight w:val="0"/>
          <w:marTop w:val="0"/>
          <w:marBottom w:val="0"/>
          <w:divBdr>
            <w:top w:val="none" w:sz="0" w:space="0" w:color="auto"/>
            <w:left w:val="none" w:sz="0" w:space="0" w:color="auto"/>
            <w:bottom w:val="none" w:sz="0" w:space="0" w:color="auto"/>
            <w:right w:val="none" w:sz="0" w:space="0" w:color="auto"/>
          </w:divBdr>
        </w:div>
        <w:div w:id="1181508504">
          <w:marLeft w:val="0"/>
          <w:marRight w:val="0"/>
          <w:marTop w:val="0"/>
          <w:marBottom w:val="0"/>
          <w:divBdr>
            <w:top w:val="none" w:sz="0" w:space="0" w:color="auto"/>
            <w:left w:val="none" w:sz="0" w:space="0" w:color="auto"/>
            <w:bottom w:val="none" w:sz="0" w:space="0" w:color="auto"/>
            <w:right w:val="none" w:sz="0" w:space="0" w:color="auto"/>
          </w:divBdr>
        </w:div>
        <w:div w:id="1381900964">
          <w:marLeft w:val="0"/>
          <w:marRight w:val="0"/>
          <w:marTop w:val="0"/>
          <w:marBottom w:val="0"/>
          <w:divBdr>
            <w:top w:val="none" w:sz="0" w:space="0" w:color="auto"/>
            <w:left w:val="none" w:sz="0" w:space="0" w:color="auto"/>
            <w:bottom w:val="none" w:sz="0" w:space="0" w:color="auto"/>
            <w:right w:val="none" w:sz="0" w:space="0" w:color="auto"/>
          </w:divBdr>
        </w:div>
        <w:div w:id="1592394193">
          <w:marLeft w:val="0"/>
          <w:marRight w:val="0"/>
          <w:marTop w:val="0"/>
          <w:marBottom w:val="0"/>
          <w:divBdr>
            <w:top w:val="none" w:sz="0" w:space="0" w:color="auto"/>
            <w:left w:val="none" w:sz="0" w:space="0" w:color="auto"/>
            <w:bottom w:val="none" w:sz="0" w:space="0" w:color="auto"/>
            <w:right w:val="none" w:sz="0" w:space="0" w:color="auto"/>
          </w:divBdr>
        </w:div>
        <w:div w:id="2000763593">
          <w:marLeft w:val="0"/>
          <w:marRight w:val="0"/>
          <w:marTop w:val="0"/>
          <w:marBottom w:val="0"/>
          <w:divBdr>
            <w:top w:val="none" w:sz="0" w:space="0" w:color="auto"/>
            <w:left w:val="none" w:sz="0" w:space="0" w:color="auto"/>
            <w:bottom w:val="none" w:sz="0" w:space="0" w:color="auto"/>
            <w:right w:val="none" w:sz="0" w:space="0" w:color="auto"/>
          </w:divBdr>
        </w:div>
        <w:div w:id="2011448887">
          <w:marLeft w:val="0"/>
          <w:marRight w:val="0"/>
          <w:marTop w:val="0"/>
          <w:marBottom w:val="0"/>
          <w:divBdr>
            <w:top w:val="none" w:sz="0" w:space="0" w:color="auto"/>
            <w:left w:val="none" w:sz="0" w:space="0" w:color="auto"/>
            <w:bottom w:val="none" w:sz="0" w:space="0" w:color="auto"/>
            <w:right w:val="none" w:sz="0" w:space="0" w:color="auto"/>
          </w:divBdr>
        </w:div>
      </w:divsChild>
    </w:div>
    <w:div w:id="1627587024">
      <w:bodyDiv w:val="1"/>
      <w:marLeft w:val="0"/>
      <w:marRight w:val="0"/>
      <w:marTop w:val="0"/>
      <w:marBottom w:val="0"/>
      <w:divBdr>
        <w:top w:val="none" w:sz="0" w:space="0" w:color="auto"/>
        <w:left w:val="none" w:sz="0" w:space="0" w:color="auto"/>
        <w:bottom w:val="none" w:sz="0" w:space="0" w:color="auto"/>
        <w:right w:val="none" w:sz="0" w:space="0" w:color="auto"/>
      </w:divBdr>
    </w:div>
    <w:div w:id="1807551435">
      <w:bodyDiv w:val="1"/>
      <w:marLeft w:val="0"/>
      <w:marRight w:val="0"/>
      <w:marTop w:val="0"/>
      <w:marBottom w:val="0"/>
      <w:divBdr>
        <w:top w:val="none" w:sz="0" w:space="0" w:color="auto"/>
        <w:left w:val="none" w:sz="0" w:space="0" w:color="auto"/>
        <w:bottom w:val="none" w:sz="0" w:space="0" w:color="auto"/>
        <w:right w:val="none" w:sz="0" w:space="0" w:color="auto"/>
      </w:divBdr>
      <w:divsChild>
        <w:div w:id="1221593191">
          <w:marLeft w:val="480"/>
          <w:marRight w:val="0"/>
          <w:marTop w:val="0"/>
          <w:marBottom w:val="0"/>
          <w:divBdr>
            <w:top w:val="none" w:sz="0" w:space="0" w:color="auto"/>
            <w:left w:val="none" w:sz="0" w:space="0" w:color="auto"/>
            <w:bottom w:val="none" w:sz="0" w:space="0" w:color="auto"/>
            <w:right w:val="none" w:sz="0" w:space="0" w:color="auto"/>
          </w:divBdr>
          <w:divsChild>
            <w:div w:id="2098671372">
              <w:marLeft w:val="0"/>
              <w:marRight w:val="0"/>
              <w:marTop w:val="0"/>
              <w:marBottom w:val="240"/>
              <w:divBdr>
                <w:top w:val="none" w:sz="0" w:space="0" w:color="auto"/>
                <w:left w:val="none" w:sz="0" w:space="0" w:color="auto"/>
                <w:bottom w:val="none" w:sz="0" w:space="0" w:color="auto"/>
                <w:right w:val="none" w:sz="0" w:space="0" w:color="auto"/>
              </w:divBdr>
            </w:div>
            <w:div w:id="137652724">
              <w:marLeft w:val="0"/>
              <w:marRight w:val="0"/>
              <w:marTop w:val="0"/>
              <w:marBottom w:val="240"/>
              <w:divBdr>
                <w:top w:val="none" w:sz="0" w:space="0" w:color="auto"/>
                <w:left w:val="none" w:sz="0" w:space="0" w:color="auto"/>
                <w:bottom w:val="none" w:sz="0" w:space="0" w:color="auto"/>
                <w:right w:val="none" w:sz="0" w:space="0" w:color="auto"/>
              </w:divBdr>
            </w:div>
            <w:div w:id="1587418308">
              <w:marLeft w:val="0"/>
              <w:marRight w:val="0"/>
              <w:marTop w:val="0"/>
              <w:marBottom w:val="240"/>
              <w:divBdr>
                <w:top w:val="none" w:sz="0" w:space="0" w:color="auto"/>
                <w:left w:val="none" w:sz="0" w:space="0" w:color="auto"/>
                <w:bottom w:val="none" w:sz="0" w:space="0" w:color="auto"/>
                <w:right w:val="none" w:sz="0" w:space="0" w:color="auto"/>
              </w:divBdr>
            </w:div>
            <w:div w:id="1022322733">
              <w:marLeft w:val="0"/>
              <w:marRight w:val="0"/>
              <w:marTop w:val="0"/>
              <w:marBottom w:val="240"/>
              <w:divBdr>
                <w:top w:val="none" w:sz="0" w:space="0" w:color="auto"/>
                <w:left w:val="none" w:sz="0" w:space="0" w:color="auto"/>
                <w:bottom w:val="none" w:sz="0" w:space="0" w:color="auto"/>
                <w:right w:val="none" w:sz="0" w:space="0" w:color="auto"/>
              </w:divBdr>
            </w:div>
            <w:div w:id="448473657">
              <w:marLeft w:val="0"/>
              <w:marRight w:val="0"/>
              <w:marTop w:val="0"/>
              <w:marBottom w:val="240"/>
              <w:divBdr>
                <w:top w:val="none" w:sz="0" w:space="0" w:color="auto"/>
                <w:left w:val="none" w:sz="0" w:space="0" w:color="auto"/>
                <w:bottom w:val="none" w:sz="0" w:space="0" w:color="auto"/>
                <w:right w:val="none" w:sz="0" w:space="0" w:color="auto"/>
              </w:divBdr>
            </w:div>
            <w:div w:id="1477793109">
              <w:marLeft w:val="0"/>
              <w:marRight w:val="0"/>
              <w:marTop w:val="0"/>
              <w:marBottom w:val="240"/>
              <w:divBdr>
                <w:top w:val="none" w:sz="0" w:space="0" w:color="auto"/>
                <w:left w:val="none" w:sz="0" w:space="0" w:color="auto"/>
                <w:bottom w:val="none" w:sz="0" w:space="0" w:color="auto"/>
                <w:right w:val="none" w:sz="0" w:space="0" w:color="auto"/>
              </w:divBdr>
            </w:div>
            <w:div w:id="1111437769">
              <w:marLeft w:val="0"/>
              <w:marRight w:val="0"/>
              <w:marTop w:val="0"/>
              <w:marBottom w:val="240"/>
              <w:divBdr>
                <w:top w:val="none" w:sz="0" w:space="0" w:color="auto"/>
                <w:left w:val="none" w:sz="0" w:space="0" w:color="auto"/>
                <w:bottom w:val="none" w:sz="0" w:space="0" w:color="auto"/>
                <w:right w:val="none" w:sz="0" w:space="0" w:color="auto"/>
              </w:divBdr>
            </w:div>
            <w:div w:id="1874342016">
              <w:marLeft w:val="0"/>
              <w:marRight w:val="0"/>
              <w:marTop w:val="0"/>
              <w:marBottom w:val="240"/>
              <w:divBdr>
                <w:top w:val="none" w:sz="0" w:space="0" w:color="auto"/>
                <w:left w:val="none" w:sz="0" w:space="0" w:color="auto"/>
                <w:bottom w:val="none" w:sz="0" w:space="0" w:color="auto"/>
                <w:right w:val="none" w:sz="0" w:space="0" w:color="auto"/>
              </w:divBdr>
            </w:div>
            <w:div w:id="625158019">
              <w:marLeft w:val="0"/>
              <w:marRight w:val="0"/>
              <w:marTop w:val="0"/>
              <w:marBottom w:val="240"/>
              <w:divBdr>
                <w:top w:val="none" w:sz="0" w:space="0" w:color="auto"/>
                <w:left w:val="none" w:sz="0" w:space="0" w:color="auto"/>
                <w:bottom w:val="none" w:sz="0" w:space="0" w:color="auto"/>
                <w:right w:val="none" w:sz="0" w:space="0" w:color="auto"/>
              </w:divBdr>
            </w:div>
            <w:div w:id="1843159670">
              <w:marLeft w:val="0"/>
              <w:marRight w:val="0"/>
              <w:marTop w:val="0"/>
              <w:marBottom w:val="240"/>
              <w:divBdr>
                <w:top w:val="none" w:sz="0" w:space="0" w:color="auto"/>
                <w:left w:val="none" w:sz="0" w:space="0" w:color="auto"/>
                <w:bottom w:val="none" w:sz="0" w:space="0" w:color="auto"/>
                <w:right w:val="none" w:sz="0" w:space="0" w:color="auto"/>
              </w:divBdr>
            </w:div>
            <w:div w:id="2079668864">
              <w:marLeft w:val="0"/>
              <w:marRight w:val="0"/>
              <w:marTop w:val="0"/>
              <w:marBottom w:val="240"/>
              <w:divBdr>
                <w:top w:val="none" w:sz="0" w:space="0" w:color="auto"/>
                <w:left w:val="none" w:sz="0" w:space="0" w:color="auto"/>
                <w:bottom w:val="none" w:sz="0" w:space="0" w:color="auto"/>
                <w:right w:val="none" w:sz="0" w:space="0" w:color="auto"/>
              </w:divBdr>
            </w:div>
            <w:div w:id="1698849395">
              <w:marLeft w:val="0"/>
              <w:marRight w:val="0"/>
              <w:marTop w:val="0"/>
              <w:marBottom w:val="240"/>
              <w:divBdr>
                <w:top w:val="none" w:sz="0" w:space="0" w:color="auto"/>
                <w:left w:val="none" w:sz="0" w:space="0" w:color="auto"/>
                <w:bottom w:val="none" w:sz="0" w:space="0" w:color="auto"/>
                <w:right w:val="none" w:sz="0" w:space="0" w:color="auto"/>
              </w:divBdr>
            </w:div>
            <w:div w:id="225529529">
              <w:marLeft w:val="0"/>
              <w:marRight w:val="0"/>
              <w:marTop w:val="0"/>
              <w:marBottom w:val="240"/>
              <w:divBdr>
                <w:top w:val="none" w:sz="0" w:space="0" w:color="auto"/>
                <w:left w:val="none" w:sz="0" w:space="0" w:color="auto"/>
                <w:bottom w:val="none" w:sz="0" w:space="0" w:color="auto"/>
                <w:right w:val="none" w:sz="0" w:space="0" w:color="auto"/>
              </w:divBdr>
            </w:div>
            <w:div w:id="982004156">
              <w:marLeft w:val="0"/>
              <w:marRight w:val="0"/>
              <w:marTop w:val="0"/>
              <w:marBottom w:val="240"/>
              <w:divBdr>
                <w:top w:val="none" w:sz="0" w:space="0" w:color="auto"/>
                <w:left w:val="none" w:sz="0" w:space="0" w:color="auto"/>
                <w:bottom w:val="none" w:sz="0" w:space="0" w:color="auto"/>
                <w:right w:val="none" w:sz="0" w:space="0" w:color="auto"/>
              </w:divBdr>
            </w:div>
            <w:div w:id="38404720">
              <w:marLeft w:val="0"/>
              <w:marRight w:val="0"/>
              <w:marTop w:val="0"/>
              <w:marBottom w:val="240"/>
              <w:divBdr>
                <w:top w:val="none" w:sz="0" w:space="0" w:color="auto"/>
                <w:left w:val="none" w:sz="0" w:space="0" w:color="auto"/>
                <w:bottom w:val="none" w:sz="0" w:space="0" w:color="auto"/>
                <w:right w:val="none" w:sz="0" w:space="0" w:color="auto"/>
              </w:divBdr>
            </w:div>
            <w:div w:id="258753516">
              <w:marLeft w:val="0"/>
              <w:marRight w:val="0"/>
              <w:marTop w:val="0"/>
              <w:marBottom w:val="240"/>
              <w:divBdr>
                <w:top w:val="none" w:sz="0" w:space="0" w:color="auto"/>
                <w:left w:val="none" w:sz="0" w:space="0" w:color="auto"/>
                <w:bottom w:val="none" w:sz="0" w:space="0" w:color="auto"/>
                <w:right w:val="none" w:sz="0" w:space="0" w:color="auto"/>
              </w:divBdr>
            </w:div>
            <w:div w:id="1130635079">
              <w:marLeft w:val="0"/>
              <w:marRight w:val="0"/>
              <w:marTop w:val="0"/>
              <w:marBottom w:val="240"/>
              <w:divBdr>
                <w:top w:val="none" w:sz="0" w:space="0" w:color="auto"/>
                <w:left w:val="none" w:sz="0" w:space="0" w:color="auto"/>
                <w:bottom w:val="none" w:sz="0" w:space="0" w:color="auto"/>
                <w:right w:val="none" w:sz="0" w:space="0" w:color="auto"/>
              </w:divBdr>
            </w:div>
            <w:div w:id="2075197569">
              <w:marLeft w:val="0"/>
              <w:marRight w:val="0"/>
              <w:marTop w:val="0"/>
              <w:marBottom w:val="240"/>
              <w:divBdr>
                <w:top w:val="none" w:sz="0" w:space="0" w:color="auto"/>
                <w:left w:val="none" w:sz="0" w:space="0" w:color="auto"/>
                <w:bottom w:val="none" w:sz="0" w:space="0" w:color="auto"/>
                <w:right w:val="none" w:sz="0" w:space="0" w:color="auto"/>
              </w:divBdr>
            </w:div>
            <w:div w:id="1484395248">
              <w:marLeft w:val="0"/>
              <w:marRight w:val="0"/>
              <w:marTop w:val="0"/>
              <w:marBottom w:val="240"/>
              <w:divBdr>
                <w:top w:val="none" w:sz="0" w:space="0" w:color="auto"/>
                <w:left w:val="none" w:sz="0" w:space="0" w:color="auto"/>
                <w:bottom w:val="none" w:sz="0" w:space="0" w:color="auto"/>
                <w:right w:val="none" w:sz="0" w:space="0" w:color="auto"/>
              </w:divBdr>
            </w:div>
            <w:div w:id="528300591">
              <w:marLeft w:val="0"/>
              <w:marRight w:val="0"/>
              <w:marTop w:val="0"/>
              <w:marBottom w:val="240"/>
              <w:divBdr>
                <w:top w:val="none" w:sz="0" w:space="0" w:color="auto"/>
                <w:left w:val="none" w:sz="0" w:space="0" w:color="auto"/>
                <w:bottom w:val="none" w:sz="0" w:space="0" w:color="auto"/>
                <w:right w:val="none" w:sz="0" w:space="0" w:color="auto"/>
              </w:divBdr>
            </w:div>
            <w:div w:id="772675167">
              <w:marLeft w:val="0"/>
              <w:marRight w:val="0"/>
              <w:marTop w:val="0"/>
              <w:marBottom w:val="240"/>
              <w:divBdr>
                <w:top w:val="none" w:sz="0" w:space="0" w:color="auto"/>
                <w:left w:val="none" w:sz="0" w:space="0" w:color="auto"/>
                <w:bottom w:val="none" w:sz="0" w:space="0" w:color="auto"/>
                <w:right w:val="none" w:sz="0" w:space="0" w:color="auto"/>
              </w:divBdr>
            </w:div>
            <w:div w:id="1186863468">
              <w:marLeft w:val="0"/>
              <w:marRight w:val="0"/>
              <w:marTop w:val="0"/>
              <w:marBottom w:val="240"/>
              <w:divBdr>
                <w:top w:val="none" w:sz="0" w:space="0" w:color="auto"/>
                <w:left w:val="none" w:sz="0" w:space="0" w:color="auto"/>
                <w:bottom w:val="none" w:sz="0" w:space="0" w:color="auto"/>
                <w:right w:val="none" w:sz="0" w:space="0" w:color="auto"/>
              </w:divBdr>
            </w:div>
            <w:div w:id="1671715598">
              <w:marLeft w:val="0"/>
              <w:marRight w:val="0"/>
              <w:marTop w:val="0"/>
              <w:marBottom w:val="240"/>
              <w:divBdr>
                <w:top w:val="none" w:sz="0" w:space="0" w:color="auto"/>
                <w:left w:val="none" w:sz="0" w:space="0" w:color="auto"/>
                <w:bottom w:val="none" w:sz="0" w:space="0" w:color="auto"/>
                <w:right w:val="none" w:sz="0" w:space="0" w:color="auto"/>
              </w:divBdr>
            </w:div>
            <w:div w:id="1512064110">
              <w:marLeft w:val="0"/>
              <w:marRight w:val="0"/>
              <w:marTop w:val="0"/>
              <w:marBottom w:val="240"/>
              <w:divBdr>
                <w:top w:val="none" w:sz="0" w:space="0" w:color="auto"/>
                <w:left w:val="none" w:sz="0" w:space="0" w:color="auto"/>
                <w:bottom w:val="none" w:sz="0" w:space="0" w:color="auto"/>
                <w:right w:val="none" w:sz="0" w:space="0" w:color="auto"/>
              </w:divBdr>
            </w:div>
            <w:div w:id="1121339308">
              <w:marLeft w:val="0"/>
              <w:marRight w:val="0"/>
              <w:marTop w:val="0"/>
              <w:marBottom w:val="240"/>
              <w:divBdr>
                <w:top w:val="none" w:sz="0" w:space="0" w:color="auto"/>
                <w:left w:val="none" w:sz="0" w:space="0" w:color="auto"/>
                <w:bottom w:val="none" w:sz="0" w:space="0" w:color="auto"/>
                <w:right w:val="none" w:sz="0" w:space="0" w:color="auto"/>
              </w:divBdr>
            </w:div>
            <w:div w:id="758015843">
              <w:marLeft w:val="0"/>
              <w:marRight w:val="0"/>
              <w:marTop w:val="0"/>
              <w:marBottom w:val="240"/>
              <w:divBdr>
                <w:top w:val="none" w:sz="0" w:space="0" w:color="auto"/>
                <w:left w:val="none" w:sz="0" w:space="0" w:color="auto"/>
                <w:bottom w:val="none" w:sz="0" w:space="0" w:color="auto"/>
                <w:right w:val="none" w:sz="0" w:space="0" w:color="auto"/>
              </w:divBdr>
            </w:div>
            <w:div w:id="1730763345">
              <w:marLeft w:val="0"/>
              <w:marRight w:val="0"/>
              <w:marTop w:val="0"/>
              <w:marBottom w:val="240"/>
              <w:divBdr>
                <w:top w:val="none" w:sz="0" w:space="0" w:color="auto"/>
                <w:left w:val="none" w:sz="0" w:space="0" w:color="auto"/>
                <w:bottom w:val="none" w:sz="0" w:space="0" w:color="auto"/>
                <w:right w:val="none" w:sz="0" w:space="0" w:color="auto"/>
              </w:divBdr>
            </w:div>
            <w:div w:id="1946186052">
              <w:marLeft w:val="0"/>
              <w:marRight w:val="0"/>
              <w:marTop w:val="0"/>
              <w:marBottom w:val="240"/>
              <w:divBdr>
                <w:top w:val="none" w:sz="0" w:space="0" w:color="auto"/>
                <w:left w:val="none" w:sz="0" w:space="0" w:color="auto"/>
                <w:bottom w:val="none" w:sz="0" w:space="0" w:color="auto"/>
                <w:right w:val="none" w:sz="0" w:space="0" w:color="auto"/>
              </w:divBdr>
            </w:div>
            <w:div w:id="1573200362">
              <w:marLeft w:val="0"/>
              <w:marRight w:val="0"/>
              <w:marTop w:val="0"/>
              <w:marBottom w:val="240"/>
              <w:divBdr>
                <w:top w:val="none" w:sz="0" w:space="0" w:color="auto"/>
                <w:left w:val="none" w:sz="0" w:space="0" w:color="auto"/>
                <w:bottom w:val="none" w:sz="0" w:space="0" w:color="auto"/>
                <w:right w:val="none" w:sz="0" w:space="0" w:color="auto"/>
              </w:divBdr>
            </w:div>
            <w:div w:id="786854168">
              <w:marLeft w:val="0"/>
              <w:marRight w:val="0"/>
              <w:marTop w:val="0"/>
              <w:marBottom w:val="240"/>
              <w:divBdr>
                <w:top w:val="none" w:sz="0" w:space="0" w:color="auto"/>
                <w:left w:val="none" w:sz="0" w:space="0" w:color="auto"/>
                <w:bottom w:val="none" w:sz="0" w:space="0" w:color="auto"/>
                <w:right w:val="none" w:sz="0" w:space="0" w:color="auto"/>
              </w:divBdr>
            </w:div>
            <w:div w:id="160356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30371">
      <w:bodyDiv w:val="1"/>
      <w:marLeft w:val="0"/>
      <w:marRight w:val="0"/>
      <w:marTop w:val="0"/>
      <w:marBottom w:val="0"/>
      <w:divBdr>
        <w:top w:val="none" w:sz="0" w:space="0" w:color="auto"/>
        <w:left w:val="none" w:sz="0" w:space="0" w:color="auto"/>
        <w:bottom w:val="none" w:sz="0" w:space="0" w:color="auto"/>
        <w:right w:val="none" w:sz="0" w:space="0" w:color="auto"/>
      </w:divBdr>
      <w:divsChild>
        <w:div w:id="603995663">
          <w:marLeft w:val="0"/>
          <w:marRight w:val="0"/>
          <w:marTop w:val="0"/>
          <w:marBottom w:val="0"/>
          <w:divBdr>
            <w:top w:val="none" w:sz="0" w:space="0" w:color="auto"/>
            <w:left w:val="none" w:sz="0" w:space="0" w:color="auto"/>
            <w:bottom w:val="none" w:sz="0" w:space="0" w:color="auto"/>
            <w:right w:val="none" w:sz="0" w:space="0" w:color="auto"/>
          </w:divBdr>
        </w:div>
        <w:div w:id="1371226843">
          <w:marLeft w:val="0"/>
          <w:marRight w:val="0"/>
          <w:marTop w:val="0"/>
          <w:marBottom w:val="0"/>
          <w:divBdr>
            <w:top w:val="none" w:sz="0" w:space="0" w:color="auto"/>
            <w:left w:val="none" w:sz="0" w:space="0" w:color="auto"/>
            <w:bottom w:val="none" w:sz="0" w:space="0" w:color="auto"/>
            <w:right w:val="none" w:sz="0" w:space="0" w:color="auto"/>
          </w:divBdr>
        </w:div>
        <w:div w:id="1542858958">
          <w:marLeft w:val="0"/>
          <w:marRight w:val="0"/>
          <w:marTop w:val="0"/>
          <w:marBottom w:val="0"/>
          <w:divBdr>
            <w:top w:val="none" w:sz="0" w:space="0" w:color="auto"/>
            <w:left w:val="none" w:sz="0" w:space="0" w:color="auto"/>
            <w:bottom w:val="none" w:sz="0" w:space="0" w:color="auto"/>
            <w:right w:val="none" w:sz="0" w:space="0" w:color="auto"/>
          </w:divBdr>
        </w:div>
      </w:divsChild>
    </w:div>
    <w:div w:id="1845779315">
      <w:bodyDiv w:val="1"/>
      <w:marLeft w:val="0"/>
      <w:marRight w:val="0"/>
      <w:marTop w:val="0"/>
      <w:marBottom w:val="0"/>
      <w:divBdr>
        <w:top w:val="none" w:sz="0" w:space="0" w:color="auto"/>
        <w:left w:val="none" w:sz="0" w:space="0" w:color="auto"/>
        <w:bottom w:val="none" w:sz="0" w:space="0" w:color="auto"/>
        <w:right w:val="none" w:sz="0" w:space="0" w:color="auto"/>
      </w:divBdr>
      <w:divsChild>
        <w:div w:id="599798763">
          <w:marLeft w:val="0"/>
          <w:marRight w:val="0"/>
          <w:marTop w:val="0"/>
          <w:marBottom w:val="0"/>
          <w:divBdr>
            <w:top w:val="none" w:sz="0" w:space="0" w:color="auto"/>
            <w:left w:val="none" w:sz="0" w:space="0" w:color="auto"/>
            <w:bottom w:val="none" w:sz="0" w:space="0" w:color="auto"/>
            <w:right w:val="none" w:sz="0" w:space="0" w:color="auto"/>
          </w:divBdr>
        </w:div>
        <w:div w:id="1078361107">
          <w:marLeft w:val="0"/>
          <w:marRight w:val="0"/>
          <w:marTop w:val="0"/>
          <w:marBottom w:val="0"/>
          <w:divBdr>
            <w:top w:val="none" w:sz="0" w:space="0" w:color="auto"/>
            <w:left w:val="none" w:sz="0" w:space="0" w:color="auto"/>
            <w:bottom w:val="none" w:sz="0" w:space="0" w:color="auto"/>
            <w:right w:val="none" w:sz="0" w:space="0" w:color="auto"/>
          </w:divBdr>
          <w:divsChild>
            <w:div w:id="287666215">
              <w:marLeft w:val="0"/>
              <w:marRight w:val="0"/>
              <w:marTop w:val="0"/>
              <w:marBottom w:val="0"/>
              <w:divBdr>
                <w:top w:val="none" w:sz="0" w:space="0" w:color="auto"/>
                <w:left w:val="none" w:sz="0" w:space="0" w:color="auto"/>
                <w:bottom w:val="none" w:sz="0" w:space="0" w:color="auto"/>
                <w:right w:val="none" w:sz="0" w:space="0" w:color="auto"/>
              </w:divBdr>
              <w:divsChild>
                <w:div w:id="755901628">
                  <w:marLeft w:val="0"/>
                  <w:marRight w:val="0"/>
                  <w:marTop w:val="0"/>
                  <w:marBottom w:val="0"/>
                  <w:divBdr>
                    <w:top w:val="none" w:sz="0" w:space="0" w:color="auto"/>
                    <w:left w:val="none" w:sz="0" w:space="0" w:color="auto"/>
                    <w:bottom w:val="none" w:sz="0" w:space="0" w:color="auto"/>
                    <w:right w:val="none" w:sz="0" w:space="0" w:color="auto"/>
                  </w:divBdr>
                </w:div>
                <w:div w:id="1210262277">
                  <w:marLeft w:val="0"/>
                  <w:marRight w:val="0"/>
                  <w:marTop w:val="0"/>
                  <w:marBottom w:val="0"/>
                  <w:divBdr>
                    <w:top w:val="none" w:sz="0" w:space="0" w:color="auto"/>
                    <w:left w:val="none" w:sz="0" w:space="0" w:color="auto"/>
                    <w:bottom w:val="none" w:sz="0" w:space="0" w:color="auto"/>
                    <w:right w:val="none" w:sz="0" w:space="0" w:color="auto"/>
                  </w:divBdr>
                </w:div>
                <w:div w:id="170278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17751">
          <w:marLeft w:val="0"/>
          <w:marRight w:val="0"/>
          <w:marTop w:val="0"/>
          <w:marBottom w:val="0"/>
          <w:divBdr>
            <w:top w:val="none" w:sz="0" w:space="0" w:color="auto"/>
            <w:left w:val="none" w:sz="0" w:space="0" w:color="auto"/>
            <w:bottom w:val="none" w:sz="0" w:space="0" w:color="auto"/>
            <w:right w:val="none" w:sz="0" w:space="0" w:color="auto"/>
          </w:divBdr>
        </w:div>
      </w:divsChild>
    </w:div>
    <w:div w:id="1962763864">
      <w:bodyDiv w:val="1"/>
      <w:marLeft w:val="0"/>
      <w:marRight w:val="0"/>
      <w:marTop w:val="0"/>
      <w:marBottom w:val="0"/>
      <w:divBdr>
        <w:top w:val="none" w:sz="0" w:space="0" w:color="auto"/>
        <w:left w:val="none" w:sz="0" w:space="0" w:color="auto"/>
        <w:bottom w:val="none" w:sz="0" w:space="0" w:color="auto"/>
        <w:right w:val="none" w:sz="0" w:space="0" w:color="auto"/>
      </w:divBdr>
      <w:divsChild>
        <w:div w:id="2127505615">
          <w:marLeft w:val="0"/>
          <w:marRight w:val="0"/>
          <w:marTop w:val="0"/>
          <w:marBottom w:val="0"/>
          <w:divBdr>
            <w:top w:val="none" w:sz="0" w:space="0" w:color="auto"/>
            <w:left w:val="none" w:sz="0" w:space="0" w:color="auto"/>
            <w:bottom w:val="none" w:sz="0" w:space="0" w:color="auto"/>
            <w:right w:val="none" w:sz="0" w:space="0" w:color="auto"/>
          </w:divBdr>
          <w:divsChild>
            <w:div w:id="310599603">
              <w:marLeft w:val="0"/>
              <w:marRight w:val="0"/>
              <w:marTop w:val="0"/>
              <w:marBottom w:val="0"/>
              <w:divBdr>
                <w:top w:val="none" w:sz="0" w:space="0" w:color="auto"/>
                <w:left w:val="none" w:sz="0" w:space="0" w:color="auto"/>
                <w:bottom w:val="none" w:sz="0" w:space="0" w:color="auto"/>
                <w:right w:val="none" w:sz="0" w:space="0" w:color="auto"/>
              </w:divBdr>
              <w:divsChild>
                <w:div w:id="1656452283">
                  <w:marLeft w:val="0"/>
                  <w:marRight w:val="0"/>
                  <w:marTop w:val="0"/>
                  <w:marBottom w:val="0"/>
                  <w:divBdr>
                    <w:top w:val="none" w:sz="0" w:space="0" w:color="auto"/>
                    <w:left w:val="none" w:sz="0" w:space="0" w:color="auto"/>
                    <w:bottom w:val="none" w:sz="0" w:space="0" w:color="auto"/>
                    <w:right w:val="none" w:sz="0" w:space="0" w:color="auto"/>
                  </w:divBdr>
                </w:div>
                <w:div w:id="143756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75519">
          <w:marLeft w:val="0"/>
          <w:marRight w:val="0"/>
          <w:marTop w:val="0"/>
          <w:marBottom w:val="0"/>
          <w:divBdr>
            <w:top w:val="none" w:sz="0" w:space="0" w:color="auto"/>
            <w:left w:val="none" w:sz="0" w:space="0" w:color="auto"/>
            <w:bottom w:val="none" w:sz="0" w:space="0" w:color="auto"/>
            <w:right w:val="none" w:sz="0" w:space="0" w:color="auto"/>
          </w:divBdr>
        </w:div>
        <w:div w:id="1456677460">
          <w:marLeft w:val="0"/>
          <w:marRight w:val="0"/>
          <w:marTop w:val="0"/>
          <w:marBottom w:val="0"/>
          <w:divBdr>
            <w:top w:val="none" w:sz="0" w:space="0" w:color="auto"/>
            <w:left w:val="none" w:sz="0" w:space="0" w:color="auto"/>
            <w:bottom w:val="none" w:sz="0" w:space="0" w:color="auto"/>
            <w:right w:val="none" w:sz="0" w:space="0" w:color="auto"/>
          </w:divBdr>
        </w:div>
        <w:div w:id="340161998">
          <w:marLeft w:val="0"/>
          <w:marRight w:val="0"/>
          <w:marTop w:val="0"/>
          <w:marBottom w:val="0"/>
          <w:divBdr>
            <w:top w:val="none" w:sz="0" w:space="0" w:color="auto"/>
            <w:left w:val="none" w:sz="0" w:space="0" w:color="auto"/>
            <w:bottom w:val="none" w:sz="0" w:space="0" w:color="auto"/>
            <w:right w:val="none" w:sz="0" w:space="0" w:color="auto"/>
          </w:divBdr>
        </w:div>
        <w:div w:id="142625136">
          <w:marLeft w:val="0"/>
          <w:marRight w:val="0"/>
          <w:marTop w:val="0"/>
          <w:marBottom w:val="0"/>
          <w:divBdr>
            <w:top w:val="none" w:sz="0" w:space="0" w:color="auto"/>
            <w:left w:val="none" w:sz="0" w:space="0" w:color="auto"/>
            <w:bottom w:val="none" w:sz="0" w:space="0" w:color="auto"/>
            <w:right w:val="none" w:sz="0" w:space="0" w:color="auto"/>
          </w:divBdr>
        </w:div>
      </w:divsChild>
    </w:div>
    <w:div w:id="2091002122">
      <w:bodyDiv w:val="1"/>
      <w:marLeft w:val="0"/>
      <w:marRight w:val="0"/>
      <w:marTop w:val="0"/>
      <w:marBottom w:val="0"/>
      <w:divBdr>
        <w:top w:val="none" w:sz="0" w:space="0" w:color="auto"/>
        <w:left w:val="none" w:sz="0" w:space="0" w:color="auto"/>
        <w:bottom w:val="none" w:sz="0" w:space="0" w:color="auto"/>
        <w:right w:val="none" w:sz="0" w:space="0" w:color="auto"/>
      </w:divBdr>
      <w:divsChild>
        <w:div w:id="494345014">
          <w:marLeft w:val="0"/>
          <w:marRight w:val="0"/>
          <w:marTop w:val="0"/>
          <w:marBottom w:val="0"/>
          <w:divBdr>
            <w:top w:val="none" w:sz="0" w:space="0" w:color="auto"/>
            <w:left w:val="none" w:sz="0" w:space="0" w:color="auto"/>
            <w:bottom w:val="none" w:sz="0" w:space="0" w:color="auto"/>
            <w:right w:val="none" w:sz="0" w:space="0" w:color="auto"/>
          </w:divBdr>
        </w:div>
        <w:div w:id="1910919810">
          <w:marLeft w:val="0"/>
          <w:marRight w:val="0"/>
          <w:marTop w:val="0"/>
          <w:marBottom w:val="0"/>
          <w:divBdr>
            <w:top w:val="none" w:sz="0" w:space="0" w:color="auto"/>
            <w:left w:val="none" w:sz="0" w:space="0" w:color="auto"/>
            <w:bottom w:val="none" w:sz="0" w:space="0" w:color="auto"/>
            <w:right w:val="none" w:sz="0" w:space="0" w:color="auto"/>
          </w:divBdr>
        </w:div>
        <w:div w:id="1480612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r.kent.ac.uk/53916/" TargetMode="External"/><Relationship Id="rId13" Type="http://schemas.openxmlformats.org/officeDocument/2006/relationships/hyperlink" Target="https://doi.org/10.1386/jwcs.1.1.39/0" TargetMode="External"/><Relationship Id="rId3" Type="http://schemas.openxmlformats.org/officeDocument/2006/relationships/settings" Target="settings.xml"/><Relationship Id="rId7" Type="http://schemas.openxmlformats.org/officeDocument/2006/relationships/hyperlink" Target="https://doi.org/10.1177/1359183511401494" TargetMode="External"/><Relationship Id="rId12" Type="http://schemas.openxmlformats.org/officeDocument/2006/relationships/hyperlink" Target="https://doi.org/10.1080/1357627080218164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305829809347538" TargetMode="External"/><Relationship Id="rId5" Type="http://schemas.openxmlformats.org/officeDocument/2006/relationships/footnotes" Target="footnotes.xml"/><Relationship Id="rId15" Type="http://schemas.openxmlformats.org/officeDocument/2006/relationships/hyperlink" Target="https://doi.org/10.1017/CBO9781107589087" TargetMode="External"/><Relationship Id="rId10" Type="http://schemas.openxmlformats.org/officeDocument/2006/relationships/hyperlink" Target="https://doi.org/10.1080/13527258.2013.772912" TargetMode="External"/><Relationship Id="rId4" Type="http://schemas.openxmlformats.org/officeDocument/2006/relationships/webSettings" Target="webSettings.xml"/><Relationship Id="rId9" Type="http://schemas.openxmlformats.org/officeDocument/2006/relationships/hyperlink" Target="https://doi.org/10.1080/09548960209390310" TargetMode="External"/><Relationship Id="rId14" Type="http://schemas.openxmlformats.org/officeDocument/2006/relationships/hyperlink" Target="https://encyclopedia.1914-1918-online.net/article/war_lo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19986</TotalTime>
  <Pages>7</Pages>
  <Words>2444</Words>
  <Characters>13932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Hartley (1701470)</dc:creator>
  <cp:keywords/>
  <dc:description/>
  <cp:lastModifiedBy>Emma Hartley (1701470)</cp:lastModifiedBy>
  <cp:revision>15</cp:revision>
  <dcterms:created xsi:type="dcterms:W3CDTF">2019-10-24T13:48:00Z</dcterms:created>
  <dcterms:modified xsi:type="dcterms:W3CDTF">2019-11-22T23:29:00Z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zotero-version="5.0.59"&gt;&lt;session id="jJzBY4eT"/&gt;&lt;style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