
<file path=[Content_Types].xml><?xml version="1.0" encoding="utf-8"?>
<Types xmlns="http://schemas.openxmlformats.org/package/2006/content-types">
  <Default Extension="xml" ContentType="application/xml"/>
  <Default Extension="jpeg" ContentType="image/jpeg"/>
  <Default Extension="png" ContentType="image/png"/>
  <Default Extension="wdp" ContentType="image/vnd.ms-photo"/>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0A498FD" w14:textId="77777777" w:rsidR="00610DBE" w:rsidRDefault="00610DBE" w:rsidP="00610DBE">
      <w:pPr>
        <w:rPr>
          <w:b/>
          <w:bCs/>
          <w:color w:val="FF0000"/>
          <w:sz w:val="28"/>
          <w:szCs w:val="28"/>
        </w:rPr>
      </w:pPr>
      <w:r>
        <w:rPr>
          <w:b/>
          <w:noProof/>
          <w:lang w:eastAsia="en-US" w:bidi="ar-SA"/>
        </w:rPr>
        <w:drawing>
          <wp:inline distT="0" distB="0" distL="0" distR="0" wp14:anchorId="7269EE9B" wp14:editId="64F3A259">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58DE0FF" w14:textId="77777777" w:rsidR="00610DBE" w:rsidRDefault="00610DBE" w:rsidP="00610DBE">
      <w:pPr>
        <w:spacing w:after="165"/>
        <w:jc w:val="center"/>
        <w:rPr>
          <w:rFonts w:ascii="Tahoma" w:hAnsi="Tahoma" w:cs="Tahoma"/>
          <w:color w:val="000000"/>
          <w:sz w:val="36"/>
          <w:szCs w:val="36"/>
        </w:rPr>
      </w:pPr>
      <w:r>
        <w:rPr>
          <w:rFonts w:ascii="Tahoma" w:hAnsi="Tahoma" w:cs="Tahoma"/>
          <w:color w:val="000000"/>
          <w:sz w:val="36"/>
          <w:szCs w:val="36"/>
        </w:rPr>
        <w:t>MBA Masters of Business Administration</w:t>
      </w:r>
      <w:r w:rsidRPr="00990001">
        <w:rPr>
          <w:rFonts w:ascii="Tahoma" w:hAnsi="Tahoma" w:cs="Tahoma"/>
          <w:color w:val="000000"/>
          <w:sz w:val="36"/>
          <w:szCs w:val="36"/>
        </w:rPr>
        <w:t>: Skills for the Workplace</w:t>
      </w:r>
      <w:r w:rsidRPr="00990001">
        <w:rPr>
          <w:rFonts w:ascii="Tahoma" w:hAnsi="Tahoma" w:cs="Tahoma"/>
          <w:color w:val="000000"/>
          <w:sz w:val="36"/>
          <w:szCs w:val="36"/>
        </w:rPr>
        <w:br/>
      </w:r>
    </w:p>
    <w:p w14:paraId="0EFD9498" w14:textId="77777777" w:rsidR="00610DBE" w:rsidRPr="00E80163" w:rsidRDefault="00610DBE" w:rsidP="00610DBE">
      <w:pPr>
        <w:spacing w:after="165"/>
        <w:rPr>
          <w:rFonts w:ascii="Tahoma" w:hAnsi="Tahoma" w:cs="Tahoma"/>
          <w:color w:val="000000"/>
          <w:sz w:val="36"/>
          <w:szCs w:val="36"/>
        </w:rPr>
      </w:pPr>
    </w:p>
    <w:p w14:paraId="313A4BA9" w14:textId="77777777" w:rsidR="00610DBE" w:rsidRDefault="00610DBE" w:rsidP="00610DBE">
      <w:pPr>
        <w:spacing w:after="165"/>
        <w:rPr>
          <w:rFonts w:ascii="Tahoma" w:hAnsi="Tahoma" w:cs="Tahoma"/>
          <w:color w:val="000000"/>
          <w:sz w:val="36"/>
          <w:szCs w:val="36"/>
        </w:rPr>
      </w:pPr>
      <w:r>
        <w:rPr>
          <w:rFonts w:ascii="Tahoma" w:hAnsi="Tahoma" w:cs="Tahoma"/>
          <w:color w:val="000000"/>
          <w:sz w:val="36"/>
          <w:szCs w:val="36"/>
        </w:rPr>
        <w:t>NAME: Shefa Begum</w:t>
      </w:r>
    </w:p>
    <w:p w14:paraId="24754DF7" w14:textId="77777777" w:rsidR="00610DBE" w:rsidRDefault="00610DBE" w:rsidP="00610DBE">
      <w:pPr>
        <w:spacing w:after="165"/>
        <w:rPr>
          <w:rFonts w:ascii="Tahoma" w:hAnsi="Tahoma" w:cs="Tahoma"/>
          <w:color w:val="000000"/>
          <w:sz w:val="36"/>
          <w:szCs w:val="36"/>
        </w:rPr>
      </w:pPr>
      <w:r>
        <w:rPr>
          <w:rFonts w:ascii="Tahoma" w:hAnsi="Tahoma" w:cs="Tahoma"/>
          <w:color w:val="000000"/>
          <w:sz w:val="36"/>
          <w:szCs w:val="36"/>
        </w:rPr>
        <w:t>STUDENT NUMBER: 1711382</w:t>
      </w:r>
    </w:p>
    <w:p w14:paraId="433CBFB7" w14:textId="7AEFAF7B" w:rsidR="00610DBE" w:rsidRDefault="00610DBE" w:rsidP="00610DBE">
      <w:pPr>
        <w:spacing w:after="165"/>
        <w:rPr>
          <w:rFonts w:ascii="Tahoma" w:hAnsi="Tahoma" w:cs="Tahoma"/>
          <w:color w:val="000000"/>
          <w:sz w:val="36"/>
          <w:szCs w:val="36"/>
        </w:rPr>
      </w:pPr>
      <w:r>
        <w:rPr>
          <w:rFonts w:ascii="Tahoma" w:hAnsi="Tahoma" w:cs="Tahoma"/>
          <w:color w:val="000000"/>
          <w:sz w:val="36"/>
          <w:szCs w:val="36"/>
        </w:rPr>
        <w:t>MODULE TITLE: Banking Financial Management and Financial Markets</w:t>
      </w:r>
    </w:p>
    <w:p w14:paraId="0C93B829" w14:textId="6D1C86AE" w:rsidR="00610DBE" w:rsidRDefault="00610DBE" w:rsidP="00610DBE">
      <w:pPr>
        <w:spacing w:after="165"/>
        <w:rPr>
          <w:rFonts w:ascii="Tahoma" w:hAnsi="Tahoma" w:cs="Tahoma"/>
          <w:color w:val="000000"/>
          <w:sz w:val="36"/>
          <w:szCs w:val="36"/>
        </w:rPr>
      </w:pPr>
      <w:r>
        <w:rPr>
          <w:rFonts w:ascii="Tahoma" w:hAnsi="Tahoma" w:cs="Tahoma"/>
          <w:color w:val="000000"/>
          <w:sz w:val="36"/>
          <w:szCs w:val="36"/>
        </w:rPr>
        <w:t>MODULE NUMBER: LCMB 7012</w:t>
      </w:r>
    </w:p>
    <w:p w14:paraId="1A0CA6DB" w14:textId="4E69F3E0" w:rsidR="00610DBE" w:rsidRPr="00990001" w:rsidRDefault="00610DBE" w:rsidP="00610DBE">
      <w:pPr>
        <w:spacing w:after="165"/>
        <w:rPr>
          <w:rFonts w:ascii="Tahoma" w:hAnsi="Tahoma" w:cs="Tahoma"/>
          <w:color w:val="000000"/>
          <w:sz w:val="36"/>
          <w:szCs w:val="36"/>
        </w:rPr>
      </w:pPr>
      <w:r>
        <w:rPr>
          <w:rFonts w:ascii="Tahoma" w:hAnsi="Tahoma" w:cs="Tahoma"/>
          <w:color w:val="000000"/>
          <w:sz w:val="36"/>
          <w:szCs w:val="36"/>
        </w:rPr>
        <w:t>LECTURER: Juan Carlos</w:t>
      </w:r>
    </w:p>
    <w:p w14:paraId="6A2EA77C" w14:textId="7A67A2B0" w:rsidR="0040479F" w:rsidRDefault="00C81B6B">
      <w:pPr>
        <w:jc w:val="center"/>
        <w:rPr>
          <w:rFonts w:ascii="Times New Roman" w:eastAsia="Times New Roman" w:hAnsi="Times New Roman" w:cs="Times New Roman"/>
          <w:b/>
          <w:color w:val="366091"/>
          <w:sz w:val="32"/>
          <w:szCs w:val="32"/>
        </w:rPr>
      </w:pPr>
      <w:r>
        <w:br w:type="page"/>
      </w:r>
    </w:p>
    <w:p w14:paraId="1ADC2B46" w14:textId="77777777" w:rsidR="0040479F" w:rsidRPr="00CB7922" w:rsidRDefault="00C81B6B">
      <w:pPr>
        <w:keepNext/>
        <w:keepLines/>
        <w:pBdr>
          <w:top w:val="nil"/>
          <w:left w:val="nil"/>
          <w:bottom w:val="nil"/>
          <w:right w:val="nil"/>
          <w:between w:val="nil"/>
        </w:pBdr>
        <w:spacing w:before="480" w:after="0"/>
        <w:rPr>
          <w:rFonts w:ascii="Cambria" w:eastAsia="Cambria" w:hAnsi="Cambria" w:cs="Cambria"/>
          <w:b/>
          <w:color w:val="000000" w:themeColor="text1"/>
          <w:sz w:val="28"/>
          <w:szCs w:val="28"/>
        </w:rPr>
      </w:pPr>
      <w:r w:rsidRPr="00CB7922">
        <w:rPr>
          <w:rFonts w:ascii="Cambria" w:eastAsia="Cambria" w:hAnsi="Cambria" w:cs="Cambria"/>
          <w:b/>
          <w:color w:val="000000" w:themeColor="text1"/>
          <w:sz w:val="28"/>
          <w:szCs w:val="28"/>
        </w:rPr>
        <w:lastRenderedPageBreak/>
        <w:t>Contents</w:t>
      </w:r>
    </w:p>
    <w:sdt>
      <w:sdtPr>
        <w:rPr>
          <w:color w:val="000000" w:themeColor="text1"/>
        </w:rPr>
        <w:id w:val="-914779222"/>
        <w:docPartObj>
          <w:docPartGallery w:val="Table of Contents"/>
          <w:docPartUnique/>
        </w:docPartObj>
      </w:sdtPr>
      <w:sdtContent>
        <w:p w14:paraId="0B74CD23" w14:textId="77777777" w:rsidR="0040479F" w:rsidRPr="00CB7922" w:rsidRDefault="00C81B6B">
          <w:pPr>
            <w:pBdr>
              <w:top w:val="nil"/>
              <w:left w:val="nil"/>
              <w:bottom w:val="nil"/>
              <w:right w:val="nil"/>
              <w:between w:val="nil"/>
            </w:pBdr>
            <w:tabs>
              <w:tab w:val="right" w:pos="9016"/>
            </w:tabs>
            <w:spacing w:after="100"/>
            <w:rPr>
              <w:rFonts w:ascii="Times New Roman" w:eastAsia="Times New Roman" w:hAnsi="Times New Roman" w:cs="Times New Roman"/>
              <w:color w:val="000000" w:themeColor="text1"/>
              <w:sz w:val="24"/>
              <w:szCs w:val="24"/>
            </w:rPr>
          </w:pPr>
          <w:r w:rsidRPr="00CB7922">
            <w:rPr>
              <w:color w:val="000000" w:themeColor="text1"/>
            </w:rPr>
            <w:fldChar w:fldCharType="begin"/>
          </w:r>
          <w:r w:rsidRPr="00CB7922">
            <w:rPr>
              <w:color w:val="000000" w:themeColor="text1"/>
            </w:rPr>
            <w:instrText xml:space="preserve"> TOC \h \u \z </w:instrText>
          </w:r>
          <w:r w:rsidRPr="00CB7922">
            <w:rPr>
              <w:color w:val="000000" w:themeColor="text1"/>
            </w:rPr>
            <w:fldChar w:fldCharType="separate"/>
          </w:r>
          <w:hyperlink w:anchor="_heading=h.gjdgxs">
            <w:r w:rsidRPr="00CB7922">
              <w:rPr>
                <w:rFonts w:ascii="Times New Roman" w:eastAsia="Times New Roman" w:hAnsi="Times New Roman" w:cs="Times New Roman"/>
                <w:color w:val="000000" w:themeColor="text1"/>
                <w:sz w:val="24"/>
                <w:szCs w:val="24"/>
              </w:rPr>
              <w:t>Introduction</w:t>
            </w:r>
            <w:r w:rsidRPr="00CB7922">
              <w:rPr>
                <w:rFonts w:ascii="Times New Roman" w:eastAsia="Times New Roman" w:hAnsi="Times New Roman" w:cs="Times New Roman"/>
                <w:color w:val="000000" w:themeColor="text1"/>
                <w:sz w:val="24"/>
                <w:szCs w:val="24"/>
              </w:rPr>
              <w:tab/>
              <w:t>1</w:t>
            </w:r>
          </w:hyperlink>
        </w:p>
        <w:p w14:paraId="1AEE6DBE" w14:textId="77777777" w:rsidR="0040479F" w:rsidRPr="00CB7922" w:rsidRDefault="00CB7922">
          <w:pPr>
            <w:pBdr>
              <w:top w:val="nil"/>
              <w:left w:val="nil"/>
              <w:bottom w:val="nil"/>
              <w:right w:val="nil"/>
              <w:between w:val="nil"/>
            </w:pBdr>
            <w:tabs>
              <w:tab w:val="right" w:pos="9016"/>
            </w:tabs>
            <w:spacing w:after="100"/>
            <w:rPr>
              <w:rFonts w:ascii="Times New Roman" w:eastAsia="Times New Roman" w:hAnsi="Times New Roman" w:cs="Times New Roman"/>
              <w:color w:val="000000" w:themeColor="text1"/>
              <w:sz w:val="24"/>
              <w:szCs w:val="24"/>
            </w:rPr>
          </w:pPr>
          <w:hyperlink w:anchor="_heading=h.30j0zll">
            <w:r w:rsidR="00C81B6B" w:rsidRPr="00CB7922">
              <w:rPr>
                <w:rFonts w:ascii="Times New Roman" w:eastAsia="Times New Roman" w:hAnsi="Times New Roman" w:cs="Times New Roman"/>
                <w:color w:val="000000" w:themeColor="text1"/>
                <w:sz w:val="24"/>
                <w:szCs w:val="24"/>
              </w:rPr>
              <w:t>Responses and Reforms of UK, US, EU and Other Key Players</w:t>
            </w:r>
            <w:r w:rsidR="00C81B6B" w:rsidRPr="00CB7922">
              <w:rPr>
                <w:rFonts w:ascii="Times New Roman" w:eastAsia="Times New Roman" w:hAnsi="Times New Roman" w:cs="Times New Roman"/>
                <w:color w:val="000000" w:themeColor="text1"/>
                <w:sz w:val="24"/>
                <w:szCs w:val="24"/>
              </w:rPr>
              <w:tab/>
              <w:t>1</w:t>
            </w:r>
          </w:hyperlink>
        </w:p>
        <w:p w14:paraId="47F4C413" w14:textId="77777777" w:rsidR="0040479F" w:rsidRPr="00CB7922" w:rsidRDefault="00CB7922">
          <w:pPr>
            <w:pBdr>
              <w:top w:val="nil"/>
              <w:left w:val="nil"/>
              <w:bottom w:val="nil"/>
              <w:right w:val="nil"/>
              <w:between w:val="nil"/>
            </w:pBdr>
            <w:tabs>
              <w:tab w:val="right" w:pos="9016"/>
            </w:tabs>
            <w:spacing w:after="100"/>
            <w:ind w:left="220"/>
            <w:rPr>
              <w:rFonts w:ascii="Times New Roman" w:eastAsia="Times New Roman" w:hAnsi="Times New Roman" w:cs="Times New Roman"/>
              <w:color w:val="000000" w:themeColor="text1"/>
              <w:sz w:val="24"/>
              <w:szCs w:val="24"/>
            </w:rPr>
          </w:pPr>
          <w:hyperlink w:anchor="_heading=h.1fob9te">
            <w:r w:rsidR="00C81B6B" w:rsidRPr="00CB7922">
              <w:rPr>
                <w:rFonts w:ascii="Times New Roman" w:eastAsia="Times New Roman" w:hAnsi="Times New Roman" w:cs="Times New Roman"/>
                <w:color w:val="000000" w:themeColor="text1"/>
                <w:sz w:val="24"/>
                <w:szCs w:val="24"/>
              </w:rPr>
              <w:t>UK’s Response</w:t>
            </w:r>
            <w:r w:rsidR="00C81B6B" w:rsidRPr="00CB7922">
              <w:rPr>
                <w:rFonts w:ascii="Times New Roman" w:eastAsia="Times New Roman" w:hAnsi="Times New Roman" w:cs="Times New Roman"/>
                <w:color w:val="000000" w:themeColor="text1"/>
                <w:sz w:val="24"/>
                <w:szCs w:val="24"/>
              </w:rPr>
              <w:tab/>
              <w:t>1</w:t>
            </w:r>
          </w:hyperlink>
        </w:p>
        <w:p w14:paraId="1412F3A2" w14:textId="77777777" w:rsidR="0040479F" w:rsidRPr="00CB7922" w:rsidRDefault="00CB7922">
          <w:pPr>
            <w:pBdr>
              <w:top w:val="nil"/>
              <w:left w:val="nil"/>
              <w:bottom w:val="nil"/>
              <w:right w:val="nil"/>
              <w:between w:val="nil"/>
            </w:pBdr>
            <w:tabs>
              <w:tab w:val="right" w:pos="9016"/>
            </w:tabs>
            <w:spacing w:after="100"/>
            <w:ind w:left="220"/>
            <w:rPr>
              <w:rFonts w:ascii="Times New Roman" w:eastAsia="Times New Roman" w:hAnsi="Times New Roman" w:cs="Times New Roman"/>
              <w:color w:val="000000" w:themeColor="text1"/>
              <w:sz w:val="24"/>
              <w:szCs w:val="24"/>
            </w:rPr>
          </w:pPr>
          <w:hyperlink w:anchor="_heading=h.3znysh7">
            <w:r w:rsidR="00C81B6B" w:rsidRPr="00CB7922">
              <w:rPr>
                <w:rFonts w:ascii="Times New Roman" w:eastAsia="Times New Roman" w:hAnsi="Times New Roman" w:cs="Times New Roman"/>
                <w:color w:val="000000" w:themeColor="text1"/>
                <w:sz w:val="24"/>
                <w:szCs w:val="24"/>
              </w:rPr>
              <w:t>US’s Response</w:t>
            </w:r>
            <w:r w:rsidR="00C81B6B" w:rsidRPr="00CB7922">
              <w:rPr>
                <w:rFonts w:ascii="Times New Roman" w:eastAsia="Times New Roman" w:hAnsi="Times New Roman" w:cs="Times New Roman"/>
                <w:color w:val="000000" w:themeColor="text1"/>
                <w:sz w:val="24"/>
                <w:szCs w:val="24"/>
              </w:rPr>
              <w:tab/>
              <w:t>3</w:t>
            </w:r>
          </w:hyperlink>
        </w:p>
        <w:p w14:paraId="36194274" w14:textId="77777777" w:rsidR="0040479F" w:rsidRPr="00CB7922" w:rsidRDefault="00CB7922">
          <w:pPr>
            <w:pBdr>
              <w:top w:val="nil"/>
              <w:left w:val="nil"/>
              <w:bottom w:val="nil"/>
              <w:right w:val="nil"/>
              <w:between w:val="nil"/>
            </w:pBdr>
            <w:tabs>
              <w:tab w:val="right" w:pos="9016"/>
            </w:tabs>
            <w:spacing w:after="100"/>
            <w:ind w:left="220"/>
            <w:rPr>
              <w:rFonts w:ascii="Times New Roman" w:eastAsia="Times New Roman" w:hAnsi="Times New Roman" w:cs="Times New Roman"/>
              <w:color w:val="000000" w:themeColor="text1"/>
              <w:sz w:val="24"/>
              <w:szCs w:val="24"/>
            </w:rPr>
          </w:pPr>
          <w:hyperlink w:anchor="_heading=h.2et92p0">
            <w:r w:rsidR="00C81B6B" w:rsidRPr="00CB7922">
              <w:rPr>
                <w:rFonts w:ascii="Times New Roman" w:eastAsia="Times New Roman" w:hAnsi="Times New Roman" w:cs="Times New Roman"/>
                <w:color w:val="000000" w:themeColor="text1"/>
                <w:sz w:val="24"/>
                <w:szCs w:val="24"/>
              </w:rPr>
              <w:t>EU’s Response</w:t>
            </w:r>
            <w:r w:rsidR="00C81B6B" w:rsidRPr="00CB7922">
              <w:rPr>
                <w:rFonts w:ascii="Times New Roman" w:eastAsia="Times New Roman" w:hAnsi="Times New Roman" w:cs="Times New Roman"/>
                <w:color w:val="000000" w:themeColor="text1"/>
                <w:sz w:val="24"/>
                <w:szCs w:val="24"/>
              </w:rPr>
              <w:tab/>
              <w:t>6</w:t>
            </w:r>
          </w:hyperlink>
        </w:p>
        <w:p w14:paraId="02172340" w14:textId="77777777" w:rsidR="0040479F" w:rsidRPr="00CB7922" w:rsidRDefault="00CB7922">
          <w:pPr>
            <w:pBdr>
              <w:top w:val="nil"/>
              <w:left w:val="nil"/>
              <w:bottom w:val="nil"/>
              <w:right w:val="nil"/>
              <w:between w:val="nil"/>
            </w:pBdr>
            <w:tabs>
              <w:tab w:val="right" w:pos="9016"/>
            </w:tabs>
            <w:spacing w:after="100"/>
            <w:ind w:left="220"/>
            <w:rPr>
              <w:rFonts w:ascii="Times New Roman" w:eastAsia="Times New Roman" w:hAnsi="Times New Roman" w:cs="Times New Roman"/>
              <w:color w:val="000000" w:themeColor="text1"/>
              <w:sz w:val="24"/>
              <w:szCs w:val="24"/>
            </w:rPr>
          </w:pPr>
          <w:hyperlink w:anchor="_heading=h.tyjcwt">
            <w:r w:rsidR="00C81B6B" w:rsidRPr="00CB7922">
              <w:rPr>
                <w:rFonts w:ascii="Times New Roman" w:eastAsia="Times New Roman" w:hAnsi="Times New Roman" w:cs="Times New Roman"/>
                <w:color w:val="000000" w:themeColor="text1"/>
                <w:sz w:val="24"/>
                <w:szCs w:val="24"/>
              </w:rPr>
              <w:t>Other Key Players</w:t>
            </w:r>
            <w:r w:rsidR="00C81B6B" w:rsidRPr="00CB7922">
              <w:rPr>
                <w:rFonts w:ascii="Times New Roman" w:eastAsia="Times New Roman" w:hAnsi="Times New Roman" w:cs="Times New Roman"/>
                <w:color w:val="000000" w:themeColor="text1"/>
                <w:sz w:val="24"/>
                <w:szCs w:val="24"/>
              </w:rPr>
              <w:tab/>
              <w:t>6</w:t>
            </w:r>
          </w:hyperlink>
        </w:p>
        <w:p w14:paraId="4CB01030" w14:textId="77777777" w:rsidR="0040479F" w:rsidRPr="00CB7922" w:rsidRDefault="00CB7922">
          <w:pPr>
            <w:pBdr>
              <w:top w:val="nil"/>
              <w:left w:val="nil"/>
              <w:bottom w:val="nil"/>
              <w:right w:val="nil"/>
              <w:between w:val="nil"/>
            </w:pBdr>
            <w:tabs>
              <w:tab w:val="right" w:pos="9016"/>
            </w:tabs>
            <w:spacing w:after="100"/>
            <w:rPr>
              <w:rFonts w:ascii="Times New Roman" w:eastAsia="Times New Roman" w:hAnsi="Times New Roman" w:cs="Times New Roman"/>
              <w:color w:val="000000" w:themeColor="text1"/>
              <w:sz w:val="24"/>
              <w:szCs w:val="24"/>
            </w:rPr>
          </w:pPr>
          <w:hyperlink w:anchor="_heading=h.3dy6vkm">
            <w:r w:rsidR="00C81B6B" w:rsidRPr="00CB7922">
              <w:rPr>
                <w:rFonts w:ascii="Times New Roman" w:eastAsia="Times New Roman" w:hAnsi="Times New Roman" w:cs="Times New Roman"/>
                <w:color w:val="000000" w:themeColor="text1"/>
                <w:sz w:val="24"/>
                <w:szCs w:val="24"/>
              </w:rPr>
              <w:t xml:space="preserve">The Extent of Success of the Reforms in </w:t>
            </w:r>
          </w:hyperlink>
          <w:hyperlink w:anchor="_heading=h.3dy6vkm">
            <w:r w:rsidR="00C81B6B" w:rsidRPr="00CB7922">
              <w:rPr>
                <w:rFonts w:ascii="Times New Roman" w:eastAsia="Times New Roman" w:hAnsi="Times New Roman" w:cs="Times New Roman"/>
                <w:color w:val="000000" w:themeColor="text1"/>
                <w:sz w:val="24"/>
                <w:szCs w:val="24"/>
              </w:rPr>
              <w:t>Stabilising</w:t>
            </w:r>
          </w:hyperlink>
          <w:hyperlink w:anchor="_heading=h.3dy6vkm">
            <w:r w:rsidR="00C81B6B" w:rsidRPr="00CB7922">
              <w:rPr>
                <w:rFonts w:ascii="Times New Roman" w:eastAsia="Times New Roman" w:hAnsi="Times New Roman" w:cs="Times New Roman"/>
                <w:color w:val="000000" w:themeColor="text1"/>
                <w:sz w:val="24"/>
                <w:szCs w:val="24"/>
              </w:rPr>
              <w:t xml:space="preserve"> the Financial System</w:t>
            </w:r>
            <w:r w:rsidR="00C81B6B" w:rsidRPr="00CB7922">
              <w:rPr>
                <w:rFonts w:ascii="Times New Roman" w:eastAsia="Times New Roman" w:hAnsi="Times New Roman" w:cs="Times New Roman"/>
                <w:color w:val="000000" w:themeColor="text1"/>
                <w:sz w:val="24"/>
                <w:szCs w:val="24"/>
              </w:rPr>
              <w:tab/>
              <w:t>7</w:t>
            </w:r>
          </w:hyperlink>
        </w:p>
        <w:p w14:paraId="1969D54A" w14:textId="77777777" w:rsidR="0040479F" w:rsidRPr="00CB7922" w:rsidRDefault="00CB7922">
          <w:pPr>
            <w:pBdr>
              <w:top w:val="nil"/>
              <w:left w:val="nil"/>
              <w:bottom w:val="nil"/>
              <w:right w:val="nil"/>
              <w:between w:val="nil"/>
            </w:pBdr>
            <w:tabs>
              <w:tab w:val="right" w:pos="9016"/>
            </w:tabs>
            <w:spacing w:after="100"/>
            <w:ind w:left="220"/>
            <w:rPr>
              <w:rFonts w:ascii="Times New Roman" w:eastAsia="Times New Roman" w:hAnsi="Times New Roman" w:cs="Times New Roman"/>
              <w:color w:val="000000" w:themeColor="text1"/>
              <w:sz w:val="24"/>
              <w:szCs w:val="24"/>
            </w:rPr>
          </w:pPr>
          <w:hyperlink w:anchor="_heading=h.1t3h5sf">
            <w:r w:rsidR="00C81B6B" w:rsidRPr="00CB7922">
              <w:rPr>
                <w:rFonts w:ascii="Times New Roman" w:eastAsia="Times New Roman" w:hAnsi="Times New Roman" w:cs="Times New Roman"/>
                <w:color w:val="000000" w:themeColor="text1"/>
                <w:sz w:val="24"/>
                <w:szCs w:val="24"/>
              </w:rPr>
              <w:t>Effects of the Reforms on Banks</w:t>
            </w:r>
            <w:r w:rsidR="00C81B6B" w:rsidRPr="00CB7922">
              <w:rPr>
                <w:rFonts w:ascii="Times New Roman" w:eastAsia="Times New Roman" w:hAnsi="Times New Roman" w:cs="Times New Roman"/>
                <w:color w:val="000000" w:themeColor="text1"/>
                <w:sz w:val="24"/>
                <w:szCs w:val="24"/>
              </w:rPr>
              <w:tab/>
              <w:t>7</w:t>
            </w:r>
          </w:hyperlink>
        </w:p>
        <w:p w14:paraId="0C2825D1" w14:textId="77777777" w:rsidR="0040479F" w:rsidRPr="00CB7922" w:rsidRDefault="00CB7922">
          <w:pPr>
            <w:pBdr>
              <w:top w:val="nil"/>
              <w:left w:val="nil"/>
              <w:bottom w:val="nil"/>
              <w:right w:val="nil"/>
              <w:between w:val="nil"/>
            </w:pBdr>
            <w:tabs>
              <w:tab w:val="right" w:pos="9016"/>
            </w:tabs>
            <w:spacing w:after="100"/>
            <w:ind w:left="220"/>
            <w:rPr>
              <w:rFonts w:ascii="Times New Roman" w:eastAsia="Times New Roman" w:hAnsi="Times New Roman" w:cs="Times New Roman"/>
              <w:color w:val="000000" w:themeColor="text1"/>
              <w:sz w:val="24"/>
              <w:szCs w:val="24"/>
            </w:rPr>
          </w:pPr>
          <w:hyperlink w:anchor="_heading=h.4d34og8">
            <w:r w:rsidR="00C81B6B" w:rsidRPr="00CB7922">
              <w:rPr>
                <w:rFonts w:ascii="Times New Roman" w:eastAsia="Times New Roman" w:hAnsi="Times New Roman" w:cs="Times New Roman"/>
                <w:color w:val="000000" w:themeColor="text1"/>
                <w:sz w:val="24"/>
                <w:szCs w:val="24"/>
              </w:rPr>
              <w:t>Effects of Reforms on Financial System</w:t>
            </w:r>
            <w:r w:rsidR="00C81B6B" w:rsidRPr="00CB7922">
              <w:rPr>
                <w:rFonts w:ascii="Times New Roman" w:eastAsia="Times New Roman" w:hAnsi="Times New Roman" w:cs="Times New Roman"/>
                <w:color w:val="000000" w:themeColor="text1"/>
                <w:sz w:val="24"/>
                <w:szCs w:val="24"/>
              </w:rPr>
              <w:tab/>
              <w:t>10</w:t>
            </w:r>
          </w:hyperlink>
        </w:p>
        <w:p w14:paraId="7B3F83A9" w14:textId="77777777" w:rsidR="0040479F" w:rsidRPr="00CB7922" w:rsidRDefault="00CB7922">
          <w:pPr>
            <w:pBdr>
              <w:top w:val="nil"/>
              <w:left w:val="nil"/>
              <w:bottom w:val="nil"/>
              <w:right w:val="nil"/>
              <w:between w:val="nil"/>
            </w:pBdr>
            <w:tabs>
              <w:tab w:val="right" w:pos="9016"/>
            </w:tabs>
            <w:spacing w:after="100"/>
            <w:rPr>
              <w:rFonts w:ascii="Times New Roman" w:eastAsia="Times New Roman" w:hAnsi="Times New Roman" w:cs="Times New Roman"/>
              <w:color w:val="000000" w:themeColor="text1"/>
              <w:sz w:val="24"/>
              <w:szCs w:val="24"/>
            </w:rPr>
          </w:pPr>
          <w:hyperlink w:anchor="_heading=h.2s8eyo1">
            <w:r w:rsidR="00C81B6B" w:rsidRPr="00CB7922">
              <w:rPr>
                <w:rFonts w:ascii="Times New Roman" w:eastAsia="Times New Roman" w:hAnsi="Times New Roman" w:cs="Times New Roman"/>
                <w:color w:val="000000" w:themeColor="text1"/>
                <w:sz w:val="24"/>
                <w:szCs w:val="24"/>
              </w:rPr>
              <w:t>Effect of Reforms on HSBC, Its Compliance and Non-Compliance</w:t>
            </w:r>
            <w:r w:rsidR="00C81B6B" w:rsidRPr="00CB7922">
              <w:rPr>
                <w:rFonts w:ascii="Times New Roman" w:eastAsia="Times New Roman" w:hAnsi="Times New Roman" w:cs="Times New Roman"/>
                <w:color w:val="000000" w:themeColor="text1"/>
                <w:sz w:val="24"/>
                <w:szCs w:val="24"/>
              </w:rPr>
              <w:tab/>
              <w:t>11</w:t>
            </w:r>
          </w:hyperlink>
        </w:p>
        <w:p w14:paraId="4EAAE833" w14:textId="77777777" w:rsidR="0040479F" w:rsidRPr="00CB7922" w:rsidRDefault="00CB7922">
          <w:pPr>
            <w:pBdr>
              <w:top w:val="nil"/>
              <w:left w:val="nil"/>
              <w:bottom w:val="nil"/>
              <w:right w:val="nil"/>
              <w:between w:val="nil"/>
            </w:pBdr>
            <w:tabs>
              <w:tab w:val="right" w:pos="9016"/>
            </w:tabs>
            <w:spacing w:after="100"/>
            <w:ind w:left="220"/>
            <w:rPr>
              <w:rFonts w:ascii="Times New Roman" w:eastAsia="Times New Roman" w:hAnsi="Times New Roman" w:cs="Times New Roman"/>
              <w:color w:val="000000" w:themeColor="text1"/>
              <w:sz w:val="24"/>
              <w:szCs w:val="24"/>
            </w:rPr>
          </w:pPr>
          <w:hyperlink w:anchor="_heading=h.17dp8vu">
            <w:r w:rsidR="00C81B6B" w:rsidRPr="00CB7922">
              <w:rPr>
                <w:rFonts w:ascii="Times New Roman" w:eastAsia="Times New Roman" w:hAnsi="Times New Roman" w:cs="Times New Roman"/>
                <w:color w:val="000000" w:themeColor="text1"/>
                <w:sz w:val="24"/>
                <w:szCs w:val="24"/>
              </w:rPr>
              <w:t>Impact of Reforms on HSBC Business Model</w:t>
            </w:r>
            <w:r w:rsidR="00C81B6B" w:rsidRPr="00CB7922">
              <w:rPr>
                <w:rFonts w:ascii="Times New Roman" w:eastAsia="Times New Roman" w:hAnsi="Times New Roman" w:cs="Times New Roman"/>
                <w:color w:val="000000" w:themeColor="text1"/>
                <w:sz w:val="24"/>
                <w:szCs w:val="24"/>
              </w:rPr>
              <w:tab/>
              <w:t>12</w:t>
            </w:r>
          </w:hyperlink>
        </w:p>
        <w:p w14:paraId="0D9AC578" w14:textId="77777777" w:rsidR="0040479F" w:rsidRPr="00CB7922" w:rsidRDefault="00CB7922">
          <w:pPr>
            <w:pBdr>
              <w:top w:val="nil"/>
              <w:left w:val="nil"/>
              <w:bottom w:val="nil"/>
              <w:right w:val="nil"/>
              <w:between w:val="nil"/>
            </w:pBdr>
            <w:tabs>
              <w:tab w:val="right" w:pos="9016"/>
            </w:tabs>
            <w:spacing w:after="100"/>
            <w:ind w:left="220"/>
            <w:rPr>
              <w:rFonts w:ascii="Times New Roman" w:eastAsia="Times New Roman" w:hAnsi="Times New Roman" w:cs="Times New Roman"/>
              <w:color w:val="000000" w:themeColor="text1"/>
              <w:sz w:val="24"/>
              <w:szCs w:val="24"/>
            </w:rPr>
          </w:pPr>
          <w:hyperlink w:anchor="_heading=h.3rdcrjn">
            <w:r w:rsidR="00C81B6B" w:rsidRPr="00CB7922">
              <w:rPr>
                <w:rFonts w:ascii="Times New Roman" w:eastAsia="Times New Roman" w:hAnsi="Times New Roman" w:cs="Times New Roman"/>
                <w:color w:val="000000" w:themeColor="text1"/>
                <w:sz w:val="24"/>
                <w:szCs w:val="24"/>
              </w:rPr>
              <w:t>Compliance</w:t>
            </w:r>
            <w:r w:rsidR="00C81B6B" w:rsidRPr="00CB7922">
              <w:rPr>
                <w:rFonts w:ascii="Times New Roman" w:eastAsia="Times New Roman" w:hAnsi="Times New Roman" w:cs="Times New Roman"/>
                <w:color w:val="000000" w:themeColor="text1"/>
                <w:sz w:val="24"/>
                <w:szCs w:val="24"/>
              </w:rPr>
              <w:tab/>
              <w:t>13</w:t>
            </w:r>
          </w:hyperlink>
        </w:p>
        <w:p w14:paraId="05965760" w14:textId="77777777" w:rsidR="0040479F" w:rsidRPr="00CB7922" w:rsidRDefault="00CB7922">
          <w:pPr>
            <w:pBdr>
              <w:top w:val="nil"/>
              <w:left w:val="nil"/>
              <w:bottom w:val="nil"/>
              <w:right w:val="nil"/>
              <w:between w:val="nil"/>
            </w:pBdr>
            <w:tabs>
              <w:tab w:val="right" w:pos="9016"/>
            </w:tabs>
            <w:spacing w:after="100"/>
            <w:ind w:left="220"/>
            <w:rPr>
              <w:rFonts w:ascii="Times New Roman" w:eastAsia="Times New Roman" w:hAnsi="Times New Roman" w:cs="Times New Roman"/>
              <w:color w:val="000000" w:themeColor="text1"/>
              <w:sz w:val="24"/>
              <w:szCs w:val="24"/>
            </w:rPr>
          </w:pPr>
          <w:hyperlink w:anchor="_heading=h.26in1rg">
            <w:r w:rsidR="00C81B6B" w:rsidRPr="00CB7922">
              <w:rPr>
                <w:rFonts w:ascii="Times New Roman" w:eastAsia="Times New Roman" w:hAnsi="Times New Roman" w:cs="Times New Roman"/>
                <w:color w:val="000000" w:themeColor="text1"/>
                <w:sz w:val="24"/>
                <w:szCs w:val="24"/>
              </w:rPr>
              <w:t>Non-compliance</w:t>
            </w:r>
            <w:r w:rsidR="00C81B6B" w:rsidRPr="00CB7922">
              <w:rPr>
                <w:rFonts w:ascii="Times New Roman" w:eastAsia="Times New Roman" w:hAnsi="Times New Roman" w:cs="Times New Roman"/>
                <w:color w:val="000000" w:themeColor="text1"/>
                <w:sz w:val="24"/>
                <w:szCs w:val="24"/>
              </w:rPr>
              <w:tab/>
              <w:t>14</w:t>
            </w:r>
          </w:hyperlink>
        </w:p>
        <w:p w14:paraId="73A2BBFD" w14:textId="77777777" w:rsidR="0040479F" w:rsidRPr="00CB7922" w:rsidRDefault="00CB7922">
          <w:pPr>
            <w:pBdr>
              <w:top w:val="nil"/>
              <w:left w:val="nil"/>
              <w:bottom w:val="nil"/>
              <w:right w:val="nil"/>
              <w:between w:val="nil"/>
            </w:pBdr>
            <w:tabs>
              <w:tab w:val="right" w:pos="9016"/>
            </w:tabs>
            <w:spacing w:after="100"/>
            <w:rPr>
              <w:rFonts w:ascii="Times New Roman" w:eastAsia="Times New Roman" w:hAnsi="Times New Roman" w:cs="Times New Roman"/>
              <w:color w:val="000000" w:themeColor="text1"/>
              <w:sz w:val="24"/>
              <w:szCs w:val="24"/>
            </w:rPr>
          </w:pPr>
          <w:hyperlink w:anchor="_heading=h.lnxbz9">
            <w:r w:rsidR="00C81B6B" w:rsidRPr="00CB7922">
              <w:rPr>
                <w:rFonts w:ascii="Times New Roman" w:eastAsia="Times New Roman" w:hAnsi="Times New Roman" w:cs="Times New Roman"/>
                <w:color w:val="000000" w:themeColor="text1"/>
                <w:sz w:val="24"/>
                <w:szCs w:val="24"/>
              </w:rPr>
              <w:t>Conclusion</w:t>
            </w:r>
            <w:r w:rsidR="00C81B6B" w:rsidRPr="00CB7922">
              <w:rPr>
                <w:rFonts w:ascii="Times New Roman" w:eastAsia="Times New Roman" w:hAnsi="Times New Roman" w:cs="Times New Roman"/>
                <w:color w:val="000000" w:themeColor="text1"/>
                <w:sz w:val="24"/>
                <w:szCs w:val="24"/>
              </w:rPr>
              <w:tab/>
              <w:t>15</w:t>
            </w:r>
          </w:hyperlink>
        </w:p>
        <w:p w14:paraId="4512C901" w14:textId="77777777" w:rsidR="0040479F" w:rsidRPr="00CB7922" w:rsidRDefault="00CB7922">
          <w:pPr>
            <w:pBdr>
              <w:top w:val="nil"/>
              <w:left w:val="nil"/>
              <w:bottom w:val="nil"/>
              <w:right w:val="nil"/>
              <w:between w:val="nil"/>
            </w:pBdr>
            <w:tabs>
              <w:tab w:val="right" w:pos="9016"/>
            </w:tabs>
            <w:spacing w:after="100"/>
            <w:rPr>
              <w:color w:val="000000" w:themeColor="text1"/>
            </w:rPr>
          </w:pPr>
          <w:hyperlink w:anchor="_heading=h.35nkun2">
            <w:r w:rsidR="00C81B6B" w:rsidRPr="00CB7922">
              <w:rPr>
                <w:rFonts w:ascii="Times New Roman" w:eastAsia="Times New Roman" w:hAnsi="Times New Roman" w:cs="Times New Roman"/>
                <w:color w:val="000000" w:themeColor="text1"/>
                <w:sz w:val="24"/>
                <w:szCs w:val="24"/>
              </w:rPr>
              <w:t>References</w:t>
            </w:r>
            <w:r w:rsidR="00C81B6B" w:rsidRPr="00CB7922">
              <w:rPr>
                <w:rFonts w:ascii="Times New Roman" w:eastAsia="Times New Roman" w:hAnsi="Times New Roman" w:cs="Times New Roman"/>
                <w:color w:val="000000" w:themeColor="text1"/>
                <w:sz w:val="24"/>
                <w:szCs w:val="24"/>
              </w:rPr>
              <w:tab/>
              <w:t>16</w:t>
            </w:r>
          </w:hyperlink>
        </w:p>
        <w:p w14:paraId="7CB5FB02" w14:textId="77777777" w:rsidR="0040479F" w:rsidRPr="00CB7922" w:rsidRDefault="00C81B6B">
          <w:pPr>
            <w:rPr>
              <w:color w:val="000000" w:themeColor="text1"/>
            </w:rPr>
          </w:pPr>
          <w:r w:rsidRPr="00CB7922">
            <w:rPr>
              <w:color w:val="000000" w:themeColor="text1"/>
            </w:rPr>
            <w:fldChar w:fldCharType="end"/>
          </w:r>
        </w:p>
      </w:sdtContent>
    </w:sdt>
    <w:p w14:paraId="6C6B7F26" w14:textId="77777777" w:rsidR="0040479F" w:rsidRPr="00CB7922" w:rsidRDefault="00C81B6B">
      <w:pPr>
        <w:rPr>
          <w:rFonts w:ascii="Times New Roman" w:eastAsia="Times New Roman" w:hAnsi="Times New Roman" w:cs="Times New Roman"/>
          <w:b/>
          <w:color w:val="000000" w:themeColor="text1"/>
          <w:sz w:val="32"/>
          <w:szCs w:val="32"/>
        </w:rPr>
        <w:sectPr w:rsidR="0040479F" w:rsidRPr="00CB7922">
          <w:footerReference w:type="default" r:id="rId9"/>
          <w:pgSz w:w="11906" w:h="16838"/>
          <w:pgMar w:top="1440" w:right="1440" w:bottom="1440" w:left="1440" w:header="720" w:footer="720" w:gutter="0"/>
          <w:pgNumType w:start="1"/>
          <w:cols w:space="720"/>
        </w:sectPr>
      </w:pPr>
      <w:r w:rsidRPr="00CB7922">
        <w:rPr>
          <w:color w:val="000000" w:themeColor="text1"/>
        </w:rPr>
        <w:br w:type="page"/>
      </w:r>
    </w:p>
    <w:p w14:paraId="72F9C5B8" w14:textId="77777777" w:rsidR="0040479F" w:rsidRPr="001D5909" w:rsidRDefault="00C81B6B" w:rsidP="00CB7922">
      <w:pPr>
        <w:pStyle w:val="Heading1"/>
        <w:spacing w:before="0" w:after="240"/>
        <w:rPr>
          <w:rFonts w:ascii="Times New Roman" w:eastAsia="Times New Roman" w:hAnsi="Times New Roman" w:cs="Times New Roman"/>
          <w:color w:val="000000" w:themeColor="text1"/>
        </w:rPr>
      </w:pPr>
      <w:bookmarkStart w:id="0" w:name="_heading=h.gjdgxs" w:colFirst="0" w:colLast="0"/>
      <w:bookmarkEnd w:id="0"/>
      <w:r w:rsidRPr="001D5909">
        <w:rPr>
          <w:rFonts w:ascii="Times New Roman" w:eastAsia="Times New Roman" w:hAnsi="Times New Roman" w:cs="Times New Roman"/>
          <w:color w:val="000000" w:themeColor="text1"/>
        </w:rPr>
        <w:lastRenderedPageBreak/>
        <w:t>Introduction</w:t>
      </w:r>
    </w:p>
    <w:p w14:paraId="732319DA" w14:textId="1AC102DA" w:rsidR="0040479F" w:rsidRPr="00CB7922" w:rsidRDefault="00CB7922">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In</w:t>
      </w:r>
      <w:r w:rsidR="00901417" w:rsidRPr="00CB7922">
        <w:rPr>
          <w:rFonts w:ascii="Times New Roman" w:eastAsia="Times New Roman" w:hAnsi="Times New Roman" w:cs="Times New Roman"/>
          <w:color w:val="000000" w:themeColor="text1"/>
          <w:sz w:val="24"/>
          <w:szCs w:val="24"/>
        </w:rPr>
        <w:t xml:space="preserve"> the year</w:t>
      </w:r>
      <w:r w:rsidRPr="00CB7922">
        <w:rPr>
          <w:rFonts w:ascii="Times New Roman" w:eastAsia="Times New Roman" w:hAnsi="Times New Roman" w:cs="Times New Roman"/>
          <w:color w:val="000000" w:themeColor="text1"/>
          <w:sz w:val="24"/>
          <w:szCs w:val="24"/>
        </w:rPr>
        <w:t>s,</w:t>
      </w:r>
      <w:r w:rsidR="00901417" w:rsidRPr="00CB7922">
        <w:rPr>
          <w:rFonts w:ascii="Times New Roman" w:eastAsia="Times New Roman" w:hAnsi="Times New Roman" w:cs="Times New Roman"/>
          <w:color w:val="000000" w:themeColor="text1"/>
          <w:sz w:val="24"/>
          <w:szCs w:val="24"/>
        </w:rPr>
        <w:t xml:space="preserve"> 2007-2008</w:t>
      </w:r>
      <w:r w:rsidRPr="00CB7922">
        <w:rPr>
          <w:rFonts w:ascii="Times New Roman" w:eastAsia="Times New Roman" w:hAnsi="Times New Roman" w:cs="Times New Roman"/>
          <w:color w:val="000000" w:themeColor="text1"/>
          <w:sz w:val="24"/>
          <w:szCs w:val="24"/>
        </w:rPr>
        <w:t xml:space="preserve"> there was a financial crisis</w:t>
      </w:r>
      <w:r w:rsidR="00C81B6B" w:rsidRPr="00CB7922">
        <w:rPr>
          <w:rFonts w:ascii="Times New Roman" w:eastAsia="Times New Roman" w:hAnsi="Times New Roman" w:cs="Times New Roman"/>
          <w:color w:val="000000" w:themeColor="text1"/>
          <w:sz w:val="24"/>
          <w:szCs w:val="24"/>
        </w:rPr>
        <w:t>. In the summertime of 2007, global financial markets were highlighting some signs of cheap credit and other things that were being neglected for years</w:t>
      </w:r>
      <w:r w:rsidR="00901417" w:rsidRPr="00CB7922">
        <w:rPr>
          <w:rFonts w:ascii="Times New Roman" w:eastAsia="Times New Roman" w:hAnsi="Times New Roman" w:cs="Times New Roman"/>
          <w:color w:val="000000" w:themeColor="text1"/>
          <w:sz w:val="24"/>
          <w:szCs w:val="24"/>
        </w:rPr>
        <w:t xml:space="preserve"> (Adrian, 2010)</w:t>
      </w:r>
      <w:r w:rsidR="00C81B6B" w:rsidRPr="00CB7922">
        <w:rPr>
          <w:rFonts w:ascii="Times New Roman" w:eastAsia="Times New Roman" w:hAnsi="Times New Roman" w:cs="Times New Roman"/>
          <w:color w:val="000000" w:themeColor="text1"/>
          <w:sz w:val="24"/>
          <w:szCs w:val="24"/>
        </w:rPr>
        <w:t xml:space="preserve">. The causes behind the crisis are interlinked and complex. But there are some factors that clearly contributed to this. According to (Acharya, 2009), the first reason is the imbalance in the global financial condition that resulted from the accelerated shift in the global economy to emerging markets. The macroeconomic triangle contributed to high growth rate and it also generated major imbalances. Secondly, cheap credit accelerated a rise and boom in the customer demand and price. It also encouraged more borrowing by the customers and banks. Thirdly, securitization is made on the basis of complicated structure and product. People were buying and selling assets without properly assessing the risks. Final reason is too much gearing. Many banks got too dependent on wholesale funds and they got over-geared. They made incorrect assumptions about the viability of the funds. However, this assessment discusses the laws, rules and policies imposed by UK, US and EU to survive the financial crisis and also other key players, a critical review of the extent to which those reforms were able to stabilise the crisis and the effect of the reforms on the business model of HSBC, their compliant and </w:t>
      </w:r>
      <w:r w:rsidR="00901417" w:rsidRPr="00CB7922">
        <w:rPr>
          <w:rFonts w:ascii="Times New Roman" w:eastAsia="Times New Roman" w:hAnsi="Times New Roman" w:cs="Times New Roman"/>
          <w:color w:val="000000" w:themeColor="text1"/>
          <w:sz w:val="24"/>
          <w:szCs w:val="24"/>
        </w:rPr>
        <w:t>non-compliance</w:t>
      </w:r>
      <w:r w:rsidR="00C81B6B" w:rsidRPr="00CB7922">
        <w:rPr>
          <w:rFonts w:ascii="Times New Roman" w:eastAsia="Times New Roman" w:hAnsi="Times New Roman" w:cs="Times New Roman"/>
          <w:color w:val="000000" w:themeColor="text1"/>
          <w:sz w:val="24"/>
          <w:szCs w:val="24"/>
        </w:rPr>
        <w:t xml:space="preserve"> with the new regulations. </w:t>
      </w:r>
    </w:p>
    <w:p w14:paraId="24A3C3B2" w14:textId="77777777" w:rsidR="0040479F" w:rsidRPr="001D5909" w:rsidRDefault="00C81B6B" w:rsidP="00F010ED">
      <w:pPr>
        <w:pStyle w:val="Heading1"/>
        <w:spacing w:before="0" w:line="360" w:lineRule="auto"/>
        <w:rPr>
          <w:rFonts w:ascii="Times New Roman" w:eastAsia="Times New Roman" w:hAnsi="Times New Roman" w:cs="Times New Roman"/>
          <w:color w:val="000000" w:themeColor="text1"/>
        </w:rPr>
      </w:pPr>
      <w:bookmarkStart w:id="1" w:name="_heading=h.30j0zll" w:colFirst="0" w:colLast="0"/>
      <w:bookmarkEnd w:id="1"/>
      <w:r w:rsidRPr="001D5909">
        <w:rPr>
          <w:rFonts w:ascii="Times New Roman" w:eastAsia="Times New Roman" w:hAnsi="Times New Roman" w:cs="Times New Roman"/>
          <w:color w:val="000000" w:themeColor="text1"/>
        </w:rPr>
        <w:t>Responses and Reforms of UK, US, EU and Other Key Players</w:t>
      </w:r>
    </w:p>
    <w:p w14:paraId="3997551D" w14:textId="77777777" w:rsidR="0040479F" w:rsidRPr="00CB7922" w:rsidRDefault="00C81B6B">
      <w:pPr>
        <w:pStyle w:val="Heading2"/>
        <w:spacing w:before="0" w:line="360" w:lineRule="auto"/>
        <w:rPr>
          <w:color w:val="000000" w:themeColor="text1"/>
        </w:rPr>
      </w:pPr>
      <w:bookmarkStart w:id="2" w:name="_heading=h.1fob9te" w:colFirst="0" w:colLast="0"/>
      <w:bookmarkEnd w:id="2"/>
      <w:r w:rsidRPr="00CB7922">
        <w:rPr>
          <w:color w:val="000000" w:themeColor="text1"/>
        </w:rPr>
        <w:t>UK’s Response</w:t>
      </w:r>
    </w:p>
    <w:p w14:paraId="7DA8FE04" w14:textId="77777777" w:rsidR="0040479F" w:rsidRPr="00CB7922" w:rsidRDefault="00C81B6B">
      <w:pPr>
        <w:spacing w:line="360" w:lineRule="auto"/>
        <w:jc w:val="both"/>
        <w:rPr>
          <w:rFonts w:ascii="Times New Roman" w:eastAsia="Times New Roman" w:hAnsi="Times New Roman" w:cs="Times New Roman"/>
          <w:b/>
          <w:color w:val="000000" w:themeColor="text1"/>
          <w:sz w:val="24"/>
          <w:szCs w:val="24"/>
        </w:rPr>
      </w:pPr>
      <w:r w:rsidRPr="00CB7922">
        <w:rPr>
          <w:rFonts w:ascii="Times New Roman" w:eastAsia="Times New Roman" w:hAnsi="Times New Roman" w:cs="Times New Roman"/>
          <w:b/>
          <w:color w:val="000000" w:themeColor="text1"/>
          <w:sz w:val="24"/>
          <w:szCs w:val="24"/>
        </w:rPr>
        <w:t>The Northern Rock Bank Reform</w:t>
      </w:r>
    </w:p>
    <w:p w14:paraId="5725E067" w14:textId="1BF78835"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The Northern Rock Bank in the UK was the first </w:t>
      </w:r>
      <w:r w:rsidR="006D6E7E" w:rsidRPr="00CB7922">
        <w:rPr>
          <w:rFonts w:ascii="Times New Roman" w:eastAsia="Times New Roman" w:hAnsi="Times New Roman" w:cs="Times New Roman"/>
          <w:color w:val="000000" w:themeColor="text1"/>
          <w:sz w:val="24"/>
          <w:szCs w:val="24"/>
        </w:rPr>
        <w:t>casualty</w:t>
      </w:r>
      <w:r w:rsidRPr="00CB7922">
        <w:rPr>
          <w:rFonts w:ascii="Times New Roman" w:eastAsia="Times New Roman" w:hAnsi="Times New Roman" w:cs="Times New Roman"/>
          <w:color w:val="000000" w:themeColor="text1"/>
          <w:sz w:val="24"/>
          <w:szCs w:val="24"/>
        </w:rPr>
        <w:t xml:space="preserve"> of the financial crisis 2008. The bank was ordered to receive urgent funds from the central Bank of England. The bank took the banking act through the parlia</w:t>
      </w:r>
      <w:r w:rsidR="006D6E7E">
        <w:rPr>
          <w:rFonts w:ascii="Times New Roman" w:eastAsia="Times New Roman" w:hAnsi="Times New Roman" w:cs="Times New Roman"/>
          <w:color w:val="000000" w:themeColor="text1"/>
          <w:sz w:val="24"/>
          <w:szCs w:val="24"/>
        </w:rPr>
        <w:t>ment and enacted it in February</w:t>
      </w:r>
      <w:r w:rsidRPr="00CB7922">
        <w:rPr>
          <w:rFonts w:ascii="Times New Roman" w:eastAsia="Times New Roman" w:hAnsi="Times New Roman" w:cs="Times New Roman"/>
          <w:color w:val="000000" w:themeColor="text1"/>
          <w:sz w:val="24"/>
          <w:szCs w:val="24"/>
        </w:rPr>
        <w:t xml:space="preserve"> 2008 (Shin, 2009).</w:t>
      </w:r>
    </w:p>
    <w:p w14:paraId="631EC07C" w14:textId="77777777" w:rsidR="0040479F" w:rsidRPr="00CB7922" w:rsidRDefault="00C81B6B">
      <w:pPr>
        <w:spacing w:line="360" w:lineRule="auto"/>
        <w:jc w:val="both"/>
        <w:rPr>
          <w:rFonts w:ascii="Times New Roman" w:eastAsia="Times New Roman" w:hAnsi="Times New Roman" w:cs="Times New Roman"/>
          <w:b/>
          <w:color w:val="000000" w:themeColor="text1"/>
          <w:sz w:val="24"/>
          <w:szCs w:val="24"/>
        </w:rPr>
      </w:pPr>
      <w:r w:rsidRPr="00CB7922">
        <w:rPr>
          <w:rFonts w:ascii="Times New Roman" w:eastAsia="Times New Roman" w:hAnsi="Times New Roman" w:cs="Times New Roman"/>
          <w:b/>
          <w:color w:val="000000" w:themeColor="text1"/>
          <w:sz w:val="24"/>
          <w:szCs w:val="24"/>
        </w:rPr>
        <w:t>Bingley and Bradford Reform</w:t>
      </w:r>
    </w:p>
    <w:p w14:paraId="2DCB328F" w14:textId="30B93CFA"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Bradford and Bingley was a private sector bank that was </w:t>
      </w:r>
      <w:r w:rsidR="006D6E7E">
        <w:rPr>
          <w:rFonts w:ascii="Times New Roman" w:eastAsia="Times New Roman" w:hAnsi="Times New Roman" w:cs="Times New Roman"/>
          <w:color w:val="000000" w:themeColor="text1"/>
          <w:sz w:val="24"/>
          <w:szCs w:val="24"/>
        </w:rPr>
        <w:t>nationalised later in September</w:t>
      </w:r>
      <w:r w:rsidRPr="00CB7922">
        <w:rPr>
          <w:rFonts w:ascii="Times New Roman" w:eastAsia="Times New Roman" w:hAnsi="Times New Roman" w:cs="Times New Roman"/>
          <w:color w:val="000000" w:themeColor="text1"/>
          <w:sz w:val="24"/>
          <w:szCs w:val="24"/>
        </w:rPr>
        <w:t xml:space="preserve"> 2008. Its branches and savings operations were handed over to Santander, a Spanish bank. The government of the UK took the responsibility of the £50 billion mortgage.</w:t>
      </w:r>
    </w:p>
    <w:p w14:paraId="675F65CC" w14:textId="77777777" w:rsidR="0040479F" w:rsidRPr="00CB7922" w:rsidRDefault="0040479F">
      <w:pPr>
        <w:spacing w:line="360" w:lineRule="auto"/>
        <w:jc w:val="both"/>
        <w:rPr>
          <w:rFonts w:ascii="Times New Roman" w:eastAsia="Times New Roman" w:hAnsi="Times New Roman" w:cs="Times New Roman"/>
          <w:b/>
          <w:color w:val="000000" w:themeColor="text1"/>
          <w:sz w:val="24"/>
          <w:szCs w:val="24"/>
        </w:rPr>
      </w:pPr>
    </w:p>
    <w:p w14:paraId="51D138BF" w14:textId="77777777" w:rsidR="0040479F" w:rsidRPr="00CB7922" w:rsidRDefault="0040479F">
      <w:pPr>
        <w:spacing w:line="360" w:lineRule="auto"/>
        <w:jc w:val="both"/>
        <w:rPr>
          <w:rFonts w:ascii="Times New Roman" w:eastAsia="Times New Roman" w:hAnsi="Times New Roman" w:cs="Times New Roman"/>
          <w:b/>
          <w:color w:val="000000" w:themeColor="text1"/>
          <w:sz w:val="24"/>
          <w:szCs w:val="24"/>
        </w:rPr>
      </w:pPr>
    </w:p>
    <w:p w14:paraId="627AD7F8" w14:textId="77777777" w:rsidR="0040479F" w:rsidRPr="00CB7922" w:rsidRDefault="00C81B6B">
      <w:pPr>
        <w:spacing w:line="360" w:lineRule="auto"/>
        <w:jc w:val="both"/>
        <w:rPr>
          <w:rFonts w:ascii="Times New Roman" w:eastAsia="Times New Roman" w:hAnsi="Times New Roman" w:cs="Times New Roman"/>
          <w:b/>
          <w:color w:val="000000" w:themeColor="text1"/>
          <w:sz w:val="24"/>
          <w:szCs w:val="24"/>
        </w:rPr>
      </w:pPr>
      <w:r w:rsidRPr="00CB7922">
        <w:rPr>
          <w:rFonts w:ascii="Times New Roman" w:eastAsia="Times New Roman" w:hAnsi="Times New Roman" w:cs="Times New Roman"/>
          <w:b/>
          <w:color w:val="000000" w:themeColor="text1"/>
          <w:sz w:val="24"/>
          <w:szCs w:val="24"/>
        </w:rPr>
        <w:lastRenderedPageBreak/>
        <w:t>Banking Support Package</w:t>
      </w:r>
    </w:p>
    <w:p w14:paraId="1DBC241B" w14:textId="3DFD6992"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According to the recovery plan of the UK government, every major bank was ordered to recalculate capital needs wit</w:t>
      </w:r>
      <w:r w:rsidR="006D6E7E">
        <w:rPr>
          <w:rFonts w:ascii="Times New Roman" w:eastAsia="Times New Roman" w:hAnsi="Times New Roman" w:cs="Times New Roman"/>
          <w:color w:val="000000" w:themeColor="text1"/>
          <w:sz w:val="24"/>
          <w:szCs w:val="24"/>
        </w:rPr>
        <w:t xml:space="preserve">hin the weekend on 8th October </w:t>
      </w:r>
      <w:r w:rsidRPr="00CB7922">
        <w:rPr>
          <w:rFonts w:ascii="Times New Roman" w:eastAsia="Times New Roman" w:hAnsi="Times New Roman" w:cs="Times New Roman"/>
          <w:color w:val="000000" w:themeColor="text1"/>
          <w:sz w:val="24"/>
          <w:szCs w:val="24"/>
        </w:rPr>
        <w:t>2008. To do this, the Treasury used an intense st</w:t>
      </w:r>
      <w:r w:rsidR="006D6E7E">
        <w:rPr>
          <w:rFonts w:ascii="Times New Roman" w:eastAsia="Times New Roman" w:hAnsi="Times New Roman" w:cs="Times New Roman"/>
          <w:color w:val="000000" w:themeColor="text1"/>
          <w:sz w:val="24"/>
          <w:szCs w:val="24"/>
        </w:rPr>
        <w:t>ress test suggested by the Financial Services Authority (FSA)</w:t>
      </w:r>
      <w:r w:rsidRPr="00CB7922">
        <w:rPr>
          <w:rFonts w:ascii="Times New Roman" w:eastAsia="Times New Roman" w:hAnsi="Times New Roman" w:cs="Times New Roman"/>
          <w:color w:val="000000" w:themeColor="text1"/>
          <w:sz w:val="24"/>
          <w:szCs w:val="24"/>
        </w:rPr>
        <w:t xml:space="preserve"> (Davies, 2010).</w:t>
      </w:r>
    </w:p>
    <w:p w14:paraId="55C1DF92" w14:textId="77777777" w:rsidR="0040479F" w:rsidRPr="00CB7922" w:rsidRDefault="00C81B6B">
      <w:pPr>
        <w:spacing w:line="360" w:lineRule="auto"/>
        <w:jc w:val="both"/>
        <w:rPr>
          <w:rFonts w:ascii="Times New Roman" w:eastAsia="Times New Roman" w:hAnsi="Times New Roman" w:cs="Times New Roman"/>
          <w:b/>
          <w:color w:val="000000" w:themeColor="text1"/>
          <w:sz w:val="24"/>
          <w:szCs w:val="24"/>
        </w:rPr>
      </w:pPr>
      <w:r w:rsidRPr="00CB7922">
        <w:rPr>
          <w:rFonts w:ascii="Times New Roman" w:eastAsia="Times New Roman" w:hAnsi="Times New Roman" w:cs="Times New Roman"/>
          <w:b/>
          <w:color w:val="000000" w:themeColor="text1"/>
          <w:sz w:val="24"/>
          <w:szCs w:val="24"/>
        </w:rPr>
        <w:t>A Second Support Package</w:t>
      </w:r>
    </w:p>
    <w:p w14:paraId="09AAD3FC"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To survive in the financial crisis, the authority established an insurance scheme to reduce the loss on the assets with the highest risk associated according to the banks’ balance sheet. The scheme was named as a work out scheme as insisted by the authority.</w:t>
      </w:r>
    </w:p>
    <w:p w14:paraId="79932C41" w14:textId="77777777" w:rsidR="0040479F" w:rsidRPr="00CB7922" w:rsidRDefault="00C81B6B">
      <w:pPr>
        <w:spacing w:line="360" w:lineRule="auto"/>
        <w:jc w:val="both"/>
        <w:rPr>
          <w:rFonts w:ascii="Times New Roman" w:eastAsia="Times New Roman" w:hAnsi="Times New Roman" w:cs="Times New Roman"/>
          <w:b/>
          <w:color w:val="000000" w:themeColor="text1"/>
          <w:sz w:val="24"/>
          <w:szCs w:val="24"/>
        </w:rPr>
      </w:pPr>
      <w:r w:rsidRPr="00CB7922">
        <w:rPr>
          <w:rFonts w:ascii="Times New Roman" w:eastAsia="Times New Roman" w:hAnsi="Times New Roman" w:cs="Times New Roman"/>
          <w:b/>
          <w:color w:val="000000" w:themeColor="text1"/>
          <w:sz w:val="24"/>
          <w:szCs w:val="24"/>
        </w:rPr>
        <w:t>Parliamentary and Political Response</w:t>
      </w:r>
    </w:p>
    <w:p w14:paraId="1E15C548" w14:textId="3A520FC9"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Besides the Turner Review, White Paper and Walker Review, several other documents were published responding to the crisis within 2008-</w:t>
      </w:r>
      <w:r w:rsidR="00C73812">
        <w:rPr>
          <w:rFonts w:ascii="Times New Roman" w:eastAsia="Times New Roman" w:hAnsi="Times New Roman" w:cs="Times New Roman"/>
          <w:color w:val="000000" w:themeColor="text1"/>
          <w:sz w:val="24"/>
          <w:szCs w:val="24"/>
        </w:rPr>
        <w:t>20</w:t>
      </w:r>
      <w:r w:rsidRPr="00CB7922">
        <w:rPr>
          <w:rFonts w:ascii="Times New Roman" w:eastAsia="Times New Roman" w:hAnsi="Times New Roman" w:cs="Times New Roman"/>
          <w:color w:val="000000" w:themeColor="text1"/>
          <w:sz w:val="24"/>
          <w:szCs w:val="24"/>
        </w:rPr>
        <w:t xml:space="preserve">09 in the UK. The documents released a series of official papers from the tripartite authority that consist of the Treasury, Bank of England and the FSA (Kickert, 2012). </w:t>
      </w:r>
    </w:p>
    <w:p w14:paraId="443E24D0" w14:textId="77777777" w:rsidR="0040479F" w:rsidRPr="00CB7922" w:rsidRDefault="00C81B6B">
      <w:pPr>
        <w:spacing w:line="360" w:lineRule="auto"/>
        <w:jc w:val="both"/>
        <w:rPr>
          <w:rFonts w:ascii="Times New Roman" w:eastAsia="Times New Roman" w:hAnsi="Times New Roman" w:cs="Times New Roman"/>
          <w:b/>
          <w:color w:val="000000" w:themeColor="text1"/>
          <w:sz w:val="24"/>
          <w:szCs w:val="24"/>
        </w:rPr>
      </w:pPr>
      <w:r w:rsidRPr="00CB7922">
        <w:rPr>
          <w:rFonts w:ascii="Times New Roman" w:eastAsia="Times New Roman" w:hAnsi="Times New Roman" w:cs="Times New Roman"/>
          <w:b/>
          <w:color w:val="000000" w:themeColor="text1"/>
          <w:sz w:val="24"/>
          <w:szCs w:val="24"/>
        </w:rPr>
        <w:t>Regulatory Responses</w:t>
      </w:r>
    </w:p>
    <w:p w14:paraId="1F17083F"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The regulatory reform plan considered by the Turner Review has ten areas of action. Some of them were Bank resolution and deposit protection, systematic control, credit rating, accounting and liquidity, governance and risk management, commercial banking system, business controlling conduct etc. </w:t>
      </w:r>
    </w:p>
    <w:p w14:paraId="51A413B4" w14:textId="77777777" w:rsidR="0040479F" w:rsidRPr="00CB7922" w:rsidRDefault="00C81B6B">
      <w:pPr>
        <w:spacing w:line="360" w:lineRule="auto"/>
        <w:jc w:val="both"/>
        <w:rPr>
          <w:rFonts w:ascii="Times New Roman" w:eastAsia="Times New Roman" w:hAnsi="Times New Roman" w:cs="Times New Roman"/>
          <w:b/>
          <w:color w:val="000000" w:themeColor="text1"/>
          <w:sz w:val="24"/>
          <w:szCs w:val="24"/>
        </w:rPr>
      </w:pPr>
      <w:r w:rsidRPr="00CB7922">
        <w:rPr>
          <w:rFonts w:ascii="Times New Roman" w:eastAsia="Times New Roman" w:hAnsi="Times New Roman" w:cs="Times New Roman"/>
          <w:b/>
          <w:color w:val="000000" w:themeColor="text1"/>
          <w:sz w:val="24"/>
          <w:szCs w:val="24"/>
        </w:rPr>
        <w:t>Pro-cyclicality</w:t>
      </w:r>
    </w:p>
    <w:p w14:paraId="1E94D0C9"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Some measures were implemented by the FSA that required the banks to utilise “through-the-cycle” estimation of possible losses of loan instead of “point-in-time” measures. It was imposed to reduce the pro cyclical effect of implementation of Basel II in the UK (Panetta, 2009).</w:t>
      </w:r>
    </w:p>
    <w:p w14:paraId="4E1A742E" w14:textId="77777777" w:rsidR="0040479F" w:rsidRPr="00CB7922" w:rsidRDefault="00C81B6B">
      <w:pPr>
        <w:spacing w:line="360" w:lineRule="auto"/>
        <w:jc w:val="both"/>
        <w:rPr>
          <w:rFonts w:ascii="Times New Roman" w:eastAsia="Times New Roman" w:hAnsi="Times New Roman" w:cs="Times New Roman"/>
          <w:b/>
          <w:color w:val="000000" w:themeColor="text1"/>
          <w:sz w:val="24"/>
          <w:szCs w:val="24"/>
        </w:rPr>
      </w:pPr>
      <w:r w:rsidRPr="00CB7922">
        <w:rPr>
          <w:rFonts w:ascii="Times New Roman" w:eastAsia="Times New Roman" w:hAnsi="Times New Roman" w:cs="Times New Roman"/>
          <w:b/>
          <w:color w:val="000000" w:themeColor="text1"/>
          <w:sz w:val="24"/>
          <w:szCs w:val="24"/>
        </w:rPr>
        <w:t>The Banking Act 2009 and Bank Resolution</w:t>
      </w:r>
    </w:p>
    <w:p w14:paraId="67E7D549" w14:textId="6772978F"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Under the Banking Act 2009, some major reformations were made relevant to the bank reconciliation and reconstruction</w:t>
      </w:r>
      <w:r w:rsidR="00C73812">
        <w:rPr>
          <w:rFonts w:ascii="Times New Roman" w:eastAsia="Times New Roman" w:hAnsi="Times New Roman" w:cs="Times New Roman"/>
          <w:color w:val="000000" w:themeColor="text1"/>
          <w:sz w:val="24"/>
          <w:szCs w:val="24"/>
        </w:rPr>
        <w:t xml:space="preserve"> that was enacted in February. </w:t>
      </w:r>
      <w:r w:rsidRPr="00CB7922">
        <w:rPr>
          <w:rFonts w:ascii="Times New Roman" w:eastAsia="Times New Roman" w:hAnsi="Times New Roman" w:cs="Times New Roman"/>
          <w:color w:val="000000" w:themeColor="text1"/>
          <w:sz w:val="24"/>
          <w:szCs w:val="24"/>
        </w:rPr>
        <w:t xml:space="preserve">Before that, The United </w:t>
      </w:r>
      <w:r w:rsidRPr="00CB7922">
        <w:rPr>
          <w:rFonts w:ascii="Times New Roman" w:eastAsia="Times New Roman" w:hAnsi="Times New Roman" w:cs="Times New Roman"/>
          <w:color w:val="000000" w:themeColor="text1"/>
          <w:sz w:val="24"/>
          <w:szCs w:val="24"/>
        </w:rPr>
        <w:lastRenderedPageBreak/>
        <w:t xml:space="preserve">Kingdom government had implemented the Banking Bill 2008 to </w:t>
      </w:r>
      <w:r w:rsidR="00C73812">
        <w:rPr>
          <w:rFonts w:ascii="Times New Roman" w:eastAsia="Times New Roman" w:hAnsi="Times New Roman" w:cs="Times New Roman"/>
          <w:color w:val="000000" w:themeColor="text1"/>
          <w:sz w:val="24"/>
          <w:szCs w:val="24"/>
        </w:rPr>
        <w:t>the House of Commons in October</w:t>
      </w:r>
      <w:r w:rsidRPr="00CB7922">
        <w:rPr>
          <w:rFonts w:ascii="Times New Roman" w:eastAsia="Times New Roman" w:hAnsi="Times New Roman" w:cs="Times New Roman"/>
          <w:color w:val="000000" w:themeColor="text1"/>
          <w:sz w:val="24"/>
          <w:szCs w:val="24"/>
        </w:rPr>
        <w:t xml:space="preserve"> 2008. </w:t>
      </w:r>
    </w:p>
    <w:p w14:paraId="43EE43C9" w14:textId="6D548420" w:rsidR="0040479F" w:rsidRPr="00CB7922" w:rsidRDefault="00C73812">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Special Resolution R</w:t>
      </w:r>
      <w:r w:rsidR="00C81B6B" w:rsidRPr="00CB7922">
        <w:rPr>
          <w:rFonts w:ascii="Times New Roman" w:eastAsia="Times New Roman" w:hAnsi="Times New Roman" w:cs="Times New Roman"/>
          <w:b/>
          <w:color w:val="000000" w:themeColor="text1"/>
          <w:sz w:val="24"/>
          <w:szCs w:val="24"/>
        </w:rPr>
        <w:t>egime</w:t>
      </w:r>
    </w:p>
    <w:p w14:paraId="26AB4FEF" w14:textId="407A0E4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The S</w:t>
      </w:r>
      <w:r w:rsidR="00C73812">
        <w:rPr>
          <w:rFonts w:ascii="Times New Roman" w:eastAsia="Times New Roman" w:hAnsi="Times New Roman" w:cs="Times New Roman"/>
          <w:color w:val="000000" w:themeColor="text1"/>
          <w:sz w:val="24"/>
          <w:szCs w:val="24"/>
        </w:rPr>
        <w:t xml:space="preserve">pecial </w:t>
      </w:r>
      <w:r w:rsidRPr="00CB7922">
        <w:rPr>
          <w:rFonts w:ascii="Times New Roman" w:eastAsia="Times New Roman" w:hAnsi="Times New Roman" w:cs="Times New Roman"/>
          <w:color w:val="000000" w:themeColor="text1"/>
          <w:sz w:val="24"/>
          <w:szCs w:val="24"/>
        </w:rPr>
        <w:t>R</w:t>
      </w:r>
      <w:r w:rsidR="00C73812">
        <w:rPr>
          <w:rFonts w:ascii="Times New Roman" w:eastAsia="Times New Roman" w:hAnsi="Times New Roman" w:cs="Times New Roman"/>
          <w:color w:val="000000" w:themeColor="text1"/>
          <w:sz w:val="24"/>
          <w:szCs w:val="24"/>
        </w:rPr>
        <w:t xml:space="preserve">esolution </w:t>
      </w:r>
      <w:r w:rsidRPr="00CB7922">
        <w:rPr>
          <w:rFonts w:ascii="Times New Roman" w:eastAsia="Times New Roman" w:hAnsi="Times New Roman" w:cs="Times New Roman"/>
          <w:color w:val="000000" w:themeColor="text1"/>
          <w:sz w:val="24"/>
          <w:szCs w:val="24"/>
        </w:rPr>
        <w:t>R</w:t>
      </w:r>
      <w:r w:rsidR="00C73812">
        <w:rPr>
          <w:rFonts w:ascii="Times New Roman" w:eastAsia="Times New Roman" w:hAnsi="Times New Roman" w:cs="Times New Roman"/>
          <w:color w:val="000000" w:themeColor="text1"/>
          <w:sz w:val="24"/>
          <w:szCs w:val="24"/>
        </w:rPr>
        <w:t>egime (SRR)</w:t>
      </w:r>
      <w:r w:rsidRPr="00CB7922">
        <w:rPr>
          <w:rFonts w:ascii="Times New Roman" w:eastAsia="Times New Roman" w:hAnsi="Times New Roman" w:cs="Times New Roman"/>
          <w:color w:val="000000" w:themeColor="text1"/>
          <w:sz w:val="24"/>
          <w:szCs w:val="24"/>
        </w:rPr>
        <w:t xml:space="preserve"> was developed under the banking act in part one.  It provides three particular stabilisation options. These are, transferring to a bridge bank using the US model or transferring to private sector buyers or temporarily transferring to a public ownership. (Brierley, 2009)</w:t>
      </w:r>
    </w:p>
    <w:p w14:paraId="15265C78" w14:textId="77777777" w:rsidR="0040479F" w:rsidRPr="00CB7922" w:rsidRDefault="00C81B6B">
      <w:pPr>
        <w:spacing w:line="360" w:lineRule="auto"/>
        <w:jc w:val="both"/>
        <w:rPr>
          <w:rFonts w:ascii="Times New Roman" w:eastAsia="Times New Roman" w:hAnsi="Times New Roman" w:cs="Times New Roman"/>
          <w:b/>
          <w:color w:val="000000" w:themeColor="text1"/>
          <w:sz w:val="24"/>
          <w:szCs w:val="24"/>
        </w:rPr>
      </w:pPr>
      <w:r w:rsidRPr="00CB7922">
        <w:rPr>
          <w:rFonts w:ascii="Times New Roman" w:eastAsia="Times New Roman" w:hAnsi="Times New Roman" w:cs="Times New Roman"/>
          <w:b/>
          <w:color w:val="000000" w:themeColor="text1"/>
          <w:sz w:val="24"/>
          <w:szCs w:val="24"/>
        </w:rPr>
        <w:t>Code of practice</w:t>
      </w:r>
    </w:p>
    <w:p w14:paraId="7BB6167F"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The core of practice involves particular guidance and direction on achieving this spatial resolution objective, exercise conditions, consultation in formation, providing advice through one related authority to another, notices and reports. </w:t>
      </w:r>
    </w:p>
    <w:p w14:paraId="1389FB1A" w14:textId="77777777" w:rsidR="0040479F" w:rsidRPr="00CB7922" w:rsidRDefault="00C81B6B">
      <w:pPr>
        <w:spacing w:line="360" w:lineRule="auto"/>
        <w:jc w:val="both"/>
        <w:rPr>
          <w:rFonts w:ascii="Times New Roman" w:eastAsia="Times New Roman" w:hAnsi="Times New Roman" w:cs="Times New Roman"/>
          <w:b/>
          <w:color w:val="000000" w:themeColor="text1"/>
          <w:sz w:val="24"/>
          <w:szCs w:val="24"/>
        </w:rPr>
      </w:pPr>
      <w:r w:rsidRPr="00CB7922">
        <w:rPr>
          <w:rFonts w:ascii="Times New Roman" w:eastAsia="Times New Roman" w:hAnsi="Times New Roman" w:cs="Times New Roman"/>
          <w:b/>
          <w:color w:val="000000" w:themeColor="text1"/>
          <w:sz w:val="24"/>
          <w:szCs w:val="24"/>
        </w:rPr>
        <w:t>Partial transfer</w:t>
      </w:r>
    </w:p>
    <w:p w14:paraId="2F72DCC1"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It was ordered that Restrictions will be imposed on making partial transfer of some of the property, liabilities and rights alpha bank under the powers of property transfer.  Through this order, the treasury imposed restrictions referring to the type of property, liability and rights that forms the part of transfer (Walker, 2010). </w:t>
      </w:r>
    </w:p>
    <w:p w14:paraId="648B9674" w14:textId="786743AB" w:rsidR="0040479F" w:rsidRPr="00CB7922" w:rsidRDefault="00C73812">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Financial Service A</w:t>
      </w:r>
      <w:r w:rsidR="00C81B6B" w:rsidRPr="00CB7922">
        <w:rPr>
          <w:rFonts w:ascii="Times New Roman" w:eastAsia="Times New Roman" w:hAnsi="Times New Roman" w:cs="Times New Roman"/>
          <w:b/>
          <w:color w:val="000000" w:themeColor="text1"/>
          <w:sz w:val="24"/>
          <w:szCs w:val="24"/>
        </w:rPr>
        <w:t>ct</w:t>
      </w:r>
    </w:p>
    <w:p w14:paraId="5A17BEC6" w14:textId="586FC77C" w:rsidR="0040479F" w:rsidRPr="00CB7922" w:rsidRDefault="00C73812">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w:t>
      </w:r>
      <w:r w:rsidRPr="00CB7922">
        <w:rPr>
          <w:rFonts w:ascii="Times New Roman" w:eastAsia="Times New Roman" w:hAnsi="Times New Roman" w:cs="Times New Roman"/>
          <w:color w:val="000000" w:themeColor="text1"/>
          <w:sz w:val="24"/>
          <w:szCs w:val="24"/>
        </w:rPr>
        <w:t>n November 2009</w:t>
      </w:r>
      <w:r>
        <w:rPr>
          <w:rFonts w:ascii="Times New Roman" w:eastAsia="Times New Roman" w:hAnsi="Times New Roman" w:cs="Times New Roman"/>
          <w:color w:val="000000" w:themeColor="text1"/>
          <w:sz w:val="24"/>
          <w:szCs w:val="24"/>
        </w:rPr>
        <w:t>, the Financial Service Act</w:t>
      </w:r>
      <w:r w:rsidR="00C81B6B" w:rsidRPr="00CB7922">
        <w:rPr>
          <w:rFonts w:ascii="Times New Roman" w:eastAsia="Times New Roman" w:hAnsi="Times New Roman" w:cs="Times New Roman"/>
          <w:color w:val="000000" w:themeColor="text1"/>
          <w:sz w:val="24"/>
          <w:szCs w:val="24"/>
        </w:rPr>
        <w:t xml:space="preserve"> was brought forward by the government of the UK. It was enacted in April 2010.  Generally, this act was designed and developed for improving the overall system wide risk and providing for more effective supervision and regulation etc. </w:t>
      </w:r>
    </w:p>
    <w:p w14:paraId="5BFE9B94" w14:textId="77777777" w:rsidR="0040479F" w:rsidRPr="00CB7922" w:rsidRDefault="00C81B6B">
      <w:pPr>
        <w:spacing w:line="360" w:lineRule="auto"/>
        <w:jc w:val="both"/>
        <w:rPr>
          <w:rFonts w:ascii="Times New Roman" w:eastAsia="Times New Roman" w:hAnsi="Times New Roman" w:cs="Times New Roman"/>
          <w:b/>
          <w:color w:val="000000" w:themeColor="text1"/>
          <w:sz w:val="24"/>
          <w:szCs w:val="24"/>
        </w:rPr>
      </w:pPr>
      <w:r w:rsidRPr="00CB7922">
        <w:rPr>
          <w:rFonts w:ascii="Times New Roman" w:eastAsia="Times New Roman" w:hAnsi="Times New Roman" w:cs="Times New Roman"/>
          <w:b/>
          <w:color w:val="000000" w:themeColor="text1"/>
          <w:sz w:val="24"/>
          <w:szCs w:val="24"/>
        </w:rPr>
        <w:t>Resolution and recovery</w:t>
      </w:r>
    </w:p>
    <w:p w14:paraId="51A35AF3" w14:textId="302822D0"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It was required by the authority that the FSA </w:t>
      </w:r>
      <w:r w:rsidR="00C73812" w:rsidRPr="00CB7922">
        <w:rPr>
          <w:rFonts w:ascii="Times New Roman" w:eastAsia="Times New Roman" w:hAnsi="Times New Roman" w:cs="Times New Roman"/>
          <w:color w:val="000000" w:themeColor="text1"/>
          <w:sz w:val="24"/>
          <w:szCs w:val="24"/>
        </w:rPr>
        <w:t>would</w:t>
      </w:r>
      <w:r w:rsidRPr="00CB7922">
        <w:rPr>
          <w:rFonts w:ascii="Times New Roman" w:eastAsia="Times New Roman" w:hAnsi="Times New Roman" w:cs="Times New Roman"/>
          <w:color w:val="000000" w:themeColor="text1"/>
          <w:sz w:val="24"/>
          <w:szCs w:val="24"/>
        </w:rPr>
        <w:t xml:space="preserve"> make some general rules regarding the preparation of resolution and recovery plan. Resolution plans were made for specifying the possible actions to be adopted in case a firm is about to fall or on the edge of failure (Laeven, 2010). </w:t>
      </w:r>
    </w:p>
    <w:p w14:paraId="02E5027C" w14:textId="77777777" w:rsidR="0040479F" w:rsidRPr="00CB7922" w:rsidRDefault="00C81B6B">
      <w:pPr>
        <w:pStyle w:val="Heading2"/>
        <w:spacing w:before="0" w:line="360" w:lineRule="auto"/>
        <w:rPr>
          <w:color w:val="000000" w:themeColor="text1"/>
        </w:rPr>
      </w:pPr>
      <w:bookmarkStart w:id="3" w:name="_heading=h.3znysh7" w:colFirst="0" w:colLast="0"/>
      <w:bookmarkEnd w:id="3"/>
      <w:r w:rsidRPr="00CB7922">
        <w:rPr>
          <w:color w:val="000000" w:themeColor="text1"/>
        </w:rPr>
        <w:lastRenderedPageBreak/>
        <w:t xml:space="preserve">US’s Response </w:t>
      </w:r>
    </w:p>
    <w:p w14:paraId="269CF93C"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The US authority designed some programs to fight the financial crisis of 2008.  The program primarily consisted of the following regulations and policies. The treasury implemented the troubled asset relief program TARP under the emergency economic stabilisation Act 2008 which was later amended by the reinvestment Act and American recovery Act 2009. The Federal Reserve implemented several programs under their traditional authority of the discount section for the commercial banks under section 13 of the Federal Reserve act (Trichet, 2010). </w:t>
      </w:r>
    </w:p>
    <w:p w14:paraId="6F123063"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The FDIC used their Deposit Insurance fund for providing crucial help to the banking system which also includes increasing the deposit insurance coverage up to 250 thousand U.S. dollar per institution per person, resolving failed thrifts and banks and TLGP- Temporary liquidity guarantee program and the Treasury rescue of Freddie and Fannie Mac according to the authorities and grant of HERA- housing economic recovery act 2008.</w:t>
      </w:r>
    </w:p>
    <w:p w14:paraId="27D742A6" w14:textId="77777777" w:rsidR="0040479F" w:rsidRPr="00CB7922" w:rsidRDefault="00C81B6B">
      <w:pPr>
        <w:spacing w:line="360" w:lineRule="auto"/>
        <w:jc w:val="both"/>
        <w:rPr>
          <w:rFonts w:ascii="Times New Roman" w:eastAsia="Times New Roman" w:hAnsi="Times New Roman" w:cs="Times New Roman"/>
          <w:b/>
          <w:color w:val="000000" w:themeColor="text1"/>
          <w:sz w:val="24"/>
          <w:szCs w:val="24"/>
        </w:rPr>
      </w:pPr>
      <w:r w:rsidRPr="00CB7922">
        <w:rPr>
          <w:rFonts w:ascii="Times New Roman" w:eastAsia="Times New Roman" w:hAnsi="Times New Roman" w:cs="Times New Roman"/>
          <w:b/>
          <w:color w:val="000000" w:themeColor="text1"/>
          <w:sz w:val="24"/>
          <w:szCs w:val="24"/>
        </w:rPr>
        <w:t>Financial Regulatory Reform</w:t>
      </w:r>
    </w:p>
    <w:p w14:paraId="08249760" w14:textId="4E16C933"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The financial crisis 2008 enforced the chance of emergency public assistance to pacify the wave and to create a storm of exclusive </w:t>
      </w:r>
      <w:r w:rsidR="00CC4CC8">
        <w:rPr>
          <w:rFonts w:ascii="Times New Roman" w:eastAsia="Times New Roman" w:hAnsi="Times New Roman" w:cs="Times New Roman"/>
          <w:color w:val="000000" w:themeColor="text1"/>
          <w:sz w:val="24"/>
          <w:szCs w:val="24"/>
        </w:rPr>
        <w:t xml:space="preserve">financial regulations. In July </w:t>
      </w:r>
      <w:r w:rsidRPr="00CB7922">
        <w:rPr>
          <w:rFonts w:ascii="Times New Roman" w:eastAsia="Times New Roman" w:hAnsi="Times New Roman" w:cs="Times New Roman"/>
          <w:color w:val="000000" w:themeColor="text1"/>
          <w:sz w:val="24"/>
          <w:szCs w:val="24"/>
        </w:rPr>
        <w:t xml:space="preserve">2010, the </w:t>
      </w:r>
      <w:r w:rsidR="00CC4CC8" w:rsidRPr="00CB7922">
        <w:rPr>
          <w:rFonts w:ascii="Times New Roman" w:eastAsia="Times New Roman" w:hAnsi="Times New Roman" w:cs="Times New Roman"/>
          <w:color w:val="000000" w:themeColor="text1"/>
          <w:sz w:val="24"/>
          <w:szCs w:val="24"/>
        </w:rPr>
        <w:t>US authority enacted the Dodd Frank Wall Street reform and consumers protection act</w:t>
      </w:r>
      <w:r w:rsidRPr="00CB7922">
        <w:rPr>
          <w:rFonts w:ascii="Times New Roman" w:eastAsia="Times New Roman" w:hAnsi="Times New Roman" w:cs="Times New Roman"/>
          <w:color w:val="000000" w:themeColor="text1"/>
          <w:sz w:val="24"/>
          <w:szCs w:val="24"/>
        </w:rPr>
        <w:t>.</w:t>
      </w:r>
    </w:p>
    <w:p w14:paraId="7ECFF2C5"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b/>
          <w:color w:val="000000" w:themeColor="text1"/>
          <w:sz w:val="24"/>
          <w:szCs w:val="24"/>
        </w:rPr>
        <w:t xml:space="preserve">The Dodd Frank Act </w:t>
      </w:r>
    </w:p>
    <w:p w14:paraId="71B27793" w14:textId="728EC2B2"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This act highlights the biggest change in legislation of US financial regulations after the storm of financial legislation in the 1930s that later resulted in the Securities Act 1933, Federal Deposit Insurance Act, the Securities Exchange Act 1934, the Glass Steagall Act and the Investment Company Act 1940. These were the most important ones. As the large companies are heavily affected by all the acts, the small institutions had to encounter stricter regulations. However, the Dodd Frank Act resulted in a number of fundamental changes to the scope and shape of US financial regulations. Below is a table summarising the act (Murdock, 2011).</w:t>
      </w:r>
    </w:p>
    <w:p w14:paraId="5B3189A9" w14:textId="77777777" w:rsidR="00CC4CC8" w:rsidRDefault="00CC4CC8">
      <w:pPr>
        <w:spacing w:line="360" w:lineRule="auto"/>
        <w:jc w:val="both"/>
        <w:rPr>
          <w:rFonts w:ascii="Times New Roman" w:eastAsia="Times New Roman" w:hAnsi="Times New Roman" w:cs="Times New Roman"/>
          <w:b/>
          <w:color w:val="000000" w:themeColor="text1"/>
          <w:sz w:val="24"/>
          <w:szCs w:val="24"/>
        </w:rPr>
      </w:pPr>
    </w:p>
    <w:p w14:paraId="167AF3F6" w14:textId="77777777" w:rsidR="00CC4CC8" w:rsidRDefault="00CC4CC8">
      <w:pPr>
        <w:spacing w:line="360" w:lineRule="auto"/>
        <w:jc w:val="both"/>
        <w:rPr>
          <w:rFonts w:ascii="Times New Roman" w:eastAsia="Times New Roman" w:hAnsi="Times New Roman" w:cs="Times New Roman"/>
          <w:b/>
          <w:color w:val="000000" w:themeColor="text1"/>
          <w:sz w:val="24"/>
          <w:szCs w:val="24"/>
        </w:rPr>
      </w:pPr>
    </w:p>
    <w:p w14:paraId="05EDD680" w14:textId="77777777" w:rsidR="00CC4CC8" w:rsidRDefault="00CC4CC8">
      <w:pPr>
        <w:spacing w:line="360" w:lineRule="auto"/>
        <w:jc w:val="both"/>
        <w:rPr>
          <w:rFonts w:ascii="Times New Roman" w:eastAsia="Times New Roman" w:hAnsi="Times New Roman" w:cs="Times New Roman"/>
          <w:b/>
          <w:color w:val="000000" w:themeColor="text1"/>
          <w:sz w:val="24"/>
          <w:szCs w:val="24"/>
        </w:rPr>
      </w:pPr>
    </w:p>
    <w:p w14:paraId="66A237AA" w14:textId="69D008AB" w:rsidR="0040479F" w:rsidRPr="00CB7922" w:rsidRDefault="00C81B6B">
      <w:pPr>
        <w:spacing w:line="360" w:lineRule="auto"/>
        <w:jc w:val="both"/>
        <w:rPr>
          <w:rFonts w:ascii="Times New Roman" w:eastAsia="Times New Roman" w:hAnsi="Times New Roman" w:cs="Times New Roman"/>
          <w:b/>
          <w:color w:val="000000" w:themeColor="text1"/>
          <w:sz w:val="24"/>
          <w:szCs w:val="24"/>
        </w:rPr>
      </w:pPr>
      <w:r w:rsidRPr="00CB7922">
        <w:rPr>
          <w:rFonts w:ascii="Times New Roman" w:eastAsia="Times New Roman" w:hAnsi="Times New Roman" w:cs="Times New Roman"/>
          <w:b/>
          <w:color w:val="000000" w:themeColor="text1"/>
          <w:sz w:val="24"/>
          <w:szCs w:val="24"/>
        </w:rPr>
        <w:lastRenderedPageBreak/>
        <w:t>Systematic Risk Regulation</w:t>
      </w:r>
    </w:p>
    <w:p w14:paraId="3030E96B" w14:textId="2F8D81C9" w:rsidR="00901417" w:rsidRPr="00CB7922" w:rsidRDefault="00901417" w:rsidP="00901417">
      <w:pPr>
        <w:spacing w:line="360" w:lineRule="auto"/>
        <w:jc w:val="center"/>
        <w:rPr>
          <w:rFonts w:ascii="Times New Roman" w:eastAsia="Times New Roman" w:hAnsi="Times New Roman" w:cs="Times New Roman"/>
          <w:b/>
          <w:color w:val="000000" w:themeColor="text1"/>
          <w:sz w:val="24"/>
          <w:szCs w:val="24"/>
        </w:rPr>
      </w:pPr>
      <w:r w:rsidRPr="00CB7922">
        <w:rPr>
          <w:noProof/>
          <w:color w:val="000000" w:themeColor="text1"/>
          <w:lang w:val="en-US" w:eastAsia="en-US" w:bidi="ar-SA"/>
        </w:rPr>
        <w:drawing>
          <wp:inline distT="0" distB="0" distL="0" distR="0" wp14:anchorId="263FBC9C" wp14:editId="76337832">
            <wp:extent cx="4876800" cy="3225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76800" cy="3225800"/>
                    </a:xfrm>
                    <a:prstGeom prst="rect">
                      <a:avLst/>
                    </a:prstGeom>
                  </pic:spPr>
                </pic:pic>
              </a:graphicData>
            </a:graphic>
          </wp:inline>
        </w:drawing>
      </w:r>
    </w:p>
    <w:p w14:paraId="565DC4D7" w14:textId="0C5CF4C8" w:rsidR="00901417" w:rsidRPr="00CB7922" w:rsidRDefault="00901417" w:rsidP="00901417">
      <w:pPr>
        <w:spacing w:line="360" w:lineRule="auto"/>
        <w:jc w:val="center"/>
        <w:rPr>
          <w:rFonts w:ascii="Times New Roman" w:eastAsia="Times New Roman" w:hAnsi="Times New Roman" w:cs="Times New Roman"/>
          <w:b/>
          <w:color w:val="000000" w:themeColor="text1"/>
          <w:sz w:val="24"/>
          <w:szCs w:val="24"/>
        </w:rPr>
      </w:pPr>
      <w:r w:rsidRPr="00CB7922">
        <w:rPr>
          <w:rFonts w:ascii="Times New Roman" w:eastAsia="Times New Roman" w:hAnsi="Times New Roman" w:cs="Times New Roman"/>
          <w:b/>
          <w:color w:val="000000" w:themeColor="text1"/>
          <w:sz w:val="24"/>
        </w:rPr>
        <w:t xml:space="preserve">Figure: </w:t>
      </w:r>
      <w:r w:rsidRPr="00CB7922">
        <w:rPr>
          <w:rFonts w:ascii="Times New Roman" w:eastAsia="Times New Roman" w:hAnsi="Times New Roman" w:cs="Times New Roman"/>
          <w:color w:val="000000" w:themeColor="text1"/>
          <w:sz w:val="24"/>
        </w:rPr>
        <w:t xml:space="preserve">The Dodd Frank Act </w:t>
      </w:r>
      <w:r w:rsidRPr="00CB7922">
        <w:rPr>
          <w:rFonts w:ascii="Times New Roman" w:eastAsia="Times New Roman" w:hAnsi="Times New Roman" w:cs="Times New Roman"/>
          <w:color w:val="000000" w:themeColor="text1"/>
          <w:sz w:val="24"/>
          <w:szCs w:val="24"/>
        </w:rPr>
        <w:t>(Harrington, 2009)</w:t>
      </w:r>
    </w:p>
    <w:p w14:paraId="783E58EF"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The act created a new council of regulator for systematic risk named the “Financial Stability Oversight Council” that served as an advance warning protocol by identifying the risks in market and firm activities and also for enhancing the oversight of whole financial regulations system and for harmonising some considerable standards throughout the agencies (Harrington, 2009).</w:t>
      </w:r>
    </w:p>
    <w:p w14:paraId="0AE6C369" w14:textId="77777777" w:rsidR="0040479F" w:rsidRPr="00CB7922" w:rsidRDefault="00C81B6B">
      <w:pPr>
        <w:spacing w:line="360" w:lineRule="auto"/>
        <w:jc w:val="both"/>
        <w:rPr>
          <w:rFonts w:ascii="Times New Roman" w:eastAsia="Times New Roman" w:hAnsi="Times New Roman" w:cs="Times New Roman"/>
          <w:b/>
          <w:color w:val="000000" w:themeColor="text1"/>
          <w:sz w:val="24"/>
          <w:szCs w:val="24"/>
        </w:rPr>
      </w:pPr>
      <w:r w:rsidRPr="00CB7922">
        <w:rPr>
          <w:rFonts w:ascii="Times New Roman" w:eastAsia="Times New Roman" w:hAnsi="Times New Roman" w:cs="Times New Roman"/>
          <w:b/>
          <w:color w:val="000000" w:themeColor="text1"/>
          <w:sz w:val="24"/>
          <w:szCs w:val="24"/>
        </w:rPr>
        <w:t>Risk Committees</w:t>
      </w:r>
    </w:p>
    <w:p w14:paraId="51E34CEA"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Under this act, committees should be created for systematically significant and public trading non-bank financial institutions and also any public trading bank and holding company that has total assets valued $10 billion or higher.</w:t>
      </w:r>
    </w:p>
    <w:p w14:paraId="180A8893" w14:textId="77777777" w:rsidR="0040479F" w:rsidRPr="00CB7922" w:rsidRDefault="00C81B6B">
      <w:pPr>
        <w:spacing w:line="360" w:lineRule="auto"/>
        <w:jc w:val="both"/>
        <w:rPr>
          <w:rFonts w:ascii="Times New Roman" w:eastAsia="Times New Roman" w:hAnsi="Times New Roman" w:cs="Times New Roman"/>
          <w:b/>
          <w:color w:val="000000" w:themeColor="text1"/>
          <w:sz w:val="24"/>
          <w:szCs w:val="24"/>
        </w:rPr>
      </w:pPr>
      <w:r w:rsidRPr="00CB7922">
        <w:rPr>
          <w:rFonts w:ascii="Times New Roman" w:eastAsia="Times New Roman" w:hAnsi="Times New Roman" w:cs="Times New Roman"/>
          <w:b/>
          <w:color w:val="000000" w:themeColor="text1"/>
          <w:sz w:val="24"/>
          <w:szCs w:val="24"/>
        </w:rPr>
        <w:t>Resolution plan</w:t>
      </w:r>
    </w:p>
    <w:p w14:paraId="67262187"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This necessitates the preparation and maintenance of strictly disciplined resolution plans for the systemically significant non-bank financial institutions and large interlinked bank and holding companies. This must get approval of the Federal Reserve and the FDIC.</w:t>
      </w:r>
    </w:p>
    <w:p w14:paraId="1B2F1990" w14:textId="77777777" w:rsidR="001D5909" w:rsidRDefault="001D5909">
      <w:pPr>
        <w:spacing w:line="360" w:lineRule="auto"/>
        <w:jc w:val="both"/>
        <w:rPr>
          <w:rFonts w:ascii="Times New Roman" w:eastAsia="Times New Roman" w:hAnsi="Times New Roman" w:cs="Times New Roman"/>
          <w:b/>
          <w:color w:val="000000" w:themeColor="text1"/>
          <w:sz w:val="24"/>
          <w:szCs w:val="24"/>
        </w:rPr>
      </w:pPr>
    </w:p>
    <w:p w14:paraId="78F46195" w14:textId="77777777" w:rsidR="001D5909" w:rsidRDefault="001D5909">
      <w:pPr>
        <w:spacing w:line="360" w:lineRule="auto"/>
        <w:jc w:val="both"/>
        <w:rPr>
          <w:rFonts w:ascii="Times New Roman" w:eastAsia="Times New Roman" w:hAnsi="Times New Roman" w:cs="Times New Roman"/>
          <w:b/>
          <w:color w:val="000000" w:themeColor="text1"/>
          <w:sz w:val="24"/>
          <w:szCs w:val="24"/>
        </w:rPr>
      </w:pPr>
    </w:p>
    <w:p w14:paraId="3CE125BD" w14:textId="77777777" w:rsidR="0040479F" w:rsidRPr="00CB7922" w:rsidRDefault="00C81B6B">
      <w:pPr>
        <w:spacing w:line="360" w:lineRule="auto"/>
        <w:jc w:val="both"/>
        <w:rPr>
          <w:rFonts w:ascii="Times New Roman" w:eastAsia="Times New Roman" w:hAnsi="Times New Roman" w:cs="Times New Roman"/>
          <w:b/>
          <w:color w:val="000000" w:themeColor="text1"/>
          <w:sz w:val="24"/>
          <w:szCs w:val="24"/>
        </w:rPr>
      </w:pPr>
      <w:r w:rsidRPr="00CB7922">
        <w:rPr>
          <w:rFonts w:ascii="Times New Roman" w:eastAsia="Times New Roman" w:hAnsi="Times New Roman" w:cs="Times New Roman"/>
          <w:b/>
          <w:color w:val="000000" w:themeColor="text1"/>
          <w:sz w:val="24"/>
          <w:szCs w:val="24"/>
        </w:rPr>
        <w:lastRenderedPageBreak/>
        <w:t>Orderly Liquidation Authority</w:t>
      </w:r>
    </w:p>
    <w:p w14:paraId="24719A81"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The act also involves a unique orderly liquidation authority which would take the place of bankruptcy codes and any other insolvency law that is applicable for liquidating financial institutions  (Cohen, 2010).</w:t>
      </w:r>
    </w:p>
    <w:p w14:paraId="35410E59" w14:textId="77777777" w:rsidR="0040479F" w:rsidRPr="00CB7922" w:rsidRDefault="00C81B6B">
      <w:pPr>
        <w:spacing w:line="360" w:lineRule="auto"/>
        <w:jc w:val="both"/>
        <w:rPr>
          <w:rFonts w:ascii="Times New Roman" w:eastAsia="Times New Roman" w:hAnsi="Times New Roman" w:cs="Times New Roman"/>
          <w:b/>
          <w:color w:val="000000" w:themeColor="text1"/>
          <w:sz w:val="24"/>
          <w:szCs w:val="24"/>
        </w:rPr>
      </w:pPr>
      <w:r w:rsidRPr="00CB7922">
        <w:rPr>
          <w:rFonts w:ascii="Times New Roman" w:eastAsia="Times New Roman" w:hAnsi="Times New Roman" w:cs="Times New Roman"/>
          <w:b/>
          <w:color w:val="000000" w:themeColor="text1"/>
          <w:sz w:val="24"/>
          <w:szCs w:val="24"/>
        </w:rPr>
        <w:t>The Volcker Rule</w:t>
      </w:r>
    </w:p>
    <w:p w14:paraId="1BD02AC0"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This rule required that the companies holding banks must divest or restructure their proprietorship, private equity business and hedge funds.</w:t>
      </w:r>
    </w:p>
    <w:p w14:paraId="1C04C6FE" w14:textId="77777777" w:rsidR="0040479F" w:rsidRPr="00CB7922" w:rsidRDefault="00C81B6B">
      <w:pPr>
        <w:spacing w:line="360" w:lineRule="auto"/>
        <w:jc w:val="both"/>
        <w:rPr>
          <w:rFonts w:ascii="Times New Roman" w:eastAsia="Times New Roman" w:hAnsi="Times New Roman" w:cs="Times New Roman"/>
          <w:b/>
          <w:color w:val="000000" w:themeColor="text1"/>
          <w:sz w:val="24"/>
          <w:szCs w:val="24"/>
        </w:rPr>
      </w:pPr>
      <w:r w:rsidRPr="00CB7922">
        <w:rPr>
          <w:rFonts w:ascii="Times New Roman" w:eastAsia="Times New Roman" w:hAnsi="Times New Roman" w:cs="Times New Roman"/>
          <w:b/>
          <w:color w:val="000000" w:themeColor="text1"/>
          <w:sz w:val="24"/>
          <w:szCs w:val="24"/>
        </w:rPr>
        <w:t>Swaps Push-out Rule</w:t>
      </w:r>
    </w:p>
    <w:p w14:paraId="232563B8" w14:textId="7AAEB3A7" w:rsidR="0040479F" w:rsidRPr="001D5909"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This rule required that the US insured depositor companies and agencies and branches of non US banks in the US must push deals to certainly swap the bank units and to separate capitalised affiliates (Warren, 2014).</w:t>
      </w:r>
    </w:p>
    <w:p w14:paraId="6C6F53B8" w14:textId="77777777" w:rsidR="0040479F" w:rsidRPr="00CB7922" w:rsidRDefault="00C81B6B">
      <w:pPr>
        <w:pStyle w:val="Heading2"/>
        <w:spacing w:before="0" w:line="360" w:lineRule="auto"/>
        <w:rPr>
          <w:color w:val="000000" w:themeColor="text1"/>
        </w:rPr>
      </w:pPr>
      <w:bookmarkStart w:id="4" w:name="_heading=h.2et92p0" w:colFirst="0" w:colLast="0"/>
      <w:bookmarkEnd w:id="4"/>
      <w:r w:rsidRPr="00CB7922">
        <w:rPr>
          <w:color w:val="000000" w:themeColor="text1"/>
        </w:rPr>
        <w:t>EU’s Response</w:t>
      </w:r>
    </w:p>
    <w:p w14:paraId="05EBBDCC" w14:textId="77777777" w:rsidR="0040479F" w:rsidRPr="00CB7922" w:rsidRDefault="00C81B6B">
      <w:pPr>
        <w:spacing w:line="360" w:lineRule="auto"/>
        <w:jc w:val="both"/>
        <w:rPr>
          <w:rFonts w:ascii="Times New Roman" w:eastAsia="Times New Roman" w:hAnsi="Times New Roman" w:cs="Times New Roman"/>
          <w:b/>
          <w:color w:val="000000" w:themeColor="text1"/>
          <w:sz w:val="24"/>
          <w:szCs w:val="24"/>
        </w:rPr>
      </w:pPr>
      <w:r w:rsidRPr="00CB7922">
        <w:rPr>
          <w:rFonts w:ascii="Times New Roman" w:eastAsia="Times New Roman" w:hAnsi="Times New Roman" w:cs="Times New Roman"/>
          <w:b/>
          <w:color w:val="000000" w:themeColor="text1"/>
          <w:sz w:val="24"/>
          <w:szCs w:val="24"/>
        </w:rPr>
        <w:t>Robust Financial Framework for Single Market</w:t>
      </w:r>
    </w:p>
    <w:p w14:paraId="3FDCE9A4"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During the spread of the financial crisis 2008, the EU had designed 27 different regulations for banks in EU countries which mostly depended on national regulations and rescue schemes. This framework also ensured that taxpayers did not have to thrash their bills for the bank's mistake. Also it highlighted the financial stability in the European continent and it was a prerequisite for the recovery to be sustainable (Schild, 2008).</w:t>
      </w:r>
    </w:p>
    <w:p w14:paraId="18FC0AB4" w14:textId="77777777" w:rsidR="0040479F" w:rsidRPr="00CB7922" w:rsidRDefault="00C81B6B">
      <w:pPr>
        <w:spacing w:line="360" w:lineRule="auto"/>
        <w:jc w:val="both"/>
        <w:rPr>
          <w:rFonts w:ascii="Times New Roman" w:eastAsia="Times New Roman" w:hAnsi="Times New Roman" w:cs="Times New Roman"/>
          <w:b/>
          <w:color w:val="000000" w:themeColor="text1"/>
          <w:sz w:val="24"/>
          <w:szCs w:val="24"/>
        </w:rPr>
      </w:pPr>
      <w:r w:rsidRPr="00CB7922">
        <w:rPr>
          <w:rFonts w:ascii="Times New Roman" w:eastAsia="Times New Roman" w:hAnsi="Times New Roman" w:cs="Times New Roman"/>
          <w:b/>
          <w:color w:val="000000" w:themeColor="text1"/>
          <w:sz w:val="24"/>
          <w:szCs w:val="24"/>
        </w:rPr>
        <w:t>The Banking Union</w:t>
      </w:r>
    </w:p>
    <w:p w14:paraId="183351DE"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They also developed SSM- Single Supervisory Mechanism. Major features of this are: It requires new powers of supervision on ECB for banks in European areas. Authorization of all banks and application of coherence and consistency of a single rule-book in the European arena and direct style supervision of those banks occurred.</w:t>
      </w:r>
    </w:p>
    <w:p w14:paraId="03D86727" w14:textId="77777777" w:rsidR="0040479F" w:rsidRPr="001D5909" w:rsidRDefault="00C81B6B">
      <w:pPr>
        <w:pStyle w:val="Heading2"/>
        <w:spacing w:before="0" w:line="360" w:lineRule="auto"/>
        <w:rPr>
          <w:color w:val="000000" w:themeColor="text1"/>
          <w:sz w:val="28"/>
          <w:szCs w:val="28"/>
        </w:rPr>
      </w:pPr>
      <w:bookmarkStart w:id="5" w:name="_heading=h.tyjcwt" w:colFirst="0" w:colLast="0"/>
      <w:bookmarkEnd w:id="5"/>
      <w:r w:rsidRPr="001D5909">
        <w:rPr>
          <w:color w:val="000000" w:themeColor="text1"/>
          <w:sz w:val="28"/>
          <w:szCs w:val="28"/>
        </w:rPr>
        <w:t>Other Key Players</w:t>
      </w:r>
    </w:p>
    <w:p w14:paraId="1FF9EACF" w14:textId="77777777" w:rsidR="0040479F" w:rsidRPr="00CB7922" w:rsidRDefault="00C81B6B">
      <w:pPr>
        <w:spacing w:line="360" w:lineRule="auto"/>
        <w:jc w:val="both"/>
        <w:rPr>
          <w:rFonts w:ascii="Times New Roman" w:eastAsia="Times New Roman" w:hAnsi="Times New Roman" w:cs="Times New Roman"/>
          <w:b/>
          <w:color w:val="000000" w:themeColor="text1"/>
          <w:sz w:val="24"/>
          <w:szCs w:val="24"/>
        </w:rPr>
      </w:pPr>
      <w:r w:rsidRPr="00CB7922">
        <w:rPr>
          <w:rFonts w:ascii="Times New Roman" w:eastAsia="Times New Roman" w:hAnsi="Times New Roman" w:cs="Times New Roman"/>
          <w:b/>
          <w:color w:val="000000" w:themeColor="text1"/>
          <w:sz w:val="24"/>
          <w:szCs w:val="24"/>
        </w:rPr>
        <w:t>The Chinese government</w:t>
      </w:r>
    </w:p>
    <w:p w14:paraId="51B1BE0C"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There was a rapid move by the Chinese government to hold up the GDP after the great financial crisis by developing and implementing monetary expansion and stimulus packages. The authority proposed a stimulus package worth 4 trillion Yuan in November, 2008 for </w:t>
      </w:r>
      <w:r w:rsidRPr="00CB7922">
        <w:rPr>
          <w:rFonts w:ascii="Times New Roman" w:eastAsia="Times New Roman" w:hAnsi="Times New Roman" w:cs="Times New Roman"/>
          <w:color w:val="000000" w:themeColor="text1"/>
          <w:sz w:val="24"/>
          <w:szCs w:val="24"/>
        </w:rPr>
        <w:lastRenderedPageBreak/>
        <w:t xml:space="preserve">2009-10 which was 14% of the GDP in 2008. The government financed one quarter of the stimulus package of 4 trillion Yuan through interest rate subsidies and direct grants. The second most significant source in financing the stimulus package was the bank. Besides, local governments had proposals of their own stimulus packages worth 18 trillion Yuan. Also, monetary expansion became significant to China’s recovery in 2009. </w:t>
      </w:r>
    </w:p>
    <w:p w14:paraId="2AD4AAB4" w14:textId="77777777" w:rsidR="0040479F" w:rsidRPr="00CB7922" w:rsidRDefault="00C81B6B">
      <w:pPr>
        <w:spacing w:line="360" w:lineRule="auto"/>
        <w:jc w:val="both"/>
        <w:rPr>
          <w:rFonts w:ascii="Times New Roman" w:eastAsia="Times New Roman" w:hAnsi="Times New Roman" w:cs="Times New Roman"/>
          <w:b/>
          <w:color w:val="000000" w:themeColor="text1"/>
          <w:sz w:val="24"/>
          <w:szCs w:val="24"/>
        </w:rPr>
      </w:pPr>
      <w:r w:rsidRPr="00CB7922">
        <w:rPr>
          <w:rFonts w:ascii="Times New Roman" w:eastAsia="Times New Roman" w:hAnsi="Times New Roman" w:cs="Times New Roman"/>
          <w:b/>
          <w:color w:val="000000" w:themeColor="text1"/>
          <w:sz w:val="24"/>
          <w:szCs w:val="24"/>
        </w:rPr>
        <w:t>The Basel Committee</w:t>
      </w:r>
    </w:p>
    <w:p w14:paraId="3BA574C9"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The Basel committee and the oversight body, the head supervisors and the Governors proposed and implemented a reform program to highlight the lessons from the GFC that contributed to mandating banking sector’s reform developed by G-20 at the Pittsburgh Summit 2009.</w:t>
      </w:r>
    </w:p>
    <w:p w14:paraId="0C8C95F5" w14:textId="77777777" w:rsidR="0040479F" w:rsidRPr="00CB7922" w:rsidRDefault="00C81B6B">
      <w:pPr>
        <w:spacing w:line="360" w:lineRule="auto"/>
        <w:jc w:val="both"/>
        <w:rPr>
          <w:rFonts w:ascii="Times New Roman" w:eastAsia="Times New Roman" w:hAnsi="Times New Roman" w:cs="Times New Roman"/>
          <w:b/>
          <w:color w:val="000000" w:themeColor="text1"/>
          <w:sz w:val="24"/>
          <w:szCs w:val="24"/>
        </w:rPr>
      </w:pPr>
      <w:r w:rsidRPr="00CB7922">
        <w:rPr>
          <w:rFonts w:ascii="Times New Roman" w:eastAsia="Times New Roman" w:hAnsi="Times New Roman" w:cs="Times New Roman"/>
          <w:b/>
          <w:color w:val="000000" w:themeColor="text1"/>
          <w:sz w:val="24"/>
          <w:szCs w:val="24"/>
        </w:rPr>
        <w:t>The macroprudential measure</w:t>
      </w:r>
    </w:p>
    <w:p w14:paraId="08619A18"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The main point of the reformation by the Basel committee was more robust regulation for liquidity and capital. On the other hand it is also critical to accompany these reforms through risk management, improved supervision, governance and larger disclosure and transparency.</w:t>
      </w:r>
    </w:p>
    <w:p w14:paraId="23614624" w14:textId="77777777" w:rsidR="0040479F" w:rsidRPr="00CB7922" w:rsidRDefault="00C81B6B">
      <w:pPr>
        <w:spacing w:line="360" w:lineRule="auto"/>
        <w:jc w:val="both"/>
        <w:rPr>
          <w:rFonts w:ascii="Times New Roman" w:eastAsia="Times New Roman" w:hAnsi="Times New Roman" w:cs="Times New Roman"/>
          <w:b/>
          <w:color w:val="000000" w:themeColor="text1"/>
          <w:sz w:val="24"/>
          <w:szCs w:val="24"/>
        </w:rPr>
      </w:pPr>
      <w:r w:rsidRPr="00CB7922">
        <w:rPr>
          <w:rFonts w:ascii="Times New Roman" w:eastAsia="Times New Roman" w:hAnsi="Times New Roman" w:cs="Times New Roman"/>
          <w:b/>
          <w:color w:val="000000" w:themeColor="text1"/>
          <w:sz w:val="24"/>
          <w:szCs w:val="24"/>
        </w:rPr>
        <w:t>Macro Prudential Measure</w:t>
      </w:r>
    </w:p>
    <w:p w14:paraId="65CC8820"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Only a firm specific micro measure was not enough for promoting financial stability. Broad level measures were needed. The macro measures involve addressing the risk arising out of the interlinked relationship of the systemically significant banks, higher sensitivities in financial innovations, and the challenges of local and global resolutions etc (Goodhart, 2015).</w:t>
      </w:r>
    </w:p>
    <w:p w14:paraId="728F248A" w14:textId="77777777" w:rsidR="0040479F" w:rsidRPr="001D5909" w:rsidRDefault="00C81B6B" w:rsidP="001D5909">
      <w:pPr>
        <w:pStyle w:val="Heading1"/>
        <w:spacing w:before="0" w:line="360" w:lineRule="auto"/>
        <w:rPr>
          <w:rFonts w:ascii="Times New Roman" w:eastAsia="Times New Roman" w:hAnsi="Times New Roman" w:cs="Times New Roman"/>
          <w:color w:val="000000" w:themeColor="text1"/>
        </w:rPr>
      </w:pPr>
      <w:bookmarkStart w:id="6" w:name="_heading=h.3dy6vkm" w:colFirst="0" w:colLast="0"/>
      <w:bookmarkEnd w:id="6"/>
      <w:r w:rsidRPr="001D5909">
        <w:rPr>
          <w:rFonts w:ascii="Times New Roman" w:eastAsia="Times New Roman" w:hAnsi="Times New Roman" w:cs="Times New Roman"/>
          <w:color w:val="000000" w:themeColor="text1"/>
        </w:rPr>
        <w:t>The Extent of Success of the Reforms in Stabilising the Financial System</w:t>
      </w:r>
    </w:p>
    <w:p w14:paraId="7879B811"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The dynamism of recovery from the great depression of GFC (global financial crisis) 2008 was quite effective but was unexpectedly slow. The global economy could not fully handle the aftershock as a result of a persistently declined GDP in the post-crisis. To understand the extent to which the reforms were successful in stabilising the financial system and banks, an overall review of the effects of the reform will be discussed. </w:t>
      </w:r>
    </w:p>
    <w:p w14:paraId="709760C7" w14:textId="77777777" w:rsidR="0040479F" w:rsidRPr="00CB7922" w:rsidRDefault="00C81B6B">
      <w:pPr>
        <w:pStyle w:val="Heading2"/>
        <w:spacing w:before="0" w:line="360" w:lineRule="auto"/>
        <w:rPr>
          <w:color w:val="000000" w:themeColor="text1"/>
        </w:rPr>
      </w:pPr>
      <w:bookmarkStart w:id="7" w:name="_heading=h.1t3h5sf" w:colFirst="0" w:colLast="0"/>
      <w:bookmarkEnd w:id="7"/>
      <w:r w:rsidRPr="00CB7922">
        <w:rPr>
          <w:color w:val="000000" w:themeColor="text1"/>
        </w:rPr>
        <w:t>Effects of the Reforms on Banks</w:t>
      </w:r>
    </w:p>
    <w:p w14:paraId="7A68B531"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Some research shows that the reforms have enhanced banks’ resilience. Banks have become more progressed and resolvable. Also the resulting benefits from the reforms have outweighed the costs significantly.</w:t>
      </w:r>
    </w:p>
    <w:p w14:paraId="1DFBFF3B"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lastRenderedPageBreak/>
        <w:t>Both the quantity and quality of the capital of the banks have enhanced substantially since the reforms for recovery from the financial crisis were introduced. The ratio of unweighted capital had risen up to 9% and risk weighted capital up to 16%. If the narrower capital definition from Basel III were implemented, the increment would have looked larger.</w:t>
      </w:r>
    </w:p>
    <w:p w14:paraId="677B3999"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Overall capital of banks has risen up and domestic systemically important banks (D-SIB) and global systemically important banks (G-SIB) both have raised capital ratio more compared to other banks. There is no confusion that this at least partially reflects the requirement of greater regulatory capital. The ratio of risk weighted capital for D-SIB and G-SIB and partially treated banks is comparatively higher than it is for the other banks. All the four kinds of banks had a 12% risk weighted capital ratio in 2011. Average ratio of capital of D-SIB and G-SIB and partially treated banks had become 4% higher rising to 16% in 2018. Still G-SIB had quite a lower capital-to-asset ratio compared to other banks. Average ratio of unweighted capital of all other types of banks exceeded 7% of their assets. The D-SIB reached 9% in this case but G-SIB average ratios remain 6% (Mülbert, 2009).</w:t>
      </w:r>
    </w:p>
    <w:p w14:paraId="7D5D8123"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In comparison to other banks, the portion of consumer loans in the total asset of SIB is not much different. Also there is no big difference between the G-SIB and D-SIB in this case. But in the balance sheet, the portion of consumer loans of G-SIB is comparatively smaller than other banks. This portion was comparatively quite persistent for a long time for D-SIB, G-SIB and partially treated banks but this portion was slightly down for control group banks. Difference among the groups is not much significant statistically. This pattern is existent in all regions except developing economies and emerging markets (EMDE). The portion of consumer loans in total assets of SIB had increased compared to others.</w:t>
      </w:r>
    </w:p>
    <w:p w14:paraId="073024C3"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However, some evidence shows that after the authority made reforms, lending of G-SIB relative to others was shifted to borrowers who were less risky. For both G-SIB and other banks, in syndicate loans, credit rating on average dropped down till 2012.In later years, ratings of the borrowers stabilised for G-SIB but for other banks it continued to drop. This dismissal is important statistically. Also, since the financial crisis happened, the portion of collateralized syndicate loans has increased for G-SIB and other banks. Other banks started taking more collateral when the crisis prevailed and G-SIB started doing so post crisis.</w:t>
      </w:r>
      <w:r w:rsidRPr="00CB7922">
        <w:rPr>
          <w:noProof/>
          <w:color w:val="000000" w:themeColor="text1"/>
          <w:lang w:val="en-US" w:eastAsia="en-US" w:bidi="ar-SA"/>
        </w:rPr>
        <w:drawing>
          <wp:anchor distT="0" distB="0" distL="0" distR="0" simplePos="0" relativeHeight="251660288" behindDoc="1" locked="0" layoutInCell="1" hidden="0" allowOverlap="1" wp14:anchorId="38EF83B9" wp14:editId="62B8C021">
            <wp:simplePos x="0" y="0"/>
            <wp:positionH relativeFrom="column">
              <wp:posOffset>19050</wp:posOffset>
            </wp:positionH>
            <wp:positionV relativeFrom="paragraph">
              <wp:posOffset>1871979</wp:posOffset>
            </wp:positionV>
            <wp:extent cx="5731510" cy="2781300"/>
            <wp:effectExtent l="0" t="0" r="0" b="0"/>
            <wp:wrapNone/>
            <wp:docPr id="8" name="image4.png" descr="Screenshot_20220410-124052_2.png"/>
            <wp:cNvGraphicFramePr/>
            <a:graphic xmlns:a="http://schemas.openxmlformats.org/drawingml/2006/main">
              <a:graphicData uri="http://schemas.openxmlformats.org/drawingml/2006/picture">
                <pic:pic xmlns:pic="http://schemas.openxmlformats.org/drawingml/2006/picture">
                  <pic:nvPicPr>
                    <pic:cNvPr id="0" name="image4.png" descr="Screenshot_20220410-124052_2.png"/>
                    <pic:cNvPicPr preferRelativeResize="0"/>
                  </pic:nvPicPr>
                  <pic:blipFill>
                    <a:blip r:embed="rId11">
                      <a:extLst>
                        <a:ext uri="{BEBA8EAE-BF5A-486C-A8C5-ECC9F3942E4B}">
                          <a14:imgProps xmlns:a14="http://schemas.microsoft.com/office/drawing/2010/main">
                            <a14:imgLayer r:embed="rId12">
                              <a14:imgEffect>
                                <a14:sharpenSoften amount="50000"/>
                              </a14:imgEffect>
                            </a14:imgLayer>
                          </a14:imgProps>
                        </a:ext>
                      </a:extLst>
                    </a:blip>
                    <a:srcRect/>
                    <a:stretch>
                      <a:fillRect/>
                    </a:stretch>
                  </pic:blipFill>
                  <pic:spPr>
                    <a:xfrm>
                      <a:off x="0" y="0"/>
                      <a:ext cx="5731510" cy="2781300"/>
                    </a:xfrm>
                    <a:prstGeom prst="rect">
                      <a:avLst/>
                    </a:prstGeom>
                    <a:ln/>
                  </pic:spPr>
                </pic:pic>
              </a:graphicData>
            </a:graphic>
          </wp:anchor>
        </w:drawing>
      </w:r>
    </w:p>
    <w:p w14:paraId="5CFF08DB"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3F03A65B"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0A11C103"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66263C4C"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63E40FE4"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3F428754"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764E71C3"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3A6F3449" w14:textId="77777777" w:rsidR="0040479F" w:rsidRPr="00CB7922" w:rsidRDefault="00C81B6B">
      <w:pPr>
        <w:spacing w:line="360" w:lineRule="auto"/>
        <w:jc w:val="center"/>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b/>
          <w:color w:val="000000" w:themeColor="text1"/>
          <w:sz w:val="24"/>
          <w:szCs w:val="24"/>
        </w:rPr>
        <w:t xml:space="preserve">Figure: </w:t>
      </w:r>
      <w:r w:rsidRPr="00CB7922">
        <w:rPr>
          <w:rFonts w:ascii="Times New Roman" w:eastAsia="Times New Roman" w:hAnsi="Times New Roman" w:cs="Times New Roman"/>
          <w:color w:val="000000" w:themeColor="text1"/>
          <w:sz w:val="24"/>
          <w:szCs w:val="24"/>
        </w:rPr>
        <w:t>Changes in customer loan to GDP ratio (Sironi, 2018)</w:t>
      </w:r>
    </w:p>
    <w:p w14:paraId="5735A478"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After the policy reforms, G-SIB started to be more protective in case of pricing behaviour. But before 2012, they used to charge low interest on average for syndicate loans and the pricing gap narrowed down from then. With reduced implicit fund subsidies for G-SIB, it was consistent. The pricing gap got narrowed mostly for the borrowers with least risk.</w:t>
      </w:r>
    </w:p>
    <w:p w14:paraId="3FF3622A"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Banks’ profitability has proved to be consistent according to expectation. Potential decline in risk taking, low risk, and decline in fund cost subsidies and high capital was accepted to reduce profitability. Relative decline in SIB profitability was expected after successful reformation. Also, an increase in capital and decline in fund subsidy and risk taking happened.</w:t>
      </w:r>
    </w:p>
    <w:p w14:paraId="7709C58A"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But SIB profitability, especially for G-SIB, had decreased compared to others. This fall of profitability was larger in North America G-SIB. US G-SIB profitability increased more than that in other regions. But the relative reduction occurred because of the increase in non SIB US banks profitability.</w:t>
      </w:r>
    </w:p>
    <w:p w14:paraId="4CEC28A2"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The amount of default risk of banks had reduced after the reform. In some regions, this effect is more applied in G-SIB. Also it proved to be consistent with comparative increase in capital ratio. Following the objective of the reforms, the bank risk decreased more in SIB especially in G-SIB after the reforms were implemented. EFD- expected default frequency declined to 0.6% on an average in G-SIB. But it prevailed constantly at 0.9% in D-SIB and other control groups’ banks. The difference was usually not significant systematically. But the non performing bank loan ratio was exceptional as it fell more in G-SIB relative to D-SIB. The possible reason behind the lack of significance was many other confounded facts that affected the risk of SIB and others (Tabak, 2013). </w:t>
      </w:r>
    </w:p>
    <w:p w14:paraId="1ADF9F1A"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lastRenderedPageBreak/>
        <w:t xml:space="preserve">As a whole, following the objective of the reforms, the bank risk decreased more in SIB especially in G-SIB after the reforms were implemented. The difference was usually not significant systematically. Ratings of the borrowers stabilised for G-SIB but for other banks it continued to drop. This dismissal is important statistically. Also, since the financial crisis happened, the portion of collateralized syndicate loans has increased for G-SIB and other banks. Other banks started taking more collateral when the crisis prevailed and G-SIB started doing so post crisis. SIB had a lower capital-to-asset ratio compared to other banks. </w:t>
      </w:r>
    </w:p>
    <w:p w14:paraId="0FE77088"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There has been no proof found that the reforms affected the loan volume negatively in any way. Besides, there has been a significant impact on syndicate loan market pricing and risk taking.</w:t>
      </w:r>
    </w:p>
    <w:p w14:paraId="3CD4BAD8" w14:textId="77777777" w:rsidR="0040479F" w:rsidRPr="00CB7922" w:rsidRDefault="00C81B6B">
      <w:pPr>
        <w:pStyle w:val="Heading2"/>
        <w:spacing w:before="0" w:line="360" w:lineRule="auto"/>
        <w:rPr>
          <w:color w:val="000000" w:themeColor="text1"/>
        </w:rPr>
      </w:pPr>
      <w:bookmarkStart w:id="8" w:name="_heading=h.4d34og8" w:colFirst="0" w:colLast="0"/>
      <w:bookmarkEnd w:id="8"/>
      <w:r w:rsidRPr="0007242B">
        <w:rPr>
          <w:color w:val="000000" w:themeColor="text1"/>
          <w:sz w:val="28"/>
          <w:szCs w:val="28"/>
        </w:rPr>
        <w:t>Effects</w:t>
      </w:r>
      <w:r w:rsidRPr="00CB7922">
        <w:rPr>
          <w:color w:val="000000" w:themeColor="text1"/>
        </w:rPr>
        <w:t xml:space="preserve"> of Reforms on Financial System</w:t>
      </w:r>
    </w:p>
    <w:p w14:paraId="4810B51A"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The effects of the reforms went way beyond the banks; it also had an impact on the financial structure and system. There was a decline in the SIB market share. Both D-SIB and G-SIB share of consumer loan and deposits, total assets were declining from 2010 where the market share of other banks was going up. Majority of the reductions in D-SIB and G-SIB market share happened in 2012-2015. It was coincidental to reforms implementation. As a result of higher buffer requirement of capital given by G-SIBs sub-charge, some primary elements of the balance sheet and risk taking were relatively declined. The D-SIB market share fell more than the G-SIB market share. The reason can be the policy reforms binding more on D-SIB. Or the decline might have resulted from the retrenchment made by G-SIB provided that in host authority, often G-SIB foreign subsidiary financial institutions were designated (Levine, 2012). </w:t>
      </w:r>
    </w:p>
    <w:p w14:paraId="44008EF8"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After the policy reforms, the number of SIB had slightly changed but there was not any major demerger or merger from 2011. The number of shares the major three banks held were shrinking compared to that of SIB. In EMDE, the number was more emphasised compared to the developed economies. But the developed economy had suffered a larger decline after 2012. </w:t>
      </w:r>
    </w:p>
    <w:p w14:paraId="6479A8D7"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noProof/>
          <w:color w:val="000000" w:themeColor="text1"/>
          <w:lang w:val="en-US" w:eastAsia="en-US" w:bidi="ar-SA"/>
        </w:rPr>
        <w:drawing>
          <wp:anchor distT="0" distB="0" distL="0" distR="0" simplePos="0" relativeHeight="251661312" behindDoc="1" locked="0" layoutInCell="1" hidden="0" allowOverlap="1" wp14:anchorId="44CA3B54" wp14:editId="3E37EE51">
            <wp:simplePos x="0" y="0"/>
            <wp:positionH relativeFrom="column">
              <wp:posOffset>19050</wp:posOffset>
            </wp:positionH>
            <wp:positionV relativeFrom="paragraph">
              <wp:posOffset>3175</wp:posOffset>
            </wp:positionV>
            <wp:extent cx="5731510" cy="2638425"/>
            <wp:effectExtent l="0" t="0" r="0" b="3175"/>
            <wp:wrapNone/>
            <wp:docPr id="6" name="image1.png" descr="Screenshot_20220410-120000_2.png"/>
            <wp:cNvGraphicFramePr/>
            <a:graphic xmlns:a="http://schemas.openxmlformats.org/drawingml/2006/main">
              <a:graphicData uri="http://schemas.openxmlformats.org/drawingml/2006/picture">
                <pic:pic xmlns:pic="http://schemas.openxmlformats.org/drawingml/2006/picture">
                  <pic:nvPicPr>
                    <pic:cNvPr id="0" name="image1.png" descr="Screenshot_20220410-120000_2.png"/>
                    <pic:cNvPicPr preferRelativeResize="0"/>
                  </pic:nvPicPr>
                  <pic:blipFill>
                    <a:blip r:embed="rId13">
                      <a:extLst>
                        <a:ext uri="{BEBA8EAE-BF5A-486C-A8C5-ECC9F3942E4B}">
                          <a14:imgProps xmlns:a14="http://schemas.microsoft.com/office/drawing/2010/main">
                            <a14:imgLayer r:embed="rId14">
                              <a14:imgEffect>
                                <a14:sharpenSoften amount="50000"/>
                              </a14:imgEffect>
                            </a14:imgLayer>
                          </a14:imgProps>
                        </a:ext>
                      </a:extLst>
                    </a:blip>
                    <a:srcRect/>
                    <a:stretch>
                      <a:fillRect/>
                    </a:stretch>
                  </pic:blipFill>
                  <pic:spPr>
                    <a:xfrm>
                      <a:off x="0" y="0"/>
                      <a:ext cx="5731510" cy="2638425"/>
                    </a:xfrm>
                    <a:prstGeom prst="rect">
                      <a:avLst/>
                    </a:prstGeom>
                    <a:ln/>
                  </pic:spPr>
                </pic:pic>
              </a:graphicData>
            </a:graphic>
          </wp:anchor>
        </w:drawing>
      </w:r>
    </w:p>
    <w:p w14:paraId="2A4F3DC3"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3D012CC5"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711F4D9E"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58F18E3F"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45EAFDCC"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63175F10"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12A6CE7E" w14:textId="77777777" w:rsidR="0040479F" w:rsidRPr="00CB7922" w:rsidRDefault="00C81B6B">
      <w:pPr>
        <w:spacing w:line="360" w:lineRule="auto"/>
        <w:jc w:val="center"/>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b/>
          <w:color w:val="000000" w:themeColor="text1"/>
          <w:sz w:val="24"/>
          <w:szCs w:val="24"/>
        </w:rPr>
        <w:t xml:space="preserve">Figure: </w:t>
      </w:r>
      <w:r w:rsidRPr="00CB7922">
        <w:rPr>
          <w:rFonts w:ascii="Times New Roman" w:eastAsia="Times New Roman" w:hAnsi="Times New Roman" w:cs="Times New Roman"/>
          <w:color w:val="000000" w:themeColor="text1"/>
          <w:sz w:val="24"/>
          <w:szCs w:val="24"/>
        </w:rPr>
        <w:t xml:space="preserve">Syndicated loan data (Cohen, 2021) </w:t>
      </w:r>
    </w:p>
    <w:p w14:paraId="244C7DE9"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Despite the reforms incentivizing the banks by reducing the level of their marginal activities, the impact was not big enough to impose an effect on the distribution of bank size. After the policy reforms were implemented, the finance for the economy stabilised. Total GDP and credit was growing at an impressive rate and as a result the credit ratio of GDP prevailed constantly. But G-SIB’s contribution in growth of domestic credit was small.</w:t>
      </w:r>
    </w:p>
    <w:p w14:paraId="258707B9"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From the year 2011 to 2018, G-SIB’s contribution to growth of domestic credit was positive compared to GDP, though it was lower in case of NBFI and domestic banks. Research also shows that in authority of more upgraded resolution reform, the G-SIB credit ratio to GDP was lower. Growth of asset of D-SIB and specially G-SIB significantly dropped after the reform where the growth of asset was identical for different types of bank before the reforms made. Such decline is less emphasised in the case of other banks. The declining pattern was persistent in all regions except Asia Pacific where growth of assets also declined for other banks because of insignificant differences. Despite being a slow recovery, the reforms have been quite successful in overcoming the long run effect of the crisis on the financial system (Altavilla, 2019). </w:t>
      </w:r>
    </w:p>
    <w:p w14:paraId="484000E6" w14:textId="77777777" w:rsidR="0040479F" w:rsidRPr="0007242B" w:rsidRDefault="00C81B6B" w:rsidP="0007242B">
      <w:pPr>
        <w:pStyle w:val="Heading1"/>
        <w:spacing w:before="0" w:line="360" w:lineRule="auto"/>
        <w:rPr>
          <w:rFonts w:ascii="Times New Roman" w:eastAsia="Times New Roman" w:hAnsi="Times New Roman" w:cs="Times New Roman"/>
          <w:color w:val="000000" w:themeColor="text1"/>
        </w:rPr>
      </w:pPr>
      <w:bookmarkStart w:id="9" w:name="_heading=h.2s8eyo1" w:colFirst="0" w:colLast="0"/>
      <w:bookmarkEnd w:id="9"/>
      <w:r w:rsidRPr="0007242B">
        <w:rPr>
          <w:rFonts w:ascii="Times New Roman" w:eastAsia="Times New Roman" w:hAnsi="Times New Roman" w:cs="Times New Roman"/>
          <w:color w:val="000000" w:themeColor="text1"/>
        </w:rPr>
        <w:t>Effect of Reforms on HSBC, Its Compliance and Non-Compliance</w:t>
      </w:r>
    </w:p>
    <w:p w14:paraId="5A6F5656"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The UK financial sector and bank reform acts and policies impacted mostly the large banks. It specially affected those banks that have deposits worth £25 billion and more. One of them is the HSBC. Its headquarter is in London, UK. It was one of the banks who at first raised public concerns regarding the market of subprime mortgages in the US. It had led to the then financial crisis. </w:t>
      </w:r>
    </w:p>
    <w:p w14:paraId="7C5018D3"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To fight the global crisis in the financial sector, a wide range of reformed regulations were proposed aiming to make the global market safe with more transparency and efficiency and also to restore confidence of investors. They imposed new regulations regarding advance investors protection, transparent tax and enhanced market transparency. HSBC had </w:t>
      </w:r>
      <w:r w:rsidRPr="00CB7922">
        <w:rPr>
          <w:rFonts w:ascii="Times New Roman" w:eastAsia="Times New Roman" w:hAnsi="Times New Roman" w:cs="Times New Roman"/>
          <w:color w:val="000000" w:themeColor="text1"/>
          <w:sz w:val="24"/>
          <w:szCs w:val="24"/>
        </w:rPr>
        <w:lastRenderedPageBreak/>
        <w:t>committed to support those reformed regulations and to raise awareness among clients regarding the changes in services (HSBC, 2013).</w:t>
      </w:r>
    </w:p>
    <w:p w14:paraId="27D552F6"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The financial service and bank reform act 2013 was a proposal from the UK government that aimed at implementing high standards of conduct for the UK banks. Also it aimed at improving their capacity of absorbing loss and plans outlined for “ring fencing” the wholesale and retail bank activities. According to the new rules imposed by the UK government for protecting the taxpayers and economy, the banks had to segregate the retail banking activities from wholesale and investment banking activities. </w:t>
      </w:r>
    </w:p>
    <w:p w14:paraId="3DDC6808"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So, HSBC changed their structure and way of conduct. Their commercial and personal customers were moved to a new division of the bank. But there was a little change in the great majority of their GBM- Global Banking and Market clients. Those clients continued banking with HSBC bank plc.</w:t>
      </w:r>
    </w:p>
    <w:p w14:paraId="4B8FCB61" w14:textId="77777777" w:rsidR="0040479F" w:rsidRPr="0007242B" w:rsidRDefault="00C81B6B">
      <w:pPr>
        <w:pStyle w:val="Heading2"/>
        <w:spacing w:before="0" w:line="360" w:lineRule="auto"/>
        <w:rPr>
          <w:color w:val="000000" w:themeColor="text1"/>
          <w:sz w:val="28"/>
          <w:szCs w:val="28"/>
        </w:rPr>
      </w:pPr>
      <w:bookmarkStart w:id="10" w:name="_heading=h.17dp8vu" w:colFirst="0" w:colLast="0"/>
      <w:bookmarkEnd w:id="10"/>
      <w:r w:rsidRPr="0007242B">
        <w:rPr>
          <w:color w:val="000000" w:themeColor="text1"/>
          <w:sz w:val="28"/>
          <w:szCs w:val="28"/>
        </w:rPr>
        <w:t>Impact of Reforms on HSBC Business Model</w:t>
      </w:r>
    </w:p>
    <w:p w14:paraId="667A2539"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The business model of HSBC remained profitable at that time. The pre tax profit in 2008 was US $19.9 billion without goodwill and down 18%. Pre tax profit was $9.3 billion on a reported basis and down 62%.  They had designed a diversified business model that delivered them profit in all regions except for North America and all consumer groups except for personal finance service. Their business strategies were examined and prevailed intact. They continued to develop their business focusing on markets that were growing faster globally and on businesses that were important for global connection. They kept their financial position strong. The reforms validated their redesigned focus and it accelerated their global economic shift towards the east.</w:t>
      </w:r>
    </w:p>
    <w:p w14:paraId="76F2E581"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From their robust liquidity and balance sheet, it is understandable that they continued to provide loans. They developed their lending service by 10% to commercial consumers based on underlying in 2008. They increased their lending to personal consumers in all regions except for North America. Their strong brand identity continued highlighting their performance. HSBC was often seen flowing funds as a beneficiary in the market when the market was stressed. </w:t>
      </w:r>
    </w:p>
    <w:p w14:paraId="5F5B71FC"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HSBC had re-based their confronted DPS for first 3 interim dividends into $0.08 for reflecting the effects of the greater common stock capital while prevailing their capital requirement and business condition. Payment of dividend remained substantial and reflected </w:t>
      </w:r>
      <w:r w:rsidRPr="00CB7922">
        <w:rPr>
          <w:rFonts w:ascii="Times New Roman" w:eastAsia="Times New Roman" w:hAnsi="Times New Roman" w:cs="Times New Roman"/>
          <w:color w:val="000000" w:themeColor="text1"/>
          <w:sz w:val="24"/>
          <w:szCs w:val="24"/>
        </w:rPr>
        <w:lastRenderedPageBreak/>
        <w:t>the long run confidence of management in business. HSBC continued to aim at paying incremental dividends along with the long term business growth. The international network of HSBC remained available for clients in the UK. Besides, the other global market clients were equally able to access the HSBC capabilities in the UK.</w:t>
      </w:r>
    </w:p>
    <w:p w14:paraId="5230AE95" w14:textId="6A739A3E"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In the face of the post crisis reforms, they took some measures to protect their business. Earlier, they introduced some more protective criteria of lending, for instance, they tightened loan to value ratio in the UK and declined insecure lending. They continued focusing on the core and major banking regulations that were fundamental in 2008. They maintained their capital robustness and their protective lend to deposit ratio 84</w:t>
      </w:r>
      <w:r w:rsidR="00CB7922" w:rsidRPr="00CB7922">
        <w:rPr>
          <w:rFonts w:ascii="Times New Roman" w:eastAsia="Times New Roman" w:hAnsi="Times New Roman" w:cs="Times New Roman"/>
          <w:color w:val="000000" w:themeColor="text1"/>
          <w:sz w:val="24"/>
          <w:szCs w:val="24"/>
        </w:rPr>
        <w:t>%, which</w:t>
      </w:r>
      <w:r w:rsidRPr="00CB7922">
        <w:rPr>
          <w:rFonts w:ascii="Times New Roman" w:eastAsia="Times New Roman" w:hAnsi="Times New Roman" w:cs="Times New Roman"/>
          <w:color w:val="000000" w:themeColor="text1"/>
          <w:sz w:val="24"/>
          <w:szCs w:val="24"/>
        </w:rPr>
        <w:t xml:space="preserve"> enabled them </w:t>
      </w:r>
      <w:r w:rsidR="00CB7922" w:rsidRPr="00CB7922">
        <w:rPr>
          <w:rFonts w:ascii="Times New Roman" w:eastAsia="Times New Roman" w:hAnsi="Times New Roman" w:cs="Times New Roman"/>
          <w:color w:val="000000" w:themeColor="text1"/>
          <w:sz w:val="24"/>
          <w:szCs w:val="24"/>
        </w:rPr>
        <w:t>self-funding</w:t>
      </w:r>
      <w:r w:rsidRPr="00CB7922">
        <w:rPr>
          <w:rFonts w:ascii="Times New Roman" w:eastAsia="Times New Roman" w:hAnsi="Times New Roman" w:cs="Times New Roman"/>
          <w:color w:val="000000" w:themeColor="text1"/>
          <w:sz w:val="24"/>
          <w:szCs w:val="24"/>
        </w:rPr>
        <w:t xml:space="preserve">. </w:t>
      </w:r>
      <w:r w:rsidR="00CB7922">
        <w:rPr>
          <w:rFonts w:ascii="Times New Roman" w:eastAsia="Times New Roman" w:hAnsi="Times New Roman" w:cs="Times New Roman"/>
          <w:color w:val="000000" w:themeColor="text1"/>
          <w:sz w:val="24"/>
          <w:szCs w:val="24"/>
        </w:rPr>
        <w:t>They emphasised on reducing non-</w:t>
      </w:r>
      <w:r w:rsidRPr="00CB7922">
        <w:rPr>
          <w:rFonts w:ascii="Times New Roman" w:eastAsia="Times New Roman" w:hAnsi="Times New Roman" w:cs="Times New Roman"/>
          <w:color w:val="000000" w:themeColor="text1"/>
          <w:sz w:val="24"/>
          <w:szCs w:val="24"/>
        </w:rPr>
        <w:t xml:space="preserve">core global wholesale banking and market asset and subprime customer assets based in the US. They increased their liquidity and managed their </w:t>
      </w:r>
      <w:r w:rsidR="00CB7922" w:rsidRPr="00CB7922">
        <w:rPr>
          <w:rFonts w:ascii="Times New Roman" w:eastAsia="Times New Roman" w:hAnsi="Times New Roman" w:cs="Times New Roman"/>
          <w:color w:val="000000" w:themeColor="text1"/>
          <w:sz w:val="24"/>
          <w:szCs w:val="24"/>
        </w:rPr>
        <w:t>risk-weighted</w:t>
      </w:r>
      <w:r w:rsidRPr="00CB7922">
        <w:rPr>
          <w:rFonts w:ascii="Times New Roman" w:eastAsia="Times New Roman" w:hAnsi="Times New Roman" w:cs="Times New Roman"/>
          <w:color w:val="000000" w:themeColor="text1"/>
          <w:sz w:val="24"/>
          <w:szCs w:val="24"/>
        </w:rPr>
        <w:t xml:space="preserve"> assets for protecting their capital positions. They lifted up their service from being affected by the crisis to quality and they even helped provide liquidity to the interbank market (Erkens, 2012). </w:t>
      </w:r>
    </w:p>
    <w:p w14:paraId="30A66265" w14:textId="77777777" w:rsidR="0040479F" w:rsidRPr="00CB7922" w:rsidRDefault="00C81B6B">
      <w:pPr>
        <w:pStyle w:val="Heading2"/>
        <w:spacing w:before="0" w:line="360" w:lineRule="auto"/>
        <w:rPr>
          <w:color w:val="000000" w:themeColor="text1"/>
        </w:rPr>
      </w:pPr>
      <w:bookmarkStart w:id="11" w:name="_heading=h.3rdcrjn" w:colFirst="0" w:colLast="0"/>
      <w:bookmarkEnd w:id="11"/>
      <w:r w:rsidRPr="00CB7922">
        <w:rPr>
          <w:color w:val="000000" w:themeColor="text1"/>
        </w:rPr>
        <w:t>Compliance</w:t>
      </w:r>
    </w:p>
    <w:p w14:paraId="7A19957A"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Being confronted with the global financial crisis, the government of the UK imposed some reformed rules to save the financial system and banks. HSBC complied with those rules. Some briefing of the measures they took in compliance are: they segregated their retail banking from wholesale banking and investment division and changed their structure in the UK to comply with ring fencing. They transferred their personal consumers and majority of their business consumers in the UK to HSBC UK from HSBC bank plc.  They did all these before the deadline of the government. They completed the whole process of ring fencing set up by transferring the business and consumers accounts legally to HSBC UK far before the deadline. HSBC UK is fully subsidised under HSBC holding company and their own board. The board is operated by the chairman and consists of 3 executive directors.</w:t>
      </w:r>
    </w:p>
    <w:p w14:paraId="428872E4"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They created HSBC UK as a separate ring fenced bank as a response to the financial service and bank reform act 2013. It served about 14.5 million business and personal consumers including retail consumers, first direct and M&amp;S bank consumers, commercial bank consumers and private banking consumers in the UK. M&amp;S financial service plc and HSBC private bank are subsidiaries of HSBC UK (Lui, 2012). </w:t>
      </w:r>
    </w:p>
    <w:p w14:paraId="07AC5B31"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The high court provided approval to HSBC for the transfer at that time. HSBC UK had assets valued more than £200 billion and it got its full licence for banking from the PRA (Prudential </w:t>
      </w:r>
      <w:r w:rsidRPr="00CB7922">
        <w:rPr>
          <w:rFonts w:ascii="Times New Roman" w:eastAsia="Times New Roman" w:hAnsi="Times New Roman" w:cs="Times New Roman"/>
          <w:color w:val="000000" w:themeColor="text1"/>
          <w:sz w:val="24"/>
          <w:szCs w:val="24"/>
        </w:rPr>
        <w:lastRenderedPageBreak/>
        <w:t xml:space="preserve">regulations authority). Creating HSBC UK was one of the biggest projects HSBC ever undertook. HSBC UK is fully subsidised under HSBC holding company and their own board. The board is operated by the chairman and consists of 3 executive directors. It required HSBC to reconfigure the core bank platform and payment structure. It also involved separating more than 250 IT systems for the whole group. Moreover, they had to transfer 400000 bank accounts to the HSBC UK and assort codes and all branches in the UK had to be rebranded. </w:t>
      </w:r>
    </w:p>
    <w:p w14:paraId="7A33096A" w14:textId="77777777" w:rsidR="0040479F" w:rsidRPr="00CB7922" w:rsidRDefault="00C81B6B">
      <w:pPr>
        <w:pStyle w:val="Heading2"/>
        <w:spacing w:before="0" w:line="360" w:lineRule="auto"/>
        <w:rPr>
          <w:color w:val="000000" w:themeColor="text1"/>
        </w:rPr>
      </w:pPr>
      <w:bookmarkStart w:id="12" w:name="_heading=h.26in1rg" w:colFirst="0" w:colLast="0"/>
      <w:bookmarkEnd w:id="12"/>
      <w:r w:rsidRPr="00CB7922">
        <w:rPr>
          <w:color w:val="000000" w:themeColor="text1"/>
        </w:rPr>
        <w:t xml:space="preserve">Non-compliance </w:t>
      </w:r>
    </w:p>
    <w:p w14:paraId="12FD2491"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Although HSBC welcomed the proposals of the UK government to inject capitals and give liquidity in the banking system of the UK, they disagreed with some. They considered all these important for rebalancing the situation of the sector but there were some non compliance seen initially. HSBC promised that they would make sure their UK’s subsidiary was sufficiently capitalised and they would provide the necessary funds from their internal source. </w:t>
      </w:r>
    </w:p>
    <w:p w14:paraId="1470884C" w14:textId="59A51C4D"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But, as per the HSBC authority, they had no ongoing plan at that time to utilise the re-capitalization initiative of the UK government. They clarified that they were being greatly active in the UK interbank market at that time, they lent about 2 billion pound to other banking companies who got hit by the crisis. They expected to remain active in London’s interbank markets in future. But the UK government announced that they plan to partially nationalise some of the major banks as an effort to ease the credit and lending crisis and to prevent the banking system from collapsing. The government proposed a utilisation of 50 billion pound that is equivalent to 87 billion dollars from the money of the taxpayers to purchase great stakes in banks which also included HSBC. They designed a three part package to make 200 billion pound available for short term loans and the government proposed to issue 250 billion pound as a guarantee of loans among the banks. But the HSBC authority clearly stated that the bank was not planning on implementing any of the newly imposed government capitalization plans (The</w:t>
      </w:r>
      <w:r w:rsidR="00CB7922">
        <w:rPr>
          <w:rFonts w:ascii="Times New Roman" w:eastAsia="Times New Roman" w:hAnsi="Times New Roman" w:cs="Times New Roman"/>
          <w:color w:val="000000" w:themeColor="text1"/>
          <w:sz w:val="24"/>
          <w:szCs w:val="24"/>
        </w:rPr>
        <w:t xml:space="preserve"> </w:t>
      </w:r>
      <w:r w:rsidRPr="00CB7922">
        <w:rPr>
          <w:rFonts w:ascii="Times New Roman" w:eastAsia="Times New Roman" w:hAnsi="Times New Roman" w:cs="Times New Roman"/>
          <w:color w:val="000000" w:themeColor="text1"/>
          <w:sz w:val="24"/>
          <w:szCs w:val="24"/>
        </w:rPr>
        <w:t>Economic</w:t>
      </w:r>
      <w:r w:rsidR="00CB7922">
        <w:rPr>
          <w:rFonts w:ascii="Times New Roman" w:eastAsia="Times New Roman" w:hAnsi="Times New Roman" w:cs="Times New Roman"/>
          <w:color w:val="000000" w:themeColor="text1"/>
          <w:sz w:val="24"/>
          <w:szCs w:val="24"/>
        </w:rPr>
        <w:t xml:space="preserve"> </w:t>
      </w:r>
      <w:r w:rsidRPr="00CB7922">
        <w:rPr>
          <w:rFonts w:ascii="Times New Roman" w:eastAsia="Times New Roman" w:hAnsi="Times New Roman" w:cs="Times New Roman"/>
          <w:color w:val="000000" w:themeColor="text1"/>
          <w:sz w:val="24"/>
          <w:szCs w:val="24"/>
        </w:rPr>
        <w:t>Times, 2008).</w:t>
      </w:r>
    </w:p>
    <w:p w14:paraId="22E87388" w14:textId="4E8F3655" w:rsidR="0040479F" w:rsidRPr="0007242B" w:rsidRDefault="00C81B6B" w:rsidP="00EB1444">
      <w:pPr>
        <w:rPr>
          <w:rFonts w:ascii="Times New Roman" w:eastAsia="Times New Roman" w:hAnsi="Times New Roman" w:cs="Times New Roman"/>
          <w:b/>
          <w:color w:val="000000" w:themeColor="text1"/>
          <w:sz w:val="28"/>
          <w:szCs w:val="28"/>
        </w:rPr>
      </w:pPr>
      <w:bookmarkStart w:id="13" w:name="_heading=h.lnxbz9" w:colFirst="0" w:colLast="0"/>
      <w:bookmarkEnd w:id="13"/>
      <w:r w:rsidRPr="0007242B">
        <w:rPr>
          <w:rFonts w:ascii="Times New Roman" w:eastAsia="Times New Roman" w:hAnsi="Times New Roman" w:cs="Times New Roman"/>
          <w:b/>
          <w:color w:val="000000" w:themeColor="text1"/>
          <w:sz w:val="28"/>
          <w:szCs w:val="28"/>
        </w:rPr>
        <w:t>Conclusion</w:t>
      </w:r>
    </w:p>
    <w:p w14:paraId="4AA4EEFD" w14:textId="77777777" w:rsidR="0040479F" w:rsidRPr="00CB7922" w:rsidRDefault="00C81B6B">
      <w:pP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The major countries have encountered the worst financial conditions. But they survived it by making reforms. The UK, US, EU and other key players responded in several ways. According to the recovery plan of the UK government, every major bank was ordered to recalculate capital needs within the weekend on 8</w:t>
      </w:r>
      <w:r w:rsidRPr="00CB7922">
        <w:rPr>
          <w:rFonts w:ascii="Times New Roman" w:eastAsia="Times New Roman" w:hAnsi="Times New Roman" w:cs="Times New Roman"/>
          <w:color w:val="000000" w:themeColor="text1"/>
          <w:sz w:val="24"/>
          <w:szCs w:val="24"/>
          <w:vertAlign w:val="superscript"/>
        </w:rPr>
        <w:t>th</w:t>
      </w:r>
      <w:r w:rsidRPr="00CB7922">
        <w:rPr>
          <w:rFonts w:ascii="Times New Roman" w:eastAsia="Times New Roman" w:hAnsi="Times New Roman" w:cs="Times New Roman"/>
          <w:color w:val="000000" w:themeColor="text1"/>
          <w:sz w:val="24"/>
          <w:szCs w:val="24"/>
        </w:rPr>
        <w:t xml:space="preserve"> October, 2008. In July, 2010, the Dodd </w:t>
      </w:r>
      <w:r w:rsidRPr="00CB7922">
        <w:rPr>
          <w:rFonts w:ascii="Times New Roman" w:eastAsia="Times New Roman" w:hAnsi="Times New Roman" w:cs="Times New Roman"/>
          <w:color w:val="000000" w:themeColor="text1"/>
          <w:sz w:val="24"/>
          <w:szCs w:val="24"/>
        </w:rPr>
        <w:lastRenderedPageBreak/>
        <w:t>Frank Wall Street reform and consumers protection act was enacted by the US authority. During the spread of the financial crisis 2008, the EU had designed 27 different regulations for banks in EU countries which mostly depended on national regulations and rescue schemes. This framework also ensured that taxpayers did not have to thrash their bills for the bank's mistake. The main point of the reformation by the Basel committee was more robust regulation for liquidity and capital. Some research shows that the reforms have enhanced banks’ resilience. Banks have become more progressed and resolvable. The UK financial sector and bank reform acts and policies impacted mostly the large banks. One of them is HSBC. The government of the UK imposed some reformed rules to save the financial system and banks. HSBC complied with those rules. But the bank denied implementing capitalization plans.</w:t>
      </w:r>
    </w:p>
    <w:p w14:paraId="34713DCC"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775C856F"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3377FAB9"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1CDA4760"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7CF1023E"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44EFF298"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443A849D"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13FE5B3F"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1FFF3C0E"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47354E2C" w14:textId="77777777" w:rsidR="0007242B" w:rsidRDefault="0007242B">
      <w:pPr>
        <w:pStyle w:val="Heading1"/>
        <w:spacing w:before="0" w:line="360" w:lineRule="auto"/>
        <w:rPr>
          <w:rFonts w:ascii="Times New Roman" w:eastAsia="Times New Roman" w:hAnsi="Times New Roman" w:cs="Times New Roman"/>
          <w:color w:val="000000" w:themeColor="text1"/>
        </w:rPr>
      </w:pPr>
      <w:bookmarkStart w:id="14" w:name="_heading=h.35nkun2" w:colFirst="0" w:colLast="0"/>
      <w:bookmarkEnd w:id="14"/>
    </w:p>
    <w:p w14:paraId="6304C460" w14:textId="77777777" w:rsidR="0007242B" w:rsidRDefault="0007242B">
      <w:pPr>
        <w:pStyle w:val="Heading1"/>
        <w:spacing w:before="0" w:line="360" w:lineRule="auto"/>
        <w:rPr>
          <w:rFonts w:ascii="Times New Roman" w:eastAsia="Times New Roman" w:hAnsi="Times New Roman" w:cs="Times New Roman"/>
          <w:color w:val="000000" w:themeColor="text1"/>
        </w:rPr>
      </w:pPr>
    </w:p>
    <w:p w14:paraId="48EE8146" w14:textId="77777777" w:rsidR="0007242B" w:rsidRDefault="0007242B">
      <w:pPr>
        <w:pStyle w:val="Heading1"/>
        <w:spacing w:before="0" w:line="360" w:lineRule="auto"/>
        <w:rPr>
          <w:rFonts w:ascii="Times New Roman" w:eastAsia="Times New Roman" w:hAnsi="Times New Roman" w:cs="Times New Roman"/>
          <w:color w:val="000000" w:themeColor="text1"/>
        </w:rPr>
      </w:pPr>
    </w:p>
    <w:p w14:paraId="00949166" w14:textId="77777777" w:rsidR="0007242B" w:rsidRDefault="0007242B">
      <w:pPr>
        <w:pStyle w:val="Heading1"/>
        <w:spacing w:before="0" w:line="360" w:lineRule="auto"/>
        <w:rPr>
          <w:rFonts w:ascii="Times New Roman" w:eastAsia="Times New Roman" w:hAnsi="Times New Roman" w:cs="Times New Roman"/>
          <w:color w:val="000000" w:themeColor="text1"/>
        </w:rPr>
      </w:pPr>
    </w:p>
    <w:p w14:paraId="4675121B" w14:textId="77777777" w:rsidR="0007242B" w:rsidRDefault="0007242B">
      <w:pPr>
        <w:pStyle w:val="Heading1"/>
        <w:spacing w:before="0" w:line="360" w:lineRule="auto"/>
        <w:rPr>
          <w:rFonts w:ascii="Calibri" w:eastAsia="Calibri" w:hAnsi="Calibri" w:cs="Calibri"/>
          <w:b w:val="0"/>
          <w:bCs w:val="0"/>
          <w:color w:val="auto"/>
          <w:sz w:val="22"/>
          <w:szCs w:val="22"/>
        </w:rPr>
      </w:pPr>
    </w:p>
    <w:p w14:paraId="14447D10" w14:textId="77777777" w:rsidR="0007242B" w:rsidRPr="0007242B" w:rsidRDefault="0007242B" w:rsidP="0007242B">
      <w:bookmarkStart w:id="15" w:name="_GoBack"/>
      <w:bookmarkEnd w:id="15"/>
    </w:p>
    <w:p w14:paraId="40593F6D" w14:textId="77777777" w:rsidR="0040479F" w:rsidRPr="0007242B" w:rsidRDefault="00C81B6B">
      <w:pPr>
        <w:pStyle w:val="Heading1"/>
        <w:spacing w:before="0" w:line="360" w:lineRule="auto"/>
        <w:rPr>
          <w:rFonts w:ascii="Times New Roman" w:eastAsia="Times New Roman" w:hAnsi="Times New Roman" w:cs="Times New Roman"/>
          <w:color w:val="000000" w:themeColor="text1"/>
        </w:rPr>
      </w:pPr>
      <w:r w:rsidRPr="0007242B">
        <w:rPr>
          <w:rFonts w:ascii="Times New Roman" w:eastAsia="Times New Roman" w:hAnsi="Times New Roman" w:cs="Times New Roman"/>
          <w:color w:val="000000" w:themeColor="text1"/>
        </w:rPr>
        <w:lastRenderedPageBreak/>
        <w:t>References</w:t>
      </w:r>
    </w:p>
    <w:p w14:paraId="3AE31F40"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Acharya, V.V.a.R.M. (2009) 'Causes of the financial crisis', </w:t>
      </w:r>
      <w:r w:rsidRPr="00CB7922">
        <w:rPr>
          <w:rFonts w:ascii="Times New Roman" w:eastAsia="Times New Roman" w:hAnsi="Times New Roman" w:cs="Times New Roman"/>
          <w:i/>
          <w:color w:val="000000" w:themeColor="text1"/>
          <w:sz w:val="24"/>
          <w:szCs w:val="24"/>
        </w:rPr>
        <w:t>Critical review</w:t>
      </w:r>
      <w:r w:rsidRPr="00CB7922">
        <w:rPr>
          <w:rFonts w:ascii="Times New Roman" w:eastAsia="Times New Roman" w:hAnsi="Times New Roman" w:cs="Times New Roman"/>
          <w:color w:val="000000" w:themeColor="text1"/>
          <w:sz w:val="24"/>
          <w:szCs w:val="24"/>
        </w:rPr>
        <w:t>, vol. 21, no. 2-3, pp. 195-210.</w:t>
      </w:r>
    </w:p>
    <w:p w14:paraId="3632AE3F"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Adrian, T.a.S.H.S. (2010) 'The changing nature of financial intermediation and the financial crisis of 2007–2009', </w:t>
      </w:r>
      <w:r w:rsidRPr="00CB7922">
        <w:rPr>
          <w:rFonts w:ascii="Times New Roman" w:eastAsia="Times New Roman" w:hAnsi="Times New Roman" w:cs="Times New Roman"/>
          <w:i/>
          <w:color w:val="000000" w:themeColor="text1"/>
          <w:sz w:val="24"/>
          <w:szCs w:val="24"/>
        </w:rPr>
        <w:t>Annu. Rev. Econ.</w:t>
      </w:r>
      <w:r w:rsidRPr="00CB7922">
        <w:rPr>
          <w:rFonts w:ascii="Times New Roman" w:eastAsia="Times New Roman" w:hAnsi="Times New Roman" w:cs="Times New Roman"/>
          <w:color w:val="000000" w:themeColor="text1"/>
          <w:sz w:val="24"/>
          <w:szCs w:val="24"/>
        </w:rPr>
        <w:t>, vol. 2, no. 1, pp. 603-618.</w:t>
      </w:r>
    </w:p>
    <w:p w14:paraId="5153721D"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Altavilla, C..A.D..B.M.a.H.S. (2019) 'Monetary policy, credit institutions and the bank lending channel in the euro area', </w:t>
      </w:r>
      <w:r w:rsidRPr="00CB7922">
        <w:rPr>
          <w:rFonts w:ascii="Times New Roman" w:eastAsia="Times New Roman" w:hAnsi="Times New Roman" w:cs="Times New Roman"/>
          <w:i/>
          <w:color w:val="000000" w:themeColor="text1"/>
          <w:sz w:val="24"/>
          <w:szCs w:val="24"/>
        </w:rPr>
        <w:t>ECB Occasional Paper</w:t>
      </w:r>
      <w:r w:rsidRPr="00CB7922">
        <w:rPr>
          <w:rFonts w:ascii="Times New Roman" w:eastAsia="Times New Roman" w:hAnsi="Times New Roman" w:cs="Times New Roman"/>
          <w:color w:val="000000" w:themeColor="text1"/>
          <w:sz w:val="24"/>
          <w:szCs w:val="24"/>
        </w:rPr>
        <w:t>, p. 222.</w:t>
      </w:r>
    </w:p>
    <w:p w14:paraId="094DAA77"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Brierley, P. (2009) 'The UK Special Resolution Regime for failing banks in an international context', </w:t>
      </w:r>
      <w:r w:rsidRPr="00CB7922">
        <w:rPr>
          <w:rFonts w:ascii="Times New Roman" w:eastAsia="Times New Roman" w:hAnsi="Times New Roman" w:cs="Times New Roman"/>
          <w:i/>
          <w:color w:val="000000" w:themeColor="text1"/>
          <w:sz w:val="24"/>
          <w:szCs w:val="24"/>
        </w:rPr>
        <w:t>Bank of England financial stability paper</w:t>
      </w:r>
      <w:r w:rsidRPr="00CB7922">
        <w:rPr>
          <w:rFonts w:ascii="Times New Roman" w:eastAsia="Times New Roman" w:hAnsi="Times New Roman" w:cs="Times New Roman"/>
          <w:color w:val="000000" w:themeColor="text1"/>
          <w:sz w:val="24"/>
          <w:szCs w:val="24"/>
        </w:rPr>
        <w:t>, vol. 5.</w:t>
      </w:r>
    </w:p>
    <w:p w14:paraId="0391483D"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Cohen, H.T. (2010) 'Orderly Liquidation Authority: A New Insolvency Regime to Address Systemic Risks', </w:t>
      </w:r>
      <w:r w:rsidRPr="00CB7922">
        <w:rPr>
          <w:rFonts w:ascii="Times New Roman" w:eastAsia="Times New Roman" w:hAnsi="Times New Roman" w:cs="Times New Roman"/>
          <w:i/>
          <w:color w:val="000000" w:themeColor="text1"/>
          <w:sz w:val="24"/>
          <w:szCs w:val="24"/>
        </w:rPr>
        <w:t>U. Rich. L. Rev.</w:t>
      </w:r>
      <w:r w:rsidRPr="00CB7922">
        <w:rPr>
          <w:rFonts w:ascii="Times New Roman" w:eastAsia="Times New Roman" w:hAnsi="Times New Roman" w:cs="Times New Roman"/>
          <w:color w:val="000000" w:themeColor="text1"/>
          <w:sz w:val="24"/>
          <w:szCs w:val="24"/>
        </w:rPr>
        <w:t>, vol. 45, p. 1143.</w:t>
      </w:r>
    </w:p>
    <w:p w14:paraId="778CF7B1"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Cohen, G.J..D.J..F.M..G.K..H.W..K.I..L.S.J..M.W.B..M.N..S.M.a.S.M. (2021) 'The US syndicated loan market: Matching data', </w:t>
      </w:r>
      <w:r w:rsidRPr="00CB7922">
        <w:rPr>
          <w:rFonts w:ascii="Times New Roman" w:eastAsia="Times New Roman" w:hAnsi="Times New Roman" w:cs="Times New Roman"/>
          <w:i/>
          <w:color w:val="000000" w:themeColor="text1"/>
          <w:sz w:val="24"/>
          <w:szCs w:val="24"/>
        </w:rPr>
        <w:t>Journal of Financial Research</w:t>
      </w:r>
      <w:r w:rsidRPr="00CB7922">
        <w:rPr>
          <w:rFonts w:ascii="Times New Roman" w:eastAsia="Times New Roman" w:hAnsi="Times New Roman" w:cs="Times New Roman"/>
          <w:color w:val="000000" w:themeColor="text1"/>
          <w:sz w:val="24"/>
          <w:szCs w:val="24"/>
        </w:rPr>
        <w:t>, vol. 44, no. 4, pp. 695-723.</w:t>
      </w:r>
    </w:p>
    <w:p w14:paraId="76072F98"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Davies, R..R.P..K.V.a.M.M.J. (2010) ' Evolution of the UK banking system', </w:t>
      </w:r>
      <w:r w:rsidRPr="00CB7922">
        <w:rPr>
          <w:rFonts w:ascii="Times New Roman" w:eastAsia="Times New Roman" w:hAnsi="Times New Roman" w:cs="Times New Roman"/>
          <w:i/>
          <w:color w:val="000000" w:themeColor="text1"/>
          <w:sz w:val="24"/>
          <w:szCs w:val="24"/>
        </w:rPr>
        <w:t>Bank of England Quarterly Bulletin</w:t>
      </w:r>
      <w:r w:rsidRPr="00CB7922">
        <w:rPr>
          <w:rFonts w:ascii="Times New Roman" w:eastAsia="Times New Roman" w:hAnsi="Times New Roman" w:cs="Times New Roman"/>
          <w:color w:val="000000" w:themeColor="text1"/>
          <w:sz w:val="24"/>
          <w:szCs w:val="24"/>
        </w:rPr>
        <w:t>, p. 4.</w:t>
      </w:r>
    </w:p>
    <w:p w14:paraId="0CB9C273"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Erkens, D.H..H.M.a.M.P. (2012) 'Corporate governance in the 2007–2008 financial crisis: Evidence from financial institutions worldwide', </w:t>
      </w:r>
      <w:r w:rsidRPr="00CB7922">
        <w:rPr>
          <w:rFonts w:ascii="Times New Roman" w:eastAsia="Times New Roman" w:hAnsi="Times New Roman" w:cs="Times New Roman"/>
          <w:i/>
          <w:color w:val="000000" w:themeColor="text1"/>
          <w:sz w:val="24"/>
          <w:szCs w:val="24"/>
        </w:rPr>
        <w:t>Journal of corporate finance</w:t>
      </w:r>
      <w:r w:rsidRPr="00CB7922">
        <w:rPr>
          <w:rFonts w:ascii="Times New Roman" w:eastAsia="Times New Roman" w:hAnsi="Times New Roman" w:cs="Times New Roman"/>
          <w:color w:val="000000" w:themeColor="text1"/>
          <w:sz w:val="24"/>
          <w:szCs w:val="24"/>
        </w:rPr>
        <w:t>, vol. 18, no. 2, pp. 389-411.</w:t>
      </w:r>
    </w:p>
    <w:p w14:paraId="4D655C5D"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Goodhart, C. (2015) 'Linkages between macro-prudential and micro-prudential supervision', </w:t>
      </w:r>
      <w:r w:rsidRPr="00CB7922">
        <w:rPr>
          <w:rFonts w:ascii="Times New Roman" w:eastAsia="Times New Roman" w:hAnsi="Times New Roman" w:cs="Times New Roman"/>
          <w:i/>
          <w:color w:val="000000" w:themeColor="text1"/>
          <w:sz w:val="24"/>
          <w:szCs w:val="24"/>
        </w:rPr>
        <w:t>Butterworths Journal of International Banking and Financial Law</w:t>
      </w:r>
      <w:r w:rsidRPr="00CB7922">
        <w:rPr>
          <w:rFonts w:ascii="Times New Roman" w:eastAsia="Times New Roman" w:hAnsi="Times New Roman" w:cs="Times New Roman"/>
          <w:color w:val="000000" w:themeColor="text1"/>
          <w:sz w:val="24"/>
          <w:szCs w:val="24"/>
        </w:rPr>
        <w:t>, vol. 30, no. 10, pp. 607-609.</w:t>
      </w:r>
    </w:p>
    <w:p w14:paraId="44954A87"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Harrington, S.E. (2009) 'The financial crisis, systemic risk, and the future of insurance regulation', </w:t>
      </w:r>
      <w:r w:rsidRPr="00CB7922">
        <w:rPr>
          <w:rFonts w:ascii="Times New Roman" w:eastAsia="Times New Roman" w:hAnsi="Times New Roman" w:cs="Times New Roman"/>
          <w:i/>
          <w:color w:val="000000" w:themeColor="text1"/>
          <w:sz w:val="24"/>
          <w:szCs w:val="24"/>
        </w:rPr>
        <w:t>Journal of Risk and Insurance</w:t>
      </w:r>
      <w:r w:rsidRPr="00CB7922">
        <w:rPr>
          <w:rFonts w:ascii="Times New Roman" w:eastAsia="Times New Roman" w:hAnsi="Times New Roman" w:cs="Times New Roman"/>
          <w:color w:val="000000" w:themeColor="text1"/>
          <w:sz w:val="24"/>
          <w:szCs w:val="24"/>
        </w:rPr>
        <w:t>, vol. 76, no. 4, pp. 785-819.</w:t>
      </w:r>
    </w:p>
    <w:p w14:paraId="2E5908B7"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HSBC (2013) </w:t>
      </w:r>
      <w:r w:rsidRPr="00CB7922">
        <w:rPr>
          <w:rFonts w:ascii="Times New Roman" w:eastAsia="Times New Roman" w:hAnsi="Times New Roman" w:cs="Times New Roman"/>
          <w:i/>
          <w:color w:val="000000" w:themeColor="text1"/>
          <w:sz w:val="24"/>
          <w:szCs w:val="24"/>
        </w:rPr>
        <w:t>Structural Reform of the UK banking sector</w:t>
      </w:r>
      <w:r w:rsidRPr="00CB7922">
        <w:rPr>
          <w:rFonts w:ascii="Times New Roman" w:eastAsia="Times New Roman" w:hAnsi="Times New Roman" w:cs="Times New Roman"/>
          <w:color w:val="000000" w:themeColor="text1"/>
          <w:sz w:val="24"/>
          <w:szCs w:val="24"/>
        </w:rPr>
        <w:t xml:space="preserve">, [Online], Available: </w:t>
      </w:r>
      <w:hyperlink r:id="rId15">
        <w:r w:rsidRPr="00CB7922">
          <w:rPr>
            <w:rFonts w:ascii="Times New Roman" w:eastAsia="Times New Roman" w:hAnsi="Times New Roman" w:cs="Times New Roman"/>
            <w:color w:val="000000" w:themeColor="text1"/>
            <w:sz w:val="24"/>
            <w:szCs w:val="24"/>
            <w:u w:val="single"/>
          </w:rPr>
          <w:t>https://www.gbm.hsbc.com/financial-regulation/uk-banking-reform</w:t>
        </w:r>
      </w:hyperlink>
      <w:r w:rsidRPr="00CB7922">
        <w:rPr>
          <w:rFonts w:ascii="Times New Roman" w:eastAsia="Times New Roman" w:hAnsi="Times New Roman" w:cs="Times New Roman"/>
          <w:color w:val="000000" w:themeColor="text1"/>
          <w:sz w:val="24"/>
          <w:szCs w:val="24"/>
        </w:rPr>
        <w:t>.</w:t>
      </w:r>
    </w:p>
    <w:p w14:paraId="28B02EFF"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Kickert, W. (2012) 'State responses to the fiscal crisis in Britain', </w:t>
      </w:r>
      <w:r w:rsidRPr="00CB7922">
        <w:rPr>
          <w:rFonts w:ascii="Times New Roman" w:eastAsia="Times New Roman" w:hAnsi="Times New Roman" w:cs="Times New Roman"/>
          <w:i/>
          <w:color w:val="000000" w:themeColor="text1"/>
          <w:sz w:val="24"/>
          <w:szCs w:val="24"/>
        </w:rPr>
        <w:t>Public Management Review</w:t>
      </w:r>
      <w:r w:rsidRPr="00CB7922">
        <w:rPr>
          <w:rFonts w:ascii="Times New Roman" w:eastAsia="Times New Roman" w:hAnsi="Times New Roman" w:cs="Times New Roman"/>
          <w:color w:val="000000" w:themeColor="text1"/>
          <w:sz w:val="24"/>
          <w:szCs w:val="24"/>
        </w:rPr>
        <w:t>, vol. 14, no. 3, pp. 299-309.</w:t>
      </w:r>
    </w:p>
    <w:p w14:paraId="0A07B04D"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lastRenderedPageBreak/>
        <w:t xml:space="preserve">Laeven, M.L..I.M.D..C.M.S.a.D.M.G. (2010) </w:t>
      </w:r>
      <w:r w:rsidRPr="00CB7922">
        <w:rPr>
          <w:rFonts w:ascii="Times New Roman" w:eastAsia="Times New Roman" w:hAnsi="Times New Roman" w:cs="Times New Roman"/>
          <w:i/>
          <w:color w:val="000000" w:themeColor="text1"/>
          <w:sz w:val="24"/>
          <w:szCs w:val="24"/>
        </w:rPr>
        <w:t>Lessons and policy implications from the global financial crisis</w:t>
      </w:r>
      <w:r w:rsidRPr="00CB7922">
        <w:rPr>
          <w:rFonts w:ascii="Times New Roman" w:eastAsia="Times New Roman" w:hAnsi="Times New Roman" w:cs="Times New Roman"/>
          <w:color w:val="000000" w:themeColor="text1"/>
          <w:sz w:val="24"/>
          <w:szCs w:val="24"/>
        </w:rPr>
        <w:t>, International Monetary Fund.</w:t>
      </w:r>
    </w:p>
    <w:p w14:paraId="64032E45"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Levine, R. (2012) 'The governance of financial regulation: reform lessons from the recent crisis', </w:t>
      </w:r>
      <w:r w:rsidRPr="00CB7922">
        <w:rPr>
          <w:rFonts w:ascii="Times New Roman" w:eastAsia="Times New Roman" w:hAnsi="Times New Roman" w:cs="Times New Roman"/>
          <w:i/>
          <w:color w:val="000000" w:themeColor="text1"/>
          <w:sz w:val="24"/>
          <w:szCs w:val="24"/>
        </w:rPr>
        <w:t>International Review of Finance</w:t>
      </w:r>
      <w:r w:rsidRPr="00CB7922">
        <w:rPr>
          <w:rFonts w:ascii="Times New Roman" w:eastAsia="Times New Roman" w:hAnsi="Times New Roman" w:cs="Times New Roman"/>
          <w:color w:val="000000" w:themeColor="text1"/>
          <w:sz w:val="24"/>
          <w:szCs w:val="24"/>
        </w:rPr>
        <w:t>, vol. 12, no. 1, pp. 39-56.</w:t>
      </w:r>
    </w:p>
    <w:p w14:paraId="69130506"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Lui, A. (2012) 'Retail ring-fencing of banks and its implications', </w:t>
      </w:r>
      <w:r w:rsidRPr="00CB7922">
        <w:rPr>
          <w:rFonts w:ascii="Times New Roman" w:eastAsia="Times New Roman" w:hAnsi="Times New Roman" w:cs="Times New Roman"/>
          <w:i/>
          <w:color w:val="000000" w:themeColor="text1"/>
          <w:sz w:val="24"/>
          <w:szCs w:val="24"/>
        </w:rPr>
        <w:t>Journal of Banking Regulation</w:t>
      </w:r>
      <w:r w:rsidRPr="00CB7922">
        <w:rPr>
          <w:rFonts w:ascii="Times New Roman" w:eastAsia="Times New Roman" w:hAnsi="Times New Roman" w:cs="Times New Roman"/>
          <w:color w:val="000000" w:themeColor="text1"/>
          <w:sz w:val="24"/>
          <w:szCs w:val="24"/>
        </w:rPr>
        <w:t>, vol. 13, no. 4, pp. 336-348.</w:t>
      </w:r>
    </w:p>
    <w:p w14:paraId="19B4AFF7"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Mülbert, P.O. (2009) 'Corporate governance of banks after the financial crisis-theory, evidence, reforms', </w:t>
      </w:r>
      <w:r w:rsidRPr="00CB7922">
        <w:rPr>
          <w:rFonts w:ascii="Times New Roman" w:eastAsia="Times New Roman" w:hAnsi="Times New Roman" w:cs="Times New Roman"/>
          <w:i/>
          <w:color w:val="000000" w:themeColor="text1"/>
          <w:sz w:val="24"/>
          <w:szCs w:val="24"/>
        </w:rPr>
        <w:t>ECGI-Law Working Paper</w:t>
      </w:r>
      <w:r w:rsidRPr="00CB7922">
        <w:rPr>
          <w:rFonts w:ascii="Times New Roman" w:eastAsia="Times New Roman" w:hAnsi="Times New Roman" w:cs="Times New Roman"/>
          <w:color w:val="000000" w:themeColor="text1"/>
          <w:sz w:val="24"/>
          <w:szCs w:val="24"/>
        </w:rPr>
        <w:t>, p. 130.</w:t>
      </w:r>
    </w:p>
    <w:p w14:paraId="43CF6914"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Murdock, C.W. (2011) 'The Dodd-Frank Wall Street reform and consumer protection act: What caused the financial crisis and will Dodd-Frank prevent future crises', </w:t>
      </w:r>
      <w:r w:rsidRPr="00CB7922">
        <w:rPr>
          <w:rFonts w:ascii="Times New Roman" w:eastAsia="Times New Roman" w:hAnsi="Times New Roman" w:cs="Times New Roman"/>
          <w:i/>
          <w:color w:val="000000" w:themeColor="text1"/>
          <w:sz w:val="24"/>
          <w:szCs w:val="24"/>
        </w:rPr>
        <w:t>SMUL Rev</w:t>
      </w:r>
      <w:r w:rsidRPr="00CB7922">
        <w:rPr>
          <w:rFonts w:ascii="Times New Roman" w:eastAsia="Times New Roman" w:hAnsi="Times New Roman" w:cs="Times New Roman"/>
          <w:color w:val="000000" w:themeColor="text1"/>
          <w:sz w:val="24"/>
          <w:szCs w:val="24"/>
        </w:rPr>
        <w:t>, vol. 64, p. 1243.</w:t>
      </w:r>
    </w:p>
    <w:p w14:paraId="06FEEFA6"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Panetta, F..A.P..A.U..C.F..C.W..D.C.A..P.A..S.C.a.S.G. (2009) 'Financial sector pro-cyclicality: lessons from the crisis', </w:t>
      </w:r>
      <w:r w:rsidRPr="00CB7922">
        <w:rPr>
          <w:rFonts w:ascii="Times New Roman" w:eastAsia="Times New Roman" w:hAnsi="Times New Roman" w:cs="Times New Roman"/>
          <w:i/>
          <w:color w:val="000000" w:themeColor="text1"/>
          <w:sz w:val="24"/>
          <w:szCs w:val="24"/>
        </w:rPr>
        <w:t>Bank of Italy Occasional Paper</w:t>
      </w:r>
      <w:r w:rsidRPr="00CB7922">
        <w:rPr>
          <w:rFonts w:ascii="Times New Roman" w:eastAsia="Times New Roman" w:hAnsi="Times New Roman" w:cs="Times New Roman"/>
          <w:color w:val="000000" w:themeColor="text1"/>
          <w:sz w:val="24"/>
          <w:szCs w:val="24"/>
        </w:rPr>
        <w:t>, vol. 44.</w:t>
      </w:r>
    </w:p>
    <w:p w14:paraId="7D3C5C70"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Schild, J. (2008) 'How to shift the EU's spending priorities? The multi-annual financial framework 2007–13 in perspective', </w:t>
      </w:r>
      <w:r w:rsidRPr="00CB7922">
        <w:rPr>
          <w:rFonts w:ascii="Times New Roman" w:eastAsia="Times New Roman" w:hAnsi="Times New Roman" w:cs="Times New Roman"/>
          <w:i/>
          <w:color w:val="000000" w:themeColor="text1"/>
          <w:sz w:val="24"/>
          <w:szCs w:val="24"/>
        </w:rPr>
        <w:t>Journal of European Public Policy</w:t>
      </w:r>
      <w:r w:rsidRPr="00CB7922">
        <w:rPr>
          <w:rFonts w:ascii="Times New Roman" w:eastAsia="Times New Roman" w:hAnsi="Times New Roman" w:cs="Times New Roman"/>
          <w:color w:val="000000" w:themeColor="text1"/>
          <w:sz w:val="24"/>
          <w:szCs w:val="24"/>
        </w:rPr>
        <w:t>, vol. 15, no. 4, pp. 531-549.</w:t>
      </w:r>
    </w:p>
    <w:p w14:paraId="0FB32A2E"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Shin, H.S. (2009) 'Reflections on Northern Rock: The bank run that heralded the global financial crisis', </w:t>
      </w:r>
      <w:r w:rsidRPr="00CB7922">
        <w:rPr>
          <w:rFonts w:ascii="Times New Roman" w:eastAsia="Times New Roman" w:hAnsi="Times New Roman" w:cs="Times New Roman"/>
          <w:i/>
          <w:color w:val="000000" w:themeColor="text1"/>
          <w:sz w:val="24"/>
          <w:szCs w:val="24"/>
        </w:rPr>
        <w:t>Journal of economic perspectives</w:t>
      </w:r>
      <w:r w:rsidRPr="00CB7922">
        <w:rPr>
          <w:rFonts w:ascii="Times New Roman" w:eastAsia="Times New Roman" w:hAnsi="Times New Roman" w:cs="Times New Roman"/>
          <w:color w:val="000000" w:themeColor="text1"/>
          <w:sz w:val="24"/>
          <w:szCs w:val="24"/>
        </w:rPr>
        <w:t>, vol. 23, no. 1, pp. 101-19.</w:t>
      </w:r>
    </w:p>
    <w:p w14:paraId="6765D2FE"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Sironi, A. (2018) 'The evolution of banking regulation since the financial crisis: A critical assessment', </w:t>
      </w:r>
      <w:r w:rsidRPr="00CB7922">
        <w:rPr>
          <w:rFonts w:ascii="Times New Roman" w:eastAsia="Times New Roman" w:hAnsi="Times New Roman" w:cs="Times New Roman"/>
          <w:i/>
          <w:color w:val="000000" w:themeColor="text1"/>
          <w:sz w:val="24"/>
          <w:szCs w:val="24"/>
        </w:rPr>
        <w:t>BAFFI CAREFIN Centre Research Paper</w:t>
      </w:r>
      <w:r w:rsidRPr="00CB7922">
        <w:rPr>
          <w:rFonts w:ascii="Times New Roman" w:eastAsia="Times New Roman" w:hAnsi="Times New Roman" w:cs="Times New Roman"/>
          <w:color w:val="000000" w:themeColor="text1"/>
          <w:sz w:val="24"/>
          <w:szCs w:val="24"/>
        </w:rPr>
        <w:t>, p. 103.</w:t>
      </w:r>
    </w:p>
    <w:p w14:paraId="485C4186"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Tabak, B.M..F.D.M.a.C.D.O. (2013) 'Systemically important banks and financial stability: The case of Latin America', </w:t>
      </w:r>
      <w:r w:rsidRPr="00CB7922">
        <w:rPr>
          <w:rFonts w:ascii="Times New Roman" w:eastAsia="Times New Roman" w:hAnsi="Times New Roman" w:cs="Times New Roman"/>
          <w:i/>
          <w:color w:val="000000" w:themeColor="text1"/>
          <w:sz w:val="24"/>
          <w:szCs w:val="24"/>
        </w:rPr>
        <w:t>Journal of Banking &amp; Finance</w:t>
      </w:r>
      <w:r w:rsidRPr="00CB7922">
        <w:rPr>
          <w:rFonts w:ascii="Times New Roman" w:eastAsia="Times New Roman" w:hAnsi="Times New Roman" w:cs="Times New Roman"/>
          <w:color w:val="000000" w:themeColor="text1"/>
          <w:sz w:val="24"/>
          <w:szCs w:val="24"/>
        </w:rPr>
        <w:t>, vol. 37, no. 10, pp. 3855-3866.</w:t>
      </w:r>
    </w:p>
    <w:p w14:paraId="164A970F"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TheEconomicTimes (2008) </w:t>
      </w:r>
      <w:r w:rsidRPr="00CB7922">
        <w:rPr>
          <w:rFonts w:ascii="Times New Roman" w:eastAsia="Times New Roman" w:hAnsi="Times New Roman" w:cs="Times New Roman"/>
          <w:i/>
          <w:color w:val="000000" w:themeColor="text1"/>
          <w:sz w:val="24"/>
          <w:szCs w:val="24"/>
        </w:rPr>
        <w:t>HSBC has no plans to use British government bailout</w:t>
      </w:r>
      <w:r w:rsidRPr="00CB7922">
        <w:rPr>
          <w:rFonts w:ascii="Times New Roman" w:eastAsia="Times New Roman" w:hAnsi="Times New Roman" w:cs="Times New Roman"/>
          <w:color w:val="000000" w:themeColor="text1"/>
          <w:sz w:val="24"/>
          <w:szCs w:val="24"/>
        </w:rPr>
        <w:t xml:space="preserve">, 8October, [Online], Available: </w:t>
      </w:r>
      <w:hyperlink r:id="rId16">
        <w:r w:rsidRPr="00CB7922">
          <w:rPr>
            <w:rFonts w:ascii="Times New Roman" w:eastAsia="Times New Roman" w:hAnsi="Times New Roman" w:cs="Times New Roman"/>
            <w:color w:val="000000" w:themeColor="text1"/>
            <w:sz w:val="24"/>
            <w:szCs w:val="24"/>
            <w:u w:val="single"/>
          </w:rPr>
          <w:t>https://economictimes.indiatimes.com/news/international/hsbc-has-no-plans-to-use-british-government-bailout/articleshow/3574289.cms?from=mdr</w:t>
        </w:r>
      </w:hyperlink>
      <w:r w:rsidRPr="00CB7922">
        <w:rPr>
          <w:rFonts w:ascii="Times New Roman" w:eastAsia="Times New Roman" w:hAnsi="Times New Roman" w:cs="Times New Roman"/>
          <w:color w:val="000000" w:themeColor="text1"/>
          <w:sz w:val="24"/>
          <w:szCs w:val="24"/>
        </w:rPr>
        <w:t>.</w:t>
      </w:r>
    </w:p>
    <w:p w14:paraId="4691EB12"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Trichet, J.C. (2010) ' State of the Union: The Financial Crisis and the ECB's Response between 2007 and 2009', </w:t>
      </w:r>
      <w:r w:rsidRPr="00CB7922">
        <w:rPr>
          <w:rFonts w:ascii="Times New Roman" w:eastAsia="Times New Roman" w:hAnsi="Times New Roman" w:cs="Times New Roman"/>
          <w:i/>
          <w:color w:val="000000" w:themeColor="text1"/>
          <w:sz w:val="24"/>
          <w:szCs w:val="24"/>
        </w:rPr>
        <w:t>J. Common Mkt. Stud</w:t>
      </w:r>
      <w:r w:rsidRPr="00CB7922">
        <w:rPr>
          <w:rFonts w:ascii="Times New Roman" w:eastAsia="Times New Roman" w:hAnsi="Times New Roman" w:cs="Times New Roman"/>
          <w:color w:val="000000" w:themeColor="text1"/>
          <w:sz w:val="24"/>
          <w:szCs w:val="24"/>
        </w:rPr>
        <w:t>, vol. 48, p. 7.</w:t>
      </w:r>
    </w:p>
    <w:p w14:paraId="66F3FC76"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lastRenderedPageBreak/>
        <w:t xml:space="preserve">Walker, G.A. (2010) 'Financial Crisis-UK Policy and Regulatory Response', </w:t>
      </w:r>
      <w:r w:rsidRPr="00CB7922">
        <w:rPr>
          <w:rFonts w:ascii="Times New Roman" w:eastAsia="Times New Roman" w:hAnsi="Times New Roman" w:cs="Times New Roman"/>
          <w:i/>
          <w:color w:val="000000" w:themeColor="text1"/>
          <w:sz w:val="24"/>
          <w:szCs w:val="24"/>
        </w:rPr>
        <w:t>Int'l Law</w:t>
      </w:r>
      <w:r w:rsidRPr="00CB7922">
        <w:rPr>
          <w:rFonts w:ascii="Times New Roman" w:eastAsia="Times New Roman" w:hAnsi="Times New Roman" w:cs="Times New Roman"/>
          <w:color w:val="000000" w:themeColor="text1"/>
          <w:sz w:val="24"/>
          <w:szCs w:val="24"/>
        </w:rPr>
        <w:t>, vol. 44, p. 751.</w:t>
      </w:r>
    </w:p>
    <w:p w14:paraId="39291C6D" w14:textId="77777777" w:rsidR="0040479F" w:rsidRPr="00CB7922" w:rsidRDefault="00C81B6B" w:rsidP="0090141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B7922">
        <w:rPr>
          <w:rFonts w:ascii="Times New Roman" w:eastAsia="Times New Roman" w:hAnsi="Times New Roman" w:cs="Times New Roman"/>
          <w:color w:val="000000" w:themeColor="text1"/>
          <w:sz w:val="24"/>
          <w:szCs w:val="24"/>
        </w:rPr>
        <w:t xml:space="preserve">Warren, D.R. (2014) 'Congress's Rollback of the Dodd-Frank Swaps Push-out Rule', </w:t>
      </w:r>
      <w:r w:rsidRPr="00CB7922">
        <w:rPr>
          <w:rFonts w:ascii="Times New Roman" w:eastAsia="Times New Roman" w:hAnsi="Times New Roman" w:cs="Times New Roman"/>
          <w:i/>
          <w:color w:val="000000" w:themeColor="text1"/>
          <w:sz w:val="24"/>
          <w:szCs w:val="24"/>
        </w:rPr>
        <w:t>Rev. Banking &amp; Fin.</w:t>
      </w:r>
      <w:r w:rsidRPr="00CB7922">
        <w:rPr>
          <w:rFonts w:ascii="Times New Roman" w:eastAsia="Times New Roman" w:hAnsi="Times New Roman" w:cs="Times New Roman"/>
          <w:color w:val="000000" w:themeColor="text1"/>
          <w:sz w:val="24"/>
          <w:szCs w:val="24"/>
        </w:rPr>
        <w:t>, vol. 34, p. 443.</w:t>
      </w:r>
    </w:p>
    <w:p w14:paraId="7934481A" w14:textId="77777777" w:rsidR="0040479F" w:rsidRPr="00CB7922" w:rsidRDefault="0040479F">
      <w:pPr>
        <w:spacing w:line="360" w:lineRule="auto"/>
        <w:jc w:val="both"/>
        <w:rPr>
          <w:rFonts w:ascii="Times New Roman" w:eastAsia="Times New Roman" w:hAnsi="Times New Roman" w:cs="Times New Roman"/>
          <w:b/>
          <w:color w:val="000000" w:themeColor="text1"/>
          <w:sz w:val="24"/>
          <w:szCs w:val="24"/>
        </w:rPr>
      </w:pPr>
    </w:p>
    <w:p w14:paraId="65BF0AB9"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6D0B5005"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6609B079"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1CC3F816"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25112D93"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1F0E221E"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7C3F97D6"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2EB0DCC3"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5211ED98"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14D4C85F"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4217AA6C"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20F1B6C5" w14:textId="77777777" w:rsidR="0040479F" w:rsidRPr="00CB7922" w:rsidRDefault="0040479F">
      <w:pPr>
        <w:spacing w:line="360" w:lineRule="auto"/>
        <w:jc w:val="both"/>
        <w:rPr>
          <w:rFonts w:ascii="Times New Roman" w:eastAsia="Times New Roman" w:hAnsi="Times New Roman" w:cs="Times New Roman"/>
          <w:color w:val="000000" w:themeColor="text1"/>
          <w:sz w:val="24"/>
          <w:szCs w:val="24"/>
        </w:rPr>
      </w:pPr>
    </w:p>
    <w:p w14:paraId="73FD6C9E" w14:textId="77777777" w:rsidR="0040479F" w:rsidRDefault="0040479F"/>
    <w:sectPr w:rsidR="0040479F">
      <w:footerReference w:type="default" r:id="rId17"/>
      <w:type w:val="continuous"/>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BE5C2AE" w14:textId="77777777" w:rsidR="00C73812" w:rsidRDefault="00C73812">
      <w:pPr>
        <w:spacing w:after="0" w:line="240" w:lineRule="auto"/>
      </w:pPr>
      <w:r>
        <w:separator/>
      </w:r>
    </w:p>
  </w:endnote>
  <w:endnote w:type="continuationSeparator" w:id="0">
    <w:p w14:paraId="71BBB507" w14:textId="77777777" w:rsidR="00C73812" w:rsidRDefault="00C738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00000001" w:usb1="08070000" w:usb2="00000010" w:usb3="00000000" w:csb0="00020000" w:csb1="00000000"/>
  </w:font>
  <w:font w:name="Vrinda">
    <w:panose1 w:val="00000000000000000000"/>
    <w:charset w:val="01"/>
    <w:family w:val="roman"/>
    <w:notTrueType/>
    <w:pitch w:val="variable"/>
  </w:font>
  <w:font w:name="Times New Roman">
    <w:panose1 w:val="02020603050405020304"/>
    <w:charset w:val="00"/>
    <w:family w:val="auto"/>
    <w:pitch w:val="variable"/>
    <w:sig w:usb0="E0002AFF" w:usb1="C0007841" w:usb2="00000009" w:usb3="00000000" w:csb0="000001FF" w:csb1="00000000"/>
  </w:font>
  <w:font w:name="Tahoma">
    <w:panose1 w:val="020B0604030504040204"/>
    <w:charset w:val="00"/>
    <w:family w:val="auto"/>
    <w:pitch w:val="variable"/>
    <w:sig w:usb0="E1002AFF" w:usb1="C000605B" w:usb2="00000029" w:usb3="00000000" w:csb0="000101FF" w:csb1="00000000"/>
  </w:font>
  <w:font w:name="Georgia">
    <w:panose1 w:val="02040502050405020303"/>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89B888" w14:textId="77777777" w:rsidR="00C73812" w:rsidRDefault="00C73812">
    <w:pPr>
      <w:pBdr>
        <w:top w:val="nil"/>
        <w:left w:val="nil"/>
        <w:bottom w:val="nil"/>
        <w:right w:val="nil"/>
        <w:between w:val="nil"/>
      </w:pBdr>
      <w:tabs>
        <w:tab w:val="center" w:pos="4513"/>
        <w:tab w:val="right" w:pos="9026"/>
      </w:tabs>
      <w:spacing w:after="0" w:line="240" w:lineRule="auto"/>
      <w:jc w:val="right"/>
      <w:rPr>
        <w:color w:val="000000"/>
      </w:rPr>
    </w:pPr>
  </w:p>
  <w:p w14:paraId="15790B4E" w14:textId="77777777" w:rsidR="00C73812" w:rsidRDefault="00C73812">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2F353EF" w14:textId="77777777" w:rsidR="00C73812" w:rsidRDefault="00C73812">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07242B">
      <w:rPr>
        <w:noProof/>
        <w:color w:val="000000"/>
      </w:rPr>
      <w:t>18</w:t>
    </w:r>
    <w:r>
      <w:rPr>
        <w:color w:val="000000"/>
      </w:rPr>
      <w:fldChar w:fldCharType="end"/>
    </w:r>
  </w:p>
  <w:p w14:paraId="4BE79E56" w14:textId="77777777" w:rsidR="00C73812" w:rsidRDefault="00C73812">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856CD5A" w14:textId="77777777" w:rsidR="00C73812" w:rsidRDefault="00C73812">
      <w:pPr>
        <w:spacing w:after="0" w:line="240" w:lineRule="auto"/>
      </w:pPr>
      <w:r>
        <w:separator/>
      </w:r>
    </w:p>
  </w:footnote>
  <w:footnote w:type="continuationSeparator" w:id="0">
    <w:p w14:paraId="6C9B3E9E" w14:textId="77777777" w:rsidR="00C73812" w:rsidRDefault="00C738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0479F"/>
    <w:rsid w:val="0007242B"/>
    <w:rsid w:val="001D5909"/>
    <w:rsid w:val="0040479F"/>
    <w:rsid w:val="00610DBE"/>
    <w:rsid w:val="006D6E7E"/>
    <w:rsid w:val="00901417"/>
    <w:rsid w:val="00964E11"/>
    <w:rsid w:val="00A74ECC"/>
    <w:rsid w:val="00C73812"/>
    <w:rsid w:val="00C81B6B"/>
    <w:rsid w:val="00CB362C"/>
    <w:rsid w:val="00CB7922"/>
    <w:rsid w:val="00CC4CC8"/>
    <w:rsid w:val="00DF0A7C"/>
    <w:rsid w:val="00EB1444"/>
    <w:rsid w:val="00F010ED"/>
  </w:rsids>
  <m:mathPr>
    <m:mathFont m:val="Cambria Math"/>
    <m:brkBin m:val="before"/>
    <m:brkBinSub m:val="--"/>
    <m:smallFrac m:val="0"/>
    <m:dispDef/>
    <m:lMargin m:val="0"/>
    <m:rMargin m:val="0"/>
    <m:defJc m:val="centerGroup"/>
    <m:wrapIndent m:val="1440"/>
    <m:intLim m:val="subSup"/>
    <m:naryLim m:val="undOvr"/>
  </m:mathPr>
  <w:themeFontLang w:val="uz-Cyrl-UZ"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7269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GB" w:eastAsia="en-GB" w:bidi="bn-IN"/>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B7A5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8062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BalloonText">
    <w:name w:val="Balloon Text"/>
    <w:basedOn w:val="Normal"/>
    <w:link w:val="BalloonTextChar"/>
    <w:uiPriority w:val="99"/>
    <w:semiHidden/>
    <w:unhideWhenUsed/>
    <w:rsid w:val="00E06C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6CCB"/>
    <w:rPr>
      <w:rFonts w:ascii="Tahoma" w:hAnsi="Tahoma" w:cs="Tahoma"/>
      <w:sz w:val="16"/>
      <w:szCs w:val="16"/>
    </w:rPr>
  </w:style>
  <w:style w:type="paragraph" w:styleId="Header">
    <w:name w:val="header"/>
    <w:basedOn w:val="Normal"/>
    <w:link w:val="HeaderChar"/>
    <w:uiPriority w:val="99"/>
    <w:semiHidden/>
    <w:unhideWhenUsed/>
    <w:rsid w:val="00E06CC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06CCB"/>
  </w:style>
  <w:style w:type="paragraph" w:styleId="Footer">
    <w:name w:val="footer"/>
    <w:basedOn w:val="Normal"/>
    <w:link w:val="FooterChar"/>
    <w:uiPriority w:val="99"/>
    <w:unhideWhenUsed/>
    <w:rsid w:val="00E06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CCB"/>
  </w:style>
  <w:style w:type="character" w:customStyle="1" w:styleId="Heading1Char">
    <w:name w:val="Heading 1 Char"/>
    <w:basedOn w:val="DefaultParagraphFont"/>
    <w:link w:val="Heading1"/>
    <w:uiPriority w:val="9"/>
    <w:rsid w:val="004B7A5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80628"/>
    <w:rPr>
      <w:rFonts w:asciiTheme="majorHAnsi" w:eastAsiaTheme="majorEastAsia" w:hAnsiTheme="majorHAnsi" w:cstheme="majorBidi"/>
      <w:b/>
      <w:bCs/>
      <w:color w:val="4F81BD" w:themeColor="accent1"/>
      <w:sz w:val="26"/>
      <w:szCs w:val="26"/>
    </w:rPr>
  </w:style>
  <w:style w:type="paragraph" w:styleId="Bibliography">
    <w:name w:val="Bibliography"/>
    <w:basedOn w:val="Normal"/>
    <w:next w:val="Normal"/>
    <w:uiPriority w:val="37"/>
    <w:unhideWhenUsed/>
    <w:rsid w:val="00707BE0"/>
  </w:style>
  <w:style w:type="character" w:styleId="Hyperlink">
    <w:name w:val="Hyperlink"/>
    <w:basedOn w:val="DefaultParagraphFont"/>
    <w:uiPriority w:val="99"/>
    <w:unhideWhenUsed/>
    <w:rsid w:val="00707BE0"/>
    <w:rPr>
      <w:color w:val="0000FF"/>
      <w:u w:val="single"/>
    </w:rPr>
  </w:style>
  <w:style w:type="paragraph" w:styleId="TOCHeading">
    <w:name w:val="TOC Heading"/>
    <w:basedOn w:val="Heading1"/>
    <w:next w:val="Normal"/>
    <w:uiPriority w:val="39"/>
    <w:semiHidden/>
    <w:unhideWhenUsed/>
    <w:qFormat/>
    <w:rsid w:val="00396F2D"/>
    <w:pPr>
      <w:outlineLvl w:val="9"/>
    </w:pPr>
    <w:rPr>
      <w:lang w:val="en-US" w:eastAsia="en-US"/>
    </w:rPr>
  </w:style>
  <w:style w:type="paragraph" w:styleId="TOC1">
    <w:name w:val="toc 1"/>
    <w:basedOn w:val="Normal"/>
    <w:next w:val="Normal"/>
    <w:autoRedefine/>
    <w:uiPriority w:val="39"/>
    <w:unhideWhenUsed/>
    <w:rsid w:val="00396F2D"/>
    <w:pPr>
      <w:spacing w:after="100"/>
    </w:pPr>
  </w:style>
  <w:style w:type="paragraph" w:styleId="TOC2">
    <w:name w:val="toc 2"/>
    <w:basedOn w:val="Normal"/>
    <w:next w:val="Normal"/>
    <w:autoRedefine/>
    <w:uiPriority w:val="39"/>
    <w:unhideWhenUsed/>
    <w:rsid w:val="00396F2D"/>
    <w:pPr>
      <w:spacing w:after="100"/>
      <w:ind w:left="22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GB" w:eastAsia="en-GB" w:bidi="bn-IN"/>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B7A5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8062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BalloonText">
    <w:name w:val="Balloon Text"/>
    <w:basedOn w:val="Normal"/>
    <w:link w:val="BalloonTextChar"/>
    <w:uiPriority w:val="99"/>
    <w:semiHidden/>
    <w:unhideWhenUsed/>
    <w:rsid w:val="00E06C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6CCB"/>
    <w:rPr>
      <w:rFonts w:ascii="Tahoma" w:hAnsi="Tahoma" w:cs="Tahoma"/>
      <w:sz w:val="16"/>
      <w:szCs w:val="16"/>
    </w:rPr>
  </w:style>
  <w:style w:type="paragraph" w:styleId="Header">
    <w:name w:val="header"/>
    <w:basedOn w:val="Normal"/>
    <w:link w:val="HeaderChar"/>
    <w:uiPriority w:val="99"/>
    <w:semiHidden/>
    <w:unhideWhenUsed/>
    <w:rsid w:val="00E06CC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06CCB"/>
  </w:style>
  <w:style w:type="paragraph" w:styleId="Footer">
    <w:name w:val="footer"/>
    <w:basedOn w:val="Normal"/>
    <w:link w:val="FooterChar"/>
    <w:uiPriority w:val="99"/>
    <w:unhideWhenUsed/>
    <w:rsid w:val="00E06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CCB"/>
  </w:style>
  <w:style w:type="character" w:customStyle="1" w:styleId="Heading1Char">
    <w:name w:val="Heading 1 Char"/>
    <w:basedOn w:val="DefaultParagraphFont"/>
    <w:link w:val="Heading1"/>
    <w:uiPriority w:val="9"/>
    <w:rsid w:val="004B7A5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80628"/>
    <w:rPr>
      <w:rFonts w:asciiTheme="majorHAnsi" w:eastAsiaTheme="majorEastAsia" w:hAnsiTheme="majorHAnsi" w:cstheme="majorBidi"/>
      <w:b/>
      <w:bCs/>
      <w:color w:val="4F81BD" w:themeColor="accent1"/>
      <w:sz w:val="26"/>
      <w:szCs w:val="26"/>
    </w:rPr>
  </w:style>
  <w:style w:type="paragraph" w:styleId="Bibliography">
    <w:name w:val="Bibliography"/>
    <w:basedOn w:val="Normal"/>
    <w:next w:val="Normal"/>
    <w:uiPriority w:val="37"/>
    <w:unhideWhenUsed/>
    <w:rsid w:val="00707BE0"/>
  </w:style>
  <w:style w:type="character" w:styleId="Hyperlink">
    <w:name w:val="Hyperlink"/>
    <w:basedOn w:val="DefaultParagraphFont"/>
    <w:uiPriority w:val="99"/>
    <w:unhideWhenUsed/>
    <w:rsid w:val="00707BE0"/>
    <w:rPr>
      <w:color w:val="0000FF"/>
      <w:u w:val="single"/>
    </w:rPr>
  </w:style>
  <w:style w:type="paragraph" w:styleId="TOCHeading">
    <w:name w:val="TOC Heading"/>
    <w:basedOn w:val="Heading1"/>
    <w:next w:val="Normal"/>
    <w:uiPriority w:val="39"/>
    <w:semiHidden/>
    <w:unhideWhenUsed/>
    <w:qFormat/>
    <w:rsid w:val="00396F2D"/>
    <w:pPr>
      <w:outlineLvl w:val="9"/>
    </w:pPr>
    <w:rPr>
      <w:lang w:val="en-US" w:eastAsia="en-US"/>
    </w:rPr>
  </w:style>
  <w:style w:type="paragraph" w:styleId="TOC1">
    <w:name w:val="toc 1"/>
    <w:basedOn w:val="Normal"/>
    <w:next w:val="Normal"/>
    <w:autoRedefine/>
    <w:uiPriority w:val="39"/>
    <w:unhideWhenUsed/>
    <w:rsid w:val="00396F2D"/>
    <w:pPr>
      <w:spacing w:after="100"/>
    </w:pPr>
  </w:style>
  <w:style w:type="paragraph" w:styleId="TOC2">
    <w:name w:val="toc 2"/>
    <w:basedOn w:val="Normal"/>
    <w:next w:val="Normal"/>
    <w:autoRedefine/>
    <w:uiPriority w:val="39"/>
    <w:unhideWhenUsed/>
    <w:rsid w:val="00396F2D"/>
    <w:pPr>
      <w:spacing w:after="100"/>
      <w:ind w:left="22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microsoft.com/office/2007/relationships/hdphoto" Target="media/hdphoto1.wdp"/><Relationship Id="rId13" Type="http://schemas.openxmlformats.org/officeDocument/2006/relationships/image" Target="media/image4.png"/><Relationship Id="rId14" Type="http://schemas.microsoft.com/office/2007/relationships/hdphoto" Target="media/hdphoto2.wdp"/><Relationship Id="rId15" Type="http://schemas.openxmlformats.org/officeDocument/2006/relationships/hyperlink" Target="https://www.gbm.hsbc.com/financial-regulation/uk-banking-reform" TargetMode="External"/><Relationship Id="rId16" Type="http://schemas.openxmlformats.org/officeDocument/2006/relationships/hyperlink" Target="https://economictimes.indiatimes.com/news/international/hsbc-has-no-plans-to-use-british-government-bailout/articleshow/3574289.cms?from=mdr" TargetMode="Externa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footer" Target="footer1.xml"/><Relationship Id="rId10"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irclKXBPIvsR9Y+2e8Y778+sIxA==">AMUW2mWIyF0acuP0t4sYgQaeGrBsG2DL5lKgYNiNrQVmO5ds3aVpGwJMb+vaNKhw3Sgikzw+fPGPrS4FZ9llQfPPAR1yBo3CLLfpniFtWMBfTuOBE39RSLghk/3xH1Tnjvus1zfum83lyVDy2nqFq9FCxBXnaQXZCbCtcGUhJj455ybO/VG5jWMlADiO+hFin5sXU5Q7LT2bjOOQlP+XZfA+DShBM32bCa0vJiAav4j+0LZGXUEid4ImJheXNvAZ4/xhumccft0sPRQIaCnqyq1d9WxKAhGMn9VQ+qqfcYcHrfflQA1AY1e0fucmlaQ5G1sYlbBNE+g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20</Pages>
  <Words>5276</Words>
  <Characters>30078</Characters>
  <Application>Microsoft Macintosh Word</Application>
  <DocSecurity>0</DocSecurity>
  <Lines>250</Lines>
  <Paragraphs>70</Paragraphs>
  <ScaleCrop>false</ScaleCrop>
  <Company/>
  <LinksUpToDate>false</LinksUpToDate>
  <CharactersWithSpaces>35284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Shefa Begum</cp:lastModifiedBy>
  <cp:revision>5</cp:revision>
  <dcterms:created xsi:type="dcterms:W3CDTF">2022-05-03T21:51:00Z</dcterms:created>
  <dcterms:modified xsi:type="dcterms:W3CDTF">2022-05-03T23:16:00Z</dcterms:modified>
</cp:coreProperties>
</file>