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D376B" w14:textId="77777777" w:rsidR="006403F7" w:rsidRPr="00C03A91" w:rsidRDefault="006403F7" w:rsidP="006403F7">
      <w:pPr>
        <w:spacing w:line="360" w:lineRule="auto"/>
        <w:rPr>
          <w:rFonts w:ascii="Arial" w:hAnsi="Arial" w:cs="Arial"/>
        </w:rPr>
      </w:pPr>
    </w:p>
    <w:p w14:paraId="6613C056" w14:textId="77777777" w:rsidR="006403F7" w:rsidRPr="00C03A91" w:rsidRDefault="006403F7" w:rsidP="006403F7">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7A6B5F01" wp14:editId="0428A539">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C6937D" w14:textId="77777777" w:rsidR="006403F7" w:rsidRPr="00C03A91" w:rsidRDefault="006403F7" w:rsidP="006403F7">
      <w:pPr>
        <w:spacing w:line="360" w:lineRule="auto"/>
        <w:rPr>
          <w:rFonts w:ascii="Arial" w:hAnsi="Arial" w:cs="Arial"/>
        </w:rPr>
      </w:pPr>
    </w:p>
    <w:p w14:paraId="4314D9A2" w14:textId="77777777" w:rsidR="006403F7" w:rsidRPr="00C03A91" w:rsidRDefault="006403F7" w:rsidP="006403F7">
      <w:pPr>
        <w:spacing w:line="360" w:lineRule="auto"/>
        <w:rPr>
          <w:rFonts w:ascii="Arial" w:hAnsi="Arial" w:cs="Arial"/>
        </w:rPr>
      </w:pPr>
    </w:p>
    <w:p w14:paraId="11EDF0AC" w14:textId="77777777" w:rsidR="006403F7" w:rsidRPr="00C03A91" w:rsidRDefault="006403F7" w:rsidP="006403F7">
      <w:pPr>
        <w:spacing w:line="360" w:lineRule="auto"/>
        <w:rPr>
          <w:rFonts w:ascii="Arial" w:hAnsi="Arial" w:cs="Arial"/>
        </w:rPr>
      </w:pPr>
    </w:p>
    <w:p w14:paraId="7036C1A3" w14:textId="77777777" w:rsidR="006403F7" w:rsidRPr="00C03A91" w:rsidRDefault="006403F7" w:rsidP="006403F7">
      <w:pPr>
        <w:tabs>
          <w:tab w:val="left" w:pos="6540"/>
        </w:tabs>
        <w:spacing w:line="360" w:lineRule="auto"/>
        <w:rPr>
          <w:rFonts w:ascii="Arial" w:hAnsi="Arial" w:cs="Arial"/>
          <w:sz w:val="28"/>
          <w:szCs w:val="28"/>
        </w:rPr>
      </w:pPr>
    </w:p>
    <w:p w14:paraId="7FAF6B2B" w14:textId="77777777" w:rsidR="006403F7" w:rsidRPr="00766C1A" w:rsidRDefault="006403F7" w:rsidP="006403F7">
      <w:pPr>
        <w:tabs>
          <w:tab w:val="left" w:pos="6540"/>
        </w:tabs>
        <w:spacing w:line="360" w:lineRule="auto"/>
        <w:rPr>
          <w:rFonts w:ascii="Arial" w:hAnsi="Arial" w:cs="Arial"/>
          <w:sz w:val="28"/>
          <w:szCs w:val="28"/>
          <w:lang w:val="nl-NL"/>
        </w:rPr>
      </w:pPr>
      <w:r w:rsidRPr="00766C1A">
        <w:rPr>
          <w:rFonts w:ascii="Arial" w:hAnsi="Arial" w:cs="Arial"/>
          <w:b/>
          <w:bCs/>
          <w:sz w:val="28"/>
          <w:szCs w:val="28"/>
          <w:lang w:val="nl-NL"/>
        </w:rPr>
        <w:t>Student name</w:t>
      </w:r>
      <w:r w:rsidRPr="00766C1A">
        <w:rPr>
          <w:rFonts w:ascii="Arial" w:hAnsi="Arial" w:cs="Arial"/>
          <w:sz w:val="28"/>
          <w:szCs w:val="28"/>
          <w:lang w:val="nl-NL"/>
        </w:rPr>
        <w:t>:</w:t>
      </w:r>
      <w:r>
        <w:rPr>
          <w:rFonts w:ascii="Arial" w:hAnsi="Arial" w:cs="Arial"/>
          <w:sz w:val="28"/>
          <w:szCs w:val="28"/>
          <w:lang w:val="nl-NL"/>
        </w:rPr>
        <w:t xml:space="preserve"> </w:t>
      </w:r>
      <w:r w:rsidRPr="00766C1A">
        <w:rPr>
          <w:rFonts w:ascii="Arial" w:hAnsi="Arial" w:cs="Arial"/>
          <w:sz w:val="28"/>
          <w:szCs w:val="28"/>
          <w:lang w:val="nl-NL"/>
        </w:rPr>
        <w:t>EMMANUEL BABATUNDE OLUKOGA</w:t>
      </w:r>
    </w:p>
    <w:p w14:paraId="07AF52A0" w14:textId="77777777" w:rsidR="006403F7" w:rsidRPr="00766C1A" w:rsidRDefault="006403F7" w:rsidP="006403F7">
      <w:pPr>
        <w:tabs>
          <w:tab w:val="left" w:pos="6540"/>
        </w:tabs>
        <w:spacing w:line="360" w:lineRule="auto"/>
        <w:rPr>
          <w:rFonts w:ascii="Arial" w:hAnsi="Arial" w:cs="Arial"/>
          <w:sz w:val="28"/>
          <w:szCs w:val="28"/>
          <w:lang w:val="nl-NL"/>
        </w:rPr>
      </w:pPr>
      <w:r w:rsidRPr="00766C1A">
        <w:rPr>
          <w:rFonts w:ascii="Arial" w:hAnsi="Arial" w:cs="Arial"/>
          <w:b/>
          <w:bCs/>
          <w:sz w:val="28"/>
          <w:szCs w:val="28"/>
          <w:lang w:val="nl-NL"/>
        </w:rPr>
        <w:t>Student ID</w:t>
      </w:r>
      <w:r w:rsidRPr="00766C1A">
        <w:rPr>
          <w:rFonts w:ascii="Arial" w:hAnsi="Arial" w:cs="Arial"/>
          <w:sz w:val="28"/>
          <w:szCs w:val="28"/>
          <w:lang w:val="nl-NL"/>
        </w:rPr>
        <w:t xml:space="preserve">: </w:t>
      </w:r>
      <w:r>
        <w:rPr>
          <w:rFonts w:ascii="Arial" w:hAnsi="Arial" w:cs="Arial"/>
          <w:sz w:val="28"/>
          <w:szCs w:val="28"/>
          <w:lang w:val="nl-NL"/>
        </w:rPr>
        <w:t xml:space="preserve">      </w:t>
      </w:r>
      <w:r w:rsidRPr="00766C1A">
        <w:rPr>
          <w:rFonts w:ascii="Arial" w:hAnsi="Arial" w:cs="Arial"/>
          <w:sz w:val="28"/>
          <w:szCs w:val="28"/>
          <w:lang w:val="nl-NL"/>
        </w:rPr>
        <w:t>2415104</w:t>
      </w:r>
    </w:p>
    <w:p w14:paraId="6C017D4B" w14:textId="77777777" w:rsidR="006403F7" w:rsidRPr="00766C1A" w:rsidRDefault="006403F7" w:rsidP="006403F7">
      <w:pPr>
        <w:tabs>
          <w:tab w:val="left" w:pos="6540"/>
        </w:tabs>
        <w:spacing w:line="360" w:lineRule="auto"/>
        <w:rPr>
          <w:rFonts w:ascii="Arial" w:hAnsi="Arial" w:cs="Arial"/>
          <w:sz w:val="28"/>
          <w:szCs w:val="28"/>
          <w:lang w:val="nl-NL"/>
        </w:rPr>
      </w:pPr>
    </w:p>
    <w:p w14:paraId="103096CB" w14:textId="0710E218" w:rsidR="006403F7" w:rsidRPr="00766C1A" w:rsidRDefault="006403F7" w:rsidP="006403F7">
      <w:pPr>
        <w:tabs>
          <w:tab w:val="left" w:pos="6540"/>
        </w:tabs>
        <w:spacing w:line="360" w:lineRule="auto"/>
        <w:rPr>
          <w:rFonts w:ascii="Arial" w:hAnsi="Arial" w:cs="Arial"/>
          <w:b/>
          <w:bCs/>
          <w:sz w:val="28"/>
          <w:szCs w:val="28"/>
        </w:rPr>
      </w:pPr>
      <w:r w:rsidRPr="00766C1A">
        <w:rPr>
          <w:rFonts w:ascii="Arial" w:hAnsi="Arial" w:cs="Arial"/>
          <w:b/>
          <w:bCs/>
          <w:sz w:val="28"/>
          <w:szCs w:val="28"/>
          <w:lang w:val="nl-NL"/>
        </w:rPr>
        <w:t>Module name</w:t>
      </w:r>
      <w:r w:rsidRPr="00766C1A">
        <w:rPr>
          <w:rFonts w:ascii="Arial" w:hAnsi="Arial" w:cs="Arial"/>
          <w:sz w:val="28"/>
          <w:szCs w:val="28"/>
          <w:lang w:val="nl-NL"/>
        </w:rPr>
        <w:t xml:space="preserve">: </w:t>
      </w:r>
      <w:r>
        <w:rPr>
          <w:rFonts w:ascii="Arial" w:hAnsi="Arial" w:cs="Arial"/>
          <w:sz w:val="28"/>
          <w:szCs w:val="28"/>
        </w:rPr>
        <w:t>PRINCIPLE OF HEALTH AND SOCILA CARE</w:t>
      </w:r>
    </w:p>
    <w:p w14:paraId="331596A1" w14:textId="77777777" w:rsidR="006403F7" w:rsidRPr="00766C1A" w:rsidRDefault="006403F7" w:rsidP="006403F7">
      <w:pPr>
        <w:tabs>
          <w:tab w:val="left" w:pos="6540"/>
        </w:tabs>
        <w:spacing w:line="360" w:lineRule="auto"/>
        <w:rPr>
          <w:rFonts w:ascii="Arial" w:hAnsi="Arial" w:cs="Arial"/>
          <w:sz w:val="28"/>
          <w:szCs w:val="28"/>
        </w:rPr>
      </w:pPr>
    </w:p>
    <w:p w14:paraId="5E4070C2" w14:textId="77777777" w:rsidR="006403F7" w:rsidRPr="00766C1A" w:rsidRDefault="006403F7" w:rsidP="006403F7">
      <w:pPr>
        <w:tabs>
          <w:tab w:val="left" w:pos="6540"/>
        </w:tabs>
        <w:spacing w:line="360" w:lineRule="auto"/>
        <w:rPr>
          <w:rFonts w:ascii="Arial" w:hAnsi="Arial" w:cs="Arial"/>
          <w:sz w:val="28"/>
          <w:szCs w:val="28"/>
        </w:rPr>
      </w:pPr>
      <w:r w:rsidRPr="00766C1A">
        <w:rPr>
          <w:rFonts w:ascii="Arial" w:hAnsi="Arial" w:cs="Arial"/>
          <w:b/>
          <w:bCs/>
          <w:sz w:val="28"/>
          <w:szCs w:val="28"/>
        </w:rPr>
        <w:t>Module code</w:t>
      </w:r>
      <w:r w:rsidRPr="00766C1A">
        <w:rPr>
          <w:rFonts w:ascii="Arial" w:hAnsi="Arial" w:cs="Arial"/>
          <w:sz w:val="28"/>
          <w:szCs w:val="28"/>
        </w:rPr>
        <w:t xml:space="preserve">: </w:t>
      </w:r>
      <w:r w:rsidRPr="004D01EB">
        <w:rPr>
          <w:rFonts w:ascii="Arial" w:hAnsi="Arial" w:cs="Arial"/>
          <w:sz w:val="28"/>
          <w:szCs w:val="28"/>
        </w:rPr>
        <w:t>BMHP5016</w:t>
      </w:r>
    </w:p>
    <w:p w14:paraId="6932AD3F" w14:textId="77777777" w:rsidR="006403F7" w:rsidRPr="00766C1A" w:rsidRDefault="006403F7" w:rsidP="006403F7">
      <w:pPr>
        <w:tabs>
          <w:tab w:val="left" w:pos="6540"/>
        </w:tabs>
        <w:spacing w:line="360" w:lineRule="auto"/>
        <w:rPr>
          <w:rFonts w:ascii="Arial" w:hAnsi="Arial" w:cs="Arial"/>
          <w:sz w:val="28"/>
          <w:szCs w:val="28"/>
        </w:rPr>
      </w:pPr>
      <w:r w:rsidRPr="00766C1A">
        <w:rPr>
          <w:rFonts w:ascii="Arial" w:hAnsi="Arial" w:cs="Arial"/>
          <w:b/>
          <w:bCs/>
          <w:sz w:val="28"/>
          <w:szCs w:val="28"/>
        </w:rPr>
        <w:t>Lecturer name</w:t>
      </w:r>
      <w:r w:rsidRPr="00766C1A">
        <w:rPr>
          <w:rFonts w:ascii="Arial" w:hAnsi="Arial" w:cs="Arial"/>
          <w:sz w:val="28"/>
          <w:szCs w:val="28"/>
        </w:rPr>
        <w:t xml:space="preserve">: </w:t>
      </w:r>
      <w:r w:rsidRPr="009E6814">
        <w:rPr>
          <w:rFonts w:ascii="Arial" w:hAnsi="Arial" w:cs="Arial"/>
          <w:sz w:val="28"/>
          <w:szCs w:val="28"/>
        </w:rPr>
        <w:t>M</w:t>
      </w:r>
      <w:r>
        <w:rPr>
          <w:rFonts w:ascii="Arial" w:hAnsi="Arial" w:cs="Arial"/>
          <w:sz w:val="28"/>
          <w:szCs w:val="28"/>
        </w:rPr>
        <w:t>ARK</w:t>
      </w:r>
      <w:r w:rsidRPr="009E6814">
        <w:rPr>
          <w:rFonts w:ascii="Arial" w:hAnsi="Arial" w:cs="Arial"/>
          <w:sz w:val="28"/>
          <w:szCs w:val="28"/>
        </w:rPr>
        <w:t xml:space="preserve"> K</w:t>
      </w:r>
      <w:r>
        <w:rPr>
          <w:rFonts w:ascii="Arial" w:hAnsi="Arial" w:cs="Arial"/>
          <w:sz w:val="28"/>
          <w:szCs w:val="28"/>
        </w:rPr>
        <w:t>ANE</w:t>
      </w:r>
    </w:p>
    <w:p w14:paraId="582D43DE" w14:textId="77777777" w:rsidR="006403F7" w:rsidRPr="00766C1A" w:rsidRDefault="006403F7" w:rsidP="006403F7">
      <w:pPr>
        <w:tabs>
          <w:tab w:val="left" w:pos="6540"/>
        </w:tabs>
        <w:spacing w:line="360" w:lineRule="auto"/>
        <w:rPr>
          <w:rFonts w:ascii="Arial" w:hAnsi="Arial" w:cs="Arial"/>
          <w:b/>
          <w:bCs/>
          <w:sz w:val="28"/>
          <w:szCs w:val="28"/>
        </w:rPr>
      </w:pPr>
    </w:p>
    <w:p w14:paraId="5B9190C3" w14:textId="536BC03F" w:rsidR="006403F7" w:rsidRPr="0003171C" w:rsidRDefault="006403F7" w:rsidP="006403F7">
      <w:pPr>
        <w:tabs>
          <w:tab w:val="left" w:pos="6540"/>
        </w:tabs>
        <w:spacing w:line="360" w:lineRule="auto"/>
        <w:rPr>
          <w:rFonts w:ascii="Arial" w:hAnsi="Arial" w:cs="Arial"/>
          <w:b/>
          <w:bCs/>
          <w:sz w:val="28"/>
          <w:szCs w:val="28"/>
        </w:rPr>
      </w:pPr>
      <w:r w:rsidRPr="00766C1A">
        <w:rPr>
          <w:rFonts w:ascii="Arial" w:hAnsi="Arial" w:cs="Arial"/>
          <w:b/>
          <w:bCs/>
          <w:sz w:val="28"/>
          <w:szCs w:val="28"/>
        </w:rPr>
        <w:t xml:space="preserve">Assessment: </w:t>
      </w:r>
      <w:r w:rsidRPr="00E103CF">
        <w:rPr>
          <w:rFonts w:ascii="Arial" w:hAnsi="Arial" w:cs="Arial"/>
          <w:sz w:val="28"/>
          <w:szCs w:val="28"/>
        </w:rPr>
        <w:t xml:space="preserve">WRITTEN ASSIGNMENT </w:t>
      </w:r>
      <w:proofErr w:type="gramStart"/>
      <w:r w:rsidRPr="00E103CF">
        <w:rPr>
          <w:rFonts w:ascii="Arial" w:hAnsi="Arial" w:cs="Arial"/>
          <w:sz w:val="28"/>
          <w:szCs w:val="28"/>
        </w:rPr>
        <w:t>(</w:t>
      </w:r>
      <w:r w:rsidR="00A132C5" w:rsidRPr="00A132C5">
        <w:rPr>
          <w:rFonts w:ascii="Arial" w:hAnsi="Arial" w:cs="Arial"/>
          <w:sz w:val="28"/>
          <w:szCs w:val="28"/>
        </w:rPr>
        <w:t xml:space="preserve"> A</w:t>
      </w:r>
      <w:proofErr w:type="gramEnd"/>
      <w:r w:rsidR="00A132C5" w:rsidRPr="00A132C5">
        <w:rPr>
          <w:rFonts w:ascii="Arial" w:hAnsi="Arial" w:cs="Arial"/>
          <w:sz w:val="28"/>
          <w:szCs w:val="28"/>
        </w:rPr>
        <w:t xml:space="preserve"> Critical Analysis of </w:t>
      </w:r>
      <w:r w:rsidR="00A132C5">
        <w:rPr>
          <w:rFonts w:ascii="Arial" w:hAnsi="Arial" w:cs="Arial"/>
          <w:sz w:val="28"/>
          <w:szCs w:val="28"/>
        </w:rPr>
        <w:t xml:space="preserve">Human Right Approach </w:t>
      </w:r>
      <w:r w:rsidR="00A132C5" w:rsidRPr="00A132C5">
        <w:rPr>
          <w:rFonts w:ascii="Arial" w:hAnsi="Arial" w:cs="Arial"/>
          <w:sz w:val="28"/>
          <w:szCs w:val="28"/>
        </w:rPr>
        <w:t>for Person-</w:t>
      </w:r>
      <w:proofErr w:type="spellStart"/>
      <w:r w:rsidR="00A132C5" w:rsidRPr="00A132C5">
        <w:rPr>
          <w:rFonts w:ascii="Arial" w:hAnsi="Arial" w:cs="Arial"/>
          <w:sz w:val="28"/>
          <w:szCs w:val="28"/>
        </w:rPr>
        <w:t>Centred</w:t>
      </w:r>
      <w:proofErr w:type="spellEnd"/>
      <w:r w:rsidRPr="0003171C">
        <w:rPr>
          <w:rFonts w:ascii="Arial" w:hAnsi="Arial" w:cs="Arial"/>
          <w:sz w:val="28"/>
          <w:szCs w:val="28"/>
        </w:rPr>
        <w:t>)</w:t>
      </w:r>
    </w:p>
    <w:p w14:paraId="40199D29" w14:textId="06DA8C12" w:rsidR="006403F7" w:rsidRPr="006403F7" w:rsidRDefault="006403F7" w:rsidP="006403F7"/>
    <w:p w14:paraId="46501D81" w14:textId="77777777" w:rsidR="006403F7" w:rsidRDefault="006403F7" w:rsidP="006403F7">
      <w:pPr>
        <w:rPr>
          <w:rFonts w:ascii="Arial" w:hAnsi="Arial" w:cs="Arial"/>
          <w:b/>
          <w:bCs/>
        </w:rPr>
      </w:pPr>
    </w:p>
    <w:p w14:paraId="383BDA3D" w14:textId="77777777" w:rsidR="006403F7" w:rsidRDefault="006403F7" w:rsidP="006403F7">
      <w:pPr>
        <w:rPr>
          <w:rFonts w:ascii="Arial" w:hAnsi="Arial" w:cs="Arial"/>
          <w:b/>
          <w:bCs/>
        </w:rPr>
      </w:pPr>
    </w:p>
    <w:p w14:paraId="3138927C" w14:textId="77777777" w:rsidR="006403F7" w:rsidRDefault="006403F7" w:rsidP="006403F7">
      <w:pPr>
        <w:rPr>
          <w:rFonts w:ascii="Arial" w:hAnsi="Arial" w:cs="Arial"/>
          <w:b/>
          <w:bCs/>
        </w:rPr>
      </w:pPr>
    </w:p>
    <w:p w14:paraId="76DD713D" w14:textId="77777777" w:rsidR="006403F7" w:rsidRDefault="006403F7" w:rsidP="006403F7">
      <w:pPr>
        <w:rPr>
          <w:rFonts w:ascii="Arial" w:hAnsi="Arial" w:cs="Arial"/>
          <w:b/>
          <w:bCs/>
        </w:rPr>
      </w:pPr>
    </w:p>
    <w:p w14:paraId="584A6B3E" w14:textId="77777777" w:rsidR="006403F7" w:rsidRDefault="006403F7" w:rsidP="006403F7">
      <w:pPr>
        <w:rPr>
          <w:rFonts w:ascii="Arial" w:hAnsi="Arial" w:cs="Arial"/>
          <w:b/>
          <w:bCs/>
        </w:rPr>
      </w:pPr>
    </w:p>
    <w:p w14:paraId="5404B74B" w14:textId="77777777" w:rsidR="006403F7" w:rsidRDefault="006403F7" w:rsidP="006403F7">
      <w:pPr>
        <w:rPr>
          <w:rFonts w:ascii="Arial" w:hAnsi="Arial" w:cs="Arial"/>
          <w:b/>
          <w:bCs/>
        </w:rPr>
      </w:pPr>
    </w:p>
    <w:p w14:paraId="4A86A122" w14:textId="77777777" w:rsidR="006403F7" w:rsidRDefault="006403F7" w:rsidP="006403F7">
      <w:pPr>
        <w:rPr>
          <w:rFonts w:ascii="Arial" w:hAnsi="Arial" w:cs="Arial"/>
          <w:b/>
          <w:bCs/>
        </w:rPr>
      </w:pPr>
    </w:p>
    <w:p w14:paraId="31AF04D0" w14:textId="76703AA4" w:rsidR="006403F7" w:rsidRPr="006403F7" w:rsidRDefault="006403F7" w:rsidP="006403F7">
      <w:pPr>
        <w:rPr>
          <w:rFonts w:ascii="Arial" w:hAnsi="Arial" w:cs="Arial"/>
        </w:rPr>
      </w:pPr>
      <w:r w:rsidRPr="006403F7">
        <w:rPr>
          <w:rFonts w:ascii="Arial" w:hAnsi="Arial" w:cs="Arial"/>
          <w:b/>
          <w:bCs/>
        </w:rPr>
        <w:t>Introduction</w:t>
      </w:r>
    </w:p>
    <w:p w14:paraId="0BDCA1C8" w14:textId="77777777" w:rsidR="009E3DD6" w:rsidRPr="009E3DD6" w:rsidRDefault="006403F7" w:rsidP="009E3DD6">
      <w:pPr>
        <w:rPr>
          <w:rFonts w:ascii="Arial" w:hAnsi="Arial" w:cs="Arial"/>
        </w:rPr>
      </w:pPr>
      <w:r w:rsidRPr="006403F7">
        <w:rPr>
          <w:rFonts w:ascii="Arial" w:hAnsi="Arial" w:cs="Arial"/>
        </w:rPr>
        <w:t xml:space="preserve">The Human Rights Approach has become an increasingly influential framework within contemporary health and social care, particularly in the United Kingdom, where policy, legislation and professional standards </w:t>
      </w:r>
      <w:proofErr w:type="spellStart"/>
      <w:r w:rsidRPr="006403F7">
        <w:rPr>
          <w:rFonts w:ascii="Arial" w:hAnsi="Arial" w:cs="Arial"/>
        </w:rPr>
        <w:t>emphasise</w:t>
      </w:r>
      <w:proofErr w:type="spellEnd"/>
      <w:r w:rsidRPr="006403F7">
        <w:rPr>
          <w:rFonts w:ascii="Arial" w:hAnsi="Arial" w:cs="Arial"/>
        </w:rPr>
        <w:t xml:space="preserve"> dignity, equality, autonomy and participation. As person</w:t>
      </w:r>
      <w:r w:rsidRPr="006403F7">
        <w:rPr>
          <w:rFonts w:ascii="Arial" w:hAnsi="Arial" w:cs="Arial"/>
        </w:rPr>
        <w:noBreakHyphen/>
      </w:r>
      <w:proofErr w:type="spellStart"/>
      <w:r w:rsidRPr="006403F7">
        <w:rPr>
          <w:rFonts w:ascii="Arial" w:hAnsi="Arial" w:cs="Arial"/>
        </w:rPr>
        <w:t>centred</w:t>
      </w:r>
      <w:proofErr w:type="spellEnd"/>
      <w:r w:rsidRPr="006403F7">
        <w:rPr>
          <w:rFonts w:ascii="Arial" w:hAnsi="Arial" w:cs="Arial"/>
        </w:rPr>
        <w:t xml:space="preserve"> care has evolved into a defining principle of modern practice, the Human Rights Approach offers a compelling theoretical foundation that aligns closely with these values. Rooted in international human rights law and informed by social justice movements, this approach positions individuals not as passive recipients of care but as rights</w:t>
      </w:r>
      <w:r w:rsidRPr="006403F7">
        <w:rPr>
          <w:rFonts w:ascii="Arial" w:hAnsi="Arial" w:cs="Arial"/>
        </w:rPr>
        <w:noBreakHyphen/>
        <w:t>holders whose freedoms, choices and wellbeing must be actively protected. This essay critically examines the Human Rights Approach as a concept underpinning person</w:t>
      </w:r>
      <w:r w:rsidRPr="006403F7">
        <w:rPr>
          <w:rFonts w:ascii="Arial" w:hAnsi="Arial" w:cs="Arial"/>
        </w:rPr>
        <w:noBreakHyphen/>
      </w:r>
      <w:proofErr w:type="spellStart"/>
      <w:r w:rsidRPr="006403F7">
        <w:rPr>
          <w:rFonts w:ascii="Arial" w:hAnsi="Arial" w:cs="Arial"/>
        </w:rPr>
        <w:t>centred</w:t>
      </w:r>
      <w:proofErr w:type="spellEnd"/>
      <w:r w:rsidRPr="006403F7">
        <w:rPr>
          <w:rFonts w:ascii="Arial" w:hAnsi="Arial" w:cs="Arial"/>
        </w:rPr>
        <w:t xml:space="preserve"> care. It begins by outlining the emergence and development of the approach, exploring its philosophical foundations, evolution and the critiques levelled against it, along with responses to these critiques. It then analyses how the Human Rights Approach has been applied within UK health and social care policy and practice, highlighting both its contributions and the challenges involved. </w:t>
      </w:r>
      <w:r w:rsidR="009E3DD6" w:rsidRPr="009E3DD6">
        <w:rPr>
          <w:rFonts w:ascii="Arial" w:hAnsi="Arial" w:cs="Arial"/>
        </w:rPr>
        <w:t>The last part of the essay talks about ways to make it easier for human rights concepts to be used in policy and practice. It ends with some thoughts on how useful the Human Rights Approach is for modern care systems.</w:t>
      </w:r>
    </w:p>
    <w:p w14:paraId="22586E04" w14:textId="2A372649" w:rsidR="006403F7" w:rsidRPr="006403F7" w:rsidRDefault="006403F7" w:rsidP="006403F7">
      <w:pPr>
        <w:rPr>
          <w:rFonts w:ascii="Arial" w:hAnsi="Arial" w:cs="Arial"/>
        </w:rPr>
      </w:pPr>
    </w:p>
    <w:p w14:paraId="358149C0" w14:textId="77777777" w:rsidR="006403F7" w:rsidRPr="006403F7" w:rsidRDefault="006403F7" w:rsidP="006403F7">
      <w:pPr>
        <w:rPr>
          <w:rFonts w:ascii="Arial" w:hAnsi="Arial" w:cs="Arial"/>
        </w:rPr>
      </w:pPr>
      <w:r w:rsidRPr="006403F7">
        <w:rPr>
          <w:rFonts w:ascii="Arial" w:hAnsi="Arial" w:cs="Arial"/>
          <w:b/>
          <w:bCs/>
        </w:rPr>
        <w:t>Emergence and Development of the Human Rights Approach</w:t>
      </w:r>
    </w:p>
    <w:p w14:paraId="26724F00" w14:textId="77777777" w:rsidR="009E3DD6" w:rsidRPr="009E3DD6" w:rsidRDefault="009E3DD6" w:rsidP="009E3DD6">
      <w:pPr>
        <w:rPr>
          <w:rFonts w:ascii="Arial" w:hAnsi="Arial" w:cs="Arial"/>
        </w:rPr>
      </w:pPr>
      <w:r w:rsidRPr="009E3DD6">
        <w:rPr>
          <w:rFonts w:ascii="Arial" w:hAnsi="Arial" w:cs="Arial"/>
        </w:rPr>
        <w:t>The Human Rights Approach arose from the larger international human rights movement that gained traction during World War II, culminating in the Universal Declaration of Human Rights (1948). This worldwide framework established the notion that all individuals have inherent rights, which must be respected and protected by governments and institutions. Human rights discourse has evolved beyond civil and political rights to include economic, social, and cultural rights, such as the right to health, appropriate living conditions, and freedom from degrading treatment. In the United Kingdom, the Human Rights Act of 1998 represented a watershed moment by merging the European Convention on Human Rights (ECHR) into domestic law, allowing individuals to sue public organizations for rights infringement. This legislative move established the groundwork for incorporating human rights ideas into health and social care settings.</w:t>
      </w:r>
    </w:p>
    <w:p w14:paraId="0F5573CB" w14:textId="77777777" w:rsidR="006403F7" w:rsidRPr="006403F7" w:rsidRDefault="006403F7" w:rsidP="006403F7">
      <w:pPr>
        <w:rPr>
          <w:rFonts w:ascii="Arial" w:hAnsi="Arial" w:cs="Arial"/>
        </w:rPr>
      </w:pPr>
      <w:r w:rsidRPr="006403F7">
        <w:rPr>
          <w:rFonts w:ascii="Arial" w:hAnsi="Arial" w:cs="Arial"/>
        </w:rPr>
        <w:t xml:space="preserve">The Human Rights Approach developed further through the work of scholars and </w:t>
      </w:r>
      <w:proofErr w:type="spellStart"/>
      <w:r w:rsidRPr="006403F7">
        <w:rPr>
          <w:rFonts w:ascii="Arial" w:hAnsi="Arial" w:cs="Arial"/>
        </w:rPr>
        <w:t>organisations</w:t>
      </w:r>
      <w:proofErr w:type="spellEnd"/>
      <w:r w:rsidRPr="006403F7">
        <w:rPr>
          <w:rFonts w:ascii="Arial" w:hAnsi="Arial" w:cs="Arial"/>
        </w:rPr>
        <w:t xml:space="preserve"> advocating for rights</w:t>
      </w:r>
      <w:r w:rsidRPr="006403F7">
        <w:rPr>
          <w:rFonts w:ascii="Arial" w:hAnsi="Arial" w:cs="Arial"/>
        </w:rPr>
        <w:noBreakHyphen/>
        <w:t xml:space="preserve">based practice. Early contributions </w:t>
      </w:r>
      <w:proofErr w:type="spellStart"/>
      <w:r w:rsidRPr="006403F7">
        <w:rPr>
          <w:rFonts w:ascii="Arial" w:hAnsi="Arial" w:cs="Arial"/>
        </w:rPr>
        <w:t>emphasised</w:t>
      </w:r>
      <w:proofErr w:type="spellEnd"/>
      <w:r w:rsidRPr="006403F7">
        <w:rPr>
          <w:rFonts w:ascii="Arial" w:hAnsi="Arial" w:cs="Arial"/>
        </w:rPr>
        <w:t xml:space="preserve"> the need to move beyond paternalistic models of care and </w:t>
      </w:r>
      <w:proofErr w:type="spellStart"/>
      <w:r w:rsidRPr="006403F7">
        <w:rPr>
          <w:rFonts w:ascii="Arial" w:hAnsi="Arial" w:cs="Arial"/>
        </w:rPr>
        <w:t>recognise</w:t>
      </w:r>
      <w:proofErr w:type="spellEnd"/>
      <w:r w:rsidRPr="006403F7">
        <w:rPr>
          <w:rFonts w:ascii="Arial" w:hAnsi="Arial" w:cs="Arial"/>
        </w:rPr>
        <w:t xml:space="preserve"> individuals as active agents with legal entitlements. The British Institute of Human Rights (BIHR) played a </w:t>
      </w:r>
      <w:r w:rsidRPr="006403F7">
        <w:rPr>
          <w:rFonts w:ascii="Arial" w:hAnsi="Arial" w:cs="Arial"/>
        </w:rPr>
        <w:lastRenderedPageBreak/>
        <w:t>key role in promoting rights</w:t>
      </w:r>
      <w:r w:rsidRPr="006403F7">
        <w:rPr>
          <w:rFonts w:ascii="Arial" w:hAnsi="Arial" w:cs="Arial"/>
        </w:rPr>
        <w:noBreakHyphen/>
        <w:t>based approaches within public services, arguing that human rights provide a practical framework for improving care quality, safeguarding dignity and addressing inequalities (BIHR, 2022). Academic literature also expanded, with authors such as Tasioulas (2022) and Gilson (2023) highlighting the moral and political significance of human rights in shaping ethical care practices.</w:t>
      </w:r>
    </w:p>
    <w:p w14:paraId="5C47FCB3" w14:textId="410DF49A" w:rsidR="006403F7" w:rsidRPr="006403F7" w:rsidRDefault="009E3DD6" w:rsidP="006403F7">
      <w:pPr>
        <w:rPr>
          <w:rFonts w:ascii="Arial" w:hAnsi="Arial" w:cs="Arial"/>
        </w:rPr>
      </w:pPr>
      <w:r w:rsidRPr="009E3DD6">
        <w:rPr>
          <w:rFonts w:ascii="Arial" w:hAnsi="Arial" w:cs="Arial"/>
        </w:rPr>
        <w:t>In the past few years, the Human Rights Approach has changed to include social justice, diversity, and practices that fight oppression.</w:t>
      </w:r>
      <w:r>
        <w:rPr>
          <w:rFonts w:ascii="Arial" w:hAnsi="Arial" w:cs="Arial"/>
        </w:rPr>
        <w:t xml:space="preserve"> </w:t>
      </w:r>
      <w:r w:rsidR="006403F7" w:rsidRPr="006403F7">
        <w:rPr>
          <w:rFonts w:ascii="Arial" w:hAnsi="Arial" w:cs="Arial"/>
        </w:rPr>
        <w:t xml:space="preserve">Scholars such as Fredman (2022) argue that human rights must address structural inequalities related to race, gender, disability and socioeconomic status. This aligns with contemporary movements within health and social care that </w:t>
      </w:r>
      <w:proofErr w:type="spellStart"/>
      <w:r w:rsidR="006403F7" w:rsidRPr="006403F7">
        <w:rPr>
          <w:rFonts w:ascii="Arial" w:hAnsi="Arial" w:cs="Arial"/>
        </w:rPr>
        <w:t>emphasise</w:t>
      </w:r>
      <w:proofErr w:type="spellEnd"/>
      <w:r w:rsidR="006403F7" w:rsidRPr="006403F7">
        <w:rPr>
          <w:rFonts w:ascii="Arial" w:hAnsi="Arial" w:cs="Arial"/>
        </w:rPr>
        <w:t xml:space="preserve"> equity, inclusion and culturally competent practice. The COVID</w:t>
      </w:r>
      <w:r w:rsidR="006403F7" w:rsidRPr="006403F7">
        <w:rPr>
          <w:rFonts w:ascii="Arial" w:hAnsi="Arial" w:cs="Arial"/>
        </w:rPr>
        <w:noBreakHyphen/>
        <w:t xml:space="preserve">19 pandemic further accelerated interest in human rights, exposing systemic inequalities and raising concerns about the disproportionate impact on </w:t>
      </w:r>
      <w:proofErr w:type="spellStart"/>
      <w:r w:rsidR="006403F7" w:rsidRPr="006403F7">
        <w:rPr>
          <w:rFonts w:ascii="Arial" w:hAnsi="Arial" w:cs="Arial"/>
        </w:rPr>
        <w:t>marginalised</w:t>
      </w:r>
      <w:proofErr w:type="spellEnd"/>
      <w:r w:rsidR="006403F7" w:rsidRPr="006403F7">
        <w:rPr>
          <w:rFonts w:ascii="Arial" w:hAnsi="Arial" w:cs="Arial"/>
        </w:rPr>
        <w:t xml:space="preserve"> groups. Studies such as Clift et al. (2022) highlight how rights</w:t>
      </w:r>
      <w:r w:rsidR="006403F7" w:rsidRPr="006403F7">
        <w:rPr>
          <w:rFonts w:ascii="Arial" w:hAnsi="Arial" w:cs="Arial"/>
        </w:rPr>
        <w:noBreakHyphen/>
        <w:t>based frameworks are essential for ensuring accountability, transparency and fairness in public health responses.</w:t>
      </w:r>
    </w:p>
    <w:p w14:paraId="50B64395" w14:textId="77777777" w:rsidR="006403F7" w:rsidRPr="006403F7" w:rsidRDefault="006403F7" w:rsidP="006403F7">
      <w:pPr>
        <w:rPr>
          <w:rFonts w:ascii="Arial" w:hAnsi="Arial" w:cs="Arial"/>
        </w:rPr>
      </w:pPr>
      <w:r w:rsidRPr="006403F7">
        <w:rPr>
          <w:rFonts w:ascii="Arial" w:hAnsi="Arial" w:cs="Arial"/>
          <w:b/>
          <w:bCs/>
        </w:rPr>
        <w:t>Critiques of the Human Rights Approach and Responses</w:t>
      </w:r>
    </w:p>
    <w:p w14:paraId="7B4B7BD3" w14:textId="77777777" w:rsidR="006403F7" w:rsidRPr="006403F7" w:rsidRDefault="006403F7" w:rsidP="006403F7">
      <w:pPr>
        <w:rPr>
          <w:rFonts w:ascii="Arial" w:hAnsi="Arial" w:cs="Arial"/>
        </w:rPr>
      </w:pPr>
      <w:r w:rsidRPr="006403F7">
        <w:rPr>
          <w:rFonts w:ascii="Arial" w:hAnsi="Arial" w:cs="Arial"/>
        </w:rPr>
        <w:t>Despite its influence, the Human Rights Approach has faced several critiques. One major critique concerns its perceived legalism and abstraction. Critics argue that human rights frameworks can be overly legalistic, focusing on compliance rather than relational, compassionate care. Some practitioners feel that rights language is too formal or adversarial, potentially creating tension between professionals and service users. Authors such as Cowan (2022) suggest that rights</w:t>
      </w:r>
      <w:r w:rsidRPr="006403F7">
        <w:rPr>
          <w:rFonts w:ascii="Arial" w:hAnsi="Arial" w:cs="Arial"/>
        </w:rPr>
        <w:noBreakHyphen/>
        <w:t>based approaches risk reducing care to a set of legal obligations rather than fostering genuine human connection.</w:t>
      </w:r>
    </w:p>
    <w:p w14:paraId="19DA3F8C" w14:textId="77777777" w:rsidR="006403F7" w:rsidRPr="006403F7" w:rsidRDefault="006403F7" w:rsidP="006403F7">
      <w:pPr>
        <w:rPr>
          <w:rFonts w:ascii="Arial" w:hAnsi="Arial" w:cs="Arial"/>
        </w:rPr>
      </w:pPr>
      <w:r w:rsidRPr="006403F7">
        <w:rPr>
          <w:rFonts w:ascii="Arial" w:hAnsi="Arial" w:cs="Arial"/>
        </w:rPr>
        <w:t>Another critique concerns the universality of human rights. Some scholars argue that universal rights frameworks may overlook cultural differences and impose Western values on diverse communities. This critique is particularly relevant in multicultural societies such as the UK, where care practices must be sensitive to cultural norms, religious beliefs and community values. Intersectional scholars such as Bhambra (2023) argue that human rights must be adapted to reflect diverse lived experiences and avoid reproducing colonial assumptions.</w:t>
      </w:r>
    </w:p>
    <w:p w14:paraId="64C494EE" w14:textId="370E8868" w:rsidR="006403F7" w:rsidRPr="006403F7" w:rsidRDefault="009E3DD6" w:rsidP="006403F7">
      <w:pPr>
        <w:rPr>
          <w:rFonts w:ascii="Arial" w:hAnsi="Arial" w:cs="Arial"/>
        </w:rPr>
      </w:pPr>
      <w:r w:rsidRPr="009E3DD6">
        <w:rPr>
          <w:rFonts w:ascii="Arial" w:hAnsi="Arial" w:cs="Arial"/>
        </w:rPr>
        <w:t>Another criticism has to do with how individualistic human rights are seen to be. Some people say that rights-based methods might put people's freedom ahead of the well-being of the group or the interdependence between people in relationships.</w:t>
      </w:r>
      <w:r>
        <w:rPr>
          <w:rFonts w:ascii="Arial" w:hAnsi="Arial" w:cs="Arial"/>
        </w:rPr>
        <w:t xml:space="preserve"> </w:t>
      </w:r>
      <w:r w:rsidR="006403F7" w:rsidRPr="006403F7">
        <w:rPr>
          <w:rFonts w:ascii="Arial" w:hAnsi="Arial" w:cs="Arial"/>
        </w:rPr>
        <w:t>This tension is particularly evident in mental health, safeguarding and public health contexts, where individual rights may conflict with professional responsibilities or community safety. Authors such as Dunn et al. (2022) highlight the challenges of balancing autonomy with protection, especially when individuals lack capacity or face significant vulnerability.</w:t>
      </w:r>
    </w:p>
    <w:p w14:paraId="64925BB4" w14:textId="7E75678A" w:rsidR="006403F7" w:rsidRPr="006403F7" w:rsidRDefault="006403F7" w:rsidP="006403F7">
      <w:pPr>
        <w:rPr>
          <w:rFonts w:ascii="Arial" w:hAnsi="Arial" w:cs="Arial"/>
        </w:rPr>
      </w:pPr>
      <w:r w:rsidRPr="006403F7">
        <w:rPr>
          <w:rFonts w:ascii="Arial" w:hAnsi="Arial" w:cs="Arial"/>
        </w:rPr>
        <w:lastRenderedPageBreak/>
        <w:t>Finally, some critics argue that human rights frameworks lack practical guidance for frontline practitioners. While the principles are clear, applying them in complex, resource</w:t>
      </w:r>
      <w:r w:rsidR="008A3269">
        <w:rPr>
          <w:rFonts w:ascii="Arial" w:hAnsi="Arial" w:cs="Arial"/>
        </w:rPr>
        <w:t xml:space="preserve"> </w:t>
      </w:r>
      <w:r w:rsidRPr="006403F7">
        <w:rPr>
          <w:rFonts w:ascii="Arial" w:hAnsi="Arial" w:cs="Arial"/>
        </w:rPr>
        <w:t xml:space="preserve">constrained environments can be challenging. Practitioners may struggle to translate abstract rights into everyday decisions, particularly when </w:t>
      </w:r>
      <w:proofErr w:type="spellStart"/>
      <w:r w:rsidRPr="006403F7">
        <w:rPr>
          <w:rFonts w:ascii="Arial" w:hAnsi="Arial" w:cs="Arial"/>
        </w:rPr>
        <w:t>organisational</w:t>
      </w:r>
      <w:proofErr w:type="spellEnd"/>
      <w:r w:rsidRPr="006403F7">
        <w:rPr>
          <w:rFonts w:ascii="Arial" w:hAnsi="Arial" w:cs="Arial"/>
        </w:rPr>
        <w:t xml:space="preserve"> pressures </w:t>
      </w:r>
      <w:proofErr w:type="spellStart"/>
      <w:r w:rsidRPr="006403F7">
        <w:rPr>
          <w:rFonts w:ascii="Arial" w:hAnsi="Arial" w:cs="Arial"/>
        </w:rPr>
        <w:t>prioritise</w:t>
      </w:r>
      <w:proofErr w:type="spellEnd"/>
      <w:r w:rsidRPr="006403F7">
        <w:rPr>
          <w:rFonts w:ascii="Arial" w:hAnsi="Arial" w:cs="Arial"/>
        </w:rPr>
        <w:t xml:space="preserve"> efficiency over </w:t>
      </w:r>
      <w:proofErr w:type="spellStart"/>
      <w:r w:rsidRPr="006403F7">
        <w:rPr>
          <w:rFonts w:ascii="Arial" w:hAnsi="Arial" w:cs="Arial"/>
        </w:rPr>
        <w:t>personalised</w:t>
      </w:r>
      <w:proofErr w:type="spellEnd"/>
      <w:r w:rsidRPr="006403F7">
        <w:rPr>
          <w:rFonts w:ascii="Arial" w:hAnsi="Arial" w:cs="Arial"/>
        </w:rPr>
        <w:t xml:space="preserve"> care.</w:t>
      </w:r>
    </w:p>
    <w:p w14:paraId="5DD50226" w14:textId="7EA6F3E5" w:rsidR="006403F7" w:rsidRPr="006403F7" w:rsidRDefault="006403F7" w:rsidP="006403F7">
      <w:pPr>
        <w:rPr>
          <w:rFonts w:ascii="Arial" w:hAnsi="Arial" w:cs="Arial"/>
        </w:rPr>
      </w:pPr>
      <w:r w:rsidRPr="006403F7">
        <w:rPr>
          <w:rFonts w:ascii="Arial" w:hAnsi="Arial" w:cs="Arial"/>
        </w:rPr>
        <w:t xml:space="preserve">In response to these critiques, contemporary human rights scholarship </w:t>
      </w:r>
      <w:proofErr w:type="spellStart"/>
      <w:r w:rsidRPr="006403F7">
        <w:rPr>
          <w:rFonts w:ascii="Arial" w:hAnsi="Arial" w:cs="Arial"/>
        </w:rPr>
        <w:t>emphasises</w:t>
      </w:r>
      <w:proofErr w:type="spellEnd"/>
      <w:r w:rsidRPr="006403F7">
        <w:rPr>
          <w:rFonts w:ascii="Arial" w:hAnsi="Arial" w:cs="Arial"/>
        </w:rPr>
        <w:t xml:space="preserve"> relational, contextual and participatory approaches. Rather than viewing human rights as purely legal obligations, modern interpretations highlight their role in promoting dignity, respect and empowerment. The BIHR (2022) argues that human rights can enhance</w:t>
      </w:r>
      <w:r w:rsidR="008A3269">
        <w:rPr>
          <w:rFonts w:ascii="Arial" w:hAnsi="Arial" w:cs="Arial"/>
        </w:rPr>
        <w:t xml:space="preserve">, </w:t>
      </w:r>
      <w:r w:rsidRPr="006403F7">
        <w:rPr>
          <w:rFonts w:ascii="Arial" w:hAnsi="Arial" w:cs="Arial"/>
        </w:rPr>
        <w:t>not replace</w:t>
      </w:r>
      <w:r w:rsidR="008A3269">
        <w:rPr>
          <w:rFonts w:ascii="Arial" w:hAnsi="Arial" w:cs="Arial"/>
        </w:rPr>
        <w:t xml:space="preserve">, </w:t>
      </w:r>
      <w:r w:rsidRPr="006403F7">
        <w:rPr>
          <w:rFonts w:ascii="Arial" w:hAnsi="Arial" w:cs="Arial"/>
        </w:rPr>
        <w:t>compassionate, person</w:t>
      </w:r>
      <w:r w:rsidRPr="006403F7">
        <w:rPr>
          <w:rFonts w:ascii="Arial" w:hAnsi="Arial" w:cs="Arial"/>
        </w:rPr>
        <w:noBreakHyphen/>
      </w:r>
      <w:proofErr w:type="spellStart"/>
      <w:r w:rsidRPr="006403F7">
        <w:rPr>
          <w:rFonts w:ascii="Arial" w:hAnsi="Arial" w:cs="Arial"/>
        </w:rPr>
        <w:t>centred</w:t>
      </w:r>
      <w:proofErr w:type="spellEnd"/>
      <w:r w:rsidRPr="006403F7">
        <w:rPr>
          <w:rFonts w:ascii="Arial" w:hAnsi="Arial" w:cs="Arial"/>
        </w:rPr>
        <w:t xml:space="preserve"> practice by providing a shared ethical foundation. Intersectional scholars </w:t>
      </w:r>
      <w:proofErr w:type="spellStart"/>
      <w:r w:rsidRPr="006403F7">
        <w:rPr>
          <w:rFonts w:ascii="Arial" w:hAnsi="Arial" w:cs="Arial"/>
        </w:rPr>
        <w:t>emphasise</w:t>
      </w:r>
      <w:proofErr w:type="spellEnd"/>
      <w:r w:rsidRPr="006403F7">
        <w:rPr>
          <w:rFonts w:ascii="Arial" w:hAnsi="Arial" w:cs="Arial"/>
        </w:rPr>
        <w:t xml:space="preserve"> the need to adapt human rights frameworks to diverse cultural contexts, ensuring they remain inclusive and responsive. Meanwhile, practical toolkits and training </w:t>
      </w:r>
      <w:proofErr w:type="spellStart"/>
      <w:r w:rsidRPr="006403F7">
        <w:rPr>
          <w:rFonts w:ascii="Arial" w:hAnsi="Arial" w:cs="Arial"/>
        </w:rPr>
        <w:t>programmes</w:t>
      </w:r>
      <w:proofErr w:type="spellEnd"/>
      <w:r w:rsidRPr="006403F7">
        <w:rPr>
          <w:rFonts w:ascii="Arial" w:hAnsi="Arial" w:cs="Arial"/>
        </w:rPr>
        <w:t xml:space="preserve"> have been developed to support practitioners in applying </w:t>
      </w:r>
      <w:r w:rsidR="008A3269" w:rsidRPr="006403F7">
        <w:rPr>
          <w:rFonts w:ascii="Arial" w:hAnsi="Arial" w:cs="Arial"/>
        </w:rPr>
        <w:t>right-</w:t>
      </w:r>
      <w:r w:rsidRPr="006403F7">
        <w:rPr>
          <w:rFonts w:ascii="Arial" w:hAnsi="Arial" w:cs="Arial"/>
        </w:rPr>
        <w:t xml:space="preserve">based approaches </w:t>
      </w:r>
      <w:proofErr w:type="gramStart"/>
      <w:r w:rsidRPr="006403F7">
        <w:rPr>
          <w:rFonts w:ascii="Arial" w:hAnsi="Arial" w:cs="Arial"/>
        </w:rPr>
        <w:t>in</w:t>
      </w:r>
      <w:proofErr w:type="gramEnd"/>
      <w:r w:rsidRPr="006403F7">
        <w:rPr>
          <w:rFonts w:ascii="Arial" w:hAnsi="Arial" w:cs="Arial"/>
        </w:rPr>
        <w:t xml:space="preserve"> everyday practice, addressing concerns about </w:t>
      </w:r>
      <w:proofErr w:type="gramStart"/>
      <w:r w:rsidRPr="006403F7">
        <w:rPr>
          <w:rFonts w:ascii="Arial" w:hAnsi="Arial" w:cs="Arial"/>
        </w:rPr>
        <w:t>abstraction</w:t>
      </w:r>
      <w:proofErr w:type="gramEnd"/>
      <w:r w:rsidRPr="006403F7">
        <w:rPr>
          <w:rFonts w:ascii="Arial" w:hAnsi="Arial" w:cs="Arial"/>
        </w:rPr>
        <w:t xml:space="preserve"> and complexity.</w:t>
      </w:r>
    </w:p>
    <w:p w14:paraId="4FC04C03" w14:textId="77777777" w:rsidR="006403F7" w:rsidRPr="006403F7" w:rsidRDefault="006403F7" w:rsidP="006403F7">
      <w:pPr>
        <w:rPr>
          <w:rFonts w:ascii="Arial" w:hAnsi="Arial" w:cs="Arial"/>
        </w:rPr>
      </w:pPr>
      <w:r w:rsidRPr="006403F7">
        <w:rPr>
          <w:rFonts w:ascii="Arial" w:hAnsi="Arial" w:cs="Arial"/>
          <w:b/>
          <w:bCs/>
        </w:rPr>
        <w:t>Application of the Human Rights Approach in UK Health and Social Care Policy</w:t>
      </w:r>
    </w:p>
    <w:p w14:paraId="1F30F19F" w14:textId="77777777" w:rsidR="006403F7" w:rsidRPr="006403F7" w:rsidRDefault="006403F7" w:rsidP="006403F7">
      <w:pPr>
        <w:rPr>
          <w:rFonts w:ascii="Arial" w:hAnsi="Arial" w:cs="Arial"/>
        </w:rPr>
      </w:pPr>
      <w:r w:rsidRPr="006403F7">
        <w:rPr>
          <w:rFonts w:ascii="Arial" w:hAnsi="Arial" w:cs="Arial"/>
        </w:rPr>
        <w:t xml:space="preserve">The Human Rights Approach has significantly shaped UK health and social care policy. The Care Act 2014 is one of the most explicit examples, embedding principles of dignity, choice, control and participation—core elements of human rights. The Act </w:t>
      </w:r>
      <w:proofErr w:type="spellStart"/>
      <w:r w:rsidRPr="006403F7">
        <w:rPr>
          <w:rFonts w:ascii="Arial" w:hAnsi="Arial" w:cs="Arial"/>
        </w:rPr>
        <w:t>emphasises</w:t>
      </w:r>
      <w:proofErr w:type="spellEnd"/>
      <w:r w:rsidRPr="006403F7">
        <w:rPr>
          <w:rFonts w:ascii="Arial" w:hAnsi="Arial" w:cs="Arial"/>
        </w:rPr>
        <w:t xml:space="preserve"> wellbeing, prevention and the involvement of individuals in decisions about their care, reflecting the rights to autonomy, respect and private life under Article 8 of the ECHR. The Equality Act 2010 further reinforces human rights principles by prohibiting discrimination and promoting equality across protected characteristics, aligning with the rights to non</w:t>
      </w:r>
      <w:r w:rsidRPr="006403F7">
        <w:rPr>
          <w:rFonts w:ascii="Arial" w:hAnsi="Arial" w:cs="Arial"/>
        </w:rPr>
        <w:noBreakHyphen/>
        <w:t>discrimination and equal treatment.</w:t>
      </w:r>
    </w:p>
    <w:p w14:paraId="6B10F1A5" w14:textId="77777777" w:rsidR="00A34183" w:rsidRPr="00A34183" w:rsidRDefault="00A34183" w:rsidP="00A34183">
      <w:pPr>
        <w:rPr>
          <w:rFonts w:ascii="Arial" w:hAnsi="Arial" w:cs="Arial"/>
        </w:rPr>
      </w:pPr>
      <w:r w:rsidRPr="00A34183">
        <w:rPr>
          <w:rFonts w:ascii="Arial" w:hAnsi="Arial" w:cs="Arial"/>
        </w:rPr>
        <w:t>Human rights are clearly written into the NHS Constitution (2021), which says that patients have the right to be treated with respect and decency, to have a say in how their care is provided, and to get safe, effective care. These ideas are all in line with rights-based practice and are emphasized in the NHS Long Term Plan (2019). They are personalized care, shared decision making, and integrated assistance. The NICE recommendations also take human rights into account, especially when it comes to mental health, safety, end-of-life care, and making decisions together (NICE, 2022).</w:t>
      </w:r>
    </w:p>
    <w:p w14:paraId="56AD210F" w14:textId="77777777" w:rsidR="006403F7" w:rsidRPr="006403F7" w:rsidRDefault="006403F7" w:rsidP="006403F7">
      <w:pPr>
        <w:rPr>
          <w:rFonts w:ascii="Arial" w:hAnsi="Arial" w:cs="Arial"/>
        </w:rPr>
      </w:pPr>
      <w:r w:rsidRPr="006403F7">
        <w:rPr>
          <w:rFonts w:ascii="Arial" w:hAnsi="Arial" w:cs="Arial"/>
        </w:rPr>
        <w:t>In social care, rights</w:t>
      </w:r>
      <w:r w:rsidRPr="006403F7">
        <w:rPr>
          <w:rFonts w:ascii="Arial" w:hAnsi="Arial" w:cs="Arial"/>
        </w:rPr>
        <w:noBreakHyphen/>
        <w:t xml:space="preserve">based approaches have influenced safeguarding frameworks, mental capacity legislation and advocacy services. The Mental Capacity Act 2005, for example, </w:t>
      </w:r>
      <w:proofErr w:type="spellStart"/>
      <w:r w:rsidRPr="006403F7">
        <w:rPr>
          <w:rFonts w:ascii="Arial" w:hAnsi="Arial" w:cs="Arial"/>
        </w:rPr>
        <w:t>emphasises</w:t>
      </w:r>
      <w:proofErr w:type="spellEnd"/>
      <w:r w:rsidRPr="006403F7">
        <w:rPr>
          <w:rFonts w:ascii="Arial" w:hAnsi="Arial" w:cs="Arial"/>
        </w:rPr>
        <w:t xml:space="preserve"> autonomy, least restrictive practice and the right to make unwise decisions, reflecting human rights principles. Independent advocacy services, including Independent Mental Capacity Advocates (IMCAs) and Independent Mental Health Advocates (IMHAs), support individuals to exercise their rights and participate in decisions affecting their lives.</w:t>
      </w:r>
    </w:p>
    <w:p w14:paraId="0A0ACEF0" w14:textId="4889890C" w:rsidR="00A34183" w:rsidRPr="00A34183" w:rsidRDefault="00A34183" w:rsidP="00A34183">
      <w:pPr>
        <w:rPr>
          <w:rFonts w:ascii="Arial" w:hAnsi="Arial" w:cs="Arial"/>
        </w:rPr>
      </w:pPr>
      <w:r w:rsidRPr="00A34183">
        <w:rPr>
          <w:rFonts w:ascii="Arial" w:hAnsi="Arial" w:cs="Arial"/>
        </w:rPr>
        <w:lastRenderedPageBreak/>
        <w:t xml:space="preserve">The Human Rights Approach has also changed how people </w:t>
      </w:r>
      <w:r w:rsidR="008A3269" w:rsidRPr="00A34183">
        <w:rPr>
          <w:rFonts w:ascii="Arial" w:hAnsi="Arial" w:cs="Arial"/>
        </w:rPr>
        <w:t>learn</w:t>
      </w:r>
      <w:r w:rsidRPr="00A34183">
        <w:rPr>
          <w:rFonts w:ascii="Arial" w:hAnsi="Arial" w:cs="Arial"/>
        </w:rPr>
        <w:t xml:space="preserve"> to work. The 2022 Skills for Care document stresses how important it is for social care workers to be trained in human rights, decency, respect, equality, and fairness. Human rights principles are written into the codes of practice of professional organizations like the Nursing and Midwifery Council (NMC) and Social Work England. These organizations stress that practitioners need to protect rights, fight discrimination, and support person-centered care.</w:t>
      </w:r>
    </w:p>
    <w:p w14:paraId="2A9BD1CF" w14:textId="77777777" w:rsidR="006403F7" w:rsidRPr="006403F7" w:rsidRDefault="006403F7" w:rsidP="006403F7">
      <w:pPr>
        <w:rPr>
          <w:rFonts w:ascii="Arial" w:hAnsi="Arial" w:cs="Arial"/>
        </w:rPr>
      </w:pPr>
      <w:r w:rsidRPr="006403F7">
        <w:rPr>
          <w:rFonts w:ascii="Arial" w:hAnsi="Arial" w:cs="Arial"/>
          <w:b/>
          <w:bCs/>
        </w:rPr>
        <w:t>Challenges and Problems in Applying the Human Rights Approach</w:t>
      </w:r>
    </w:p>
    <w:p w14:paraId="36CCB27D" w14:textId="13975183" w:rsidR="006403F7" w:rsidRPr="006403F7" w:rsidRDefault="006403F7" w:rsidP="006403F7">
      <w:pPr>
        <w:rPr>
          <w:rFonts w:ascii="Arial" w:hAnsi="Arial" w:cs="Arial"/>
        </w:rPr>
      </w:pPr>
      <w:r w:rsidRPr="006403F7">
        <w:rPr>
          <w:rFonts w:ascii="Arial" w:hAnsi="Arial" w:cs="Arial"/>
        </w:rPr>
        <w:t xml:space="preserve">Despite its strong policy presence, applying the Human Rights Approach in practice presents significant challenges. Resource constraints are a major barrier. Chronic underfunding, staff shortages and high caseloads make it difficult for practitioners to deliver </w:t>
      </w:r>
      <w:proofErr w:type="spellStart"/>
      <w:r w:rsidRPr="006403F7">
        <w:rPr>
          <w:rFonts w:ascii="Arial" w:hAnsi="Arial" w:cs="Arial"/>
        </w:rPr>
        <w:t>personalised</w:t>
      </w:r>
      <w:proofErr w:type="spellEnd"/>
      <w:r w:rsidRPr="006403F7">
        <w:rPr>
          <w:rFonts w:ascii="Arial" w:hAnsi="Arial" w:cs="Arial"/>
        </w:rPr>
        <w:t xml:space="preserve">, </w:t>
      </w:r>
      <w:r w:rsidR="008A3269" w:rsidRPr="006403F7">
        <w:rPr>
          <w:rFonts w:ascii="Arial" w:hAnsi="Arial" w:cs="Arial"/>
        </w:rPr>
        <w:t>precise-</w:t>
      </w:r>
      <w:r w:rsidRPr="006403F7">
        <w:rPr>
          <w:rFonts w:ascii="Arial" w:hAnsi="Arial" w:cs="Arial"/>
        </w:rPr>
        <w:t xml:space="preserve">based care. Glasby (2022) argues that austerity policies have undermined the capacity of services to uphold dignity, autonomy and participation, particularly for </w:t>
      </w:r>
      <w:proofErr w:type="spellStart"/>
      <w:r w:rsidRPr="006403F7">
        <w:rPr>
          <w:rFonts w:ascii="Arial" w:hAnsi="Arial" w:cs="Arial"/>
        </w:rPr>
        <w:t>marginalised</w:t>
      </w:r>
      <w:proofErr w:type="spellEnd"/>
      <w:r w:rsidRPr="006403F7">
        <w:rPr>
          <w:rFonts w:ascii="Arial" w:hAnsi="Arial" w:cs="Arial"/>
        </w:rPr>
        <w:t xml:space="preserve"> groups.</w:t>
      </w:r>
    </w:p>
    <w:p w14:paraId="65E83967" w14:textId="77777777" w:rsidR="006403F7" w:rsidRPr="006403F7" w:rsidRDefault="006403F7" w:rsidP="006403F7">
      <w:pPr>
        <w:rPr>
          <w:rFonts w:ascii="Arial" w:hAnsi="Arial" w:cs="Arial"/>
        </w:rPr>
      </w:pPr>
      <w:r w:rsidRPr="006403F7">
        <w:rPr>
          <w:rFonts w:ascii="Arial" w:hAnsi="Arial" w:cs="Arial"/>
        </w:rPr>
        <w:t>Managerialism and performance</w:t>
      </w:r>
      <w:r w:rsidRPr="006403F7">
        <w:rPr>
          <w:rFonts w:ascii="Arial" w:hAnsi="Arial" w:cs="Arial"/>
        </w:rPr>
        <w:noBreakHyphen/>
        <w:t xml:space="preserve">driven cultures also pose challenges. </w:t>
      </w:r>
      <w:proofErr w:type="spellStart"/>
      <w:r w:rsidRPr="006403F7">
        <w:rPr>
          <w:rFonts w:ascii="Arial" w:hAnsi="Arial" w:cs="Arial"/>
        </w:rPr>
        <w:t>Organisational</w:t>
      </w:r>
      <w:proofErr w:type="spellEnd"/>
      <w:r w:rsidRPr="006403F7">
        <w:rPr>
          <w:rFonts w:ascii="Arial" w:hAnsi="Arial" w:cs="Arial"/>
        </w:rPr>
        <w:t xml:space="preserve"> pressures to meet targets, reduce costs and increase efficiency can conflict with the relational, participatory nature of human rights</w:t>
      </w:r>
      <w:r w:rsidRPr="006403F7">
        <w:rPr>
          <w:rFonts w:ascii="Arial" w:hAnsi="Arial" w:cs="Arial"/>
        </w:rPr>
        <w:noBreakHyphen/>
        <w:t xml:space="preserve">based practice. Lloyd (2022) highlights how marketisation and commissioning models </w:t>
      </w:r>
      <w:proofErr w:type="spellStart"/>
      <w:r w:rsidRPr="006403F7">
        <w:rPr>
          <w:rFonts w:ascii="Arial" w:hAnsi="Arial" w:cs="Arial"/>
        </w:rPr>
        <w:t>prioritise</w:t>
      </w:r>
      <w:proofErr w:type="spellEnd"/>
      <w:r w:rsidRPr="006403F7">
        <w:rPr>
          <w:rFonts w:ascii="Arial" w:hAnsi="Arial" w:cs="Arial"/>
        </w:rPr>
        <w:t xml:space="preserve"> measurable outputs over the quality of relationships and the lived experiences of service users.</w:t>
      </w:r>
    </w:p>
    <w:p w14:paraId="18EF1603" w14:textId="5E97419E" w:rsidR="006403F7" w:rsidRPr="006403F7" w:rsidRDefault="006403F7" w:rsidP="006403F7">
      <w:pPr>
        <w:rPr>
          <w:rFonts w:ascii="Arial" w:hAnsi="Arial" w:cs="Arial"/>
        </w:rPr>
      </w:pPr>
      <w:r w:rsidRPr="006403F7">
        <w:rPr>
          <w:rFonts w:ascii="Arial" w:hAnsi="Arial" w:cs="Arial"/>
        </w:rPr>
        <w:t xml:space="preserve">Power imbalances present another challenge. While human rights frameworks </w:t>
      </w:r>
      <w:r w:rsidR="00141271" w:rsidRPr="006403F7">
        <w:rPr>
          <w:rFonts w:ascii="Arial" w:hAnsi="Arial" w:cs="Arial"/>
        </w:rPr>
        <w:t>emphasis</w:t>
      </w:r>
      <w:r w:rsidRPr="006403F7">
        <w:rPr>
          <w:rFonts w:ascii="Arial" w:hAnsi="Arial" w:cs="Arial"/>
        </w:rPr>
        <w:t xml:space="preserve"> autonomy and participation, professionals often hold significant authority, particularly in mental health, safeguarding and institutional settings. This can make it difficult to ensure genuine shared decision</w:t>
      </w:r>
      <w:r w:rsidRPr="006403F7">
        <w:rPr>
          <w:rFonts w:ascii="Arial" w:hAnsi="Arial" w:cs="Arial"/>
        </w:rPr>
        <w:noBreakHyphen/>
        <w:t>making, especially when individuals face cognitive impairment, communication barriers or social disadvantage. Dunn et al. (2022) note that balancing autonomy with protection remains a complex ethical challenge.</w:t>
      </w:r>
    </w:p>
    <w:p w14:paraId="272C32A7" w14:textId="77777777" w:rsidR="006403F7" w:rsidRPr="006403F7" w:rsidRDefault="006403F7" w:rsidP="006403F7">
      <w:pPr>
        <w:rPr>
          <w:rFonts w:ascii="Arial" w:hAnsi="Arial" w:cs="Arial"/>
        </w:rPr>
      </w:pPr>
      <w:r w:rsidRPr="006403F7">
        <w:rPr>
          <w:rFonts w:ascii="Arial" w:hAnsi="Arial" w:cs="Arial"/>
        </w:rPr>
        <w:t>Cultural and structural inequalities further complicate the application of human rights. Racism, class inequality, disability discrimination and gender</w:t>
      </w:r>
      <w:r w:rsidRPr="006403F7">
        <w:rPr>
          <w:rFonts w:ascii="Arial" w:hAnsi="Arial" w:cs="Arial"/>
        </w:rPr>
        <w:noBreakHyphen/>
        <w:t>based inequalities shape people’s experiences of care and their ability to exercise their rights. Intersectional scholars such as Fredman (2022) argue that human rights frameworks must address these structural determinants to remain relevant and effective.</w:t>
      </w:r>
    </w:p>
    <w:p w14:paraId="65A00808" w14:textId="77777777" w:rsidR="006403F7" w:rsidRPr="006403F7" w:rsidRDefault="006403F7" w:rsidP="006403F7">
      <w:pPr>
        <w:rPr>
          <w:rFonts w:ascii="Arial" w:hAnsi="Arial" w:cs="Arial"/>
        </w:rPr>
      </w:pPr>
      <w:r w:rsidRPr="006403F7">
        <w:rPr>
          <w:rFonts w:ascii="Arial" w:hAnsi="Arial" w:cs="Arial"/>
        </w:rPr>
        <w:t xml:space="preserve">Finally, there is a gap between policy and practice. While human rights principles are embedded in legislation and professional standards, frontline practitioners may lack training, confidence or </w:t>
      </w:r>
      <w:proofErr w:type="spellStart"/>
      <w:r w:rsidRPr="006403F7">
        <w:rPr>
          <w:rFonts w:ascii="Arial" w:hAnsi="Arial" w:cs="Arial"/>
        </w:rPr>
        <w:t>organisational</w:t>
      </w:r>
      <w:proofErr w:type="spellEnd"/>
      <w:r w:rsidRPr="006403F7">
        <w:rPr>
          <w:rFonts w:ascii="Arial" w:hAnsi="Arial" w:cs="Arial"/>
        </w:rPr>
        <w:t xml:space="preserve"> support to apply them consistently. The BIHR (2022) notes that many practitioners are unsure how to use human rights in everyday decision</w:t>
      </w:r>
      <w:r w:rsidRPr="006403F7">
        <w:rPr>
          <w:rFonts w:ascii="Arial" w:hAnsi="Arial" w:cs="Arial"/>
        </w:rPr>
        <w:noBreakHyphen/>
        <w:t>making, highlighting the need for practical tools, reflective practice and supportive leadership.</w:t>
      </w:r>
    </w:p>
    <w:p w14:paraId="3626A9FD" w14:textId="77777777" w:rsidR="00A34183" w:rsidRDefault="00A34183" w:rsidP="006403F7">
      <w:pPr>
        <w:rPr>
          <w:rFonts w:ascii="Arial" w:hAnsi="Arial" w:cs="Arial"/>
          <w:b/>
          <w:bCs/>
        </w:rPr>
      </w:pPr>
    </w:p>
    <w:p w14:paraId="4761132B" w14:textId="058E10C9" w:rsidR="006403F7" w:rsidRPr="006403F7" w:rsidRDefault="006403F7" w:rsidP="006403F7">
      <w:pPr>
        <w:rPr>
          <w:rFonts w:ascii="Arial" w:hAnsi="Arial" w:cs="Arial"/>
        </w:rPr>
      </w:pPr>
      <w:r w:rsidRPr="006403F7">
        <w:rPr>
          <w:rFonts w:ascii="Arial" w:hAnsi="Arial" w:cs="Arial"/>
          <w:b/>
          <w:bCs/>
        </w:rPr>
        <w:lastRenderedPageBreak/>
        <w:t>Recommendations for Strengthening the Human Rights Approach</w:t>
      </w:r>
    </w:p>
    <w:p w14:paraId="7229208D" w14:textId="78FC63D0" w:rsidR="006403F7" w:rsidRPr="006403F7" w:rsidRDefault="00A34183" w:rsidP="006403F7">
      <w:pPr>
        <w:rPr>
          <w:rFonts w:ascii="Arial" w:hAnsi="Arial" w:cs="Arial"/>
        </w:rPr>
      </w:pPr>
      <w:proofErr w:type="gramStart"/>
      <w:r w:rsidRPr="00A34183">
        <w:rPr>
          <w:rFonts w:ascii="Arial" w:hAnsi="Arial" w:cs="Arial"/>
        </w:rPr>
        <w:t>A number of</w:t>
      </w:r>
      <w:proofErr w:type="gramEnd"/>
      <w:r w:rsidRPr="00A34183">
        <w:rPr>
          <w:rFonts w:ascii="Arial" w:hAnsi="Arial" w:cs="Arial"/>
        </w:rPr>
        <w:t xml:space="preserve"> suggestions can be made to improve how the Human Rights Approach is used in health and social care in the UK.</w:t>
      </w:r>
      <w:r>
        <w:rPr>
          <w:rFonts w:ascii="Arial" w:hAnsi="Arial" w:cs="Arial"/>
        </w:rPr>
        <w:t xml:space="preserve"> </w:t>
      </w:r>
      <w:r w:rsidR="006403F7" w:rsidRPr="006403F7">
        <w:rPr>
          <w:rFonts w:ascii="Arial" w:hAnsi="Arial" w:cs="Arial"/>
        </w:rPr>
        <w:t>First, there is a need for greater investment in the workforce. Adequate staffing levels, fair pay, training in rights</w:t>
      </w:r>
      <w:r w:rsidR="006403F7" w:rsidRPr="006403F7">
        <w:rPr>
          <w:rFonts w:ascii="Arial" w:hAnsi="Arial" w:cs="Arial"/>
        </w:rPr>
        <w:noBreakHyphen/>
        <w:t xml:space="preserve">based practice and protected time for reflective supervision are essential for enabling practitioners to uphold human rights in practice. Second, human rights principles should be embedded more explicitly into commissioning frameworks, inspection criteria and </w:t>
      </w:r>
      <w:proofErr w:type="spellStart"/>
      <w:r w:rsidR="006403F7" w:rsidRPr="006403F7">
        <w:rPr>
          <w:rFonts w:ascii="Arial" w:hAnsi="Arial" w:cs="Arial"/>
        </w:rPr>
        <w:t>organisational</w:t>
      </w:r>
      <w:proofErr w:type="spellEnd"/>
      <w:r w:rsidR="006403F7" w:rsidRPr="006403F7">
        <w:rPr>
          <w:rFonts w:ascii="Arial" w:hAnsi="Arial" w:cs="Arial"/>
        </w:rPr>
        <w:t xml:space="preserve"> cultures. Regulators such as the Care Quality Commission (CQC) should place greater emphasis on dignity, autonomy and participation in their assessments.</w:t>
      </w:r>
    </w:p>
    <w:p w14:paraId="2ED2A973" w14:textId="77777777" w:rsidR="006403F7" w:rsidRPr="006403F7" w:rsidRDefault="006403F7" w:rsidP="006403F7">
      <w:pPr>
        <w:rPr>
          <w:rFonts w:ascii="Arial" w:hAnsi="Arial" w:cs="Arial"/>
        </w:rPr>
      </w:pPr>
      <w:r w:rsidRPr="006403F7">
        <w:rPr>
          <w:rFonts w:ascii="Arial" w:hAnsi="Arial" w:cs="Arial"/>
        </w:rPr>
        <w:t>Third, co</w:t>
      </w:r>
      <w:r w:rsidRPr="006403F7">
        <w:rPr>
          <w:rFonts w:ascii="Arial" w:hAnsi="Arial" w:cs="Arial"/>
        </w:rPr>
        <w:noBreakHyphen/>
        <w:t>production and shared decision</w:t>
      </w:r>
      <w:r w:rsidRPr="006403F7">
        <w:rPr>
          <w:rFonts w:ascii="Arial" w:hAnsi="Arial" w:cs="Arial"/>
        </w:rPr>
        <w:noBreakHyphen/>
        <w:t xml:space="preserve">making should be </w:t>
      </w:r>
      <w:proofErr w:type="spellStart"/>
      <w:r w:rsidRPr="006403F7">
        <w:rPr>
          <w:rFonts w:ascii="Arial" w:hAnsi="Arial" w:cs="Arial"/>
        </w:rPr>
        <w:t>prioritised</w:t>
      </w:r>
      <w:proofErr w:type="spellEnd"/>
      <w:r w:rsidRPr="006403F7">
        <w:rPr>
          <w:rFonts w:ascii="Arial" w:hAnsi="Arial" w:cs="Arial"/>
        </w:rPr>
        <w:t>. Services should involve people with lived experience in designing, delivering and evaluating care, ensuring that human rights are grounded in real</w:t>
      </w:r>
      <w:r w:rsidRPr="006403F7">
        <w:rPr>
          <w:rFonts w:ascii="Arial" w:hAnsi="Arial" w:cs="Arial"/>
        </w:rPr>
        <w:noBreakHyphen/>
        <w:t>world experiences. Fourth, structural inequalities must be addressed through anti</w:t>
      </w:r>
      <w:r w:rsidRPr="006403F7">
        <w:rPr>
          <w:rFonts w:ascii="Arial" w:hAnsi="Arial" w:cs="Arial"/>
        </w:rPr>
        <w:noBreakHyphen/>
        <w:t xml:space="preserve">racist practice frameworks, culturally competent care and inclusive communication strategies. Finally, practical tools and training </w:t>
      </w:r>
      <w:proofErr w:type="spellStart"/>
      <w:r w:rsidRPr="006403F7">
        <w:rPr>
          <w:rFonts w:ascii="Arial" w:hAnsi="Arial" w:cs="Arial"/>
        </w:rPr>
        <w:t>programmes</w:t>
      </w:r>
      <w:proofErr w:type="spellEnd"/>
      <w:r w:rsidRPr="006403F7">
        <w:rPr>
          <w:rFonts w:ascii="Arial" w:hAnsi="Arial" w:cs="Arial"/>
        </w:rPr>
        <w:t xml:space="preserve"> should be expanded to support practitioners in applying human rights principles in everyday practice.</w:t>
      </w:r>
    </w:p>
    <w:p w14:paraId="62BB6DBA" w14:textId="77777777" w:rsidR="006403F7" w:rsidRPr="006403F7" w:rsidRDefault="006403F7" w:rsidP="006403F7">
      <w:pPr>
        <w:rPr>
          <w:rFonts w:ascii="Arial" w:hAnsi="Arial" w:cs="Arial"/>
        </w:rPr>
      </w:pPr>
      <w:r w:rsidRPr="006403F7">
        <w:rPr>
          <w:rFonts w:ascii="Arial" w:hAnsi="Arial" w:cs="Arial"/>
          <w:b/>
          <w:bCs/>
        </w:rPr>
        <w:t>Conclusion</w:t>
      </w:r>
    </w:p>
    <w:p w14:paraId="4B6D6750" w14:textId="53F3721B" w:rsidR="006403F7" w:rsidRPr="006403F7" w:rsidRDefault="006403F7" w:rsidP="006403F7">
      <w:pPr>
        <w:rPr>
          <w:rFonts w:ascii="Arial" w:hAnsi="Arial" w:cs="Arial"/>
        </w:rPr>
      </w:pPr>
      <w:r w:rsidRPr="006403F7">
        <w:rPr>
          <w:rFonts w:ascii="Arial" w:hAnsi="Arial" w:cs="Arial"/>
        </w:rPr>
        <w:t>The Human Rights Approach provides a powerful and ethically robust foundation for person</w:t>
      </w:r>
      <w:r w:rsidRPr="006403F7">
        <w:rPr>
          <w:rFonts w:ascii="Arial" w:hAnsi="Arial" w:cs="Arial"/>
        </w:rPr>
        <w:noBreakHyphen/>
      </w:r>
      <w:proofErr w:type="spellStart"/>
      <w:r w:rsidRPr="006403F7">
        <w:rPr>
          <w:rFonts w:ascii="Arial" w:hAnsi="Arial" w:cs="Arial"/>
        </w:rPr>
        <w:t>centred</w:t>
      </w:r>
      <w:proofErr w:type="spellEnd"/>
      <w:r w:rsidRPr="006403F7">
        <w:rPr>
          <w:rFonts w:ascii="Arial" w:hAnsi="Arial" w:cs="Arial"/>
        </w:rPr>
        <w:t xml:space="preserve"> care in the UK. Its emphasis on dignity, autonomy, equality and participation aligns closely with contemporary policy goals and professional standards. While the approach has faced critiques related to legalism, universality, individualism and practical application, these concerns have been addressed through more relational, contextual and intersectional interpretations of human rights. Despite significant challenges</w:t>
      </w:r>
      <w:r>
        <w:rPr>
          <w:rFonts w:ascii="Arial" w:hAnsi="Arial" w:cs="Arial"/>
        </w:rPr>
        <w:t xml:space="preserve">, </w:t>
      </w:r>
      <w:r w:rsidRPr="006403F7">
        <w:rPr>
          <w:rFonts w:ascii="Arial" w:hAnsi="Arial" w:cs="Arial"/>
        </w:rPr>
        <w:t xml:space="preserve">including resource constraints, managerialism, power imbalances and structural inequalities, the Human Rights Approach remains essential for promoting compassionate, equitable and empowering care. Strengthening its integration into policy, workforce development and </w:t>
      </w:r>
      <w:proofErr w:type="spellStart"/>
      <w:r w:rsidRPr="006403F7">
        <w:rPr>
          <w:rFonts w:ascii="Arial" w:hAnsi="Arial" w:cs="Arial"/>
        </w:rPr>
        <w:t>organisational</w:t>
      </w:r>
      <w:proofErr w:type="spellEnd"/>
      <w:r w:rsidRPr="006403F7">
        <w:rPr>
          <w:rFonts w:ascii="Arial" w:hAnsi="Arial" w:cs="Arial"/>
        </w:rPr>
        <w:t xml:space="preserve"> culture can enhance the quality and humanity of care across the UK. Ultimately, the Human Rights Approach offers a compelling vision for a care system that respects and protects the inherent dignity and rights of every individual.</w:t>
      </w:r>
    </w:p>
    <w:p w14:paraId="3F2153BC" w14:textId="40982AA5" w:rsidR="006403F7" w:rsidRPr="006403F7" w:rsidRDefault="006403F7" w:rsidP="006403F7">
      <w:pPr>
        <w:rPr>
          <w:rFonts w:ascii="Arial" w:hAnsi="Arial" w:cs="Arial"/>
        </w:rPr>
      </w:pPr>
    </w:p>
    <w:p w14:paraId="101A4755" w14:textId="77777777" w:rsidR="006403F7" w:rsidRDefault="006403F7" w:rsidP="006403F7">
      <w:pPr>
        <w:rPr>
          <w:rFonts w:ascii="Arial" w:hAnsi="Arial" w:cs="Arial"/>
          <w:b/>
          <w:bCs/>
        </w:rPr>
      </w:pPr>
    </w:p>
    <w:p w14:paraId="3FE7CE01" w14:textId="77777777" w:rsidR="006403F7" w:rsidRDefault="006403F7" w:rsidP="006403F7">
      <w:pPr>
        <w:rPr>
          <w:rFonts w:ascii="Arial" w:hAnsi="Arial" w:cs="Arial"/>
          <w:b/>
          <w:bCs/>
        </w:rPr>
      </w:pPr>
    </w:p>
    <w:p w14:paraId="5E8E1E71" w14:textId="77777777" w:rsidR="006403F7" w:rsidRDefault="006403F7" w:rsidP="006403F7">
      <w:pPr>
        <w:rPr>
          <w:rFonts w:ascii="Arial" w:hAnsi="Arial" w:cs="Arial"/>
          <w:b/>
          <w:bCs/>
        </w:rPr>
      </w:pPr>
    </w:p>
    <w:p w14:paraId="6DA2A488" w14:textId="77777777" w:rsidR="006403F7" w:rsidRDefault="006403F7" w:rsidP="006403F7">
      <w:pPr>
        <w:rPr>
          <w:rFonts w:ascii="Arial" w:hAnsi="Arial" w:cs="Arial"/>
          <w:b/>
          <w:bCs/>
        </w:rPr>
      </w:pPr>
    </w:p>
    <w:p w14:paraId="6AEA9C06" w14:textId="77777777" w:rsidR="006403F7" w:rsidRDefault="006403F7" w:rsidP="006403F7">
      <w:pPr>
        <w:rPr>
          <w:rFonts w:ascii="Arial" w:hAnsi="Arial" w:cs="Arial"/>
          <w:b/>
          <w:bCs/>
        </w:rPr>
      </w:pPr>
    </w:p>
    <w:p w14:paraId="0A19F1DF" w14:textId="77777777" w:rsidR="006403F7" w:rsidRDefault="006403F7" w:rsidP="006403F7">
      <w:pPr>
        <w:rPr>
          <w:rFonts w:ascii="Arial" w:hAnsi="Arial" w:cs="Arial"/>
          <w:b/>
          <w:bCs/>
        </w:rPr>
      </w:pPr>
    </w:p>
    <w:p w14:paraId="3A4EAD2C" w14:textId="77777777" w:rsidR="006403F7" w:rsidRDefault="006403F7" w:rsidP="006403F7">
      <w:pPr>
        <w:rPr>
          <w:rFonts w:ascii="Arial" w:hAnsi="Arial" w:cs="Arial"/>
          <w:b/>
          <w:bCs/>
        </w:rPr>
      </w:pPr>
    </w:p>
    <w:p w14:paraId="28684839" w14:textId="2060BD66" w:rsidR="006403F7" w:rsidRPr="006403F7" w:rsidRDefault="006403F7" w:rsidP="006403F7">
      <w:pPr>
        <w:rPr>
          <w:rFonts w:ascii="Arial" w:hAnsi="Arial" w:cs="Arial"/>
          <w:b/>
          <w:bCs/>
        </w:rPr>
      </w:pPr>
      <w:r w:rsidRPr="006403F7">
        <w:rPr>
          <w:rFonts w:ascii="Arial" w:hAnsi="Arial" w:cs="Arial"/>
          <w:b/>
          <w:bCs/>
        </w:rPr>
        <w:t xml:space="preserve">Harvard References </w:t>
      </w:r>
    </w:p>
    <w:p w14:paraId="3B8B42FD" w14:textId="77777777" w:rsidR="00D133AF" w:rsidRDefault="00EC45EE" w:rsidP="00141271">
      <w:pPr>
        <w:rPr>
          <w:rFonts w:ascii="Arial" w:hAnsi="Arial" w:cs="Arial"/>
        </w:rPr>
      </w:pPr>
      <w:r w:rsidRPr="00EC45EE">
        <w:rPr>
          <w:rFonts w:ascii="Arial" w:hAnsi="Arial" w:cs="Arial"/>
        </w:rPr>
        <w:t>British Institute of Human Rights</w:t>
      </w:r>
      <w:r w:rsidRPr="00EC45EE">
        <w:rPr>
          <w:rFonts w:ascii="Arial" w:hAnsi="Arial" w:cs="Arial"/>
        </w:rPr>
        <w:t xml:space="preserve"> </w:t>
      </w:r>
      <w:r w:rsidR="006403F7" w:rsidRPr="006403F7">
        <w:rPr>
          <w:rFonts w:ascii="Arial" w:hAnsi="Arial" w:cs="Arial"/>
        </w:rPr>
        <w:t xml:space="preserve">(2022) </w:t>
      </w:r>
      <w:r w:rsidR="006403F7" w:rsidRPr="006403F7">
        <w:rPr>
          <w:rFonts w:ascii="Arial" w:hAnsi="Arial" w:cs="Arial"/>
          <w:i/>
          <w:iCs/>
        </w:rPr>
        <w:t>A Human Rights Approach in Practice</w:t>
      </w:r>
      <w:r w:rsidR="006403F7" w:rsidRPr="006403F7">
        <w:rPr>
          <w:rFonts w:ascii="Arial" w:hAnsi="Arial" w:cs="Arial"/>
        </w:rPr>
        <w:t>. London: British Institute of Human Rights.</w:t>
      </w:r>
    </w:p>
    <w:p w14:paraId="549A350A" w14:textId="32B44543" w:rsidR="00D133AF" w:rsidRDefault="006403F7" w:rsidP="00141271">
      <w:pPr>
        <w:rPr>
          <w:rFonts w:ascii="Arial" w:hAnsi="Arial" w:cs="Arial"/>
        </w:rPr>
      </w:pPr>
      <w:r w:rsidRPr="006403F7">
        <w:rPr>
          <w:rFonts w:ascii="Arial" w:hAnsi="Arial" w:cs="Arial"/>
        </w:rPr>
        <w:t xml:space="preserve">Bhambra, G. (2023) ‘Intersectionality and human rights’, </w:t>
      </w:r>
      <w:r w:rsidRPr="006403F7">
        <w:rPr>
          <w:rFonts w:ascii="Arial" w:hAnsi="Arial" w:cs="Arial"/>
          <w:i/>
          <w:iCs/>
        </w:rPr>
        <w:t>Social and Legal Studies</w:t>
      </w:r>
      <w:r w:rsidRPr="006403F7">
        <w:rPr>
          <w:rFonts w:ascii="Arial" w:hAnsi="Arial" w:cs="Arial"/>
        </w:rPr>
        <w:t>, 32(1), pp. 45–62.</w:t>
      </w:r>
    </w:p>
    <w:p w14:paraId="03F23F96" w14:textId="24001863" w:rsidR="00141271" w:rsidRDefault="006403F7" w:rsidP="00141271">
      <w:pPr>
        <w:rPr>
          <w:rFonts w:ascii="Arial" w:hAnsi="Arial" w:cs="Arial"/>
        </w:rPr>
      </w:pPr>
      <w:r w:rsidRPr="006403F7">
        <w:rPr>
          <w:rFonts w:ascii="Arial" w:hAnsi="Arial" w:cs="Arial"/>
        </w:rPr>
        <w:t>Clift, S. et al. (2022) ‘COVID</w:t>
      </w:r>
      <w:r w:rsidRPr="006403F7">
        <w:rPr>
          <w:rFonts w:ascii="Arial" w:hAnsi="Arial" w:cs="Arial"/>
        </w:rPr>
        <w:noBreakHyphen/>
        <w:t xml:space="preserve">19, inequality and human rights’, </w:t>
      </w:r>
      <w:r w:rsidRPr="006403F7">
        <w:rPr>
          <w:rFonts w:ascii="Arial" w:hAnsi="Arial" w:cs="Arial"/>
          <w:i/>
          <w:iCs/>
        </w:rPr>
        <w:t>Journal of Public Health</w:t>
      </w:r>
      <w:r w:rsidRPr="006403F7">
        <w:rPr>
          <w:rFonts w:ascii="Arial" w:hAnsi="Arial" w:cs="Arial"/>
        </w:rPr>
        <w:t>, 44(3), pp. 455–463.</w:t>
      </w:r>
    </w:p>
    <w:p w14:paraId="24984312" w14:textId="7FB04CA5" w:rsidR="00141271" w:rsidRDefault="006403F7" w:rsidP="00141271">
      <w:pPr>
        <w:rPr>
          <w:rFonts w:ascii="Arial" w:hAnsi="Arial" w:cs="Arial"/>
        </w:rPr>
      </w:pPr>
      <w:r w:rsidRPr="006403F7">
        <w:rPr>
          <w:rFonts w:ascii="Arial" w:hAnsi="Arial" w:cs="Arial"/>
        </w:rPr>
        <w:t xml:space="preserve">Cowan, D. (2022) ‘Human rights and the limits of legalism’, </w:t>
      </w:r>
      <w:r w:rsidRPr="006403F7">
        <w:rPr>
          <w:rFonts w:ascii="Arial" w:hAnsi="Arial" w:cs="Arial"/>
          <w:i/>
          <w:iCs/>
        </w:rPr>
        <w:t>Legal Studies</w:t>
      </w:r>
      <w:r w:rsidRPr="006403F7">
        <w:rPr>
          <w:rFonts w:ascii="Arial" w:hAnsi="Arial" w:cs="Arial"/>
        </w:rPr>
        <w:t xml:space="preserve">, 42(2), pp. 210–228.Dunn, M., Fulford, K. and Herring, J. (2022) ‘Autonomy, protection and human rights in mental health’, </w:t>
      </w:r>
      <w:r w:rsidRPr="006403F7">
        <w:rPr>
          <w:rFonts w:ascii="Arial" w:hAnsi="Arial" w:cs="Arial"/>
          <w:i/>
          <w:iCs/>
        </w:rPr>
        <w:t>International Journal of Law and Psychiatry</w:t>
      </w:r>
      <w:r w:rsidRPr="006403F7">
        <w:rPr>
          <w:rFonts w:ascii="Arial" w:hAnsi="Arial" w:cs="Arial"/>
        </w:rPr>
        <w:t>, 81, pp. 1–10.</w:t>
      </w:r>
      <w:r w:rsidRPr="006403F7">
        <w:rPr>
          <w:rFonts w:ascii="Arial" w:hAnsi="Arial" w:cs="Arial"/>
        </w:rPr>
        <w:br/>
        <w:t>Equality Act (2010) London: HMSO.</w:t>
      </w:r>
    </w:p>
    <w:p w14:paraId="2F6F0E5F" w14:textId="2979448A" w:rsidR="00141271" w:rsidRDefault="006403F7" w:rsidP="00141271">
      <w:pPr>
        <w:rPr>
          <w:rFonts w:ascii="Arial" w:hAnsi="Arial" w:cs="Arial"/>
        </w:rPr>
      </w:pPr>
      <w:r w:rsidRPr="006403F7">
        <w:rPr>
          <w:rFonts w:ascii="Arial" w:hAnsi="Arial" w:cs="Arial"/>
        </w:rPr>
        <w:t xml:space="preserve">Fredman, S. (2022) </w:t>
      </w:r>
      <w:r w:rsidRPr="006403F7">
        <w:rPr>
          <w:rFonts w:ascii="Arial" w:hAnsi="Arial" w:cs="Arial"/>
          <w:i/>
          <w:iCs/>
        </w:rPr>
        <w:t>Human Rights and Equality</w:t>
      </w:r>
      <w:r w:rsidRPr="006403F7">
        <w:rPr>
          <w:rFonts w:ascii="Arial" w:hAnsi="Arial" w:cs="Arial"/>
        </w:rPr>
        <w:t>. Oxford: Oxford University Press.</w:t>
      </w:r>
      <w:r w:rsidRPr="006403F7">
        <w:rPr>
          <w:rFonts w:ascii="Arial" w:hAnsi="Arial" w:cs="Arial"/>
        </w:rPr>
        <w:br/>
        <w:t xml:space="preserve">Gilson, L. (2023) ‘Human rights and health systems’, </w:t>
      </w:r>
      <w:r w:rsidRPr="006403F7">
        <w:rPr>
          <w:rFonts w:ascii="Arial" w:hAnsi="Arial" w:cs="Arial"/>
          <w:i/>
          <w:iCs/>
        </w:rPr>
        <w:t>Health Policy and Planning</w:t>
      </w:r>
      <w:r w:rsidRPr="006403F7">
        <w:rPr>
          <w:rFonts w:ascii="Arial" w:hAnsi="Arial" w:cs="Arial"/>
        </w:rPr>
        <w:t>, 38(2), pp. 120–129.</w:t>
      </w:r>
    </w:p>
    <w:p w14:paraId="7D76A9EF" w14:textId="77777777" w:rsidR="008A3269" w:rsidRDefault="006403F7" w:rsidP="00141271">
      <w:pPr>
        <w:rPr>
          <w:rFonts w:ascii="Arial" w:hAnsi="Arial" w:cs="Arial"/>
        </w:rPr>
      </w:pPr>
      <w:r w:rsidRPr="006403F7">
        <w:rPr>
          <w:rFonts w:ascii="Arial" w:hAnsi="Arial" w:cs="Arial"/>
        </w:rPr>
        <w:t xml:space="preserve">Glasby, J. (2022) </w:t>
      </w:r>
      <w:r w:rsidRPr="006403F7">
        <w:rPr>
          <w:rFonts w:ascii="Arial" w:hAnsi="Arial" w:cs="Arial"/>
          <w:i/>
          <w:iCs/>
        </w:rPr>
        <w:t>Understanding Health and Social Care</w:t>
      </w:r>
      <w:r w:rsidRPr="006403F7">
        <w:rPr>
          <w:rFonts w:ascii="Arial" w:hAnsi="Arial" w:cs="Arial"/>
        </w:rPr>
        <w:t>. London: Red Globe Press.</w:t>
      </w:r>
    </w:p>
    <w:p w14:paraId="19F5903B" w14:textId="50A8F974" w:rsidR="00141271" w:rsidRDefault="006403F7" w:rsidP="00141271">
      <w:pPr>
        <w:rPr>
          <w:rFonts w:ascii="Arial" w:hAnsi="Arial" w:cs="Arial"/>
        </w:rPr>
      </w:pPr>
      <w:r w:rsidRPr="006403F7">
        <w:rPr>
          <w:rFonts w:ascii="Arial" w:hAnsi="Arial" w:cs="Arial"/>
        </w:rPr>
        <w:br/>
        <w:t xml:space="preserve">Lloyd, L. (2022) ‘Austerity, social care and human rights’, </w:t>
      </w:r>
      <w:r w:rsidRPr="006403F7">
        <w:rPr>
          <w:rFonts w:ascii="Arial" w:hAnsi="Arial" w:cs="Arial"/>
          <w:i/>
          <w:iCs/>
        </w:rPr>
        <w:t>Critical Social Policy</w:t>
      </w:r>
      <w:r w:rsidRPr="006403F7">
        <w:rPr>
          <w:rFonts w:ascii="Arial" w:hAnsi="Arial" w:cs="Arial"/>
        </w:rPr>
        <w:t>, 42(3), pp. 454–474.</w:t>
      </w:r>
    </w:p>
    <w:p w14:paraId="64D38231" w14:textId="77777777" w:rsidR="00D133AF" w:rsidRDefault="00141271" w:rsidP="00141271">
      <w:pPr>
        <w:rPr>
          <w:rFonts w:ascii="Arial" w:hAnsi="Arial" w:cs="Arial"/>
        </w:rPr>
      </w:pPr>
      <w:r>
        <w:rPr>
          <w:rFonts w:ascii="Arial" w:hAnsi="Arial" w:cs="Arial"/>
        </w:rPr>
        <w:t xml:space="preserve">National Institute for Health and Care Excellence </w:t>
      </w:r>
      <w:r w:rsidR="006403F7" w:rsidRPr="006403F7">
        <w:rPr>
          <w:rFonts w:ascii="Arial" w:hAnsi="Arial" w:cs="Arial"/>
        </w:rPr>
        <w:t xml:space="preserve">(2022) </w:t>
      </w:r>
      <w:r w:rsidR="006403F7" w:rsidRPr="006403F7">
        <w:rPr>
          <w:rFonts w:ascii="Arial" w:hAnsi="Arial" w:cs="Arial"/>
          <w:i/>
          <w:iCs/>
        </w:rPr>
        <w:t>Shared Decision Making: NG197</w:t>
      </w:r>
      <w:r w:rsidR="006403F7" w:rsidRPr="006403F7">
        <w:rPr>
          <w:rFonts w:ascii="Arial" w:hAnsi="Arial" w:cs="Arial"/>
        </w:rPr>
        <w:t>. London: NICE.</w:t>
      </w:r>
    </w:p>
    <w:p w14:paraId="42FC9F86" w14:textId="70809D96" w:rsidR="00D133AF" w:rsidRDefault="006403F7" w:rsidP="00141271">
      <w:pPr>
        <w:rPr>
          <w:rFonts w:ascii="Arial" w:hAnsi="Arial" w:cs="Arial"/>
        </w:rPr>
      </w:pPr>
      <w:r w:rsidRPr="006403F7">
        <w:rPr>
          <w:rFonts w:ascii="Arial" w:hAnsi="Arial" w:cs="Arial"/>
        </w:rPr>
        <w:t xml:space="preserve">NHS England (2021) </w:t>
      </w:r>
      <w:r w:rsidRPr="006403F7">
        <w:rPr>
          <w:rFonts w:ascii="Arial" w:hAnsi="Arial" w:cs="Arial"/>
          <w:i/>
          <w:iCs/>
        </w:rPr>
        <w:t>The NHS Constitution for England</w:t>
      </w:r>
      <w:r w:rsidRPr="006403F7">
        <w:rPr>
          <w:rFonts w:ascii="Arial" w:hAnsi="Arial" w:cs="Arial"/>
        </w:rPr>
        <w:t>. London: NHS England.</w:t>
      </w:r>
      <w:r w:rsidRPr="006403F7">
        <w:rPr>
          <w:rFonts w:ascii="Arial" w:hAnsi="Arial" w:cs="Arial"/>
        </w:rPr>
        <w:br/>
        <w:t xml:space="preserve">Skills for Care (2022) </w:t>
      </w:r>
      <w:r w:rsidRPr="006403F7">
        <w:rPr>
          <w:rFonts w:ascii="Arial" w:hAnsi="Arial" w:cs="Arial"/>
          <w:i/>
          <w:iCs/>
        </w:rPr>
        <w:t>The State of the Adult Social Care Sector and Workforce in England</w:t>
      </w:r>
      <w:r w:rsidRPr="006403F7">
        <w:rPr>
          <w:rFonts w:ascii="Arial" w:hAnsi="Arial" w:cs="Arial"/>
        </w:rPr>
        <w:t>. Leeds: Skills for Care.</w:t>
      </w:r>
    </w:p>
    <w:p w14:paraId="43A78D72" w14:textId="112A6F64" w:rsidR="006403F7" w:rsidRPr="006403F7" w:rsidRDefault="006403F7" w:rsidP="00141271">
      <w:pPr>
        <w:rPr>
          <w:rFonts w:ascii="Arial" w:hAnsi="Arial" w:cs="Arial"/>
        </w:rPr>
      </w:pPr>
      <w:r w:rsidRPr="006403F7">
        <w:rPr>
          <w:rFonts w:ascii="Arial" w:hAnsi="Arial" w:cs="Arial"/>
        </w:rPr>
        <w:t xml:space="preserve">Tasioulas, J. (2022) </w:t>
      </w:r>
      <w:r w:rsidRPr="006403F7">
        <w:rPr>
          <w:rFonts w:ascii="Arial" w:hAnsi="Arial" w:cs="Arial"/>
          <w:i/>
          <w:iCs/>
        </w:rPr>
        <w:t>The Moral Foundations of Human Rights</w:t>
      </w:r>
      <w:r w:rsidRPr="006403F7">
        <w:rPr>
          <w:rFonts w:ascii="Arial" w:hAnsi="Arial" w:cs="Arial"/>
        </w:rPr>
        <w:t>. Cambridge: Cambridge University Press.</w:t>
      </w:r>
    </w:p>
    <w:p w14:paraId="0DA1A368" w14:textId="54F11AA6" w:rsidR="0065415F" w:rsidRPr="006403F7" w:rsidRDefault="0065415F">
      <w:pPr>
        <w:rPr>
          <w:rFonts w:ascii="Arial" w:hAnsi="Arial" w:cs="Arial"/>
        </w:rPr>
      </w:pPr>
    </w:p>
    <w:sectPr w:rsidR="0065415F" w:rsidRPr="006403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3F7"/>
    <w:rsid w:val="00141271"/>
    <w:rsid w:val="0051662C"/>
    <w:rsid w:val="006403F7"/>
    <w:rsid w:val="0065415F"/>
    <w:rsid w:val="007F0FBD"/>
    <w:rsid w:val="008A3269"/>
    <w:rsid w:val="009209F0"/>
    <w:rsid w:val="009E3DD6"/>
    <w:rsid w:val="00A132C5"/>
    <w:rsid w:val="00A34183"/>
    <w:rsid w:val="00AB6DCD"/>
    <w:rsid w:val="00AD64B7"/>
    <w:rsid w:val="00B12804"/>
    <w:rsid w:val="00C438B1"/>
    <w:rsid w:val="00D133AF"/>
    <w:rsid w:val="00EC45E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E939"/>
  <w15:chartTrackingRefBased/>
  <w15:docId w15:val="{9965191B-4DDF-4A1C-99F1-452EE9027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0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0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3F7"/>
    <w:rPr>
      <w:rFonts w:eastAsiaTheme="majorEastAsia" w:cstheme="majorBidi"/>
      <w:color w:val="272727" w:themeColor="text1" w:themeTint="D8"/>
    </w:rPr>
  </w:style>
  <w:style w:type="paragraph" w:styleId="Title">
    <w:name w:val="Title"/>
    <w:basedOn w:val="Normal"/>
    <w:next w:val="Normal"/>
    <w:link w:val="TitleChar"/>
    <w:uiPriority w:val="10"/>
    <w:qFormat/>
    <w:rsid w:val="00640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3F7"/>
    <w:pPr>
      <w:spacing w:before="160"/>
      <w:jc w:val="center"/>
    </w:pPr>
    <w:rPr>
      <w:i/>
      <w:iCs/>
      <w:color w:val="404040" w:themeColor="text1" w:themeTint="BF"/>
    </w:rPr>
  </w:style>
  <w:style w:type="character" w:customStyle="1" w:styleId="QuoteChar">
    <w:name w:val="Quote Char"/>
    <w:basedOn w:val="DefaultParagraphFont"/>
    <w:link w:val="Quote"/>
    <w:uiPriority w:val="29"/>
    <w:rsid w:val="006403F7"/>
    <w:rPr>
      <w:i/>
      <w:iCs/>
      <w:color w:val="404040" w:themeColor="text1" w:themeTint="BF"/>
    </w:rPr>
  </w:style>
  <w:style w:type="paragraph" w:styleId="ListParagraph">
    <w:name w:val="List Paragraph"/>
    <w:basedOn w:val="Normal"/>
    <w:uiPriority w:val="34"/>
    <w:qFormat/>
    <w:rsid w:val="006403F7"/>
    <w:pPr>
      <w:ind w:left="720"/>
      <w:contextualSpacing/>
    </w:pPr>
  </w:style>
  <w:style w:type="character" w:styleId="IntenseEmphasis">
    <w:name w:val="Intense Emphasis"/>
    <w:basedOn w:val="DefaultParagraphFont"/>
    <w:uiPriority w:val="21"/>
    <w:qFormat/>
    <w:rsid w:val="006403F7"/>
    <w:rPr>
      <w:i/>
      <w:iCs/>
      <w:color w:val="0F4761" w:themeColor="accent1" w:themeShade="BF"/>
    </w:rPr>
  </w:style>
  <w:style w:type="paragraph" w:styleId="IntenseQuote">
    <w:name w:val="Intense Quote"/>
    <w:basedOn w:val="Normal"/>
    <w:next w:val="Normal"/>
    <w:link w:val="IntenseQuoteChar"/>
    <w:uiPriority w:val="30"/>
    <w:qFormat/>
    <w:rsid w:val="00640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3F7"/>
    <w:rPr>
      <w:i/>
      <w:iCs/>
      <w:color w:val="0F4761" w:themeColor="accent1" w:themeShade="BF"/>
    </w:rPr>
  </w:style>
  <w:style w:type="character" w:styleId="IntenseReference">
    <w:name w:val="Intense Reference"/>
    <w:basedOn w:val="DefaultParagraphFont"/>
    <w:uiPriority w:val="32"/>
    <w:qFormat/>
    <w:rsid w:val="006403F7"/>
    <w:rPr>
      <w:b/>
      <w:bCs/>
      <w:smallCaps/>
      <w:color w:val="0F4761" w:themeColor="accent1" w:themeShade="BF"/>
      <w:spacing w:val="5"/>
    </w:rPr>
  </w:style>
  <w:style w:type="character" w:styleId="Hyperlink">
    <w:name w:val="Hyperlink"/>
    <w:basedOn w:val="DefaultParagraphFont"/>
    <w:uiPriority w:val="99"/>
    <w:unhideWhenUsed/>
    <w:rsid w:val="00141271"/>
    <w:rPr>
      <w:color w:val="467886" w:themeColor="hyperlink"/>
      <w:u w:val="single"/>
    </w:rPr>
  </w:style>
  <w:style w:type="character" w:styleId="UnresolvedMention">
    <w:name w:val="Unresolved Mention"/>
    <w:basedOn w:val="DefaultParagraphFont"/>
    <w:uiPriority w:val="99"/>
    <w:semiHidden/>
    <w:unhideWhenUsed/>
    <w:rsid w:val="001412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7</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6</cp:revision>
  <dcterms:created xsi:type="dcterms:W3CDTF">2026-04-25T14:22:00Z</dcterms:created>
  <dcterms:modified xsi:type="dcterms:W3CDTF">2026-04-27T13:59:00Z</dcterms:modified>
</cp:coreProperties>
</file>