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84C507F" w14:textId="18ACFB20" w:rsidR="0011494B" w:rsidRDefault="0011494B" w:rsidP="0011494B">
      <w:pPr>
        <w:pStyle w:val="NormalWeb"/>
        <w:spacing w:before="0" w:beforeAutospacing="0" w:after="0" w:afterAutospacing="0"/>
        <w:ind w:left="-180" w:right="-334"/>
      </w:pPr>
      <w:r>
        <w:rPr>
          <w:noProof/>
        </w:rPr>
        <w:drawing>
          <wp:inline distT="0" distB="0" distL="0" distR="0" wp14:anchorId="1EB31C2B" wp14:editId="30E33D21">
            <wp:extent cx="1908175" cy="636270"/>
            <wp:effectExtent l="19050" t="19050" r="15875" b="1143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8175" cy="636270"/>
                    </a:xfrm>
                    <a:prstGeom prst="rect">
                      <a:avLst/>
                    </a:prstGeom>
                    <a:noFill/>
                    <a:ln w="19050" cmpd="sng">
                      <a:solidFill>
                        <a:srgbClr val="000000"/>
                      </a:solidFill>
                      <a:miter lim="800000"/>
                      <a:headEnd/>
                      <a:tailEnd/>
                    </a:ln>
                    <a:effectLst/>
                  </pic:spPr>
                </pic:pic>
              </a:graphicData>
            </a:graphic>
          </wp:inline>
        </w:drawing>
      </w:r>
    </w:p>
    <w:p w14:paraId="02B8FECB" w14:textId="77777777" w:rsidR="0011494B" w:rsidRDefault="0011494B" w:rsidP="0011494B">
      <w:pPr>
        <w:pStyle w:val="NormalWeb"/>
        <w:spacing w:before="0" w:beforeAutospacing="0" w:after="0" w:afterAutospacing="0"/>
        <w:ind w:left="-180" w:right="-334"/>
      </w:pPr>
    </w:p>
    <w:p w14:paraId="0E135F61" w14:textId="77777777" w:rsidR="0011494B" w:rsidRDefault="0011494B" w:rsidP="0011494B">
      <w:pPr>
        <w:pStyle w:val="NormalWeb"/>
        <w:spacing w:before="0" w:beforeAutospacing="0" w:after="0" w:afterAutospacing="0"/>
        <w:ind w:left="-180" w:right="-334"/>
      </w:pPr>
    </w:p>
    <w:p w14:paraId="183ED779" w14:textId="77777777" w:rsidR="0011494B" w:rsidRDefault="0011494B" w:rsidP="0011494B">
      <w:pPr>
        <w:pStyle w:val="NormalWeb"/>
        <w:spacing w:before="0" w:beforeAutospacing="0" w:after="0" w:afterAutospacing="0"/>
        <w:ind w:left="-180" w:right="-334"/>
        <w:jc w:val="center"/>
        <w:rPr>
          <w:rFonts w:ascii="Arial" w:hAnsi="Arial" w:cs="Arial"/>
          <w:b/>
          <w:sz w:val="28"/>
          <w:szCs w:val="28"/>
          <w:lang w:val="cy-GB"/>
        </w:rPr>
      </w:pPr>
      <w:r>
        <w:rPr>
          <w:rFonts w:ascii="Arial" w:hAnsi="Arial" w:cs="Arial"/>
          <w:b/>
          <w:sz w:val="28"/>
          <w:szCs w:val="28"/>
          <w:lang w:val="cy-GB"/>
        </w:rPr>
        <w:t xml:space="preserve">Postgraduate/Distance Learning </w:t>
      </w:r>
    </w:p>
    <w:p w14:paraId="3DDCEF29" w14:textId="77777777" w:rsidR="0011494B" w:rsidRDefault="0011494B" w:rsidP="0011494B">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Assignment coversheet &amp; feedback form</w:t>
      </w:r>
    </w:p>
    <w:p w14:paraId="5FCFC631" w14:textId="77777777" w:rsidR="0011494B" w:rsidRDefault="0011494B" w:rsidP="0011494B">
      <w:pPr>
        <w:rPr>
          <w:rFonts w:ascii="Arial" w:hAnsi="Arial" w:cs="Arial"/>
          <w:sz w:val="28"/>
          <w:szCs w:val="28"/>
          <w:lang w:val="cy-GB"/>
        </w:rPr>
      </w:pPr>
    </w:p>
    <w:p w14:paraId="40F33EE3" w14:textId="77777777" w:rsidR="0011494B" w:rsidRDefault="0011494B" w:rsidP="0011494B">
      <w:pPr>
        <w:pStyle w:val="Heading3"/>
        <w:jc w:val="center"/>
        <w:rPr>
          <w:rFonts w:eastAsia="SimSun"/>
          <w:lang w:val="cy-GB"/>
        </w:rPr>
      </w:pPr>
      <w:r>
        <w:rPr>
          <w:rFonts w:eastAsia="SimSun"/>
          <w:lang w:val="cy-GB"/>
        </w:rPr>
        <w:t>THIS SHEET MUST BE THE FIRST PAGE OF THE ASSIGNMENT YOU ARE SUBMITTING  (DO NOT SEND AS A SEPARATE FILE)</w:t>
      </w:r>
    </w:p>
    <w:p w14:paraId="4EC05252" w14:textId="77777777" w:rsidR="0011494B" w:rsidRDefault="0011494B" w:rsidP="0011494B">
      <w:pPr>
        <w:pStyle w:val="Heading3"/>
        <w:jc w:val="center"/>
        <w:rPr>
          <w:rFonts w:ascii="Trebuchet MS" w:eastAsia="SimSun"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11494B" w14:paraId="2F1F9E5C" w14:textId="77777777" w:rsidTr="0011494B">
        <w:trPr>
          <w:trHeight w:val="614"/>
        </w:trPr>
        <w:tc>
          <w:tcPr>
            <w:tcW w:w="8856" w:type="dxa"/>
            <w:gridSpan w:val="5"/>
            <w:tcBorders>
              <w:top w:val="single" w:sz="4" w:space="0" w:color="000000"/>
              <w:left w:val="single" w:sz="4" w:space="0" w:color="000000"/>
              <w:bottom w:val="single" w:sz="4" w:space="0" w:color="000000"/>
              <w:right w:val="single" w:sz="4" w:space="0" w:color="000000"/>
            </w:tcBorders>
            <w:hideMark/>
          </w:tcPr>
          <w:p w14:paraId="4322F50C" w14:textId="77777777" w:rsidR="0011494B" w:rsidRDefault="0011494B">
            <w:pPr>
              <w:pStyle w:val="NormalWeb"/>
              <w:spacing w:before="0" w:beforeAutospacing="0" w:after="0" w:afterAutospacing="0"/>
              <w:ind w:right="34"/>
              <w:rPr>
                <w:rFonts w:ascii="Arial" w:hAnsi="Arial" w:cs="Arial"/>
                <w:sz w:val="22"/>
                <w:szCs w:val="22"/>
              </w:rPr>
            </w:pPr>
            <w:r>
              <w:rPr>
                <w:rFonts w:ascii="Arial" w:hAnsi="Arial" w:cs="Arial"/>
                <w:b/>
                <w:sz w:val="22"/>
                <w:szCs w:val="22"/>
              </w:rPr>
              <w:t>For completion by the student</w:t>
            </w:r>
            <w:r>
              <w:rPr>
                <w:rFonts w:ascii="Arial" w:hAnsi="Arial" w:cs="Arial"/>
                <w:sz w:val="22"/>
                <w:szCs w:val="22"/>
              </w:rPr>
              <w:t>:</w:t>
            </w:r>
          </w:p>
        </w:tc>
      </w:tr>
      <w:tr w:rsidR="0011494B" w14:paraId="0F30EEAB" w14:textId="77777777" w:rsidTr="0011494B">
        <w:trPr>
          <w:trHeight w:val="718"/>
        </w:trPr>
        <w:tc>
          <w:tcPr>
            <w:tcW w:w="8856" w:type="dxa"/>
            <w:gridSpan w:val="5"/>
            <w:tcBorders>
              <w:top w:val="single" w:sz="4" w:space="0" w:color="000000"/>
              <w:left w:val="single" w:sz="4" w:space="0" w:color="000000"/>
              <w:bottom w:val="single" w:sz="4" w:space="0" w:color="000000"/>
              <w:right w:val="single" w:sz="4" w:space="0" w:color="000000"/>
            </w:tcBorders>
          </w:tcPr>
          <w:p w14:paraId="6B0AF075" w14:textId="570A9315" w:rsidR="0011494B" w:rsidRDefault="0011494B">
            <w:pPr>
              <w:pStyle w:val="NormalWeb"/>
              <w:spacing w:before="0" w:beforeAutospacing="0" w:after="0" w:afterAutospacing="0"/>
              <w:ind w:right="34"/>
              <w:rPr>
                <w:rFonts w:ascii="Arial" w:hAnsi="Arial" w:cs="Arial"/>
                <w:sz w:val="22"/>
                <w:szCs w:val="22"/>
              </w:rPr>
            </w:pPr>
            <w:r>
              <w:rPr>
                <w:rFonts w:ascii="Arial" w:hAnsi="Arial" w:cs="Arial"/>
                <w:sz w:val="22"/>
                <w:szCs w:val="22"/>
              </w:rPr>
              <w:t>Student Name:</w:t>
            </w:r>
            <w:r>
              <w:rPr>
                <w:rFonts w:ascii="Arial" w:hAnsi="Arial" w:cs="Arial"/>
                <w:sz w:val="22"/>
                <w:szCs w:val="22"/>
              </w:rPr>
              <w:t xml:space="preserve"> Sara El Bizri</w:t>
            </w:r>
          </w:p>
          <w:p w14:paraId="1DB7ABD2" w14:textId="77777777" w:rsidR="0011494B" w:rsidRDefault="0011494B">
            <w:pPr>
              <w:pStyle w:val="NormalWeb"/>
              <w:spacing w:before="0" w:beforeAutospacing="0" w:after="0" w:afterAutospacing="0"/>
              <w:ind w:right="34"/>
              <w:rPr>
                <w:rFonts w:ascii="Arial" w:hAnsi="Arial" w:cs="Arial"/>
                <w:sz w:val="22"/>
                <w:szCs w:val="22"/>
              </w:rPr>
            </w:pPr>
          </w:p>
          <w:p w14:paraId="2A475FBF" w14:textId="34CBE16A" w:rsidR="0011494B" w:rsidRDefault="0011494B">
            <w:pPr>
              <w:pStyle w:val="NormalWeb"/>
              <w:spacing w:before="0" w:beforeAutospacing="0" w:after="0" w:afterAutospacing="0"/>
              <w:ind w:right="34"/>
              <w:rPr>
                <w:rFonts w:ascii="Arial" w:hAnsi="Arial" w:cs="Arial"/>
                <w:sz w:val="22"/>
                <w:szCs w:val="22"/>
              </w:rPr>
            </w:pPr>
            <w:r>
              <w:rPr>
                <w:rFonts w:ascii="Arial" w:hAnsi="Arial" w:cs="Arial"/>
                <w:sz w:val="22"/>
                <w:szCs w:val="22"/>
              </w:rPr>
              <w:t xml:space="preserve">Student </w:t>
            </w:r>
            <w:r>
              <w:rPr>
                <w:rFonts w:ascii="Arial" w:hAnsi="Arial" w:cs="Arial"/>
                <w:b/>
                <w:bCs/>
                <w:sz w:val="22"/>
                <w:szCs w:val="22"/>
                <w:u w:val="single"/>
              </w:rPr>
              <w:t>University</w:t>
            </w:r>
            <w:r>
              <w:rPr>
                <w:rFonts w:ascii="Arial" w:hAnsi="Arial" w:cs="Arial"/>
                <w:sz w:val="22"/>
                <w:szCs w:val="22"/>
                <w:u w:val="single"/>
              </w:rPr>
              <w:t xml:space="preserve"> </w:t>
            </w:r>
            <w:r>
              <w:rPr>
                <w:rFonts w:ascii="Arial" w:hAnsi="Arial" w:cs="Arial"/>
                <w:sz w:val="22"/>
                <w:szCs w:val="22"/>
              </w:rPr>
              <w:t xml:space="preserve">Email: </w:t>
            </w:r>
            <w:r>
              <w:rPr>
                <w:rFonts w:ascii="Arial" w:hAnsi="Arial" w:cs="Arial"/>
                <w:sz w:val="22"/>
                <w:szCs w:val="22"/>
              </w:rPr>
              <w:t>1805674@student.uwtsd.ac.uk</w:t>
            </w:r>
          </w:p>
        </w:tc>
      </w:tr>
      <w:tr w:rsidR="0011494B" w14:paraId="40625AF2" w14:textId="77777777" w:rsidTr="0011494B">
        <w:trPr>
          <w:trHeight w:val="849"/>
        </w:trPr>
        <w:tc>
          <w:tcPr>
            <w:tcW w:w="4788" w:type="dxa"/>
            <w:tcBorders>
              <w:top w:val="single" w:sz="4" w:space="0" w:color="000000"/>
              <w:left w:val="single" w:sz="4" w:space="0" w:color="000000"/>
              <w:bottom w:val="single" w:sz="4" w:space="0" w:color="000000"/>
              <w:right w:val="single" w:sz="4" w:space="0" w:color="000000"/>
            </w:tcBorders>
          </w:tcPr>
          <w:p w14:paraId="6340C626" w14:textId="6EF68326" w:rsidR="0011494B" w:rsidRDefault="0011494B">
            <w:pPr>
              <w:pStyle w:val="NormalWeb"/>
              <w:spacing w:before="0" w:beforeAutospacing="0" w:after="0" w:afterAutospacing="0"/>
              <w:ind w:right="34"/>
              <w:rPr>
                <w:rFonts w:ascii="Arial" w:hAnsi="Arial" w:cs="Arial"/>
                <w:sz w:val="22"/>
                <w:szCs w:val="22"/>
              </w:rPr>
            </w:pPr>
            <w:r>
              <w:rPr>
                <w:rFonts w:ascii="Arial" w:hAnsi="Arial" w:cs="Arial"/>
                <w:sz w:val="22"/>
                <w:szCs w:val="22"/>
              </w:rPr>
              <w:t>Module code:</w:t>
            </w:r>
            <w:r>
              <w:rPr>
                <w:rFonts w:ascii="Arial" w:hAnsi="Arial" w:cs="Arial"/>
                <w:sz w:val="22"/>
                <w:szCs w:val="22"/>
              </w:rPr>
              <w:t xml:space="preserve"> HPCA7004</w:t>
            </w:r>
          </w:p>
          <w:p w14:paraId="46FE8A34" w14:textId="77777777" w:rsidR="0011494B" w:rsidRDefault="0011494B">
            <w:pPr>
              <w:pStyle w:val="NormalWeb"/>
              <w:spacing w:before="0" w:beforeAutospacing="0" w:after="0" w:afterAutospacing="0"/>
              <w:ind w:right="34"/>
              <w:rPr>
                <w:rFonts w:ascii="Arial" w:hAnsi="Arial" w:cs="Arial"/>
                <w:sz w:val="22"/>
                <w:szCs w:val="22"/>
              </w:rPr>
            </w:pPr>
          </w:p>
          <w:p w14:paraId="2E08C409" w14:textId="53A10F2F" w:rsidR="0011494B" w:rsidRDefault="0011494B">
            <w:pPr>
              <w:pStyle w:val="NormalWeb"/>
              <w:spacing w:before="0" w:beforeAutospacing="0" w:after="0" w:afterAutospacing="0"/>
              <w:ind w:right="34"/>
              <w:rPr>
                <w:rFonts w:ascii="Arial" w:hAnsi="Arial" w:cs="Arial"/>
                <w:sz w:val="22"/>
                <w:szCs w:val="22"/>
              </w:rPr>
            </w:pPr>
            <w:r>
              <w:rPr>
                <w:rFonts w:ascii="Arial" w:hAnsi="Arial" w:cs="Arial"/>
                <w:sz w:val="22"/>
                <w:szCs w:val="22"/>
              </w:rPr>
              <w:t>Module title:</w:t>
            </w:r>
            <w:r>
              <w:rPr>
                <w:rFonts w:ascii="Arial" w:hAnsi="Arial" w:cs="Arial"/>
                <w:sz w:val="22"/>
                <w:szCs w:val="22"/>
              </w:rPr>
              <w:t xml:space="preserve"> Sacred Geography</w:t>
            </w:r>
          </w:p>
          <w:p w14:paraId="21554A43" w14:textId="77777777" w:rsidR="0011494B" w:rsidRDefault="0011494B">
            <w:pPr>
              <w:pStyle w:val="NormalWeb"/>
              <w:spacing w:before="0" w:beforeAutospacing="0" w:after="0" w:afterAutospacing="0"/>
              <w:ind w:right="34"/>
              <w:rPr>
                <w:rFonts w:ascii="Arial" w:hAnsi="Arial" w:cs="Arial"/>
                <w:sz w:val="22"/>
                <w:szCs w:val="22"/>
              </w:rPr>
            </w:pPr>
          </w:p>
          <w:p w14:paraId="600EC0A2" w14:textId="77777777" w:rsidR="0011494B" w:rsidRDefault="0011494B">
            <w:pPr>
              <w:pStyle w:val="NormalWeb"/>
              <w:spacing w:before="0" w:beforeAutospacing="0" w:after="0" w:afterAutospacing="0"/>
              <w:ind w:right="34"/>
              <w:rPr>
                <w:rFonts w:ascii="Arial" w:hAnsi="Arial" w:cs="Arial"/>
                <w:sz w:val="22"/>
                <w:szCs w:val="22"/>
              </w:rPr>
            </w:pPr>
          </w:p>
        </w:tc>
        <w:tc>
          <w:tcPr>
            <w:tcW w:w="2266" w:type="dxa"/>
            <w:gridSpan w:val="3"/>
            <w:tcBorders>
              <w:top w:val="single" w:sz="4" w:space="0" w:color="000000"/>
              <w:left w:val="single" w:sz="4" w:space="0" w:color="000000"/>
              <w:bottom w:val="single" w:sz="4" w:space="0" w:color="000000"/>
              <w:right w:val="single" w:sz="4" w:space="0" w:color="000000"/>
            </w:tcBorders>
            <w:hideMark/>
          </w:tcPr>
          <w:p w14:paraId="29DA65E3" w14:textId="77777777" w:rsidR="0011494B" w:rsidRDefault="0011494B">
            <w:pPr>
              <w:pStyle w:val="NormalWeb"/>
              <w:spacing w:before="0" w:beforeAutospacing="0" w:after="0" w:afterAutospacing="0"/>
              <w:ind w:right="34"/>
              <w:rPr>
                <w:rFonts w:ascii="Arial" w:hAnsi="Arial" w:cs="Arial"/>
                <w:sz w:val="22"/>
                <w:szCs w:val="22"/>
              </w:rPr>
            </w:pPr>
            <w:r>
              <w:rPr>
                <w:rFonts w:ascii="Arial" w:hAnsi="Arial" w:cs="Arial"/>
                <w:sz w:val="22"/>
                <w:szCs w:val="22"/>
              </w:rPr>
              <w:t>Student ID number:</w:t>
            </w:r>
          </w:p>
          <w:p w14:paraId="5FA5687A" w14:textId="77777777" w:rsidR="0011494B" w:rsidRDefault="0011494B">
            <w:pPr>
              <w:pStyle w:val="NormalWeb"/>
              <w:spacing w:before="0" w:beforeAutospacing="0" w:after="0" w:afterAutospacing="0"/>
              <w:ind w:right="34"/>
              <w:rPr>
                <w:rFonts w:ascii="Arial" w:hAnsi="Arial" w:cs="Arial"/>
                <w:sz w:val="22"/>
                <w:szCs w:val="22"/>
              </w:rPr>
            </w:pPr>
          </w:p>
          <w:p w14:paraId="3100EDF4" w14:textId="1F6270F2" w:rsidR="0011494B" w:rsidRDefault="0011494B">
            <w:pPr>
              <w:pStyle w:val="NormalWeb"/>
              <w:spacing w:before="0" w:beforeAutospacing="0" w:after="0" w:afterAutospacing="0"/>
              <w:ind w:right="34"/>
              <w:rPr>
                <w:rFonts w:ascii="Arial" w:hAnsi="Arial" w:cs="Arial"/>
                <w:sz w:val="22"/>
                <w:szCs w:val="22"/>
              </w:rPr>
            </w:pPr>
            <w:r>
              <w:rPr>
                <w:rFonts w:ascii="Arial" w:hAnsi="Arial" w:cs="Arial"/>
                <w:sz w:val="22"/>
                <w:szCs w:val="22"/>
              </w:rPr>
              <w:t>1805674</w:t>
            </w:r>
          </w:p>
        </w:tc>
        <w:tc>
          <w:tcPr>
            <w:tcW w:w="1802" w:type="dxa"/>
            <w:tcBorders>
              <w:top w:val="single" w:sz="4" w:space="0" w:color="000000"/>
              <w:left w:val="single" w:sz="4" w:space="0" w:color="000000"/>
              <w:bottom w:val="single" w:sz="4" w:space="0" w:color="000000"/>
              <w:right w:val="single" w:sz="4" w:space="0" w:color="000000"/>
            </w:tcBorders>
            <w:hideMark/>
          </w:tcPr>
          <w:p w14:paraId="0BB58116" w14:textId="77777777" w:rsidR="0011494B" w:rsidRDefault="0011494B">
            <w:pPr>
              <w:pStyle w:val="NormalWeb"/>
              <w:spacing w:before="0" w:beforeAutospacing="0" w:after="0" w:afterAutospacing="0"/>
              <w:ind w:right="34"/>
              <w:rPr>
                <w:rFonts w:ascii="Arial" w:hAnsi="Arial" w:cs="Arial"/>
                <w:sz w:val="22"/>
                <w:szCs w:val="22"/>
              </w:rPr>
            </w:pPr>
            <w:r>
              <w:rPr>
                <w:rFonts w:ascii="Arial" w:hAnsi="Arial" w:cs="Arial"/>
                <w:sz w:val="22"/>
                <w:szCs w:val="22"/>
              </w:rPr>
              <w:t>Educational support needs:</w:t>
            </w:r>
          </w:p>
          <w:p w14:paraId="4D25DB7E" w14:textId="77777777" w:rsidR="0011494B" w:rsidRDefault="0011494B">
            <w:pPr>
              <w:pStyle w:val="NormalWeb"/>
              <w:spacing w:before="0" w:beforeAutospacing="0" w:after="0" w:afterAutospacing="0"/>
              <w:ind w:right="34"/>
              <w:rPr>
                <w:rFonts w:ascii="Arial" w:hAnsi="Arial" w:cs="Arial"/>
                <w:sz w:val="22"/>
                <w:szCs w:val="22"/>
              </w:rPr>
            </w:pPr>
            <w:r>
              <w:rPr>
                <w:rFonts w:ascii="Arial" w:hAnsi="Arial" w:cs="Arial"/>
                <w:sz w:val="22"/>
                <w:szCs w:val="22"/>
              </w:rPr>
              <w:t>Yes/No</w:t>
            </w:r>
          </w:p>
        </w:tc>
      </w:tr>
      <w:tr w:rsidR="0011494B" w14:paraId="61F14DF4" w14:textId="77777777" w:rsidTr="0011494B">
        <w:trPr>
          <w:trHeight w:val="1139"/>
        </w:trPr>
        <w:tc>
          <w:tcPr>
            <w:tcW w:w="8856" w:type="dxa"/>
            <w:gridSpan w:val="5"/>
            <w:tcBorders>
              <w:top w:val="single" w:sz="4" w:space="0" w:color="000000"/>
              <w:left w:val="single" w:sz="4" w:space="0" w:color="000000"/>
              <w:bottom w:val="single" w:sz="4" w:space="0" w:color="000000"/>
              <w:right w:val="single" w:sz="4" w:space="0" w:color="000000"/>
            </w:tcBorders>
          </w:tcPr>
          <w:p w14:paraId="1847DE84" w14:textId="2034A575" w:rsidR="0011494B" w:rsidRDefault="0011494B">
            <w:pPr>
              <w:pStyle w:val="NormalWeb"/>
              <w:spacing w:before="0" w:beforeAutospacing="0" w:after="0" w:afterAutospacing="0"/>
              <w:ind w:right="34"/>
              <w:rPr>
                <w:rFonts w:ascii="Arial" w:hAnsi="Arial" w:cs="Arial"/>
                <w:sz w:val="22"/>
                <w:szCs w:val="22"/>
              </w:rPr>
            </w:pPr>
            <w:r>
              <w:rPr>
                <w:rFonts w:ascii="Arial" w:hAnsi="Arial" w:cs="Arial"/>
                <w:sz w:val="22"/>
                <w:szCs w:val="22"/>
              </w:rPr>
              <w:t>Assignment title:</w:t>
            </w:r>
            <w:r>
              <w:rPr>
                <w:rFonts w:ascii="Arial" w:hAnsi="Arial" w:cs="Arial"/>
                <w:sz w:val="22"/>
                <w:szCs w:val="22"/>
              </w:rPr>
              <w:t xml:space="preserve">  </w:t>
            </w:r>
            <w:r>
              <w:t>Is sacred space a human construct or a natural phenomenon? Discuss this question through a research project with reference to the work of at least three theorists.</w:t>
            </w:r>
          </w:p>
          <w:p w14:paraId="18303750" w14:textId="77777777" w:rsidR="0011494B" w:rsidRDefault="0011494B">
            <w:pPr>
              <w:pStyle w:val="NormalWeb"/>
              <w:spacing w:before="0" w:beforeAutospacing="0" w:after="0" w:afterAutospacing="0"/>
              <w:ind w:right="34"/>
              <w:rPr>
                <w:rFonts w:ascii="Arial" w:hAnsi="Arial" w:cs="Arial"/>
                <w:sz w:val="22"/>
                <w:szCs w:val="22"/>
              </w:rPr>
            </w:pPr>
          </w:p>
          <w:p w14:paraId="0CC6A4E0" w14:textId="77777777" w:rsidR="0011494B" w:rsidRDefault="0011494B">
            <w:pPr>
              <w:pStyle w:val="NormalWeb"/>
              <w:spacing w:before="0" w:beforeAutospacing="0" w:after="0" w:afterAutospacing="0"/>
              <w:ind w:right="34"/>
              <w:rPr>
                <w:rFonts w:ascii="Arial" w:hAnsi="Arial" w:cs="Arial"/>
                <w:sz w:val="22"/>
                <w:szCs w:val="22"/>
              </w:rPr>
            </w:pPr>
          </w:p>
          <w:p w14:paraId="3BAFCA51" w14:textId="20E2C3BB" w:rsidR="0011494B" w:rsidRDefault="0011494B">
            <w:pPr>
              <w:pStyle w:val="NormalWeb"/>
              <w:spacing w:before="0" w:beforeAutospacing="0" w:after="0" w:afterAutospacing="0"/>
              <w:ind w:right="34"/>
              <w:rPr>
                <w:rFonts w:ascii="Arial" w:hAnsi="Arial" w:cs="Arial"/>
                <w:sz w:val="22"/>
                <w:szCs w:val="22"/>
              </w:rPr>
            </w:pPr>
            <w:r>
              <w:rPr>
                <w:rFonts w:ascii="Arial" w:hAnsi="Arial" w:cs="Arial"/>
                <w:sz w:val="22"/>
                <w:szCs w:val="22"/>
              </w:rPr>
              <w:t>Assignment due date:</w:t>
            </w:r>
            <w:r>
              <w:rPr>
                <w:rFonts w:ascii="Arial" w:hAnsi="Arial" w:cs="Arial"/>
                <w:sz w:val="22"/>
                <w:szCs w:val="22"/>
              </w:rPr>
              <w:t xml:space="preserve"> May 1</w:t>
            </w:r>
            <w:r w:rsidRPr="0011494B">
              <w:rPr>
                <w:rFonts w:ascii="Arial" w:hAnsi="Arial" w:cs="Arial"/>
                <w:sz w:val="22"/>
                <w:szCs w:val="22"/>
                <w:vertAlign w:val="superscript"/>
              </w:rPr>
              <w:t>st</w:t>
            </w:r>
            <w:proofErr w:type="gramStart"/>
            <w:r>
              <w:rPr>
                <w:rFonts w:ascii="Arial" w:hAnsi="Arial" w:cs="Arial"/>
                <w:sz w:val="22"/>
                <w:szCs w:val="22"/>
              </w:rPr>
              <w:t xml:space="preserve"> 2020</w:t>
            </w:r>
            <w:proofErr w:type="gramEnd"/>
            <w:r>
              <w:rPr>
                <w:rFonts w:ascii="Arial" w:hAnsi="Arial" w:cs="Arial"/>
                <w:sz w:val="22"/>
                <w:szCs w:val="22"/>
              </w:rPr>
              <w:t xml:space="preserve"> </w:t>
            </w:r>
          </w:p>
        </w:tc>
      </w:tr>
      <w:tr w:rsidR="0011494B" w14:paraId="55E00085" w14:textId="77777777" w:rsidTr="0011494B">
        <w:trPr>
          <w:trHeight w:val="978"/>
        </w:trPr>
        <w:tc>
          <w:tcPr>
            <w:tcW w:w="8856" w:type="dxa"/>
            <w:gridSpan w:val="5"/>
            <w:tcBorders>
              <w:top w:val="single" w:sz="4" w:space="0" w:color="000000"/>
              <w:left w:val="single" w:sz="4" w:space="0" w:color="000000"/>
              <w:bottom w:val="single" w:sz="4" w:space="0" w:color="000000"/>
              <w:right w:val="single" w:sz="4" w:space="0" w:color="000000"/>
            </w:tcBorders>
            <w:hideMark/>
          </w:tcPr>
          <w:p w14:paraId="01488341" w14:textId="77777777" w:rsidR="0011494B" w:rsidRDefault="0011494B">
            <w:pPr>
              <w:rPr>
                <w:rFonts w:ascii="Arial" w:hAnsi="Arial" w:cs="Arial"/>
              </w:rPr>
            </w:pPr>
            <w:r>
              <w:rPr>
                <w:rFonts w:ascii="Arial" w:hAnsi="Arial" w:cs="Arial"/>
              </w:rPr>
              <w:t>This assignment is for the       1</w:t>
            </w:r>
            <w:r>
              <w:rPr>
                <w:rFonts w:ascii="Arial" w:hAnsi="Arial" w:cs="Arial"/>
                <w:vertAlign w:val="superscript"/>
              </w:rPr>
              <w:t xml:space="preserve">st </w:t>
            </w:r>
            <w:r>
              <w:rPr>
                <w:rFonts w:ascii="Arial" w:hAnsi="Arial" w:cs="Arial"/>
              </w:rPr>
              <w:fldChar w:fldCharType="begin">
                <w:ffData>
                  <w:name w:val="Check13"/>
                  <w:enabled/>
                  <w:calcOnExit w:val="0"/>
                  <w:checkBox>
                    <w:sizeAuto/>
                    <w:default w:val="0"/>
                  </w:checkBox>
                </w:ffData>
              </w:fldChar>
            </w:r>
            <w:bookmarkStart w:id="0" w:name="Check13"/>
            <w:r>
              <w:rPr>
                <w:rFonts w:ascii="Arial" w:hAnsi="Arial" w:cs="Arial"/>
              </w:rPr>
              <w:instrText xml:space="preserve"> FORMCHECKBOX </w:instrText>
            </w:r>
            <w:r>
              <w:rPr>
                <w:rFonts w:ascii="Times New Roman" w:hAnsi="Times New Roman" w:cs="Times New Roman"/>
                <w:sz w:val="24"/>
                <w:szCs w:val="24"/>
              </w:rPr>
              <w:fldChar w:fldCharType="end"/>
            </w:r>
            <w:bookmarkEnd w:id="0"/>
            <w:r>
              <w:rPr>
                <w:rFonts w:ascii="Arial" w:hAnsi="Arial" w:cs="Arial"/>
              </w:rPr>
              <w:t xml:space="preserve">    2</w:t>
            </w:r>
            <w:r>
              <w:rPr>
                <w:rFonts w:ascii="Arial" w:hAnsi="Arial" w:cs="Arial"/>
                <w:vertAlign w:val="superscript"/>
              </w:rPr>
              <w:t>nd</w:t>
            </w:r>
            <w:r>
              <w:rPr>
                <w:rFonts w:ascii="Arial" w:hAnsi="Arial" w:cs="Arial"/>
              </w:rPr>
              <w:t xml:space="preserve">  </w:t>
            </w:r>
            <w:r>
              <w:rPr>
                <w:rFonts w:ascii="Arial" w:hAnsi="Arial" w:cs="Arial"/>
              </w:rPr>
              <w:fldChar w:fldCharType="begin">
                <w:ffData>
                  <w:name w:val="Check14"/>
                  <w:enabled/>
                  <w:calcOnExit w:val="0"/>
                  <w:checkBox>
                    <w:sizeAuto/>
                    <w:default w:val="0"/>
                  </w:checkBox>
                </w:ffData>
              </w:fldChar>
            </w:r>
            <w:bookmarkStart w:id="1" w:name="Check14"/>
            <w:r>
              <w:rPr>
                <w:rFonts w:ascii="Arial" w:hAnsi="Arial" w:cs="Arial"/>
              </w:rPr>
              <w:instrText xml:space="preserve"> FORMCHECKBOX </w:instrText>
            </w:r>
            <w:r>
              <w:rPr>
                <w:rFonts w:ascii="Times New Roman" w:hAnsi="Times New Roman" w:cs="Times New Roman"/>
                <w:sz w:val="24"/>
                <w:szCs w:val="24"/>
              </w:rPr>
              <w:fldChar w:fldCharType="end"/>
            </w:r>
            <w:bookmarkEnd w:id="1"/>
            <w:r>
              <w:rPr>
                <w:rFonts w:ascii="Arial" w:hAnsi="Arial" w:cs="Arial"/>
              </w:rPr>
              <w:t xml:space="preserve">     3</w:t>
            </w:r>
            <w:r>
              <w:rPr>
                <w:rFonts w:ascii="Arial" w:hAnsi="Arial" w:cs="Arial"/>
                <w:vertAlign w:val="superscript"/>
              </w:rPr>
              <w:t>rd</w:t>
            </w:r>
            <w:r>
              <w:rPr>
                <w:rFonts w:ascii="Arial" w:hAnsi="Arial" w:cs="Arial"/>
              </w:rPr>
              <w:t xml:space="preserve">  </w:t>
            </w:r>
            <w:r>
              <w:rPr>
                <w:rFonts w:ascii="Arial" w:hAnsi="Arial" w:cs="Arial"/>
              </w:rPr>
              <w:fldChar w:fldCharType="begin">
                <w:ffData>
                  <w:name w:val="Check15"/>
                  <w:enabled/>
                  <w:calcOnExit w:val="0"/>
                  <w:checkBox>
                    <w:sizeAuto/>
                    <w:default w:val="0"/>
                  </w:checkBox>
                </w:ffData>
              </w:fldChar>
            </w:r>
            <w:bookmarkStart w:id="2" w:name="Check15"/>
            <w:r>
              <w:rPr>
                <w:rFonts w:ascii="Arial" w:hAnsi="Arial" w:cs="Arial"/>
              </w:rPr>
              <w:instrText xml:space="preserve"> FORMCHECKBOX </w:instrText>
            </w:r>
            <w:r>
              <w:rPr>
                <w:rFonts w:ascii="Times New Roman" w:hAnsi="Times New Roman" w:cs="Times New Roman"/>
                <w:sz w:val="24"/>
                <w:szCs w:val="24"/>
              </w:rPr>
              <w:fldChar w:fldCharType="end"/>
            </w:r>
            <w:bookmarkEnd w:id="2"/>
            <w:r>
              <w:rPr>
                <w:rFonts w:ascii="Arial" w:hAnsi="Arial" w:cs="Arial"/>
              </w:rPr>
              <w:t xml:space="preserve">      4</w:t>
            </w:r>
            <w:r>
              <w:rPr>
                <w:rFonts w:ascii="Arial" w:hAnsi="Arial" w:cs="Arial"/>
                <w:vertAlign w:val="superscript"/>
              </w:rPr>
              <w:t>th</w:t>
            </w:r>
            <w:r>
              <w:rPr>
                <w:rFonts w:ascii="Arial" w:hAnsi="Arial" w:cs="Arial"/>
              </w:rPr>
              <w:t xml:space="preserve"> </w:t>
            </w:r>
            <w:r>
              <w:rPr>
                <w:rFonts w:ascii="Arial" w:hAnsi="Arial" w:cs="Arial"/>
              </w:rPr>
              <w:fldChar w:fldCharType="begin">
                <w:ffData>
                  <w:name w:val="Check16"/>
                  <w:enabled/>
                  <w:calcOnExit w:val="0"/>
                  <w:checkBox>
                    <w:sizeAuto/>
                    <w:default w:val="0"/>
                  </w:checkBox>
                </w:ffData>
              </w:fldChar>
            </w:r>
            <w:bookmarkStart w:id="3" w:name="Check16"/>
            <w:r>
              <w:rPr>
                <w:rFonts w:ascii="Arial" w:hAnsi="Arial" w:cs="Arial"/>
              </w:rPr>
              <w:instrText xml:space="preserve"> FORMCHECKBOX </w:instrText>
            </w:r>
            <w:r>
              <w:rPr>
                <w:rFonts w:ascii="Times New Roman" w:hAnsi="Times New Roman" w:cs="Times New Roman"/>
                <w:sz w:val="24"/>
                <w:szCs w:val="24"/>
              </w:rPr>
              <w:fldChar w:fldCharType="end"/>
            </w:r>
            <w:bookmarkEnd w:id="3"/>
            <w:r>
              <w:rPr>
                <w:rFonts w:ascii="Arial" w:hAnsi="Arial" w:cs="Arial"/>
              </w:rPr>
              <w:t xml:space="preserve">      5</w:t>
            </w:r>
            <w:r>
              <w:rPr>
                <w:rFonts w:ascii="Arial" w:hAnsi="Arial" w:cs="Arial"/>
                <w:vertAlign w:val="superscript"/>
              </w:rPr>
              <w:t>th</w:t>
            </w:r>
            <w:r>
              <w:rPr>
                <w:rFonts w:ascii="Arial" w:hAnsi="Arial" w:cs="Arial"/>
              </w:rPr>
              <w:t xml:space="preserve"> </w:t>
            </w:r>
            <w:r>
              <w:rPr>
                <w:rFonts w:ascii="Arial" w:hAnsi="Arial" w:cs="Arial"/>
              </w:rPr>
              <w:fldChar w:fldCharType="begin">
                <w:ffData>
                  <w:name w:val="Check17"/>
                  <w:enabled/>
                  <w:calcOnExit w:val="0"/>
                  <w:checkBox>
                    <w:sizeAuto/>
                    <w:default w:val="0"/>
                  </w:checkBox>
                </w:ffData>
              </w:fldChar>
            </w:r>
            <w:bookmarkStart w:id="4" w:name="Check17"/>
            <w:r>
              <w:rPr>
                <w:rFonts w:ascii="Arial" w:hAnsi="Arial" w:cs="Arial"/>
              </w:rPr>
              <w:instrText xml:space="preserve"> FORMCHECKBOX </w:instrText>
            </w:r>
            <w:r>
              <w:rPr>
                <w:rFonts w:ascii="Times New Roman" w:hAnsi="Times New Roman" w:cs="Times New Roman"/>
                <w:sz w:val="24"/>
                <w:szCs w:val="24"/>
              </w:rPr>
              <w:fldChar w:fldCharType="end"/>
            </w:r>
            <w:bookmarkEnd w:id="4"/>
            <w:r>
              <w:rPr>
                <w:rFonts w:ascii="Arial" w:hAnsi="Arial" w:cs="Arial"/>
              </w:rPr>
              <w:t xml:space="preserve">      6</w:t>
            </w:r>
            <w:r>
              <w:rPr>
                <w:rFonts w:ascii="Arial" w:hAnsi="Arial" w:cs="Arial"/>
                <w:vertAlign w:val="superscript"/>
              </w:rPr>
              <w:t>th</w:t>
            </w:r>
            <w:r>
              <w:rPr>
                <w:rFonts w:ascii="Arial" w:hAnsi="Arial" w:cs="Arial"/>
              </w:rPr>
              <w:t xml:space="preserve"> </w:t>
            </w:r>
            <w:r>
              <w:rPr>
                <w:rFonts w:ascii="Arial" w:hAnsi="Arial" w:cs="Arial"/>
              </w:rPr>
              <w:fldChar w:fldCharType="begin">
                <w:ffData>
                  <w:name w:val="Check18"/>
                  <w:enabled/>
                  <w:calcOnExit w:val="0"/>
                  <w:checkBox>
                    <w:sizeAuto/>
                    <w:default w:val="0"/>
                  </w:checkBox>
                </w:ffData>
              </w:fldChar>
            </w:r>
            <w:bookmarkStart w:id="5" w:name="Check18"/>
            <w:r>
              <w:rPr>
                <w:rFonts w:ascii="Arial" w:hAnsi="Arial" w:cs="Arial"/>
              </w:rPr>
              <w:instrText xml:space="preserve"> FORMCHECKBOX </w:instrText>
            </w:r>
            <w:r>
              <w:rPr>
                <w:rFonts w:ascii="Times New Roman" w:hAnsi="Times New Roman" w:cs="Times New Roman"/>
                <w:sz w:val="24"/>
                <w:szCs w:val="24"/>
              </w:rPr>
              <w:fldChar w:fldCharType="end"/>
            </w:r>
            <w:bookmarkEnd w:id="5"/>
            <w:r>
              <w:rPr>
                <w:rFonts w:ascii="Arial" w:hAnsi="Arial" w:cs="Arial"/>
                <w:b/>
              </w:rPr>
              <w:t xml:space="preserve">   </w:t>
            </w:r>
            <w:r>
              <w:rPr>
                <w:rFonts w:ascii="Arial" w:hAnsi="Arial" w:cs="Arial"/>
              </w:rPr>
              <w:t>module of the degree</w:t>
            </w:r>
          </w:p>
        </w:tc>
      </w:tr>
      <w:tr w:rsidR="0011494B" w14:paraId="2299DFD9" w14:textId="77777777" w:rsidTr="0011494B">
        <w:trPr>
          <w:trHeight w:val="978"/>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D9D9D9"/>
            <w:hideMark/>
          </w:tcPr>
          <w:p w14:paraId="0D80D918" w14:textId="77777777" w:rsidR="0011494B" w:rsidRDefault="0011494B">
            <w:pPr>
              <w:pStyle w:val="NormalWeb"/>
              <w:spacing w:before="0" w:beforeAutospacing="0" w:after="0" w:afterAutospacing="0"/>
              <w:ind w:right="34"/>
              <w:rPr>
                <w:rFonts w:ascii="Arial" w:hAnsi="Arial" w:cs="Arial"/>
                <w:sz w:val="22"/>
                <w:szCs w:val="22"/>
              </w:rPr>
            </w:pPr>
            <w:r>
              <w:rPr>
                <w:rFonts w:ascii="Arial" w:hAnsi="Arial" w:cs="Arial"/>
                <w:sz w:val="22"/>
                <w:szCs w:val="22"/>
              </w:rPr>
              <w:t>I confirm that this is my original work and that I have adhered to the University policy on plagiarism.</w:t>
            </w:r>
          </w:p>
          <w:p w14:paraId="23152671" w14:textId="50C08DA4" w:rsidR="0011494B" w:rsidRDefault="0011494B">
            <w:pPr>
              <w:pStyle w:val="NormalWeb"/>
              <w:spacing w:before="0" w:beforeAutospacing="0" w:after="0" w:afterAutospacing="0"/>
              <w:ind w:right="34"/>
              <w:rPr>
                <w:rFonts w:ascii="Arial" w:hAnsi="Arial" w:cs="Arial"/>
                <w:sz w:val="22"/>
                <w:szCs w:val="22"/>
              </w:rPr>
            </w:pPr>
            <w:r>
              <w:rPr>
                <w:rFonts w:ascii="Arial" w:hAnsi="Arial" w:cs="Arial"/>
                <w:sz w:val="22"/>
                <w:szCs w:val="22"/>
              </w:rPr>
              <w:t>Signed …………………</w:t>
            </w:r>
            <w:r>
              <w:rPr>
                <w:rFonts w:ascii="Arial" w:hAnsi="Arial" w:cs="Arial"/>
                <w:sz w:val="22"/>
                <w:szCs w:val="22"/>
              </w:rPr>
              <w:t>Sara El Bizri</w:t>
            </w:r>
            <w:r>
              <w:rPr>
                <w:rFonts w:ascii="Arial" w:hAnsi="Arial" w:cs="Arial"/>
                <w:sz w:val="22"/>
                <w:szCs w:val="22"/>
              </w:rPr>
              <w:t>…………………………………………</w:t>
            </w:r>
          </w:p>
          <w:p w14:paraId="7D7083C8" w14:textId="77777777" w:rsidR="0011494B" w:rsidRDefault="0011494B">
            <w:pPr>
              <w:pStyle w:val="NormalWeb"/>
              <w:spacing w:before="0" w:beforeAutospacing="0" w:after="0" w:afterAutospacing="0"/>
              <w:ind w:right="34"/>
              <w:rPr>
                <w:rFonts w:ascii="Calibri" w:hAnsi="Calibri"/>
                <w:b/>
                <w:sz w:val="44"/>
                <w:szCs w:val="44"/>
              </w:rPr>
            </w:pPr>
            <w:r>
              <w:rPr>
                <w:rFonts w:ascii="Calibri" w:hAnsi="Calibri" w:cs="Tahoma"/>
                <w:b/>
                <w:sz w:val="24"/>
                <w:szCs w:val="24"/>
              </w:rPr>
              <w:t xml:space="preserve">Email </w:t>
            </w:r>
            <w:proofErr w:type="spellStart"/>
            <w:proofErr w:type="gramStart"/>
            <w:r>
              <w:rPr>
                <w:rFonts w:ascii="Calibri" w:hAnsi="Calibri" w:cs="Tahoma"/>
                <w:b/>
                <w:sz w:val="24"/>
                <w:szCs w:val="24"/>
              </w:rPr>
              <w:t>submission:if</w:t>
            </w:r>
            <w:proofErr w:type="spellEnd"/>
            <w:proofErr w:type="gramEnd"/>
            <w:r>
              <w:rPr>
                <w:rFonts w:ascii="Calibri" w:hAnsi="Calibri" w:cs="Tahoma"/>
                <w:b/>
                <w:sz w:val="24"/>
                <w:szCs w:val="24"/>
              </w:rPr>
              <w:t xml:space="preserve"> you are submitting this form via email, please tick this box </w:t>
            </w:r>
            <w:r>
              <w:rPr>
                <w:rFonts w:ascii="Calibri" w:hAnsi="Calibri"/>
                <w:b/>
                <w:sz w:val="44"/>
                <w:szCs w:val="44"/>
              </w:rPr>
              <w:t>□</w:t>
            </w:r>
          </w:p>
          <w:p w14:paraId="607C7B7A" w14:textId="77777777" w:rsidR="0011494B" w:rsidRDefault="0011494B">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11494B" w14:paraId="165FB689" w14:textId="77777777" w:rsidTr="0011494B">
        <w:trPr>
          <w:trHeight w:val="3972"/>
        </w:trPr>
        <w:tc>
          <w:tcPr>
            <w:tcW w:w="8856" w:type="dxa"/>
            <w:gridSpan w:val="5"/>
            <w:tcBorders>
              <w:top w:val="single" w:sz="4" w:space="0" w:color="000000"/>
              <w:left w:val="single" w:sz="4" w:space="0" w:color="000000"/>
              <w:bottom w:val="single" w:sz="4" w:space="0" w:color="000000"/>
              <w:right w:val="single" w:sz="4" w:space="0" w:color="000000"/>
            </w:tcBorders>
          </w:tcPr>
          <w:p w14:paraId="042D4A39" w14:textId="77777777" w:rsidR="0011494B" w:rsidRDefault="0011494B">
            <w:pPr>
              <w:rPr>
                <w:rFonts w:ascii="Arial" w:hAnsi="Arial" w:cs="Times New Roman"/>
                <w:b/>
                <w:sz w:val="24"/>
                <w:szCs w:val="24"/>
              </w:rPr>
            </w:pPr>
          </w:p>
          <w:p w14:paraId="58851DA2" w14:textId="77777777" w:rsidR="0011494B" w:rsidRDefault="0011494B">
            <w:pPr>
              <w:rPr>
                <w:rFonts w:ascii="Arial" w:hAnsi="Arial"/>
              </w:rPr>
            </w:pPr>
            <w:r>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11494B" w14:paraId="18F9E387" w14:textId="77777777">
              <w:tc>
                <w:tcPr>
                  <w:tcW w:w="6970" w:type="dxa"/>
                  <w:tcBorders>
                    <w:top w:val="single" w:sz="4" w:space="0" w:color="auto"/>
                    <w:left w:val="single" w:sz="4" w:space="0" w:color="auto"/>
                    <w:bottom w:val="single" w:sz="4" w:space="0" w:color="auto"/>
                    <w:right w:val="single" w:sz="4" w:space="0" w:color="auto"/>
                  </w:tcBorders>
                </w:tcPr>
                <w:p w14:paraId="05CEC126" w14:textId="77777777" w:rsidR="0011494B" w:rsidRDefault="0011494B">
                  <w:pPr>
                    <w:rPr>
                      <w:rFonts w:ascii="Arial" w:hAnsi="Arial"/>
                      <w:sz w:val="20"/>
                      <w:szCs w:val="20"/>
                    </w:rPr>
                  </w:pPr>
                </w:p>
                <w:p w14:paraId="67D4747E" w14:textId="77777777" w:rsidR="0011494B" w:rsidRDefault="0011494B">
                  <w:pPr>
                    <w:rPr>
                      <w:rFonts w:ascii="Arial" w:hAnsi="Arial"/>
                      <w:sz w:val="20"/>
                      <w:szCs w:val="20"/>
                    </w:rPr>
                  </w:pPr>
                  <w:r>
                    <w:rPr>
                      <w:rFonts w:ascii="Arial" w:hAnsi="Arial"/>
                      <w:sz w:val="20"/>
                      <w:szCs w:val="20"/>
                    </w:rPr>
                    <w:t>1</w:t>
                  </w:r>
                  <w:r>
                    <w:rPr>
                      <w:rFonts w:ascii="Arial" w:hAnsi="Arial"/>
                      <w:sz w:val="20"/>
                      <w:szCs w:val="20"/>
                      <w:vertAlign w:val="superscript"/>
                    </w:rPr>
                    <w:t>st</w:t>
                  </w:r>
                  <w:r>
                    <w:rPr>
                      <w:rFonts w:ascii="Arial" w:hAnsi="Arial"/>
                      <w:sz w:val="20"/>
                      <w:szCs w:val="20"/>
                    </w:rPr>
                    <w:t xml:space="preserve"> Marker’s Provisional mark</w:t>
                  </w:r>
                </w:p>
              </w:tc>
              <w:tc>
                <w:tcPr>
                  <w:tcW w:w="1660" w:type="dxa"/>
                  <w:tcBorders>
                    <w:top w:val="single" w:sz="4" w:space="0" w:color="auto"/>
                    <w:left w:val="single" w:sz="4" w:space="0" w:color="auto"/>
                    <w:bottom w:val="single" w:sz="4" w:space="0" w:color="auto"/>
                    <w:right w:val="single" w:sz="4" w:space="0" w:color="auto"/>
                  </w:tcBorders>
                </w:tcPr>
                <w:p w14:paraId="5C85ED9F" w14:textId="77777777" w:rsidR="0011494B" w:rsidRDefault="0011494B">
                  <w:pPr>
                    <w:rPr>
                      <w:rFonts w:ascii="Arial" w:hAnsi="Arial"/>
                      <w:sz w:val="20"/>
                      <w:szCs w:val="20"/>
                    </w:rPr>
                  </w:pPr>
                </w:p>
              </w:tc>
            </w:tr>
            <w:tr w:rsidR="0011494B" w14:paraId="11EC24DC" w14:textId="77777777">
              <w:tc>
                <w:tcPr>
                  <w:tcW w:w="6970" w:type="dxa"/>
                  <w:tcBorders>
                    <w:top w:val="single" w:sz="4" w:space="0" w:color="auto"/>
                    <w:left w:val="single" w:sz="4" w:space="0" w:color="auto"/>
                    <w:bottom w:val="single" w:sz="4" w:space="0" w:color="auto"/>
                    <w:right w:val="single" w:sz="4" w:space="0" w:color="auto"/>
                  </w:tcBorders>
                </w:tcPr>
                <w:p w14:paraId="459A61B3" w14:textId="77777777" w:rsidR="0011494B" w:rsidRDefault="0011494B">
                  <w:pPr>
                    <w:rPr>
                      <w:rFonts w:ascii="Arial" w:hAnsi="Arial"/>
                      <w:sz w:val="20"/>
                      <w:szCs w:val="20"/>
                    </w:rPr>
                  </w:pPr>
                </w:p>
                <w:p w14:paraId="4EA2D795" w14:textId="77777777" w:rsidR="0011494B" w:rsidRDefault="0011494B">
                  <w:pPr>
                    <w:rPr>
                      <w:rFonts w:ascii="Arial" w:hAnsi="Arial"/>
                      <w:sz w:val="20"/>
                      <w:szCs w:val="20"/>
                    </w:rPr>
                  </w:pPr>
                  <w:r>
                    <w:rPr>
                      <w:rFonts w:ascii="Arial" w:hAnsi="Arial"/>
                      <w:sz w:val="20"/>
                      <w:szCs w:val="20"/>
                    </w:rPr>
                    <w:t>2</w:t>
                  </w:r>
                  <w:r>
                    <w:rPr>
                      <w:rFonts w:ascii="Arial" w:hAnsi="Arial"/>
                      <w:sz w:val="20"/>
                      <w:szCs w:val="20"/>
                      <w:vertAlign w:val="superscript"/>
                    </w:rPr>
                    <w:t>nd</w:t>
                  </w:r>
                  <w:r>
                    <w:rPr>
                      <w:rFonts w:ascii="Arial" w:hAnsi="Arial"/>
                      <w:sz w:val="20"/>
                      <w:szCs w:val="20"/>
                    </w:rPr>
                    <w:t xml:space="preserve"> Marker’s/Moderator’s provisional mark</w:t>
                  </w:r>
                </w:p>
              </w:tc>
              <w:tc>
                <w:tcPr>
                  <w:tcW w:w="1660" w:type="dxa"/>
                  <w:tcBorders>
                    <w:top w:val="single" w:sz="4" w:space="0" w:color="auto"/>
                    <w:left w:val="single" w:sz="4" w:space="0" w:color="auto"/>
                    <w:bottom w:val="single" w:sz="4" w:space="0" w:color="auto"/>
                    <w:right w:val="single" w:sz="4" w:space="0" w:color="auto"/>
                  </w:tcBorders>
                </w:tcPr>
                <w:p w14:paraId="58355AE0" w14:textId="77777777" w:rsidR="0011494B" w:rsidRDefault="0011494B">
                  <w:pPr>
                    <w:rPr>
                      <w:rFonts w:ascii="Arial" w:hAnsi="Arial"/>
                      <w:sz w:val="20"/>
                      <w:szCs w:val="20"/>
                    </w:rPr>
                  </w:pPr>
                </w:p>
              </w:tc>
            </w:tr>
            <w:tr w:rsidR="0011494B" w14:paraId="504F193D" w14:textId="77777777">
              <w:tc>
                <w:tcPr>
                  <w:tcW w:w="6970" w:type="dxa"/>
                  <w:tcBorders>
                    <w:top w:val="single" w:sz="4" w:space="0" w:color="auto"/>
                    <w:left w:val="single" w:sz="4" w:space="0" w:color="auto"/>
                    <w:bottom w:val="single" w:sz="4" w:space="0" w:color="auto"/>
                    <w:right w:val="single" w:sz="4" w:space="0" w:color="auto"/>
                  </w:tcBorders>
                </w:tcPr>
                <w:p w14:paraId="2B4ECB76" w14:textId="77777777" w:rsidR="0011494B" w:rsidRDefault="0011494B">
                  <w:pPr>
                    <w:rPr>
                      <w:rFonts w:ascii="Arial" w:hAnsi="Arial"/>
                      <w:sz w:val="20"/>
                      <w:szCs w:val="20"/>
                    </w:rPr>
                  </w:pPr>
                </w:p>
                <w:p w14:paraId="08E048E9" w14:textId="77777777" w:rsidR="0011494B" w:rsidRDefault="0011494B">
                  <w:pPr>
                    <w:rPr>
                      <w:rFonts w:ascii="Arial" w:hAnsi="Arial"/>
                      <w:sz w:val="20"/>
                      <w:szCs w:val="20"/>
                    </w:rPr>
                  </w:pPr>
                  <w:r>
                    <w:rPr>
                      <w:rFonts w:ascii="Arial" w:hAnsi="Arial"/>
                      <w:sz w:val="20"/>
                      <w:szCs w:val="20"/>
                    </w:rPr>
                    <w:t>External Examiner’s mark (if relevant)</w:t>
                  </w:r>
                </w:p>
              </w:tc>
              <w:tc>
                <w:tcPr>
                  <w:tcW w:w="1660" w:type="dxa"/>
                  <w:tcBorders>
                    <w:top w:val="single" w:sz="4" w:space="0" w:color="auto"/>
                    <w:left w:val="single" w:sz="4" w:space="0" w:color="auto"/>
                    <w:bottom w:val="single" w:sz="4" w:space="0" w:color="auto"/>
                    <w:right w:val="single" w:sz="4" w:space="0" w:color="auto"/>
                  </w:tcBorders>
                </w:tcPr>
                <w:p w14:paraId="1F59BA5C" w14:textId="77777777" w:rsidR="0011494B" w:rsidRDefault="0011494B">
                  <w:pPr>
                    <w:rPr>
                      <w:rFonts w:ascii="Arial" w:hAnsi="Arial"/>
                      <w:sz w:val="20"/>
                      <w:szCs w:val="20"/>
                    </w:rPr>
                  </w:pPr>
                </w:p>
              </w:tc>
            </w:tr>
            <w:tr w:rsidR="0011494B" w14:paraId="52F1B906" w14:textId="77777777">
              <w:tc>
                <w:tcPr>
                  <w:tcW w:w="6970" w:type="dxa"/>
                  <w:tcBorders>
                    <w:top w:val="single" w:sz="4" w:space="0" w:color="auto"/>
                    <w:left w:val="single" w:sz="4" w:space="0" w:color="auto"/>
                    <w:bottom w:val="single" w:sz="4" w:space="0" w:color="auto"/>
                    <w:right w:val="single" w:sz="4" w:space="0" w:color="auto"/>
                  </w:tcBorders>
                </w:tcPr>
                <w:p w14:paraId="05880D62" w14:textId="77777777" w:rsidR="0011494B" w:rsidRDefault="0011494B">
                  <w:pPr>
                    <w:rPr>
                      <w:rFonts w:ascii="Arial" w:hAnsi="Arial"/>
                      <w:sz w:val="20"/>
                      <w:szCs w:val="20"/>
                    </w:rPr>
                  </w:pPr>
                </w:p>
                <w:p w14:paraId="4F76225F" w14:textId="77777777" w:rsidR="0011494B" w:rsidRDefault="0011494B">
                  <w:pPr>
                    <w:rPr>
                      <w:rFonts w:ascii="Arial" w:hAnsi="Arial"/>
                      <w:b/>
                      <w:sz w:val="20"/>
                      <w:szCs w:val="20"/>
                    </w:rPr>
                  </w:pPr>
                  <w:r>
                    <w:rPr>
                      <w:rFonts w:ascii="Arial" w:hAnsi="Arial"/>
                      <w:b/>
                      <w:sz w:val="20"/>
                      <w:szCs w:val="20"/>
                    </w:rPr>
                    <w:t>Final Mark</w:t>
                  </w:r>
                </w:p>
                <w:p w14:paraId="02117214" w14:textId="77777777" w:rsidR="0011494B" w:rsidRDefault="0011494B">
                  <w:pPr>
                    <w:rPr>
                      <w:rFonts w:ascii="Arial" w:hAnsi="Arial"/>
                      <w:sz w:val="20"/>
                      <w:szCs w:val="20"/>
                    </w:rPr>
                  </w:pPr>
                </w:p>
              </w:tc>
              <w:tc>
                <w:tcPr>
                  <w:tcW w:w="1660" w:type="dxa"/>
                  <w:tcBorders>
                    <w:top w:val="single" w:sz="4" w:space="0" w:color="auto"/>
                    <w:left w:val="single" w:sz="4" w:space="0" w:color="auto"/>
                    <w:bottom w:val="single" w:sz="4" w:space="0" w:color="auto"/>
                    <w:right w:val="single" w:sz="4" w:space="0" w:color="auto"/>
                  </w:tcBorders>
                </w:tcPr>
                <w:p w14:paraId="72521B64" w14:textId="77777777" w:rsidR="0011494B" w:rsidRDefault="0011494B">
                  <w:pPr>
                    <w:rPr>
                      <w:rFonts w:ascii="Arial" w:hAnsi="Arial"/>
                      <w:sz w:val="20"/>
                      <w:szCs w:val="20"/>
                    </w:rPr>
                  </w:pPr>
                </w:p>
              </w:tc>
            </w:tr>
          </w:tbl>
          <w:p w14:paraId="1E54091A" w14:textId="77777777" w:rsidR="0011494B" w:rsidRDefault="0011494B">
            <w:pPr>
              <w:pStyle w:val="NormalWeb"/>
              <w:spacing w:before="0" w:beforeAutospacing="0" w:after="0" w:afterAutospacing="0"/>
              <w:ind w:left="142" w:right="34"/>
              <w:rPr>
                <w:rFonts w:ascii="Arial" w:hAnsi="Arial" w:cs="Arial"/>
                <w:b/>
                <w:sz w:val="22"/>
                <w:szCs w:val="22"/>
              </w:rPr>
            </w:pPr>
          </w:p>
          <w:p w14:paraId="18EDEFD5" w14:textId="77777777" w:rsidR="0011494B" w:rsidRDefault="0011494B">
            <w:pPr>
              <w:pStyle w:val="NormalWeb"/>
              <w:spacing w:before="0" w:beforeAutospacing="0" w:after="0" w:afterAutospacing="0"/>
              <w:ind w:left="142" w:right="34"/>
              <w:rPr>
                <w:rFonts w:ascii="Arial" w:hAnsi="Arial" w:cs="Arial"/>
                <w:sz w:val="22"/>
                <w:szCs w:val="22"/>
              </w:rPr>
            </w:pPr>
            <w:r>
              <w:rPr>
                <w:rFonts w:ascii="Arial" w:hAnsi="Arial" w:cs="Arial"/>
                <w:b/>
                <w:sz w:val="22"/>
                <w:szCs w:val="22"/>
              </w:rPr>
              <w:t>NB.</w:t>
            </w:r>
            <w:r>
              <w:rPr>
                <w:rFonts w:ascii="Arial" w:hAnsi="Arial" w:cs="Arial"/>
                <w:sz w:val="22"/>
                <w:szCs w:val="22"/>
              </w:rPr>
              <w:t xml:space="preserve">  All marks are provisional until confirmed by the Final Examination Board.</w:t>
            </w:r>
          </w:p>
          <w:p w14:paraId="7B16797E" w14:textId="77777777" w:rsidR="0011494B" w:rsidRDefault="0011494B">
            <w:pPr>
              <w:pStyle w:val="NormalWeb"/>
              <w:spacing w:before="0" w:beforeAutospacing="0" w:after="0" w:afterAutospacing="0"/>
              <w:rPr>
                <w:rFonts w:ascii="Arial" w:hAnsi="Arial" w:cs="Arial"/>
                <w:b/>
                <w:sz w:val="22"/>
                <w:szCs w:val="22"/>
              </w:rPr>
            </w:pPr>
          </w:p>
          <w:p w14:paraId="283FE30A" w14:textId="77777777" w:rsidR="0011494B" w:rsidRDefault="0011494B">
            <w:pPr>
              <w:pStyle w:val="NormalWeb"/>
              <w:spacing w:before="0" w:beforeAutospacing="0" w:after="0" w:afterAutospacing="0"/>
              <w:rPr>
                <w:rFonts w:ascii="Arial" w:hAnsi="Arial" w:cs="Arial"/>
                <w:b/>
                <w:sz w:val="22"/>
                <w:szCs w:val="22"/>
              </w:rPr>
            </w:pPr>
          </w:p>
          <w:p w14:paraId="35F5D1AC" w14:textId="77777777" w:rsidR="0011494B" w:rsidRDefault="0011494B">
            <w:pPr>
              <w:pStyle w:val="NormalWeb"/>
              <w:spacing w:before="0" w:beforeAutospacing="0" w:after="0" w:afterAutospacing="0"/>
              <w:rPr>
                <w:rFonts w:ascii="Arial" w:hAnsi="Arial" w:cs="Arial"/>
                <w:b/>
                <w:sz w:val="22"/>
                <w:szCs w:val="22"/>
              </w:rPr>
            </w:pPr>
          </w:p>
          <w:p w14:paraId="32798190" w14:textId="77777777" w:rsidR="0011494B" w:rsidRDefault="0011494B">
            <w:pPr>
              <w:pStyle w:val="NormalWeb"/>
              <w:spacing w:before="0" w:beforeAutospacing="0" w:after="0" w:afterAutospacing="0"/>
              <w:rPr>
                <w:rFonts w:ascii="Arial" w:hAnsi="Arial" w:cs="Arial"/>
                <w:b/>
                <w:sz w:val="22"/>
                <w:szCs w:val="22"/>
              </w:rPr>
            </w:pPr>
          </w:p>
          <w:p w14:paraId="7A6C2F20" w14:textId="77777777" w:rsidR="0011494B" w:rsidRDefault="0011494B">
            <w:pPr>
              <w:pStyle w:val="NormalWeb"/>
              <w:spacing w:before="0" w:beforeAutospacing="0" w:after="0" w:afterAutospacing="0"/>
              <w:rPr>
                <w:rFonts w:ascii="Arial" w:hAnsi="Arial" w:cs="Arial"/>
                <w:b/>
                <w:sz w:val="22"/>
                <w:szCs w:val="22"/>
              </w:rPr>
            </w:pPr>
          </w:p>
          <w:p w14:paraId="2358D936" w14:textId="77777777" w:rsidR="0011494B" w:rsidRDefault="0011494B">
            <w:pPr>
              <w:pStyle w:val="NormalWeb"/>
              <w:spacing w:before="0" w:beforeAutospacing="0" w:after="0" w:afterAutospacing="0"/>
              <w:rPr>
                <w:rFonts w:ascii="Arial" w:hAnsi="Arial" w:cs="Arial"/>
                <w:b/>
                <w:sz w:val="22"/>
                <w:szCs w:val="22"/>
              </w:rPr>
            </w:pPr>
            <w:r>
              <w:rPr>
                <w:rFonts w:ascii="Arial" w:hAnsi="Arial" w:cs="Arial"/>
                <w:b/>
                <w:sz w:val="22"/>
                <w:szCs w:val="22"/>
              </w:rPr>
              <w:t xml:space="preserve">For completion by Marker </w:t>
            </w:r>
            <w:proofErr w:type="gramStart"/>
            <w:r>
              <w:rPr>
                <w:rFonts w:ascii="Arial" w:hAnsi="Arial" w:cs="Arial"/>
                <w:b/>
                <w:sz w:val="22"/>
                <w:szCs w:val="22"/>
              </w:rPr>
              <w:t>1 :</w:t>
            </w:r>
            <w:proofErr w:type="gramEnd"/>
          </w:p>
          <w:p w14:paraId="2291A664" w14:textId="77777777" w:rsidR="0011494B" w:rsidRDefault="0011494B">
            <w:pPr>
              <w:pStyle w:val="NormalWeb"/>
              <w:rPr>
                <w:rFonts w:ascii="Arial" w:hAnsi="Arial" w:cs="Arial"/>
                <w:sz w:val="22"/>
                <w:szCs w:val="22"/>
              </w:rPr>
            </w:pPr>
            <w:r>
              <w:rPr>
                <w:rFonts w:ascii="Arial" w:hAnsi="Arial" w:cs="Arial"/>
                <w:sz w:val="22"/>
                <w:szCs w:val="22"/>
              </w:rPr>
              <w:t>Comments:</w:t>
            </w:r>
          </w:p>
          <w:p w14:paraId="48A8FF87" w14:textId="77777777" w:rsidR="0011494B" w:rsidRDefault="0011494B">
            <w:pPr>
              <w:pStyle w:val="NormalWeb"/>
              <w:rPr>
                <w:rFonts w:ascii="Arial" w:hAnsi="Arial" w:cs="Arial"/>
                <w:sz w:val="22"/>
                <w:szCs w:val="22"/>
              </w:rPr>
            </w:pPr>
          </w:p>
        </w:tc>
      </w:tr>
      <w:tr w:rsidR="0011494B" w14:paraId="799CBF70" w14:textId="77777777" w:rsidTr="0011494B">
        <w:trPr>
          <w:trHeight w:val="492"/>
        </w:trPr>
        <w:tc>
          <w:tcPr>
            <w:tcW w:w="6768" w:type="dxa"/>
            <w:gridSpan w:val="3"/>
            <w:tcBorders>
              <w:top w:val="single" w:sz="4" w:space="0" w:color="000000"/>
              <w:left w:val="single" w:sz="4" w:space="0" w:color="000000"/>
              <w:bottom w:val="single" w:sz="4" w:space="0" w:color="000000"/>
              <w:right w:val="single" w:sz="4" w:space="0" w:color="000000"/>
            </w:tcBorders>
            <w:hideMark/>
          </w:tcPr>
          <w:p w14:paraId="70EA6D19" w14:textId="77777777" w:rsidR="0011494B" w:rsidRDefault="0011494B">
            <w:pPr>
              <w:pStyle w:val="NormalWeb"/>
              <w:spacing w:beforeAutospacing="0" w:afterAutospacing="0"/>
              <w:ind w:left="142" w:right="34"/>
              <w:rPr>
                <w:rFonts w:ascii="Arial" w:hAnsi="Arial" w:cs="Arial"/>
                <w:sz w:val="22"/>
                <w:szCs w:val="22"/>
              </w:rPr>
            </w:pPr>
            <w:r>
              <w:rPr>
                <w:rFonts w:ascii="Arial" w:hAnsi="Arial" w:cs="Arial"/>
                <w:sz w:val="22"/>
                <w:szCs w:val="22"/>
              </w:rPr>
              <w:t>Marker’s signature:</w:t>
            </w:r>
          </w:p>
        </w:tc>
        <w:tc>
          <w:tcPr>
            <w:tcW w:w="2088" w:type="dxa"/>
            <w:gridSpan w:val="2"/>
            <w:tcBorders>
              <w:top w:val="single" w:sz="4" w:space="0" w:color="000000"/>
              <w:left w:val="single" w:sz="4" w:space="0" w:color="000000"/>
              <w:bottom w:val="single" w:sz="4" w:space="0" w:color="000000"/>
              <w:right w:val="single" w:sz="4" w:space="0" w:color="000000"/>
            </w:tcBorders>
            <w:hideMark/>
          </w:tcPr>
          <w:p w14:paraId="6C685549" w14:textId="77777777" w:rsidR="0011494B" w:rsidRDefault="0011494B">
            <w:pPr>
              <w:pStyle w:val="NormalWeb"/>
              <w:spacing w:beforeAutospacing="0" w:after="0" w:afterAutospacing="0"/>
              <w:ind w:left="142" w:right="34"/>
              <w:rPr>
                <w:rFonts w:ascii="Arial" w:hAnsi="Arial" w:cs="Arial"/>
                <w:sz w:val="22"/>
                <w:szCs w:val="22"/>
              </w:rPr>
            </w:pPr>
            <w:r>
              <w:rPr>
                <w:rFonts w:ascii="Arial" w:hAnsi="Arial" w:cs="Arial"/>
                <w:sz w:val="22"/>
                <w:szCs w:val="22"/>
              </w:rPr>
              <w:t>Date:</w:t>
            </w:r>
          </w:p>
        </w:tc>
      </w:tr>
      <w:tr w:rsidR="0011494B" w14:paraId="50D53935" w14:textId="77777777" w:rsidTr="0011494B">
        <w:tc>
          <w:tcPr>
            <w:tcW w:w="8856" w:type="dxa"/>
            <w:gridSpan w:val="5"/>
            <w:tcBorders>
              <w:top w:val="single" w:sz="4" w:space="0" w:color="000000"/>
              <w:left w:val="single" w:sz="4" w:space="0" w:color="000000"/>
              <w:bottom w:val="single" w:sz="4" w:space="0" w:color="000000"/>
              <w:right w:val="single" w:sz="4" w:space="0" w:color="000000"/>
            </w:tcBorders>
          </w:tcPr>
          <w:p w14:paraId="0D691783" w14:textId="77777777" w:rsidR="0011494B" w:rsidRDefault="0011494B">
            <w:pPr>
              <w:pStyle w:val="NormalWeb"/>
              <w:spacing w:before="0" w:beforeAutospacing="0" w:after="0" w:afterAutospacing="0"/>
              <w:ind w:right="-334"/>
              <w:rPr>
                <w:rFonts w:ascii="Arial" w:hAnsi="Arial" w:cs="Arial"/>
                <w:bCs/>
                <w:i/>
                <w:sz w:val="22"/>
                <w:szCs w:val="22"/>
              </w:rPr>
            </w:pPr>
          </w:p>
          <w:p w14:paraId="13B7BEC1" w14:textId="77777777" w:rsidR="0011494B" w:rsidRDefault="0011494B">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Marker 2/Moderator:</w:t>
            </w:r>
          </w:p>
          <w:p w14:paraId="0B1DB481" w14:textId="77777777" w:rsidR="0011494B" w:rsidRDefault="0011494B">
            <w:pPr>
              <w:pStyle w:val="NormalWeb"/>
              <w:spacing w:before="0" w:beforeAutospacing="0" w:after="0" w:afterAutospacing="0"/>
              <w:ind w:right="-334"/>
              <w:rPr>
                <w:rFonts w:ascii="Arial" w:hAnsi="Arial" w:cs="Arial"/>
                <w:b/>
                <w:bCs/>
                <w:sz w:val="22"/>
                <w:szCs w:val="22"/>
              </w:rPr>
            </w:pPr>
          </w:p>
          <w:p w14:paraId="0DA269CB" w14:textId="77777777" w:rsidR="0011494B" w:rsidRDefault="0011494B">
            <w:pPr>
              <w:pStyle w:val="NormalWeb"/>
              <w:spacing w:before="0" w:beforeAutospacing="0" w:after="0" w:afterAutospacing="0"/>
              <w:ind w:right="-334"/>
              <w:rPr>
                <w:rFonts w:ascii="Arial" w:hAnsi="Arial" w:cs="Arial"/>
                <w:bCs/>
                <w:sz w:val="22"/>
                <w:szCs w:val="22"/>
              </w:rPr>
            </w:pPr>
            <w:r>
              <w:rPr>
                <w:rFonts w:ascii="Arial" w:hAnsi="Arial" w:cs="Arial"/>
                <w:bCs/>
                <w:sz w:val="22"/>
                <w:szCs w:val="22"/>
              </w:rPr>
              <w:t>Comments:</w:t>
            </w:r>
          </w:p>
          <w:p w14:paraId="2AC15BAD" w14:textId="77777777" w:rsidR="0011494B" w:rsidRDefault="0011494B">
            <w:pPr>
              <w:pStyle w:val="NormalWeb"/>
              <w:spacing w:before="0" w:beforeAutospacing="0" w:after="0" w:afterAutospacing="0"/>
              <w:ind w:right="-334"/>
              <w:rPr>
                <w:rFonts w:ascii="Arial" w:hAnsi="Arial" w:cs="Arial"/>
                <w:bCs/>
                <w:sz w:val="22"/>
                <w:szCs w:val="22"/>
              </w:rPr>
            </w:pPr>
          </w:p>
          <w:p w14:paraId="56E6C7E6" w14:textId="77777777" w:rsidR="0011494B" w:rsidRDefault="0011494B">
            <w:pPr>
              <w:pStyle w:val="NormalWeb"/>
              <w:spacing w:before="0" w:beforeAutospacing="0" w:after="0" w:afterAutospacing="0"/>
              <w:ind w:right="-334"/>
              <w:rPr>
                <w:rFonts w:ascii="Arial" w:hAnsi="Arial" w:cs="Arial"/>
                <w:bCs/>
                <w:sz w:val="22"/>
                <w:szCs w:val="22"/>
              </w:rPr>
            </w:pPr>
          </w:p>
          <w:p w14:paraId="6E8FAA67" w14:textId="77777777" w:rsidR="0011494B" w:rsidRDefault="0011494B">
            <w:pPr>
              <w:pStyle w:val="NormalWeb"/>
              <w:spacing w:before="0" w:beforeAutospacing="0" w:after="0" w:afterAutospacing="0"/>
              <w:ind w:right="-334"/>
              <w:rPr>
                <w:rFonts w:ascii="Arial" w:hAnsi="Arial" w:cs="Arial"/>
                <w:bCs/>
                <w:sz w:val="22"/>
                <w:szCs w:val="22"/>
              </w:rPr>
            </w:pPr>
          </w:p>
          <w:p w14:paraId="1889282F" w14:textId="77777777" w:rsidR="0011494B" w:rsidRDefault="0011494B">
            <w:pPr>
              <w:pStyle w:val="NormalWeb"/>
              <w:spacing w:before="0" w:beforeAutospacing="0" w:after="0" w:afterAutospacing="0"/>
              <w:ind w:right="-334"/>
              <w:rPr>
                <w:rFonts w:ascii="Arial" w:hAnsi="Arial" w:cs="Arial"/>
                <w:bCs/>
                <w:sz w:val="22"/>
                <w:szCs w:val="22"/>
              </w:rPr>
            </w:pPr>
          </w:p>
          <w:p w14:paraId="60D742CD" w14:textId="77777777" w:rsidR="0011494B" w:rsidRDefault="0011494B">
            <w:pPr>
              <w:pStyle w:val="NormalWeb"/>
              <w:spacing w:before="0" w:beforeAutospacing="0" w:after="0" w:afterAutospacing="0"/>
              <w:ind w:right="-334"/>
              <w:rPr>
                <w:rFonts w:ascii="Arial" w:hAnsi="Arial" w:cs="Arial"/>
                <w:bCs/>
                <w:sz w:val="22"/>
                <w:szCs w:val="22"/>
              </w:rPr>
            </w:pPr>
          </w:p>
          <w:p w14:paraId="3D2AA75C" w14:textId="77777777" w:rsidR="0011494B" w:rsidRDefault="0011494B">
            <w:pPr>
              <w:pStyle w:val="NormalWeb"/>
              <w:spacing w:before="0" w:beforeAutospacing="0" w:after="0" w:afterAutospacing="0"/>
              <w:ind w:right="-334"/>
              <w:rPr>
                <w:rFonts w:ascii="Arial" w:hAnsi="Arial" w:cs="Arial"/>
                <w:bCs/>
                <w:sz w:val="22"/>
                <w:szCs w:val="22"/>
              </w:rPr>
            </w:pPr>
          </w:p>
          <w:p w14:paraId="28635C0D" w14:textId="77777777" w:rsidR="0011494B" w:rsidRDefault="0011494B">
            <w:pPr>
              <w:pStyle w:val="NormalWeb"/>
              <w:spacing w:before="0" w:beforeAutospacing="0" w:after="0" w:afterAutospacing="0"/>
              <w:ind w:right="-334"/>
              <w:rPr>
                <w:rFonts w:ascii="Arial" w:hAnsi="Arial" w:cs="Arial"/>
                <w:bCs/>
                <w:sz w:val="22"/>
                <w:szCs w:val="22"/>
              </w:rPr>
            </w:pPr>
          </w:p>
          <w:p w14:paraId="06CF1A38" w14:textId="77777777" w:rsidR="0011494B" w:rsidRDefault="0011494B">
            <w:pPr>
              <w:pStyle w:val="NormalWeb"/>
              <w:spacing w:before="0" w:beforeAutospacing="0" w:after="0" w:afterAutospacing="0"/>
              <w:ind w:right="-334"/>
              <w:rPr>
                <w:rFonts w:ascii="Arial" w:hAnsi="Arial" w:cs="Arial"/>
                <w:bCs/>
                <w:sz w:val="22"/>
                <w:szCs w:val="22"/>
              </w:rPr>
            </w:pPr>
          </w:p>
          <w:p w14:paraId="522D925C" w14:textId="77777777" w:rsidR="0011494B" w:rsidRDefault="0011494B">
            <w:pPr>
              <w:pStyle w:val="NormalWeb"/>
              <w:spacing w:before="0" w:beforeAutospacing="0" w:after="0" w:afterAutospacing="0"/>
              <w:ind w:right="-334"/>
              <w:rPr>
                <w:rFonts w:ascii="Arial" w:hAnsi="Arial" w:cs="Arial"/>
                <w:bCs/>
                <w:sz w:val="22"/>
                <w:szCs w:val="22"/>
              </w:rPr>
            </w:pPr>
          </w:p>
          <w:p w14:paraId="3954C038" w14:textId="77777777" w:rsidR="0011494B" w:rsidRDefault="0011494B">
            <w:pPr>
              <w:pStyle w:val="NormalWeb"/>
              <w:spacing w:before="0" w:beforeAutospacing="0" w:after="0" w:afterAutospacing="0"/>
              <w:ind w:right="-334"/>
              <w:rPr>
                <w:rFonts w:ascii="Arial" w:hAnsi="Arial" w:cs="Arial"/>
                <w:bCs/>
                <w:sz w:val="22"/>
                <w:szCs w:val="22"/>
              </w:rPr>
            </w:pPr>
          </w:p>
          <w:p w14:paraId="035EF44C" w14:textId="77777777" w:rsidR="0011494B" w:rsidRDefault="0011494B">
            <w:pPr>
              <w:pStyle w:val="NormalWeb"/>
              <w:spacing w:before="0" w:beforeAutospacing="0" w:after="0" w:afterAutospacing="0"/>
              <w:ind w:right="-334"/>
              <w:rPr>
                <w:rFonts w:ascii="Arial" w:hAnsi="Arial" w:cs="Arial"/>
                <w:bCs/>
                <w:sz w:val="22"/>
                <w:szCs w:val="22"/>
              </w:rPr>
            </w:pPr>
          </w:p>
          <w:p w14:paraId="6CCEB3D1" w14:textId="77777777" w:rsidR="0011494B" w:rsidRDefault="0011494B">
            <w:pPr>
              <w:pStyle w:val="NormalWeb"/>
              <w:spacing w:before="0" w:beforeAutospacing="0" w:after="0" w:afterAutospacing="0"/>
              <w:ind w:right="-334"/>
              <w:rPr>
                <w:rFonts w:ascii="Arial" w:hAnsi="Arial" w:cs="Arial"/>
                <w:bCs/>
                <w:sz w:val="22"/>
                <w:szCs w:val="22"/>
              </w:rPr>
            </w:pPr>
          </w:p>
        </w:tc>
      </w:tr>
      <w:tr w:rsidR="0011494B" w14:paraId="0B75B4C3" w14:textId="77777777" w:rsidTr="0011494B">
        <w:trPr>
          <w:trHeight w:val="720"/>
        </w:trPr>
        <w:tc>
          <w:tcPr>
            <w:tcW w:w="5211" w:type="dxa"/>
            <w:gridSpan w:val="2"/>
            <w:tcBorders>
              <w:top w:val="single" w:sz="4" w:space="0" w:color="000000"/>
              <w:left w:val="single" w:sz="4" w:space="0" w:color="000000"/>
              <w:bottom w:val="single" w:sz="4" w:space="0" w:color="000000"/>
              <w:right w:val="single" w:sz="4" w:space="0" w:color="000000"/>
            </w:tcBorders>
            <w:hideMark/>
          </w:tcPr>
          <w:p w14:paraId="1F008FD5" w14:textId="77777777" w:rsidR="0011494B" w:rsidRDefault="0011494B">
            <w:pPr>
              <w:pStyle w:val="NormalWeb"/>
              <w:spacing w:before="0" w:beforeAutospacing="0" w:after="0" w:afterAutospacing="0"/>
              <w:ind w:right="-334"/>
              <w:rPr>
                <w:rFonts w:ascii="Arial" w:hAnsi="Arial" w:cs="Arial"/>
                <w:bCs/>
                <w:sz w:val="22"/>
                <w:szCs w:val="22"/>
              </w:rPr>
            </w:pPr>
            <w:r>
              <w:rPr>
                <w:rFonts w:ascii="Arial" w:hAnsi="Arial" w:cs="Arial"/>
                <w:bCs/>
                <w:sz w:val="22"/>
                <w:szCs w:val="22"/>
              </w:rPr>
              <w:lastRenderedPageBreak/>
              <w:t>Marker’s Signature:</w:t>
            </w:r>
          </w:p>
        </w:tc>
        <w:tc>
          <w:tcPr>
            <w:tcW w:w="3645" w:type="dxa"/>
            <w:gridSpan w:val="3"/>
            <w:tcBorders>
              <w:top w:val="single" w:sz="4" w:space="0" w:color="000000"/>
              <w:left w:val="single" w:sz="4" w:space="0" w:color="000000"/>
              <w:bottom w:val="single" w:sz="4" w:space="0" w:color="000000"/>
              <w:right w:val="single" w:sz="4" w:space="0" w:color="000000"/>
            </w:tcBorders>
            <w:hideMark/>
          </w:tcPr>
          <w:p w14:paraId="739A8F3B" w14:textId="77777777" w:rsidR="0011494B" w:rsidRDefault="0011494B">
            <w:pPr>
              <w:pStyle w:val="NormalWeb"/>
              <w:spacing w:before="0" w:beforeAutospacing="0" w:after="0" w:afterAutospacing="0"/>
              <w:ind w:right="-334"/>
              <w:rPr>
                <w:rFonts w:ascii="Arial" w:hAnsi="Arial" w:cs="Arial"/>
                <w:bCs/>
                <w:sz w:val="22"/>
                <w:szCs w:val="22"/>
              </w:rPr>
            </w:pPr>
            <w:r>
              <w:rPr>
                <w:rFonts w:ascii="Arial" w:hAnsi="Arial" w:cs="Arial"/>
                <w:bCs/>
                <w:sz w:val="22"/>
                <w:szCs w:val="22"/>
              </w:rPr>
              <w:t>Date:</w:t>
            </w:r>
          </w:p>
        </w:tc>
      </w:tr>
      <w:tr w:rsidR="0011494B" w14:paraId="243B3856" w14:textId="77777777" w:rsidTr="0011494B">
        <w:trPr>
          <w:trHeight w:val="720"/>
        </w:trPr>
        <w:tc>
          <w:tcPr>
            <w:tcW w:w="8856" w:type="dxa"/>
            <w:gridSpan w:val="5"/>
            <w:tcBorders>
              <w:top w:val="single" w:sz="4" w:space="0" w:color="000000"/>
              <w:left w:val="single" w:sz="4" w:space="0" w:color="000000"/>
              <w:bottom w:val="single" w:sz="4" w:space="0" w:color="000000"/>
              <w:right w:val="single" w:sz="4" w:space="0" w:color="000000"/>
            </w:tcBorders>
          </w:tcPr>
          <w:p w14:paraId="3DA446BA" w14:textId="77777777" w:rsidR="0011494B" w:rsidRDefault="0011494B">
            <w:pPr>
              <w:rPr>
                <w:rFonts w:ascii="Arial" w:hAnsi="Arial" w:cs="Arial"/>
                <w:b/>
              </w:rPr>
            </w:pPr>
            <w:r>
              <w:rPr>
                <w:rFonts w:ascii="Arial" w:hAnsi="Arial" w:cs="Arial"/>
                <w:b/>
              </w:rPr>
              <w:t>External Examiner’s comments (if relevant)</w:t>
            </w:r>
          </w:p>
          <w:p w14:paraId="623A15A6" w14:textId="77777777" w:rsidR="0011494B" w:rsidRDefault="0011494B">
            <w:pPr>
              <w:pStyle w:val="NormalWeb"/>
              <w:spacing w:before="0" w:beforeAutospacing="0" w:after="0" w:afterAutospacing="0"/>
              <w:ind w:right="-334"/>
              <w:rPr>
                <w:rFonts w:ascii="Arial" w:hAnsi="Arial" w:cs="Arial"/>
                <w:bCs/>
                <w:sz w:val="22"/>
                <w:szCs w:val="22"/>
              </w:rPr>
            </w:pPr>
          </w:p>
          <w:p w14:paraId="695D7777" w14:textId="77777777" w:rsidR="0011494B" w:rsidRDefault="0011494B">
            <w:pPr>
              <w:pStyle w:val="NormalWeb"/>
              <w:spacing w:before="0" w:beforeAutospacing="0" w:after="0" w:afterAutospacing="0"/>
              <w:ind w:right="-334"/>
              <w:rPr>
                <w:rFonts w:ascii="Arial" w:hAnsi="Arial" w:cs="Arial"/>
                <w:bCs/>
                <w:sz w:val="22"/>
                <w:szCs w:val="22"/>
              </w:rPr>
            </w:pPr>
          </w:p>
          <w:p w14:paraId="41BCFB3A" w14:textId="77777777" w:rsidR="0011494B" w:rsidRDefault="0011494B">
            <w:pPr>
              <w:pStyle w:val="NormalWeb"/>
              <w:spacing w:before="0" w:beforeAutospacing="0" w:after="0" w:afterAutospacing="0"/>
              <w:ind w:right="-334"/>
              <w:rPr>
                <w:rFonts w:ascii="Arial" w:hAnsi="Arial" w:cs="Arial"/>
                <w:bCs/>
                <w:sz w:val="22"/>
                <w:szCs w:val="22"/>
              </w:rPr>
            </w:pPr>
          </w:p>
          <w:p w14:paraId="09FEC899" w14:textId="77777777" w:rsidR="0011494B" w:rsidRDefault="0011494B">
            <w:pPr>
              <w:pStyle w:val="NormalWeb"/>
              <w:spacing w:before="0" w:beforeAutospacing="0" w:after="0" w:afterAutospacing="0"/>
              <w:ind w:right="-334"/>
              <w:rPr>
                <w:rFonts w:ascii="Arial" w:hAnsi="Arial" w:cs="Arial"/>
                <w:bCs/>
                <w:sz w:val="22"/>
                <w:szCs w:val="22"/>
              </w:rPr>
            </w:pPr>
          </w:p>
          <w:p w14:paraId="0E6257F9" w14:textId="77777777" w:rsidR="0011494B" w:rsidRDefault="0011494B">
            <w:pPr>
              <w:pStyle w:val="NormalWeb"/>
              <w:spacing w:before="0" w:beforeAutospacing="0" w:after="0" w:afterAutospacing="0"/>
              <w:ind w:right="-334"/>
              <w:rPr>
                <w:rFonts w:ascii="Arial" w:hAnsi="Arial" w:cs="Arial"/>
                <w:bCs/>
                <w:sz w:val="22"/>
                <w:szCs w:val="22"/>
              </w:rPr>
            </w:pPr>
          </w:p>
          <w:p w14:paraId="6DD59C62" w14:textId="77777777" w:rsidR="0011494B" w:rsidRDefault="0011494B">
            <w:pPr>
              <w:pStyle w:val="NormalWeb"/>
              <w:spacing w:before="0" w:beforeAutospacing="0" w:after="0" w:afterAutospacing="0"/>
              <w:ind w:right="-334"/>
              <w:rPr>
                <w:rFonts w:ascii="Arial" w:hAnsi="Arial" w:cs="Arial"/>
                <w:bCs/>
                <w:sz w:val="22"/>
                <w:szCs w:val="22"/>
              </w:rPr>
            </w:pPr>
          </w:p>
          <w:p w14:paraId="36DD4CE5" w14:textId="77777777" w:rsidR="0011494B" w:rsidRDefault="0011494B">
            <w:pPr>
              <w:pStyle w:val="NormalWeb"/>
              <w:spacing w:before="0" w:beforeAutospacing="0" w:after="0" w:afterAutospacing="0"/>
              <w:ind w:right="-334"/>
              <w:rPr>
                <w:rFonts w:ascii="Arial" w:hAnsi="Arial" w:cs="Arial"/>
                <w:bCs/>
                <w:sz w:val="22"/>
                <w:szCs w:val="22"/>
              </w:rPr>
            </w:pPr>
          </w:p>
          <w:p w14:paraId="62DBB93E" w14:textId="77777777" w:rsidR="0011494B" w:rsidRDefault="0011494B">
            <w:pPr>
              <w:pStyle w:val="NormalWeb"/>
              <w:spacing w:before="0" w:beforeAutospacing="0" w:after="0" w:afterAutospacing="0"/>
              <w:ind w:right="-334"/>
              <w:rPr>
                <w:rFonts w:ascii="Arial" w:hAnsi="Arial" w:cs="Arial"/>
                <w:bCs/>
                <w:sz w:val="22"/>
                <w:szCs w:val="22"/>
              </w:rPr>
            </w:pPr>
          </w:p>
          <w:p w14:paraId="225E6760" w14:textId="77777777" w:rsidR="0011494B" w:rsidRDefault="0011494B">
            <w:pPr>
              <w:pStyle w:val="NormalWeb"/>
              <w:spacing w:before="0" w:beforeAutospacing="0" w:after="0" w:afterAutospacing="0"/>
              <w:ind w:right="-334"/>
              <w:rPr>
                <w:rFonts w:ascii="Arial" w:hAnsi="Arial" w:cs="Arial"/>
                <w:bCs/>
                <w:sz w:val="22"/>
                <w:szCs w:val="22"/>
              </w:rPr>
            </w:pPr>
          </w:p>
          <w:p w14:paraId="1AB09E47" w14:textId="77777777" w:rsidR="0011494B" w:rsidRDefault="0011494B">
            <w:pPr>
              <w:pStyle w:val="NormalWeb"/>
              <w:spacing w:before="0" w:beforeAutospacing="0" w:after="0" w:afterAutospacing="0"/>
              <w:ind w:right="-334"/>
              <w:rPr>
                <w:rFonts w:ascii="Arial" w:hAnsi="Arial" w:cs="Arial"/>
                <w:bCs/>
                <w:sz w:val="22"/>
                <w:szCs w:val="22"/>
              </w:rPr>
            </w:pPr>
          </w:p>
          <w:p w14:paraId="04B4B974" w14:textId="77777777" w:rsidR="0011494B" w:rsidRDefault="0011494B">
            <w:pPr>
              <w:pStyle w:val="NormalWeb"/>
              <w:spacing w:before="0" w:beforeAutospacing="0" w:after="0" w:afterAutospacing="0"/>
              <w:ind w:right="-334"/>
              <w:rPr>
                <w:rFonts w:ascii="Arial" w:hAnsi="Arial" w:cs="Arial"/>
                <w:bCs/>
                <w:sz w:val="22"/>
                <w:szCs w:val="22"/>
              </w:rPr>
            </w:pPr>
          </w:p>
        </w:tc>
      </w:tr>
      <w:tr w:rsidR="0011494B" w14:paraId="211EAF37" w14:textId="77777777" w:rsidTr="0011494B">
        <w:trPr>
          <w:trHeight w:val="720"/>
        </w:trPr>
        <w:tc>
          <w:tcPr>
            <w:tcW w:w="5211" w:type="dxa"/>
            <w:gridSpan w:val="2"/>
            <w:tcBorders>
              <w:top w:val="single" w:sz="4" w:space="0" w:color="000000"/>
              <w:left w:val="single" w:sz="4" w:space="0" w:color="000000"/>
              <w:bottom w:val="single" w:sz="4" w:space="0" w:color="000000"/>
              <w:right w:val="single" w:sz="4" w:space="0" w:color="000000"/>
            </w:tcBorders>
            <w:hideMark/>
          </w:tcPr>
          <w:p w14:paraId="0EED00A1" w14:textId="77777777" w:rsidR="0011494B" w:rsidRDefault="0011494B">
            <w:pPr>
              <w:rPr>
                <w:rFonts w:ascii="Arial" w:hAnsi="Arial" w:cs="Arial"/>
              </w:rPr>
            </w:pPr>
            <w:r>
              <w:rPr>
                <w:rFonts w:ascii="Arial" w:hAnsi="Arial" w:cs="Arial"/>
              </w:rPr>
              <w:t>External Examiner’s Signature:</w:t>
            </w:r>
          </w:p>
        </w:tc>
        <w:tc>
          <w:tcPr>
            <w:tcW w:w="3645" w:type="dxa"/>
            <w:gridSpan w:val="3"/>
            <w:tcBorders>
              <w:top w:val="single" w:sz="4" w:space="0" w:color="000000"/>
              <w:left w:val="single" w:sz="4" w:space="0" w:color="000000"/>
              <w:bottom w:val="single" w:sz="4" w:space="0" w:color="000000"/>
              <w:right w:val="single" w:sz="4" w:space="0" w:color="000000"/>
            </w:tcBorders>
            <w:hideMark/>
          </w:tcPr>
          <w:p w14:paraId="353DDB9C" w14:textId="77777777" w:rsidR="0011494B" w:rsidRDefault="0011494B">
            <w:pPr>
              <w:rPr>
                <w:rFonts w:ascii="Arial" w:hAnsi="Arial" w:cs="Arial"/>
              </w:rPr>
            </w:pPr>
            <w:r>
              <w:rPr>
                <w:rFonts w:ascii="Arial" w:hAnsi="Arial" w:cs="Arial"/>
              </w:rPr>
              <w:t>Date:</w:t>
            </w:r>
          </w:p>
        </w:tc>
      </w:tr>
      <w:tr w:rsidR="0011494B" w14:paraId="36EC416A" w14:textId="77777777" w:rsidTr="0011494B">
        <w:trPr>
          <w:trHeight w:val="720"/>
        </w:trPr>
        <w:tc>
          <w:tcPr>
            <w:tcW w:w="5211" w:type="dxa"/>
            <w:gridSpan w:val="2"/>
            <w:tcBorders>
              <w:top w:val="single" w:sz="4" w:space="0" w:color="000000"/>
              <w:left w:val="single" w:sz="4" w:space="0" w:color="000000"/>
              <w:bottom w:val="single" w:sz="4" w:space="0" w:color="000000"/>
              <w:right w:val="single" w:sz="4" w:space="0" w:color="000000"/>
            </w:tcBorders>
          </w:tcPr>
          <w:p w14:paraId="3ED82C14" w14:textId="77777777" w:rsidR="0011494B" w:rsidRDefault="0011494B">
            <w:pPr>
              <w:rPr>
                <w:rFonts w:ascii="Arial" w:hAnsi="Arial" w:cs="Arial"/>
              </w:rPr>
            </w:pPr>
          </w:p>
          <w:p w14:paraId="0EC37889" w14:textId="77777777" w:rsidR="0011494B" w:rsidRDefault="0011494B">
            <w:pPr>
              <w:rPr>
                <w:rFonts w:ascii="Arial" w:hAnsi="Arial" w:cs="Arial"/>
              </w:rPr>
            </w:pPr>
          </w:p>
          <w:p w14:paraId="5440E674" w14:textId="77777777" w:rsidR="0011494B" w:rsidRDefault="0011494B">
            <w:pPr>
              <w:rPr>
                <w:rFonts w:ascii="Arial" w:hAnsi="Arial" w:cs="Arial"/>
              </w:rPr>
            </w:pPr>
          </w:p>
          <w:p w14:paraId="4099F4C6" w14:textId="7BF3D50A" w:rsidR="0011494B" w:rsidRDefault="0011494B">
            <w:pPr>
              <w:rPr>
                <w:rFonts w:ascii="Arial" w:hAnsi="Arial" w:cs="Arial"/>
              </w:rPr>
            </w:pPr>
          </w:p>
        </w:tc>
        <w:tc>
          <w:tcPr>
            <w:tcW w:w="3645" w:type="dxa"/>
            <w:gridSpan w:val="3"/>
            <w:tcBorders>
              <w:top w:val="single" w:sz="4" w:space="0" w:color="000000"/>
              <w:left w:val="single" w:sz="4" w:space="0" w:color="000000"/>
              <w:bottom w:val="single" w:sz="4" w:space="0" w:color="000000"/>
              <w:right w:val="single" w:sz="4" w:space="0" w:color="000000"/>
            </w:tcBorders>
          </w:tcPr>
          <w:p w14:paraId="6D5026C5" w14:textId="77777777" w:rsidR="0011494B" w:rsidRDefault="0011494B">
            <w:pPr>
              <w:rPr>
                <w:rFonts w:ascii="Arial" w:hAnsi="Arial" w:cs="Arial"/>
              </w:rPr>
            </w:pPr>
          </w:p>
        </w:tc>
      </w:tr>
    </w:tbl>
    <w:p w14:paraId="1F13D871" w14:textId="77777777" w:rsidR="0011494B" w:rsidRDefault="0011494B" w:rsidP="002E76D8">
      <w:pPr>
        <w:spacing w:after="0" w:line="240" w:lineRule="auto"/>
        <w:jc w:val="center"/>
        <w:rPr>
          <w:rFonts w:ascii="Arial" w:hAnsi="Arial" w:cs="Arial"/>
          <w:b/>
          <w:sz w:val="24"/>
          <w:szCs w:val="24"/>
        </w:rPr>
      </w:pPr>
    </w:p>
    <w:p w14:paraId="1139B07E" w14:textId="77777777" w:rsidR="0011494B" w:rsidRDefault="0011494B" w:rsidP="002E76D8">
      <w:pPr>
        <w:spacing w:after="0" w:line="240" w:lineRule="auto"/>
        <w:jc w:val="center"/>
        <w:rPr>
          <w:rFonts w:ascii="Arial" w:hAnsi="Arial" w:cs="Arial"/>
          <w:b/>
          <w:sz w:val="24"/>
          <w:szCs w:val="24"/>
        </w:rPr>
      </w:pPr>
    </w:p>
    <w:p w14:paraId="13E5AE8B" w14:textId="77777777" w:rsidR="0011494B" w:rsidRDefault="0011494B" w:rsidP="002E76D8">
      <w:pPr>
        <w:spacing w:after="0" w:line="240" w:lineRule="auto"/>
        <w:jc w:val="center"/>
        <w:rPr>
          <w:rFonts w:ascii="Arial" w:hAnsi="Arial" w:cs="Arial"/>
          <w:b/>
          <w:sz w:val="24"/>
          <w:szCs w:val="24"/>
        </w:rPr>
      </w:pPr>
    </w:p>
    <w:p w14:paraId="764F276F" w14:textId="77777777" w:rsidR="0011494B" w:rsidRDefault="0011494B" w:rsidP="002E76D8">
      <w:pPr>
        <w:spacing w:after="0" w:line="240" w:lineRule="auto"/>
        <w:jc w:val="center"/>
        <w:rPr>
          <w:rFonts w:ascii="Arial" w:hAnsi="Arial" w:cs="Arial"/>
          <w:b/>
          <w:sz w:val="24"/>
          <w:szCs w:val="24"/>
        </w:rPr>
      </w:pPr>
    </w:p>
    <w:p w14:paraId="441BB13E" w14:textId="77777777" w:rsidR="0011494B" w:rsidRDefault="0011494B" w:rsidP="002E76D8">
      <w:pPr>
        <w:spacing w:after="0" w:line="240" w:lineRule="auto"/>
        <w:jc w:val="center"/>
        <w:rPr>
          <w:rFonts w:ascii="Arial" w:hAnsi="Arial" w:cs="Arial"/>
          <w:b/>
          <w:sz w:val="24"/>
          <w:szCs w:val="24"/>
        </w:rPr>
      </w:pPr>
    </w:p>
    <w:p w14:paraId="376CDD00" w14:textId="77777777" w:rsidR="0011494B" w:rsidRDefault="0011494B" w:rsidP="002E76D8">
      <w:pPr>
        <w:spacing w:after="0" w:line="240" w:lineRule="auto"/>
        <w:jc w:val="center"/>
        <w:rPr>
          <w:rFonts w:ascii="Arial" w:hAnsi="Arial" w:cs="Arial"/>
          <w:b/>
          <w:sz w:val="24"/>
          <w:szCs w:val="24"/>
        </w:rPr>
      </w:pPr>
    </w:p>
    <w:p w14:paraId="1ABF45AA" w14:textId="77777777" w:rsidR="0011494B" w:rsidRDefault="0011494B" w:rsidP="002E76D8">
      <w:pPr>
        <w:spacing w:after="0" w:line="240" w:lineRule="auto"/>
        <w:jc w:val="center"/>
        <w:rPr>
          <w:rFonts w:ascii="Arial" w:hAnsi="Arial" w:cs="Arial"/>
          <w:b/>
          <w:sz w:val="24"/>
          <w:szCs w:val="24"/>
        </w:rPr>
      </w:pPr>
    </w:p>
    <w:p w14:paraId="5483CCAC" w14:textId="77777777" w:rsidR="0011494B" w:rsidRDefault="0011494B" w:rsidP="002E76D8">
      <w:pPr>
        <w:spacing w:after="0" w:line="240" w:lineRule="auto"/>
        <w:jc w:val="center"/>
        <w:rPr>
          <w:rFonts w:ascii="Arial" w:hAnsi="Arial" w:cs="Arial"/>
          <w:b/>
          <w:sz w:val="24"/>
          <w:szCs w:val="24"/>
        </w:rPr>
      </w:pPr>
    </w:p>
    <w:p w14:paraId="14E6A090" w14:textId="77777777" w:rsidR="0011494B" w:rsidRDefault="0011494B" w:rsidP="002E76D8">
      <w:pPr>
        <w:spacing w:after="0" w:line="240" w:lineRule="auto"/>
        <w:jc w:val="center"/>
        <w:rPr>
          <w:rFonts w:ascii="Arial" w:hAnsi="Arial" w:cs="Arial"/>
          <w:b/>
          <w:sz w:val="24"/>
          <w:szCs w:val="24"/>
        </w:rPr>
      </w:pPr>
    </w:p>
    <w:p w14:paraId="1C9B6831" w14:textId="77777777" w:rsidR="0011494B" w:rsidRDefault="0011494B" w:rsidP="002E76D8">
      <w:pPr>
        <w:spacing w:after="0" w:line="240" w:lineRule="auto"/>
        <w:jc w:val="center"/>
        <w:rPr>
          <w:rFonts w:ascii="Arial" w:hAnsi="Arial" w:cs="Arial"/>
          <w:b/>
          <w:sz w:val="24"/>
          <w:szCs w:val="24"/>
        </w:rPr>
      </w:pPr>
    </w:p>
    <w:p w14:paraId="37B97AD7" w14:textId="77777777" w:rsidR="0011494B" w:rsidRDefault="0011494B" w:rsidP="002E76D8">
      <w:pPr>
        <w:spacing w:after="0" w:line="240" w:lineRule="auto"/>
        <w:jc w:val="center"/>
        <w:rPr>
          <w:rFonts w:ascii="Arial" w:hAnsi="Arial" w:cs="Arial"/>
          <w:b/>
          <w:sz w:val="24"/>
          <w:szCs w:val="24"/>
        </w:rPr>
      </w:pPr>
    </w:p>
    <w:p w14:paraId="611F48B4" w14:textId="77777777" w:rsidR="0011494B" w:rsidRDefault="0011494B" w:rsidP="002E76D8">
      <w:pPr>
        <w:spacing w:after="0" w:line="240" w:lineRule="auto"/>
        <w:jc w:val="center"/>
        <w:rPr>
          <w:rFonts w:ascii="Arial" w:hAnsi="Arial" w:cs="Arial"/>
          <w:b/>
          <w:sz w:val="24"/>
          <w:szCs w:val="24"/>
        </w:rPr>
      </w:pPr>
    </w:p>
    <w:p w14:paraId="77FDA568" w14:textId="77777777" w:rsidR="0011494B" w:rsidRDefault="0011494B" w:rsidP="002E76D8">
      <w:pPr>
        <w:spacing w:after="0" w:line="240" w:lineRule="auto"/>
        <w:jc w:val="center"/>
        <w:rPr>
          <w:rFonts w:ascii="Arial" w:hAnsi="Arial" w:cs="Arial"/>
          <w:b/>
          <w:sz w:val="24"/>
          <w:szCs w:val="24"/>
        </w:rPr>
      </w:pPr>
    </w:p>
    <w:p w14:paraId="45F80B50" w14:textId="77777777" w:rsidR="0011494B" w:rsidRDefault="0011494B" w:rsidP="002E76D8">
      <w:pPr>
        <w:spacing w:after="0" w:line="240" w:lineRule="auto"/>
        <w:jc w:val="center"/>
        <w:rPr>
          <w:rFonts w:ascii="Arial" w:hAnsi="Arial" w:cs="Arial"/>
          <w:b/>
          <w:sz w:val="24"/>
          <w:szCs w:val="24"/>
        </w:rPr>
      </w:pPr>
    </w:p>
    <w:p w14:paraId="66DEBBD7" w14:textId="77777777" w:rsidR="0011494B" w:rsidRDefault="0011494B" w:rsidP="002E76D8">
      <w:pPr>
        <w:spacing w:after="0" w:line="240" w:lineRule="auto"/>
        <w:jc w:val="center"/>
        <w:rPr>
          <w:rFonts w:ascii="Arial" w:hAnsi="Arial" w:cs="Arial"/>
          <w:b/>
          <w:sz w:val="24"/>
          <w:szCs w:val="24"/>
        </w:rPr>
      </w:pPr>
    </w:p>
    <w:p w14:paraId="66F19F78" w14:textId="77777777" w:rsidR="0011494B" w:rsidRDefault="0011494B" w:rsidP="002E76D8">
      <w:pPr>
        <w:spacing w:after="0" w:line="240" w:lineRule="auto"/>
        <w:jc w:val="center"/>
        <w:rPr>
          <w:rFonts w:ascii="Arial" w:hAnsi="Arial" w:cs="Arial"/>
          <w:b/>
          <w:sz w:val="24"/>
          <w:szCs w:val="24"/>
        </w:rPr>
      </w:pPr>
    </w:p>
    <w:p w14:paraId="6396E2FF" w14:textId="77777777" w:rsidR="0011494B" w:rsidRDefault="0011494B" w:rsidP="002E76D8">
      <w:pPr>
        <w:spacing w:after="0" w:line="240" w:lineRule="auto"/>
        <w:jc w:val="center"/>
        <w:rPr>
          <w:rFonts w:ascii="Arial" w:hAnsi="Arial" w:cs="Arial"/>
          <w:b/>
          <w:sz w:val="24"/>
          <w:szCs w:val="24"/>
        </w:rPr>
      </w:pPr>
    </w:p>
    <w:p w14:paraId="4ABE3E0B" w14:textId="77777777" w:rsidR="0011494B" w:rsidRDefault="0011494B" w:rsidP="002E76D8">
      <w:pPr>
        <w:spacing w:after="0" w:line="240" w:lineRule="auto"/>
        <w:jc w:val="center"/>
        <w:rPr>
          <w:rFonts w:ascii="Arial" w:hAnsi="Arial" w:cs="Arial"/>
          <w:b/>
          <w:sz w:val="24"/>
          <w:szCs w:val="24"/>
        </w:rPr>
      </w:pPr>
    </w:p>
    <w:p w14:paraId="7E80711B" w14:textId="77777777" w:rsidR="0011494B" w:rsidRDefault="0011494B" w:rsidP="002E76D8">
      <w:pPr>
        <w:spacing w:after="0" w:line="240" w:lineRule="auto"/>
        <w:jc w:val="center"/>
        <w:rPr>
          <w:rFonts w:ascii="Arial" w:hAnsi="Arial" w:cs="Arial"/>
          <w:b/>
          <w:sz w:val="24"/>
          <w:szCs w:val="24"/>
        </w:rPr>
      </w:pPr>
    </w:p>
    <w:p w14:paraId="6B5DF014" w14:textId="77777777" w:rsidR="0011494B" w:rsidRDefault="0011494B" w:rsidP="002E76D8">
      <w:pPr>
        <w:spacing w:after="0" w:line="240" w:lineRule="auto"/>
        <w:jc w:val="center"/>
        <w:rPr>
          <w:rFonts w:ascii="Arial" w:hAnsi="Arial" w:cs="Arial"/>
          <w:b/>
          <w:sz w:val="24"/>
          <w:szCs w:val="24"/>
        </w:rPr>
      </w:pPr>
    </w:p>
    <w:p w14:paraId="04B197D4" w14:textId="77777777" w:rsidR="0011494B" w:rsidRDefault="0011494B" w:rsidP="002E76D8">
      <w:pPr>
        <w:spacing w:after="0" w:line="240" w:lineRule="auto"/>
        <w:jc w:val="center"/>
        <w:rPr>
          <w:rFonts w:ascii="Arial" w:hAnsi="Arial" w:cs="Arial"/>
          <w:b/>
          <w:sz w:val="24"/>
          <w:szCs w:val="24"/>
        </w:rPr>
      </w:pPr>
    </w:p>
    <w:p w14:paraId="07D40807" w14:textId="77777777" w:rsidR="0011494B" w:rsidRDefault="0011494B" w:rsidP="002E76D8">
      <w:pPr>
        <w:spacing w:after="0" w:line="240" w:lineRule="auto"/>
        <w:jc w:val="center"/>
        <w:rPr>
          <w:rFonts w:ascii="Arial" w:hAnsi="Arial" w:cs="Arial"/>
          <w:b/>
          <w:sz w:val="24"/>
          <w:szCs w:val="24"/>
        </w:rPr>
      </w:pPr>
    </w:p>
    <w:p w14:paraId="227867C6" w14:textId="77777777" w:rsidR="0011494B" w:rsidRDefault="0011494B" w:rsidP="002E76D8">
      <w:pPr>
        <w:spacing w:after="0" w:line="240" w:lineRule="auto"/>
        <w:jc w:val="center"/>
        <w:rPr>
          <w:rFonts w:ascii="Arial" w:hAnsi="Arial" w:cs="Arial"/>
          <w:b/>
          <w:sz w:val="24"/>
          <w:szCs w:val="24"/>
        </w:rPr>
      </w:pPr>
    </w:p>
    <w:p w14:paraId="05B40CC1" w14:textId="6C44B248" w:rsidR="002E76D8" w:rsidRPr="00E64808" w:rsidRDefault="002E76D8" w:rsidP="002E76D8">
      <w:pPr>
        <w:spacing w:after="0" w:line="240" w:lineRule="auto"/>
        <w:jc w:val="center"/>
        <w:rPr>
          <w:rFonts w:ascii="Arial" w:hAnsi="Arial" w:cs="Arial"/>
          <w:b/>
          <w:sz w:val="24"/>
          <w:szCs w:val="24"/>
        </w:rPr>
      </w:pPr>
      <w:r w:rsidRPr="00E64808">
        <w:rPr>
          <w:rFonts w:ascii="Arial" w:hAnsi="Arial" w:cs="Arial"/>
          <w:b/>
          <w:sz w:val="24"/>
          <w:szCs w:val="24"/>
        </w:rPr>
        <w:lastRenderedPageBreak/>
        <w:t>University of Wales Trinity Saint David</w:t>
      </w:r>
    </w:p>
    <w:p w14:paraId="675A0A93" w14:textId="77777777" w:rsidR="002E76D8" w:rsidRPr="00E64808" w:rsidRDefault="002E76D8" w:rsidP="002E76D8">
      <w:pPr>
        <w:shd w:val="clear" w:color="auto" w:fill="FFFFFF"/>
        <w:spacing w:after="0" w:line="240" w:lineRule="auto"/>
        <w:jc w:val="center"/>
        <w:rPr>
          <w:rFonts w:ascii="Arial" w:eastAsia="Times New Roman" w:hAnsi="Arial" w:cs="Arial"/>
          <w:b/>
          <w:color w:val="000000"/>
          <w:sz w:val="24"/>
          <w:szCs w:val="24"/>
        </w:rPr>
      </w:pPr>
      <w:r w:rsidRPr="00E64808">
        <w:rPr>
          <w:rFonts w:ascii="Arial" w:eastAsia="Times New Roman" w:hAnsi="Arial" w:cs="Arial"/>
          <w:b/>
          <w:color w:val="000000"/>
          <w:sz w:val="24"/>
          <w:szCs w:val="24"/>
        </w:rPr>
        <w:t>Faculty of Humanities and the Performing Arts</w:t>
      </w:r>
    </w:p>
    <w:p w14:paraId="045487AB" w14:textId="77777777" w:rsidR="002E76D8" w:rsidRPr="00E64808" w:rsidRDefault="002E76D8" w:rsidP="002E76D8">
      <w:pPr>
        <w:spacing w:after="0" w:line="240" w:lineRule="auto"/>
        <w:jc w:val="center"/>
        <w:rPr>
          <w:rFonts w:ascii="Arial" w:hAnsi="Arial" w:cs="Arial"/>
          <w:b/>
          <w:sz w:val="24"/>
          <w:szCs w:val="24"/>
        </w:rPr>
      </w:pPr>
      <w:r w:rsidRPr="00E64808">
        <w:rPr>
          <w:rFonts w:ascii="Arial" w:hAnsi="Arial" w:cs="Arial"/>
          <w:b/>
          <w:sz w:val="24"/>
          <w:szCs w:val="24"/>
        </w:rPr>
        <w:t>MA Cultural Astronomy and Astrology</w:t>
      </w:r>
    </w:p>
    <w:p w14:paraId="39E54B91" w14:textId="77777777" w:rsidR="002E76D8" w:rsidRPr="00E64808" w:rsidRDefault="002E76D8" w:rsidP="002E76D8">
      <w:pPr>
        <w:spacing w:after="0" w:line="240" w:lineRule="auto"/>
        <w:jc w:val="center"/>
        <w:rPr>
          <w:rFonts w:ascii="Arial" w:hAnsi="Arial" w:cs="Arial"/>
          <w:b/>
          <w:sz w:val="24"/>
          <w:szCs w:val="24"/>
        </w:rPr>
      </w:pPr>
      <w:r w:rsidRPr="00E64808">
        <w:rPr>
          <w:rFonts w:ascii="Arial" w:hAnsi="Arial" w:cs="Arial"/>
          <w:b/>
          <w:sz w:val="24"/>
          <w:szCs w:val="24"/>
        </w:rPr>
        <w:t xml:space="preserve">Module: Researching Contemporary Cosmologies </w:t>
      </w:r>
    </w:p>
    <w:p w14:paraId="2C90C61B" w14:textId="77777777" w:rsidR="002E76D8" w:rsidRPr="00E64808" w:rsidRDefault="002E76D8" w:rsidP="002E76D8">
      <w:pPr>
        <w:rPr>
          <w:rFonts w:ascii="Arial" w:hAnsi="Arial" w:cs="Arial"/>
          <w:sz w:val="24"/>
          <w:szCs w:val="24"/>
        </w:rPr>
      </w:pPr>
    </w:p>
    <w:p w14:paraId="39392B0C" w14:textId="77777777" w:rsidR="00FA3545" w:rsidRPr="00FA3545" w:rsidRDefault="002E76D8" w:rsidP="002E76D8">
      <w:r w:rsidRPr="00FA3545">
        <w:rPr>
          <w:rFonts w:cs="Arial"/>
          <w:b/>
          <w:sz w:val="24"/>
          <w:szCs w:val="24"/>
        </w:rPr>
        <w:t xml:space="preserve"> </w:t>
      </w:r>
      <w:r w:rsidR="00D565DA" w:rsidRPr="00FA3545">
        <w:t>Essay based on a supervised research project.</w:t>
      </w:r>
    </w:p>
    <w:p w14:paraId="23D82F65" w14:textId="0EF4FC57" w:rsidR="00FA3545" w:rsidRPr="00C51E3A" w:rsidRDefault="00FA3545" w:rsidP="002E76D8">
      <w:pPr>
        <w:rPr>
          <w:i/>
          <w:iCs/>
          <w:sz w:val="16"/>
          <w:szCs w:val="16"/>
        </w:rPr>
      </w:pPr>
      <w:r w:rsidRPr="00C51E3A">
        <w:rPr>
          <w:i/>
          <w:iCs/>
          <w:sz w:val="16"/>
          <w:szCs w:val="16"/>
        </w:rPr>
        <w:t xml:space="preserve"> </w:t>
      </w:r>
      <w:r w:rsidRPr="00C51E3A">
        <w:rPr>
          <w:rFonts w:cs="Times New Roman"/>
          <w:i/>
          <w:iCs/>
          <w:sz w:val="16"/>
          <w:szCs w:val="16"/>
        </w:rPr>
        <w:t>Word count: 3</w:t>
      </w:r>
      <w:r w:rsidR="00C51E3A" w:rsidRPr="00C51E3A">
        <w:rPr>
          <w:rFonts w:cs="Times New Roman"/>
          <w:i/>
          <w:iCs/>
          <w:sz w:val="16"/>
          <w:szCs w:val="16"/>
        </w:rPr>
        <w:t>7</w:t>
      </w:r>
      <w:r w:rsidRPr="00C51E3A">
        <w:rPr>
          <w:rFonts w:cs="Times New Roman"/>
          <w:i/>
          <w:iCs/>
          <w:sz w:val="16"/>
          <w:szCs w:val="16"/>
        </w:rPr>
        <w:t>4</w:t>
      </w:r>
      <w:r w:rsidR="00C51E3A" w:rsidRPr="00C51E3A">
        <w:rPr>
          <w:rFonts w:cs="Times New Roman"/>
          <w:i/>
          <w:iCs/>
          <w:sz w:val="16"/>
          <w:szCs w:val="16"/>
        </w:rPr>
        <w:t xml:space="preserve">3 (without footnotes, textboxes, and bibliography) </w:t>
      </w:r>
    </w:p>
    <w:p w14:paraId="22FBEDF5" w14:textId="4E9D49F1" w:rsidR="00C66CD6" w:rsidRPr="003C168D" w:rsidRDefault="000120E9">
      <w:pPr>
        <w:rPr>
          <w:b/>
          <w:sz w:val="24"/>
          <w:szCs w:val="24"/>
        </w:rPr>
      </w:pPr>
      <w:r w:rsidRPr="00A14C60">
        <w:rPr>
          <w:rFonts w:ascii="Arial" w:hAnsi="Arial" w:cs="Arial"/>
          <w:b/>
          <w:sz w:val="24"/>
          <w:szCs w:val="24"/>
        </w:rPr>
        <w:t>Title</w:t>
      </w:r>
      <w:bookmarkStart w:id="6" w:name="_Hlk29829477"/>
      <w:r w:rsidRPr="00A14C60">
        <w:rPr>
          <w:rFonts w:ascii="Arial" w:hAnsi="Arial" w:cs="Arial"/>
          <w:b/>
          <w:sz w:val="24"/>
          <w:szCs w:val="24"/>
        </w:rPr>
        <w:t>:</w:t>
      </w:r>
      <w:r w:rsidR="00A14C60" w:rsidRPr="00A14C60">
        <w:rPr>
          <w:rFonts w:ascii="Arial" w:hAnsi="Arial" w:cs="Arial"/>
          <w:b/>
          <w:sz w:val="24"/>
          <w:szCs w:val="24"/>
        </w:rPr>
        <w:t xml:space="preserve"> </w:t>
      </w:r>
      <w:r w:rsidR="00A14C60" w:rsidRPr="00A14C60">
        <w:rPr>
          <w:rFonts w:ascii="Arial" w:hAnsi="Arial" w:cs="Arial"/>
          <w:b/>
        </w:rPr>
        <w:t xml:space="preserve"> Is</w:t>
      </w:r>
      <w:r w:rsidR="00A14C60" w:rsidRPr="00A14C60">
        <w:rPr>
          <w:rFonts w:ascii="Arial" w:hAnsi="Arial" w:cs="Arial"/>
          <w:b/>
          <w:sz w:val="24"/>
          <w:szCs w:val="24"/>
        </w:rPr>
        <w:t xml:space="preserve"> </w:t>
      </w:r>
      <w:r w:rsidR="00A14C60" w:rsidRPr="00A14C60">
        <w:rPr>
          <w:b/>
          <w:sz w:val="24"/>
          <w:szCs w:val="24"/>
        </w:rPr>
        <w:t>the role of the sun in the pantheon considered sacred due to the space being initially sacred</w:t>
      </w:r>
      <w:r w:rsidR="00A14C60">
        <w:rPr>
          <w:b/>
          <w:sz w:val="24"/>
          <w:szCs w:val="24"/>
        </w:rPr>
        <w:t xml:space="preserve">, </w:t>
      </w:r>
      <w:r w:rsidR="00A14C60" w:rsidRPr="00A14C60">
        <w:rPr>
          <w:b/>
          <w:sz w:val="24"/>
          <w:szCs w:val="24"/>
        </w:rPr>
        <w:t>or is the space considered sacred due to the role of the sun</w:t>
      </w:r>
      <w:bookmarkEnd w:id="6"/>
      <w:r w:rsidR="00A14C60" w:rsidRPr="00A14C60">
        <w:rPr>
          <w:b/>
          <w:sz w:val="24"/>
          <w:szCs w:val="24"/>
        </w:rPr>
        <w:t xml:space="preserve">?   </w:t>
      </w:r>
    </w:p>
    <w:p w14:paraId="35E4947D" w14:textId="77777777" w:rsidR="00AD38BD" w:rsidRPr="00274D7A" w:rsidRDefault="002E76D8">
      <w:pPr>
        <w:rPr>
          <w:color w:val="BF8F00" w:themeColor="accent4" w:themeShade="BF"/>
          <w:sz w:val="28"/>
          <w:szCs w:val="28"/>
          <w:u w:val="single"/>
        </w:rPr>
      </w:pPr>
      <w:r w:rsidRPr="00274D7A">
        <w:rPr>
          <w:color w:val="BF8F00" w:themeColor="accent4" w:themeShade="BF"/>
          <w:sz w:val="28"/>
          <w:szCs w:val="28"/>
          <w:u w:val="single"/>
        </w:rPr>
        <w:t xml:space="preserve">Introduction </w:t>
      </w:r>
    </w:p>
    <w:p w14:paraId="23867CA1" w14:textId="683269CC" w:rsidR="000120E9" w:rsidRPr="001A0F5B" w:rsidRDefault="00D565DA" w:rsidP="00C440A4">
      <w:pPr>
        <w:jc w:val="both"/>
        <w:rPr>
          <w:sz w:val="24"/>
          <w:szCs w:val="24"/>
        </w:rPr>
      </w:pPr>
      <w:r w:rsidRPr="001A0F5B">
        <w:rPr>
          <w:sz w:val="24"/>
          <w:szCs w:val="24"/>
        </w:rPr>
        <w:t>The purpose of this paper is to explore the idea of sacred space as a human con</w:t>
      </w:r>
      <w:r w:rsidR="00B90B32" w:rsidRPr="001A0F5B">
        <w:rPr>
          <w:sz w:val="24"/>
          <w:szCs w:val="24"/>
        </w:rPr>
        <w:t>s</w:t>
      </w:r>
      <w:r w:rsidRPr="001A0F5B">
        <w:rPr>
          <w:sz w:val="24"/>
          <w:szCs w:val="24"/>
        </w:rPr>
        <w:t>tr</w:t>
      </w:r>
      <w:r w:rsidR="00B90B32" w:rsidRPr="001A0F5B">
        <w:rPr>
          <w:sz w:val="24"/>
          <w:szCs w:val="24"/>
        </w:rPr>
        <w:t>u</w:t>
      </w:r>
      <w:r w:rsidRPr="001A0F5B">
        <w:rPr>
          <w:sz w:val="24"/>
          <w:szCs w:val="24"/>
        </w:rPr>
        <w:t>ct</w:t>
      </w:r>
      <w:r w:rsidR="00B90B32" w:rsidRPr="001A0F5B">
        <w:rPr>
          <w:sz w:val="24"/>
          <w:szCs w:val="24"/>
        </w:rPr>
        <w:t xml:space="preserve"> through</w:t>
      </w:r>
      <w:r w:rsidRPr="001A0F5B">
        <w:rPr>
          <w:sz w:val="24"/>
          <w:szCs w:val="24"/>
        </w:rPr>
        <w:t xml:space="preserve"> examining</w:t>
      </w:r>
      <w:r w:rsidR="00B90B32" w:rsidRPr="001A0F5B">
        <w:rPr>
          <w:sz w:val="24"/>
          <w:szCs w:val="24"/>
        </w:rPr>
        <w:t xml:space="preserve"> arguments and theories </w:t>
      </w:r>
      <w:r w:rsidRPr="001A0F5B">
        <w:rPr>
          <w:sz w:val="24"/>
          <w:szCs w:val="24"/>
        </w:rPr>
        <w:t xml:space="preserve">proposed by academics </w:t>
      </w:r>
      <w:r w:rsidR="00B90B32" w:rsidRPr="001A0F5B">
        <w:rPr>
          <w:sz w:val="24"/>
          <w:szCs w:val="24"/>
        </w:rPr>
        <w:t>in relation to having several</w:t>
      </w:r>
      <w:r w:rsidR="00763B02" w:rsidRPr="001A0F5B">
        <w:rPr>
          <w:sz w:val="24"/>
          <w:szCs w:val="24"/>
        </w:rPr>
        <w:t xml:space="preserve"> exploration</w:t>
      </w:r>
      <w:r w:rsidR="00B90B32" w:rsidRPr="001A0F5B">
        <w:rPr>
          <w:sz w:val="24"/>
          <w:szCs w:val="24"/>
        </w:rPr>
        <w:t xml:space="preserve"> visits to the site </w:t>
      </w:r>
      <w:r w:rsidR="00763B02" w:rsidRPr="001A0F5B">
        <w:rPr>
          <w:sz w:val="24"/>
          <w:szCs w:val="24"/>
        </w:rPr>
        <w:t>located in Rome. The research visits take place in the pantheon of Rome, one of the most important surviving work of Roman architectu</w:t>
      </w:r>
      <w:r w:rsidR="00763B02" w:rsidRPr="000436BA">
        <w:rPr>
          <w:color w:val="000000" w:themeColor="text1"/>
          <w:sz w:val="24"/>
          <w:szCs w:val="24"/>
        </w:rPr>
        <w:t>re.</w:t>
      </w:r>
      <w:r w:rsidR="009137DF" w:rsidRPr="000436BA">
        <w:rPr>
          <w:rStyle w:val="FootnoteReference"/>
          <w:color w:val="000000" w:themeColor="text1"/>
          <w:sz w:val="24"/>
          <w:szCs w:val="24"/>
        </w:rPr>
        <w:footnoteReference w:id="1"/>
      </w:r>
      <w:r w:rsidR="00E335EF" w:rsidRPr="000436BA">
        <w:rPr>
          <w:color w:val="000000" w:themeColor="text1"/>
          <w:sz w:val="24"/>
          <w:szCs w:val="24"/>
        </w:rPr>
        <w:t xml:space="preserve"> </w:t>
      </w:r>
      <w:r w:rsidR="00E335EF">
        <w:rPr>
          <w:sz w:val="24"/>
          <w:szCs w:val="24"/>
        </w:rPr>
        <w:t>However,</w:t>
      </w:r>
      <w:r w:rsidR="00C80D90">
        <w:rPr>
          <w:sz w:val="24"/>
          <w:szCs w:val="24"/>
        </w:rPr>
        <w:t xml:space="preserve"> the research will focus mainly on the role of the sun in the pantheon as one of the</w:t>
      </w:r>
      <w:r w:rsidR="00E4543C">
        <w:rPr>
          <w:sz w:val="24"/>
          <w:szCs w:val="24"/>
        </w:rPr>
        <w:t xml:space="preserve"> main</w:t>
      </w:r>
      <w:r w:rsidR="00C80D90">
        <w:rPr>
          <w:sz w:val="24"/>
          <w:szCs w:val="24"/>
        </w:rPr>
        <w:t xml:space="preserve"> features that aid into making the space sacred. The issue of discussion in this matter, is whether</w:t>
      </w:r>
      <w:r w:rsidR="00A14C60">
        <w:rPr>
          <w:sz w:val="24"/>
          <w:szCs w:val="24"/>
        </w:rPr>
        <w:t xml:space="preserve"> the role of the sun in the pantheon</w:t>
      </w:r>
      <w:r w:rsidR="00E4543C">
        <w:rPr>
          <w:sz w:val="24"/>
          <w:szCs w:val="24"/>
        </w:rPr>
        <w:t xml:space="preserve"> is</w:t>
      </w:r>
      <w:r w:rsidR="00A14C60">
        <w:rPr>
          <w:sz w:val="24"/>
          <w:szCs w:val="24"/>
        </w:rPr>
        <w:t xml:space="preserve"> considered sacred due to the space being initially sacred or is the space considered sacred due to the role of the sun? The key theorists I will be presenting are Emile Durkheim</w:t>
      </w:r>
      <w:r w:rsidR="00E4543C">
        <w:rPr>
          <w:sz w:val="24"/>
          <w:szCs w:val="24"/>
        </w:rPr>
        <w:t>,</w:t>
      </w:r>
      <w:r w:rsidR="00A14C60">
        <w:rPr>
          <w:sz w:val="24"/>
          <w:szCs w:val="24"/>
        </w:rPr>
        <w:t xml:space="preserve"> Mircea Eliade</w:t>
      </w:r>
      <w:r w:rsidR="001C0DED">
        <w:rPr>
          <w:sz w:val="24"/>
          <w:szCs w:val="24"/>
        </w:rPr>
        <w:t xml:space="preserve"> </w:t>
      </w:r>
      <w:r w:rsidR="00E4543C">
        <w:rPr>
          <w:sz w:val="24"/>
          <w:szCs w:val="24"/>
        </w:rPr>
        <w:t>and, Lucien Levy-Bruhl</w:t>
      </w:r>
      <w:r w:rsidR="00A14C60">
        <w:rPr>
          <w:sz w:val="24"/>
          <w:szCs w:val="24"/>
        </w:rPr>
        <w:t xml:space="preserve">, they </w:t>
      </w:r>
      <w:r w:rsidR="00E4543C">
        <w:rPr>
          <w:sz w:val="24"/>
          <w:szCs w:val="24"/>
        </w:rPr>
        <w:t>all</w:t>
      </w:r>
      <w:r w:rsidR="00A14C60">
        <w:rPr>
          <w:sz w:val="24"/>
          <w:szCs w:val="24"/>
        </w:rPr>
        <w:t xml:space="preserve"> have different ideas of what makes a space sacred, and that could help with in investigation of the pantheon. </w:t>
      </w:r>
    </w:p>
    <w:p w14:paraId="79680307" w14:textId="482FADFC" w:rsidR="002E76D8" w:rsidRPr="00274D7A" w:rsidRDefault="000120E9">
      <w:pPr>
        <w:rPr>
          <w:color w:val="BF8F00" w:themeColor="accent4" w:themeShade="BF"/>
          <w:sz w:val="28"/>
          <w:szCs w:val="28"/>
          <w:u w:val="single"/>
        </w:rPr>
      </w:pPr>
      <w:r w:rsidRPr="00274D7A">
        <w:rPr>
          <w:color w:val="BF8F00" w:themeColor="accent4" w:themeShade="BF"/>
          <w:sz w:val="28"/>
          <w:szCs w:val="28"/>
          <w:u w:val="single"/>
        </w:rPr>
        <w:t xml:space="preserve">Academic Rational </w:t>
      </w:r>
    </w:p>
    <w:p w14:paraId="5DBF55C9" w14:textId="71119B5C" w:rsidR="001A0F5B" w:rsidRPr="001A0F5B" w:rsidRDefault="002E76D8" w:rsidP="00C440A4">
      <w:pPr>
        <w:jc w:val="both"/>
        <w:rPr>
          <w:sz w:val="24"/>
          <w:szCs w:val="24"/>
        </w:rPr>
      </w:pPr>
      <w:r w:rsidRPr="001A0F5B">
        <w:rPr>
          <w:sz w:val="24"/>
          <w:szCs w:val="24"/>
        </w:rPr>
        <w:t xml:space="preserve">This paper presents the worldwide interest and debate of the pantheon of Rome, which in Gaugier’s opinion is the most important surviving work of </w:t>
      </w:r>
      <w:r w:rsidRPr="000436BA">
        <w:rPr>
          <w:color w:val="000000" w:themeColor="text1"/>
          <w:sz w:val="24"/>
          <w:szCs w:val="24"/>
        </w:rPr>
        <w:t xml:space="preserve">Roman </w:t>
      </w:r>
      <w:r w:rsidR="00B90B32" w:rsidRPr="000436BA">
        <w:rPr>
          <w:color w:val="000000" w:themeColor="text1"/>
          <w:sz w:val="24"/>
          <w:szCs w:val="24"/>
        </w:rPr>
        <w:t>architecture.</w:t>
      </w:r>
      <w:r w:rsidR="000436BA">
        <w:rPr>
          <w:rStyle w:val="FootnoteReference"/>
          <w:color w:val="000000" w:themeColor="text1"/>
          <w:sz w:val="24"/>
          <w:szCs w:val="24"/>
        </w:rPr>
        <w:footnoteReference w:id="2"/>
      </w:r>
      <w:r w:rsidRPr="000436BA">
        <w:rPr>
          <w:color w:val="000000" w:themeColor="text1"/>
          <w:sz w:val="24"/>
          <w:szCs w:val="24"/>
        </w:rPr>
        <w:t xml:space="preserve"> </w:t>
      </w:r>
      <w:r w:rsidRPr="001A0F5B">
        <w:rPr>
          <w:sz w:val="24"/>
          <w:szCs w:val="24"/>
        </w:rPr>
        <w:t xml:space="preserve">There </w:t>
      </w:r>
      <w:r w:rsidR="000120E9" w:rsidRPr="001A0F5B">
        <w:rPr>
          <w:sz w:val="24"/>
          <w:szCs w:val="24"/>
        </w:rPr>
        <w:t>have</w:t>
      </w:r>
      <w:r w:rsidRPr="001A0F5B">
        <w:rPr>
          <w:sz w:val="24"/>
          <w:szCs w:val="24"/>
        </w:rPr>
        <w:t xml:space="preserve"> been many debates about the functions and reasons of the Pantheon, many scholars view it</w:t>
      </w:r>
      <w:r w:rsidR="00E4543C">
        <w:rPr>
          <w:sz w:val="24"/>
          <w:szCs w:val="24"/>
        </w:rPr>
        <w:t xml:space="preserve"> as</w:t>
      </w:r>
      <w:r w:rsidRPr="001A0F5B">
        <w:rPr>
          <w:sz w:val="24"/>
          <w:szCs w:val="24"/>
        </w:rPr>
        <w:t xml:space="preserve"> sacred but due to different reasons. For example, being viewed as a solar temple by Henri Steirlin</w:t>
      </w:r>
      <w:r w:rsidR="003C168D">
        <w:rPr>
          <w:rStyle w:val="FootnoteReference"/>
          <w:sz w:val="24"/>
          <w:szCs w:val="24"/>
        </w:rPr>
        <w:footnoteReference w:id="3"/>
      </w:r>
      <w:r w:rsidRPr="001A0F5B">
        <w:rPr>
          <w:sz w:val="24"/>
          <w:szCs w:val="24"/>
        </w:rPr>
        <w:t xml:space="preserve"> or a temple of dedication to all the gods by MacDonald.</w:t>
      </w:r>
      <w:r w:rsidR="00A84E48">
        <w:rPr>
          <w:rStyle w:val="FootnoteReference"/>
          <w:sz w:val="24"/>
          <w:szCs w:val="24"/>
        </w:rPr>
        <w:footnoteReference w:id="4"/>
      </w:r>
      <w:r w:rsidRPr="001A0F5B">
        <w:rPr>
          <w:sz w:val="24"/>
          <w:szCs w:val="24"/>
        </w:rPr>
        <w:t xml:space="preserve">  Nevertheless, something it has in common by all the debates provided by all the scholars is that it is without a doubt a sacred space. The pantheon has puzzled many due to the sense of sacredness and mystery behind it, also behind its name – the pantheon, by th</w:t>
      </w:r>
      <w:r w:rsidRPr="000436BA">
        <w:rPr>
          <w:color w:val="000000" w:themeColor="text1"/>
          <w:sz w:val="24"/>
          <w:szCs w:val="24"/>
        </w:rPr>
        <w:t xml:space="preserve">e </w:t>
      </w:r>
      <w:r w:rsidR="001C0DED" w:rsidRPr="000436BA">
        <w:rPr>
          <w:color w:val="000000" w:themeColor="text1"/>
          <w:sz w:val="24"/>
          <w:szCs w:val="24"/>
        </w:rPr>
        <w:t>R</w:t>
      </w:r>
      <w:r w:rsidRPr="000436BA">
        <w:rPr>
          <w:color w:val="000000" w:themeColor="text1"/>
          <w:sz w:val="24"/>
          <w:szCs w:val="24"/>
        </w:rPr>
        <w:t xml:space="preserve">omans </w:t>
      </w:r>
      <w:r w:rsidRPr="001A0F5B">
        <w:rPr>
          <w:sz w:val="24"/>
          <w:szCs w:val="24"/>
        </w:rPr>
        <w:t xml:space="preserve">which means ‘of all gods’. Another thing is its unique form of integration of architecture and astronomy. In addition to the experience itself of being in a sacred space such as the pantheon, since this sacred space creates awe wonder and a sense of epiphany to its visitors. However, the influence that the pantheon has on its users raises many questions about the sacredness of this space like: Is it sacred because it has been transformed into a church? Or is it because it contains the tombs of significant roman people like Rafael? Or </w:t>
      </w:r>
      <w:r w:rsidRPr="001A0F5B">
        <w:rPr>
          <w:sz w:val="24"/>
          <w:szCs w:val="24"/>
        </w:rPr>
        <w:lastRenderedPageBreak/>
        <w:t xml:space="preserve">maybe it is the experience of witnessing the connection of the heavens with the space? However, the pantheon is a human construct, and if one element is to be </w:t>
      </w:r>
      <w:r w:rsidR="00481D04" w:rsidRPr="00972819">
        <w:rPr>
          <w:color w:val="000000" w:themeColor="text1"/>
          <w:sz w:val="24"/>
          <w:szCs w:val="24"/>
        </w:rPr>
        <w:t>analyzed</w:t>
      </w:r>
      <w:r w:rsidRPr="00972819">
        <w:rPr>
          <w:color w:val="000000" w:themeColor="text1"/>
          <w:sz w:val="24"/>
          <w:szCs w:val="24"/>
        </w:rPr>
        <w:t xml:space="preserve">, </w:t>
      </w:r>
      <w:r w:rsidR="00E4543C" w:rsidRPr="00972819">
        <w:rPr>
          <w:color w:val="000000" w:themeColor="text1"/>
          <w:sz w:val="24"/>
          <w:szCs w:val="24"/>
        </w:rPr>
        <w:t>it</w:t>
      </w:r>
      <w:r w:rsidRPr="00972819">
        <w:rPr>
          <w:color w:val="000000" w:themeColor="text1"/>
          <w:sz w:val="24"/>
          <w:szCs w:val="24"/>
        </w:rPr>
        <w:t xml:space="preserve"> is the oculus</w:t>
      </w:r>
      <w:r w:rsidR="00E4543C" w:rsidRPr="00972819">
        <w:rPr>
          <w:color w:val="000000" w:themeColor="text1"/>
          <w:sz w:val="24"/>
          <w:szCs w:val="24"/>
        </w:rPr>
        <w:t>. I</w:t>
      </w:r>
      <w:r w:rsidRPr="00972819">
        <w:rPr>
          <w:color w:val="000000" w:themeColor="text1"/>
          <w:sz w:val="24"/>
          <w:szCs w:val="24"/>
        </w:rPr>
        <w:t xml:space="preserve">t </w:t>
      </w:r>
      <w:r w:rsidR="00481D04" w:rsidRPr="00972819">
        <w:rPr>
          <w:color w:val="000000" w:themeColor="text1"/>
          <w:sz w:val="24"/>
          <w:szCs w:val="24"/>
        </w:rPr>
        <w:t>raises</w:t>
      </w:r>
      <w:r w:rsidRPr="00972819">
        <w:rPr>
          <w:color w:val="000000" w:themeColor="text1"/>
          <w:sz w:val="24"/>
          <w:szCs w:val="24"/>
        </w:rPr>
        <w:t xml:space="preserve"> the question of , “Does it present sacredness due to human construct or due to the moment of connection with the heavens when the sun touches the aligned parts of the building, which perhaps indicates an intermediate point between human construct and the natural world.</w:t>
      </w:r>
      <w:r w:rsidR="002B2E7A" w:rsidRPr="00972819">
        <w:rPr>
          <w:color w:val="000000" w:themeColor="text1"/>
          <w:sz w:val="24"/>
          <w:szCs w:val="24"/>
        </w:rPr>
        <w:t>”</w:t>
      </w:r>
    </w:p>
    <w:p w14:paraId="104AF210" w14:textId="77777777" w:rsidR="000120E9" w:rsidRPr="00274D7A" w:rsidRDefault="000120E9">
      <w:pPr>
        <w:rPr>
          <w:color w:val="BF8F00" w:themeColor="accent4" w:themeShade="BF"/>
          <w:sz w:val="28"/>
          <w:szCs w:val="28"/>
          <w:u w:val="single"/>
        </w:rPr>
      </w:pPr>
      <w:r w:rsidRPr="00274D7A">
        <w:rPr>
          <w:color w:val="BF8F00" w:themeColor="accent4" w:themeShade="BF"/>
          <w:sz w:val="28"/>
          <w:szCs w:val="28"/>
          <w:u w:val="single"/>
        </w:rPr>
        <w:t xml:space="preserve">Literature Review </w:t>
      </w:r>
    </w:p>
    <w:p w14:paraId="5D6CA14A" w14:textId="0AB3D24B" w:rsidR="002E76D8" w:rsidRDefault="00A14C60" w:rsidP="008D3B1D">
      <w:pPr>
        <w:jc w:val="both"/>
        <w:rPr>
          <w:rFonts w:eastAsia="Times New Roman" w:cstheme="minorHAnsi"/>
          <w:sz w:val="24"/>
          <w:szCs w:val="24"/>
        </w:rPr>
      </w:pPr>
      <w:r>
        <w:rPr>
          <w:sz w:val="24"/>
          <w:szCs w:val="24"/>
        </w:rPr>
        <w:t>As mentioned before, t</w:t>
      </w:r>
      <w:r w:rsidR="007A4DE1" w:rsidRPr="001A0F5B">
        <w:rPr>
          <w:sz w:val="24"/>
          <w:szCs w:val="24"/>
        </w:rPr>
        <w:t>he main theorists featured in this paper for analyzing the pantheon’s sacredness are, Emile Durkheim, Mircea Eliade</w:t>
      </w:r>
      <w:r w:rsidR="00E4543C">
        <w:rPr>
          <w:sz w:val="24"/>
          <w:szCs w:val="24"/>
        </w:rPr>
        <w:t xml:space="preserve"> and Lucien Levy-Bruhl</w:t>
      </w:r>
      <w:r w:rsidR="007A4DE1" w:rsidRPr="001A0F5B">
        <w:rPr>
          <w:sz w:val="24"/>
          <w:szCs w:val="24"/>
        </w:rPr>
        <w:t xml:space="preserve">. </w:t>
      </w:r>
      <w:proofErr w:type="gramStart"/>
      <w:r w:rsidR="00E4543C">
        <w:rPr>
          <w:sz w:val="24"/>
          <w:szCs w:val="24"/>
        </w:rPr>
        <w:t>All of</w:t>
      </w:r>
      <w:proofErr w:type="gramEnd"/>
      <w:r w:rsidR="00E4543C">
        <w:rPr>
          <w:sz w:val="24"/>
          <w:szCs w:val="24"/>
        </w:rPr>
        <w:t xml:space="preserve"> these</w:t>
      </w:r>
      <w:r w:rsidR="0054767E" w:rsidRPr="001A0F5B">
        <w:rPr>
          <w:sz w:val="24"/>
          <w:szCs w:val="24"/>
        </w:rPr>
        <w:t xml:space="preserve"> theorists speak about the distinction of the sacred from the profane, but the difference between them is about how the sacred is identified</w:t>
      </w:r>
      <w:r w:rsidR="009C59D9">
        <w:rPr>
          <w:sz w:val="24"/>
          <w:szCs w:val="24"/>
        </w:rPr>
        <w:t xml:space="preserve">, </w:t>
      </w:r>
      <w:r w:rsidR="0054767E" w:rsidRPr="001A0F5B">
        <w:rPr>
          <w:sz w:val="24"/>
          <w:szCs w:val="24"/>
        </w:rPr>
        <w:t>recognized</w:t>
      </w:r>
      <w:r w:rsidR="009C59D9">
        <w:rPr>
          <w:sz w:val="24"/>
          <w:szCs w:val="24"/>
        </w:rPr>
        <w:t>, or processed</w:t>
      </w:r>
      <w:r w:rsidR="0054767E" w:rsidRPr="001A0F5B">
        <w:rPr>
          <w:sz w:val="24"/>
          <w:szCs w:val="24"/>
        </w:rPr>
        <w:t xml:space="preserve">. According to Eliade </w:t>
      </w:r>
      <w:r w:rsidR="00972819">
        <w:rPr>
          <w:sz w:val="24"/>
          <w:szCs w:val="24"/>
        </w:rPr>
        <w:t>‘</w:t>
      </w:r>
      <w:r w:rsidR="001A0F5B" w:rsidRPr="001A0F5B">
        <w:rPr>
          <w:sz w:val="24"/>
          <w:szCs w:val="24"/>
        </w:rPr>
        <w:t>The</w:t>
      </w:r>
      <w:r w:rsidR="0054767E" w:rsidRPr="001A0F5B">
        <w:rPr>
          <w:sz w:val="24"/>
          <w:szCs w:val="24"/>
        </w:rPr>
        <w:t xml:space="preserve"> sacred always manifests itself as a reality of a wholly different order from “natural realities</w:t>
      </w:r>
      <w:r w:rsidR="00972819">
        <w:rPr>
          <w:sz w:val="24"/>
          <w:szCs w:val="24"/>
        </w:rPr>
        <w:t>”’</w:t>
      </w:r>
      <w:r w:rsidR="0054767E" w:rsidRPr="001A0F5B">
        <w:rPr>
          <w:sz w:val="24"/>
          <w:szCs w:val="24"/>
        </w:rPr>
        <w:t>.</w:t>
      </w:r>
      <w:r w:rsidR="0054767E" w:rsidRPr="001A0F5B">
        <w:rPr>
          <w:rStyle w:val="FootnoteReference"/>
          <w:sz w:val="24"/>
          <w:szCs w:val="24"/>
        </w:rPr>
        <w:footnoteReference w:id="5"/>
      </w:r>
      <w:r w:rsidR="0054767E" w:rsidRPr="001A0F5B">
        <w:rPr>
          <w:sz w:val="24"/>
          <w:szCs w:val="24"/>
        </w:rPr>
        <w:t xml:space="preserve">  However, </w:t>
      </w:r>
      <w:r w:rsidR="001A0F5B" w:rsidRPr="001A0F5B">
        <w:rPr>
          <w:sz w:val="24"/>
          <w:szCs w:val="24"/>
        </w:rPr>
        <w:t>speaking</w:t>
      </w:r>
      <w:r w:rsidR="0054767E" w:rsidRPr="001A0F5B">
        <w:rPr>
          <w:sz w:val="24"/>
          <w:szCs w:val="24"/>
        </w:rPr>
        <w:t xml:space="preserve"> of the natural order of buildings the pantheon does stand out, and it does show a different order from basic regular buildings. There are many elements that assist into the identification of sacredness in the pantheon, but one element that sparked my interest is the connection of the building with the heavens through the oculus , and that is something that puts the building of the pantheon in a wholly different order from other buildings. </w:t>
      </w:r>
      <w:r w:rsidR="00B37C2F" w:rsidRPr="001A0F5B">
        <w:rPr>
          <w:sz w:val="24"/>
          <w:szCs w:val="24"/>
        </w:rPr>
        <w:t xml:space="preserve">Moreover, Durkheim also speaks about the distinction of the sacred from the profane by stating, </w:t>
      </w:r>
      <w:r w:rsidR="00972819">
        <w:rPr>
          <w:sz w:val="24"/>
          <w:szCs w:val="24"/>
        </w:rPr>
        <w:t>‘</w:t>
      </w:r>
      <w:r w:rsidR="00B37C2F" w:rsidRPr="001A0F5B">
        <w:rPr>
          <w:rFonts w:cstheme="minorHAnsi"/>
          <w:sz w:val="24"/>
          <w:szCs w:val="24"/>
        </w:rPr>
        <w:t>All known religious beliefs, whether simple or complex, present one common characteristic : they presuppose a classification of all the things, real and ideal, of which men think, into two classes or opposed groups, generally designated by the words profane and sacred… this division of the world into two domains, the one containing all that is sacred, and the other all that is profane, is the distinctive trait of religious thought; the beliefs , myths, dogmas and legends are either representations or systems of representations which express the nature of sacred things, the virtues and powers which are attributed to them, or their relations with each other and with profane things</w:t>
      </w:r>
      <w:r w:rsidR="00972819">
        <w:rPr>
          <w:rFonts w:cstheme="minorHAnsi"/>
          <w:sz w:val="24"/>
          <w:szCs w:val="24"/>
        </w:rPr>
        <w:t>’</w:t>
      </w:r>
      <w:r w:rsidR="001A0F5B">
        <w:rPr>
          <w:rFonts w:cstheme="minorHAnsi"/>
          <w:sz w:val="24"/>
          <w:szCs w:val="24"/>
        </w:rPr>
        <w:t>.</w:t>
      </w:r>
      <w:r w:rsidR="001A0F5B">
        <w:rPr>
          <w:rStyle w:val="FootnoteReference"/>
          <w:rFonts w:cstheme="minorHAnsi"/>
          <w:sz w:val="24"/>
          <w:szCs w:val="24"/>
        </w:rPr>
        <w:footnoteReference w:id="6"/>
      </w:r>
      <w:r w:rsidR="001A0F5B">
        <w:rPr>
          <w:rFonts w:cstheme="minorHAnsi"/>
          <w:sz w:val="24"/>
          <w:szCs w:val="24"/>
        </w:rPr>
        <w:t xml:space="preserve"> This idea of Durkheim connects to the</w:t>
      </w:r>
      <w:r w:rsidR="00D52C16">
        <w:rPr>
          <w:rFonts w:cstheme="minorHAnsi"/>
          <w:sz w:val="24"/>
          <w:szCs w:val="24"/>
        </w:rPr>
        <w:t xml:space="preserve"> </w:t>
      </w:r>
      <w:r w:rsidR="001A0F5B">
        <w:rPr>
          <w:rFonts w:cstheme="minorHAnsi"/>
          <w:sz w:val="24"/>
          <w:szCs w:val="24"/>
        </w:rPr>
        <w:t>idea of transforming the pantheon from being a temple into being a church,</w:t>
      </w:r>
      <w:r w:rsidR="00D52C16">
        <w:rPr>
          <w:rFonts w:cstheme="minorHAnsi"/>
          <w:sz w:val="24"/>
          <w:szCs w:val="24"/>
        </w:rPr>
        <w:t xml:space="preserve"> which</w:t>
      </w:r>
      <w:r w:rsidR="001A0F5B">
        <w:rPr>
          <w:rFonts w:cstheme="minorHAnsi"/>
          <w:sz w:val="24"/>
          <w:szCs w:val="24"/>
        </w:rPr>
        <w:t xml:space="preserve"> shows that it was originally considered as sacred in order to be worthy to be a church,</w:t>
      </w:r>
      <w:r w:rsidR="00D52C16">
        <w:rPr>
          <w:rFonts w:cstheme="minorHAnsi"/>
          <w:sz w:val="24"/>
          <w:szCs w:val="24"/>
        </w:rPr>
        <w:t xml:space="preserve"> hence it was under the category of the nature of </w:t>
      </w:r>
      <w:r w:rsidR="00D52C16" w:rsidRPr="005248A7">
        <w:rPr>
          <w:rFonts w:cstheme="minorHAnsi"/>
          <w:sz w:val="24"/>
          <w:szCs w:val="24"/>
        </w:rPr>
        <w:t>sacred things that distinct from the profane.</w:t>
      </w:r>
      <w:r w:rsidR="009C59D9">
        <w:rPr>
          <w:rFonts w:cstheme="minorHAnsi"/>
          <w:sz w:val="24"/>
          <w:szCs w:val="24"/>
        </w:rPr>
        <w:t xml:space="preserve"> As for Levy</w:t>
      </w:r>
      <w:r w:rsidR="009C59D9">
        <w:rPr>
          <w:rFonts w:cstheme="minorHAnsi"/>
          <w:sz w:val="24"/>
          <w:szCs w:val="24"/>
        </w:rPr>
        <w:t xml:space="preserve">, </w:t>
      </w:r>
      <w:r w:rsidR="009C59D9">
        <w:rPr>
          <w:rFonts w:cstheme="minorHAnsi"/>
          <w:sz w:val="24"/>
          <w:szCs w:val="24"/>
        </w:rPr>
        <w:t xml:space="preserve">his </w:t>
      </w:r>
      <w:r w:rsidR="009C59D9">
        <w:rPr>
          <w:rFonts w:cstheme="minorHAnsi"/>
          <w:sz w:val="24"/>
          <w:szCs w:val="24"/>
        </w:rPr>
        <w:t>terms about the distinction of the natural world from the supernatural word are “logic” and “mystic”, ‘He positioned two types of mental processes, the logical and the mystical, which exist side by side in all social groups and represent two different ways of structuring perceptions of reality’.</w:t>
      </w:r>
      <w:r w:rsidR="009C59D9">
        <w:rPr>
          <w:rStyle w:val="FootnoteReference"/>
          <w:rFonts w:cstheme="minorHAnsi"/>
          <w:sz w:val="24"/>
          <w:szCs w:val="24"/>
        </w:rPr>
        <w:footnoteReference w:id="7"/>
      </w:r>
      <w:r w:rsidR="00D52C16" w:rsidRPr="005248A7">
        <w:rPr>
          <w:rFonts w:cstheme="minorHAnsi"/>
          <w:sz w:val="24"/>
          <w:szCs w:val="24"/>
        </w:rPr>
        <w:t xml:space="preserve"> </w:t>
      </w:r>
      <w:r w:rsidR="009C59D9">
        <w:rPr>
          <w:rFonts w:cstheme="minorHAnsi"/>
          <w:sz w:val="24"/>
          <w:szCs w:val="24"/>
        </w:rPr>
        <w:t xml:space="preserve">Hence, </w:t>
      </w:r>
      <w:r w:rsidR="00D52C16">
        <w:rPr>
          <w:rFonts w:cstheme="minorHAnsi"/>
          <w:sz w:val="24"/>
          <w:szCs w:val="24"/>
        </w:rPr>
        <w:t>according to the theories of</w:t>
      </w:r>
      <w:r w:rsidR="009C59D9">
        <w:rPr>
          <w:rFonts w:cstheme="minorHAnsi"/>
          <w:sz w:val="24"/>
          <w:szCs w:val="24"/>
        </w:rPr>
        <w:t xml:space="preserve"> all</w:t>
      </w:r>
      <w:r w:rsidR="00D52C16">
        <w:rPr>
          <w:rFonts w:cstheme="minorHAnsi"/>
          <w:sz w:val="24"/>
          <w:szCs w:val="24"/>
        </w:rPr>
        <w:t>, Durkheim Eliade</w:t>
      </w:r>
      <w:r w:rsidR="009C59D9">
        <w:rPr>
          <w:rFonts w:cstheme="minorHAnsi"/>
          <w:sz w:val="24"/>
          <w:szCs w:val="24"/>
        </w:rPr>
        <w:t>, and levy</w:t>
      </w:r>
      <w:r w:rsidR="00D52C16">
        <w:rPr>
          <w:rFonts w:cstheme="minorHAnsi"/>
          <w:sz w:val="24"/>
          <w:szCs w:val="24"/>
        </w:rPr>
        <w:t xml:space="preserve"> the pantheon is considered sacred since it is distinct from the natural world and the profane, but the question here is what erupted the distinction of the sacredness in the pantheon. This here points out the difference between Eliade</w:t>
      </w:r>
      <w:r w:rsidR="002B5AEA">
        <w:rPr>
          <w:rFonts w:cstheme="minorHAnsi"/>
          <w:sz w:val="24"/>
          <w:szCs w:val="24"/>
        </w:rPr>
        <w:t xml:space="preserve">, levy, and </w:t>
      </w:r>
      <w:r w:rsidR="00D52C16">
        <w:rPr>
          <w:rFonts w:cstheme="minorHAnsi"/>
          <w:sz w:val="24"/>
          <w:szCs w:val="24"/>
        </w:rPr>
        <w:t xml:space="preserve">Durkheim’s </w:t>
      </w:r>
      <w:r w:rsidR="00D52C16">
        <w:rPr>
          <w:rFonts w:cstheme="minorHAnsi"/>
          <w:sz w:val="24"/>
          <w:szCs w:val="24"/>
        </w:rPr>
        <w:lastRenderedPageBreak/>
        <w:t>theories of the distinction of the sacred.</w:t>
      </w:r>
      <w:r w:rsidR="00E0694A">
        <w:rPr>
          <w:rFonts w:cstheme="minorHAnsi"/>
          <w:sz w:val="24"/>
          <w:szCs w:val="24"/>
        </w:rPr>
        <w:t xml:space="preserve"> According to Eliade, he states </w:t>
      </w:r>
      <w:r w:rsidR="00D52C16">
        <w:rPr>
          <w:rFonts w:cstheme="minorHAnsi"/>
          <w:sz w:val="24"/>
          <w:szCs w:val="24"/>
        </w:rPr>
        <w:t xml:space="preserve">that ‘the sacred’ exists independent of the human </w:t>
      </w:r>
      <w:r w:rsidR="00E0694A">
        <w:rPr>
          <w:rFonts w:cstheme="minorHAnsi"/>
          <w:sz w:val="24"/>
          <w:szCs w:val="24"/>
        </w:rPr>
        <w:t>mind and</w:t>
      </w:r>
      <w:r w:rsidR="00D52C16">
        <w:rPr>
          <w:rFonts w:cstheme="minorHAnsi"/>
          <w:sz w:val="24"/>
          <w:szCs w:val="24"/>
        </w:rPr>
        <w:t xml:space="preserve"> is recognized </w:t>
      </w:r>
      <w:r w:rsidR="00E0694A">
        <w:rPr>
          <w:rFonts w:cstheme="minorHAnsi"/>
          <w:sz w:val="24"/>
          <w:szCs w:val="24"/>
        </w:rPr>
        <w:t xml:space="preserve">when experiencing a </w:t>
      </w:r>
      <w:r w:rsidR="00A27087">
        <w:rPr>
          <w:rFonts w:cstheme="minorHAnsi"/>
          <w:sz w:val="24"/>
          <w:szCs w:val="24"/>
        </w:rPr>
        <w:t>hierophany</w:t>
      </w:r>
      <w:r w:rsidR="00E0694A">
        <w:rPr>
          <w:rFonts w:cstheme="minorHAnsi"/>
          <w:sz w:val="24"/>
          <w:szCs w:val="24"/>
        </w:rPr>
        <w:t>.</w:t>
      </w:r>
      <w:r w:rsidR="00E0694A">
        <w:rPr>
          <w:rStyle w:val="FootnoteReference"/>
          <w:rFonts w:cstheme="minorHAnsi"/>
          <w:sz w:val="24"/>
          <w:szCs w:val="24"/>
        </w:rPr>
        <w:footnoteReference w:id="8"/>
      </w:r>
      <w:r w:rsidR="00E0694A">
        <w:rPr>
          <w:rFonts w:cstheme="minorHAnsi"/>
          <w:sz w:val="24"/>
          <w:szCs w:val="24"/>
        </w:rPr>
        <w:t xml:space="preserve"> “</w:t>
      </w:r>
      <w:r w:rsidR="00E0694A" w:rsidRPr="00EB431D">
        <w:rPr>
          <w:rFonts w:eastAsia="Times New Roman" w:cstheme="minorHAnsi"/>
          <w:sz w:val="24"/>
          <w:szCs w:val="24"/>
        </w:rPr>
        <w:t xml:space="preserve">To designate the act of manifestation of the sacred, we have proposed the term </w:t>
      </w:r>
      <w:r w:rsidR="00A27087" w:rsidRPr="00EB431D">
        <w:rPr>
          <w:rFonts w:eastAsia="Times New Roman" w:cstheme="minorHAnsi"/>
          <w:sz w:val="24"/>
          <w:szCs w:val="24"/>
        </w:rPr>
        <w:t>hierophany</w:t>
      </w:r>
      <w:r w:rsidR="00E0694A" w:rsidRPr="00EB431D">
        <w:rPr>
          <w:rFonts w:eastAsia="Times New Roman" w:cstheme="minorHAnsi"/>
          <w:sz w:val="24"/>
          <w:szCs w:val="24"/>
        </w:rPr>
        <w:t xml:space="preserve">. It is a fitting term, because it does not imply anything further; it expresses no more than is implicit in its etymological content, i.e., that something </w:t>
      </w:r>
      <w:r w:rsidR="00E0694A" w:rsidRPr="000436BA">
        <w:rPr>
          <w:rFonts w:eastAsia="Times New Roman" w:cstheme="minorHAnsi"/>
          <w:color w:val="000000" w:themeColor="text1"/>
          <w:sz w:val="24"/>
          <w:szCs w:val="24"/>
        </w:rPr>
        <w:t>sacred shows itself to us.”</w:t>
      </w:r>
      <w:r w:rsidR="00E0694A" w:rsidRPr="000436BA">
        <w:rPr>
          <w:rStyle w:val="FootnoteReference"/>
          <w:rFonts w:eastAsia="Times New Roman" w:cstheme="minorHAnsi"/>
          <w:color w:val="000000" w:themeColor="text1"/>
          <w:sz w:val="24"/>
          <w:szCs w:val="24"/>
        </w:rPr>
        <w:footnoteReference w:id="9"/>
      </w:r>
      <w:r w:rsidR="009D2A04" w:rsidRPr="000436BA">
        <w:rPr>
          <w:rFonts w:eastAsia="Times New Roman" w:cstheme="minorHAnsi"/>
          <w:color w:val="000000" w:themeColor="text1"/>
          <w:sz w:val="24"/>
          <w:szCs w:val="24"/>
        </w:rPr>
        <w:t xml:space="preserve"> </w:t>
      </w:r>
      <w:r w:rsidR="008972F1" w:rsidRPr="000436BA">
        <w:rPr>
          <w:rFonts w:eastAsia="Times New Roman" w:cstheme="minorHAnsi"/>
          <w:color w:val="000000" w:themeColor="text1"/>
          <w:sz w:val="24"/>
          <w:szCs w:val="24"/>
        </w:rPr>
        <w:t xml:space="preserve"> This is presented in the pantheon, especially when entering</w:t>
      </w:r>
      <w:r w:rsidR="00247857" w:rsidRPr="000436BA">
        <w:rPr>
          <w:rFonts w:eastAsia="Times New Roman" w:cstheme="minorHAnsi"/>
          <w:color w:val="000000" w:themeColor="text1"/>
          <w:sz w:val="24"/>
          <w:szCs w:val="24"/>
        </w:rPr>
        <w:t>,</w:t>
      </w:r>
      <w:r w:rsidR="008972F1" w:rsidRPr="000436BA">
        <w:rPr>
          <w:rFonts w:eastAsia="Times New Roman" w:cstheme="minorHAnsi"/>
          <w:color w:val="000000" w:themeColor="text1"/>
          <w:sz w:val="24"/>
          <w:szCs w:val="24"/>
        </w:rPr>
        <w:t xml:space="preserve"> it is directly recognized </w:t>
      </w:r>
      <w:r w:rsidR="00247857" w:rsidRPr="000436BA">
        <w:rPr>
          <w:rFonts w:eastAsia="Times New Roman" w:cstheme="minorHAnsi"/>
          <w:color w:val="000000" w:themeColor="text1"/>
          <w:sz w:val="24"/>
          <w:szCs w:val="24"/>
        </w:rPr>
        <w:t>as</w:t>
      </w:r>
      <w:r w:rsidR="008972F1" w:rsidRPr="000436BA">
        <w:rPr>
          <w:rFonts w:eastAsia="Times New Roman" w:cstheme="minorHAnsi"/>
          <w:color w:val="000000" w:themeColor="text1"/>
          <w:sz w:val="24"/>
          <w:szCs w:val="24"/>
        </w:rPr>
        <w:t xml:space="preserve"> sacred due to it being a church</w:t>
      </w:r>
      <w:r w:rsidR="000436BA" w:rsidRPr="000436BA">
        <w:rPr>
          <w:rFonts w:eastAsia="Times New Roman" w:cstheme="minorHAnsi"/>
          <w:color w:val="000000" w:themeColor="text1"/>
          <w:sz w:val="24"/>
          <w:szCs w:val="24"/>
        </w:rPr>
        <w:t xml:space="preserve">, </w:t>
      </w:r>
      <w:r w:rsidR="008972F1" w:rsidRPr="000436BA">
        <w:rPr>
          <w:rFonts w:eastAsia="Times New Roman" w:cstheme="minorHAnsi"/>
          <w:color w:val="000000" w:themeColor="text1"/>
          <w:sz w:val="24"/>
          <w:szCs w:val="24"/>
        </w:rPr>
        <w:t xml:space="preserve">hence </w:t>
      </w:r>
      <w:r w:rsidR="00A27087" w:rsidRPr="000436BA">
        <w:rPr>
          <w:rFonts w:eastAsia="Times New Roman" w:cstheme="minorHAnsi"/>
          <w:color w:val="000000" w:themeColor="text1"/>
          <w:sz w:val="24"/>
          <w:szCs w:val="24"/>
        </w:rPr>
        <w:t>hierophany</w:t>
      </w:r>
      <w:r w:rsidR="008972F1" w:rsidRPr="000436BA">
        <w:rPr>
          <w:rFonts w:eastAsia="Times New Roman" w:cstheme="minorHAnsi"/>
          <w:color w:val="000000" w:themeColor="text1"/>
          <w:sz w:val="24"/>
          <w:szCs w:val="24"/>
        </w:rPr>
        <w:t xml:space="preserve"> experiences are directly linked to sacredness, I can mention this according to my personal experience of when I visited the pantheon. </w:t>
      </w:r>
      <w:r w:rsidR="009D2A04">
        <w:rPr>
          <w:rFonts w:eastAsia="Times New Roman" w:cstheme="minorHAnsi"/>
          <w:sz w:val="24"/>
          <w:szCs w:val="24"/>
        </w:rPr>
        <w:t>As for Durkheim, he identifies the distinction of the sacred according to an experience of a social group of people which leads to his idea of collective consciousness , it can also apply on individuals’ perceptions to a thing being sacred, all constructed in the mind.</w:t>
      </w:r>
      <w:r w:rsidR="007001C0">
        <w:rPr>
          <w:rFonts w:eastAsia="Times New Roman" w:cstheme="minorHAnsi"/>
          <w:sz w:val="24"/>
          <w:szCs w:val="24"/>
        </w:rPr>
        <w:t xml:space="preserve"> </w:t>
      </w:r>
      <w:r w:rsidR="00B10A16" w:rsidRPr="00A80BE0">
        <w:rPr>
          <w:rFonts w:eastAsia="Times New Roman" w:cstheme="minorHAnsi"/>
          <w:color w:val="000000" w:themeColor="text1"/>
          <w:sz w:val="24"/>
          <w:szCs w:val="24"/>
        </w:rPr>
        <w:t>Lucien</w:t>
      </w:r>
      <w:r w:rsidR="007001C0" w:rsidRPr="00A80BE0">
        <w:rPr>
          <w:rFonts w:eastAsia="Times New Roman" w:cstheme="minorHAnsi"/>
          <w:color w:val="000000" w:themeColor="text1"/>
          <w:sz w:val="24"/>
          <w:szCs w:val="24"/>
        </w:rPr>
        <w:t xml:space="preserve"> has a somehow similar idea to Durkheim’s collective consciousness. He talks about something called “Collective representation”, </w:t>
      </w:r>
      <w:r w:rsidR="00972819" w:rsidRPr="00A80BE0">
        <w:rPr>
          <w:rFonts w:eastAsia="Times New Roman" w:cstheme="minorHAnsi"/>
          <w:color w:val="000000" w:themeColor="text1"/>
          <w:sz w:val="24"/>
          <w:szCs w:val="24"/>
        </w:rPr>
        <w:t>‘I</w:t>
      </w:r>
      <w:r w:rsidR="007001C0" w:rsidRPr="00A80BE0">
        <w:rPr>
          <w:rFonts w:eastAsia="Times New Roman" w:cstheme="minorHAnsi"/>
          <w:color w:val="000000" w:themeColor="text1"/>
          <w:sz w:val="24"/>
          <w:szCs w:val="24"/>
        </w:rPr>
        <w:t xml:space="preserve">t is </w:t>
      </w:r>
      <w:r w:rsidR="007001C0" w:rsidRPr="00A80BE0">
        <w:rPr>
          <w:color w:val="000000" w:themeColor="text1"/>
          <w:sz w:val="24"/>
          <w:szCs w:val="24"/>
        </w:rPr>
        <w:t>identified as intimations of reality which are given to the individual by virtue of his membership in a group; hence they include all elements of bis symbolic system. The individual's views of the nature of his universe and of man and of man's relation to nature are given to him, impressed upon his consciousness by ritual and myth</w:t>
      </w:r>
      <w:r w:rsidR="007001C0" w:rsidRPr="00A80BE0">
        <w:rPr>
          <w:rFonts w:eastAsia="Times New Roman" w:cstheme="minorHAnsi"/>
          <w:color w:val="000000" w:themeColor="text1"/>
          <w:sz w:val="24"/>
          <w:szCs w:val="24"/>
        </w:rPr>
        <w:t>.</w:t>
      </w:r>
      <w:r w:rsidR="00972819" w:rsidRPr="00A80BE0">
        <w:rPr>
          <w:rFonts w:eastAsia="Times New Roman" w:cstheme="minorHAnsi"/>
          <w:color w:val="000000" w:themeColor="text1"/>
          <w:sz w:val="24"/>
          <w:szCs w:val="24"/>
        </w:rPr>
        <w:t>’</w:t>
      </w:r>
      <w:r w:rsidR="007001C0" w:rsidRPr="00A80BE0">
        <w:rPr>
          <w:rFonts w:eastAsia="Times New Roman" w:cstheme="minorHAnsi"/>
          <w:color w:val="000000" w:themeColor="text1"/>
          <w:sz w:val="24"/>
          <w:szCs w:val="24"/>
        </w:rPr>
        <w:t xml:space="preserve"> </w:t>
      </w:r>
      <w:r w:rsidR="00972819" w:rsidRPr="00A80BE0">
        <w:rPr>
          <w:rStyle w:val="FootnoteReference"/>
          <w:rFonts w:eastAsia="Times New Roman" w:cstheme="minorHAnsi"/>
          <w:color w:val="000000" w:themeColor="text1"/>
          <w:sz w:val="24"/>
          <w:szCs w:val="24"/>
        </w:rPr>
        <w:footnoteReference w:id="10"/>
      </w:r>
      <w:r w:rsidR="00972819" w:rsidRPr="00A80BE0">
        <w:rPr>
          <w:rFonts w:eastAsia="Times New Roman" w:cstheme="minorHAnsi"/>
          <w:color w:val="000000" w:themeColor="text1"/>
          <w:sz w:val="24"/>
          <w:szCs w:val="24"/>
        </w:rPr>
        <w:t xml:space="preserve"> </w:t>
      </w:r>
      <w:r w:rsidR="007001C0" w:rsidRPr="00A80BE0">
        <w:rPr>
          <w:rFonts w:eastAsia="Times New Roman" w:cstheme="minorHAnsi"/>
          <w:color w:val="000000" w:themeColor="text1"/>
          <w:sz w:val="24"/>
          <w:szCs w:val="24"/>
        </w:rPr>
        <w:t xml:space="preserve">This </w:t>
      </w:r>
      <w:r w:rsidR="00134A5B" w:rsidRPr="00A80BE0">
        <w:rPr>
          <w:rFonts w:eastAsia="Times New Roman" w:cstheme="minorHAnsi"/>
          <w:color w:val="000000" w:themeColor="text1"/>
          <w:sz w:val="24"/>
          <w:szCs w:val="24"/>
        </w:rPr>
        <w:t xml:space="preserve">does </w:t>
      </w:r>
      <w:r w:rsidR="007001C0" w:rsidRPr="00A80BE0">
        <w:rPr>
          <w:rFonts w:eastAsia="Times New Roman" w:cstheme="minorHAnsi"/>
          <w:color w:val="000000" w:themeColor="text1"/>
          <w:sz w:val="24"/>
          <w:szCs w:val="24"/>
        </w:rPr>
        <w:t>connect to the pantheon</w:t>
      </w:r>
      <w:r w:rsidR="00134A5B" w:rsidRPr="00A80BE0">
        <w:rPr>
          <w:rFonts w:eastAsia="Times New Roman" w:cstheme="minorHAnsi"/>
          <w:color w:val="000000" w:themeColor="text1"/>
          <w:sz w:val="24"/>
          <w:szCs w:val="24"/>
        </w:rPr>
        <w:t>’s rituals and myths</w:t>
      </w:r>
      <w:r w:rsidR="007001C0" w:rsidRPr="00A80BE0">
        <w:rPr>
          <w:rFonts w:eastAsia="Times New Roman" w:cstheme="minorHAnsi"/>
          <w:color w:val="000000" w:themeColor="text1"/>
          <w:sz w:val="24"/>
          <w:szCs w:val="24"/>
        </w:rPr>
        <w:t xml:space="preserve"> in </w:t>
      </w:r>
      <w:r w:rsidR="00134A5B" w:rsidRPr="00A80BE0">
        <w:rPr>
          <w:rFonts w:eastAsia="Times New Roman" w:cstheme="minorHAnsi"/>
          <w:color w:val="000000" w:themeColor="text1"/>
          <w:sz w:val="24"/>
          <w:szCs w:val="24"/>
        </w:rPr>
        <w:t>a way.</w:t>
      </w:r>
      <w:r w:rsidR="007001C0" w:rsidRPr="00A80BE0">
        <w:rPr>
          <w:rFonts w:eastAsia="Times New Roman" w:cstheme="minorHAnsi"/>
          <w:color w:val="000000" w:themeColor="text1"/>
          <w:sz w:val="24"/>
          <w:szCs w:val="24"/>
        </w:rPr>
        <w:t xml:space="preserve"> </w:t>
      </w:r>
      <w:r w:rsidR="00134A5B" w:rsidRPr="00A80BE0">
        <w:rPr>
          <w:rFonts w:eastAsia="Times New Roman" w:cstheme="minorHAnsi"/>
          <w:color w:val="000000" w:themeColor="text1"/>
          <w:sz w:val="24"/>
          <w:szCs w:val="24"/>
        </w:rPr>
        <w:t>However, unlike Durkheim, Luc</w:t>
      </w:r>
      <w:r w:rsidR="005005BA" w:rsidRPr="00A80BE0">
        <w:rPr>
          <w:rFonts w:eastAsia="Times New Roman" w:cstheme="minorHAnsi"/>
          <w:color w:val="000000" w:themeColor="text1"/>
          <w:sz w:val="24"/>
          <w:szCs w:val="24"/>
        </w:rPr>
        <w:t>ie</w:t>
      </w:r>
      <w:r w:rsidR="00134A5B" w:rsidRPr="00A80BE0">
        <w:rPr>
          <w:rFonts w:eastAsia="Times New Roman" w:cstheme="minorHAnsi"/>
          <w:color w:val="000000" w:themeColor="text1"/>
          <w:sz w:val="24"/>
          <w:szCs w:val="24"/>
        </w:rPr>
        <w:t xml:space="preserve">n stresses about how individuals process their surroundings. To him it is not constructed in the mind as Durkheim, </w:t>
      </w:r>
      <w:r w:rsidR="005005BA" w:rsidRPr="00A80BE0">
        <w:rPr>
          <w:rFonts w:eastAsia="Times New Roman" w:cstheme="minorHAnsi"/>
          <w:color w:val="000000" w:themeColor="text1"/>
          <w:sz w:val="24"/>
          <w:szCs w:val="24"/>
        </w:rPr>
        <w:t xml:space="preserve">he explains that </w:t>
      </w:r>
      <w:r w:rsidR="00755BED" w:rsidRPr="00A80BE0">
        <w:rPr>
          <w:rFonts w:eastAsia="Times New Roman" w:cstheme="minorHAnsi"/>
          <w:color w:val="000000" w:themeColor="text1"/>
          <w:sz w:val="24"/>
          <w:szCs w:val="24"/>
        </w:rPr>
        <w:t>‘</w:t>
      </w:r>
      <w:r w:rsidR="00134A5B" w:rsidRPr="00A80BE0">
        <w:rPr>
          <w:rFonts w:eastAsia="Times New Roman" w:cstheme="minorHAnsi"/>
          <w:color w:val="000000" w:themeColor="text1"/>
          <w:sz w:val="24"/>
          <w:szCs w:val="24"/>
        </w:rPr>
        <w:t xml:space="preserve">The </w:t>
      </w:r>
      <w:r w:rsidR="00134A5B" w:rsidRPr="00A80BE0">
        <w:rPr>
          <w:color w:val="000000" w:themeColor="text1"/>
          <w:sz w:val="24"/>
          <w:szCs w:val="24"/>
        </w:rPr>
        <w:t xml:space="preserve">individual's </w:t>
      </w:r>
      <w:r w:rsidR="00755BED" w:rsidRPr="00A80BE0">
        <w:rPr>
          <w:color w:val="000000" w:themeColor="text1"/>
          <w:sz w:val="24"/>
          <w:szCs w:val="24"/>
        </w:rPr>
        <w:t>views are</w:t>
      </w:r>
      <w:r w:rsidR="00134A5B" w:rsidRPr="00A80BE0">
        <w:rPr>
          <w:color w:val="000000" w:themeColor="text1"/>
          <w:sz w:val="24"/>
          <w:szCs w:val="24"/>
        </w:rPr>
        <w:t xml:space="preserve"> sensed rather than thought, experienced emotionally rather than reasoned intellectually. They are not arrived at individually but are apprehended as part of the group experience</w:t>
      </w:r>
      <w:r w:rsidR="00755BED" w:rsidRPr="00A80BE0">
        <w:rPr>
          <w:color w:val="000000" w:themeColor="text1"/>
          <w:sz w:val="24"/>
          <w:szCs w:val="24"/>
        </w:rPr>
        <w:t>’</w:t>
      </w:r>
      <w:r w:rsidR="00134A5B" w:rsidRPr="00A80BE0">
        <w:rPr>
          <w:rFonts w:eastAsia="Times New Roman" w:cstheme="minorHAnsi"/>
          <w:color w:val="000000" w:themeColor="text1"/>
          <w:sz w:val="24"/>
          <w:szCs w:val="24"/>
        </w:rPr>
        <w:t>.</w:t>
      </w:r>
      <w:r w:rsidR="00755BED" w:rsidRPr="00A80BE0">
        <w:rPr>
          <w:rStyle w:val="FootnoteReference"/>
          <w:rFonts w:eastAsia="Times New Roman" w:cstheme="minorHAnsi"/>
          <w:color w:val="000000" w:themeColor="text1"/>
          <w:sz w:val="24"/>
          <w:szCs w:val="24"/>
        </w:rPr>
        <w:footnoteReference w:id="11"/>
      </w:r>
      <w:r w:rsidR="00134A5B" w:rsidRPr="00A80BE0">
        <w:rPr>
          <w:rFonts w:eastAsia="Times New Roman" w:cstheme="minorHAnsi"/>
          <w:color w:val="000000" w:themeColor="text1"/>
          <w:sz w:val="24"/>
          <w:szCs w:val="24"/>
        </w:rPr>
        <w:t xml:space="preserve"> </w:t>
      </w:r>
      <w:r w:rsidR="009D2A04" w:rsidRPr="00A80BE0">
        <w:rPr>
          <w:rFonts w:eastAsia="Times New Roman" w:cstheme="minorHAnsi"/>
          <w:color w:val="000000" w:themeColor="text1"/>
          <w:sz w:val="24"/>
          <w:szCs w:val="24"/>
        </w:rPr>
        <w:t xml:space="preserve"> </w:t>
      </w:r>
      <w:r w:rsidR="00CA6D0B" w:rsidRPr="00A80BE0">
        <w:rPr>
          <w:rFonts w:eastAsia="Times New Roman" w:cstheme="minorHAnsi"/>
          <w:color w:val="000000" w:themeColor="text1"/>
          <w:sz w:val="24"/>
          <w:szCs w:val="24"/>
        </w:rPr>
        <w:t xml:space="preserve">People </w:t>
      </w:r>
      <w:r w:rsidR="00247857">
        <w:rPr>
          <w:rFonts w:eastAsia="Times New Roman" w:cstheme="minorHAnsi"/>
          <w:sz w:val="24"/>
          <w:szCs w:val="24"/>
        </w:rPr>
        <w:t>worldwide</w:t>
      </w:r>
      <w:r w:rsidR="00CA6D0B">
        <w:rPr>
          <w:rFonts w:eastAsia="Times New Roman" w:cstheme="minorHAnsi"/>
          <w:sz w:val="24"/>
          <w:szCs w:val="24"/>
        </w:rPr>
        <w:t xml:space="preserve"> recognize the sacredness of the pantheon, this idea can be generalized because as mentioned before the pantheon nowadays is being introduced as church, However, the pantheon has a different spark to it, especially because it is being connected with celestial cycles as the role of the sun, and that is what this paper will focus on; the role of the sun in the pantheon and its impact on the sacredness of the place. Nevertheless, </w:t>
      </w:r>
      <w:r w:rsidR="00A72DE2">
        <w:rPr>
          <w:rFonts w:eastAsia="Times New Roman" w:cstheme="minorHAnsi"/>
          <w:sz w:val="24"/>
          <w:szCs w:val="24"/>
        </w:rPr>
        <w:t xml:space="preserve">there is a paradox when thinking about the role of the sun and its impact of sacredness on the place, then sun is an independent element that sparks sensations of awe, wonder and epiphany when in contact with the building and that could be an indication of sacredness for the place but at the same time, the sun would not present sacredness for the space inside the pantheon of it wasn’t for the human construct of the oculus that allows the sun to align with the interior of the building. Hence, </w:t>
      </w:r>
      <w:r w:rsidR="003E2D7C" w:rsidRPr="003E2D7C">
        <w:rPr>
          <w:rFonts w:eastAsia="Times New Roman" w:cstheme="minorHAnsi"/>
          <w:sz w:val="24"/>
          <w:szCs w:val="24"/>
        </w:rPr>
        <w:t>Is the role of the sun in the pantheon considered sacred due to the space being initially sacred, or is the space considered sacred due to the role of the sun?</w:t>
      </w:r>
      <w:r w:rsidR="003E2D7C">
        <w:rPr>
          <w:rFonts w:eastAsia="Times New Roman" w:cstheme="minorHAnsi"/>
          <w:sz w:val="24"/>
          <w:szCs w:val="24"/>
        </w:rPr>
        <w:t xml:space="preserve"> </w:t>
      </w:r>
    </w:p>
    <w:p w14:paraId="7E8F5A9E" w14:textId="77777777" w:rsidR="002B5AEA" w:rsidRDefault="002B5AEA" w:rsidP="008D3B1D">
      <w:pPr>
        <w:jc w:val="both"/>
        <w:rPr>
          <w:sz w:val="24"/>
          <w:szCs w:val="24"/>
        </w:rPr>
      </w:pPr>
      <w:bookmarkStart w:id="8" w:name="_GoBack"/>
      <w:bookmarkEnd w:id="8"/>
    </w:p>
    <w:p w14:paraId="68CB9F98" w14:textId="77777777" w:rsidR="00C440A4" w:rsidRPr="00E01B3C" w:rsidRDefault="00C440A4" w:rsidP="008D3B1D">
      <w:pPr>
        <w:jc w:val="both"/>
        <w:rPr>
          <w:sz w:val="24"/>
          <w:szCs w:val="24"/>
        </w:rPr>
      </w:pPr>
    </w:p>
    <w:p w14:paraId="2B748E64" w14:textId="77777777" w:rsidR="002E76D8" w:rsidRPr="00274D7A" w:rsidRDefault="002E76D8">
      <w:pPr>
        <w:rPr>
          <w:color w:val="BF8F00" w:themeColor="accent4" w:themeShade="BF"/>
          <w:sz w:val="28"/>
          <w:szCs w:val="28"/>
          <w:u w:val="single"/>
        </w:rPr>
      </w:pPr>
      <w:r w:rsidRPr="00274D7A">
        <w:rPr>
          <w:color w:val="BF8F00" w:themeColor="accent4" w:themeShade="BF"/>
          <w:sz w:val="28"/>
          <w:szCs w:val="28"/>
          <w:u w:val="single"/>
        </w:rPr>
        <w:t xml:space="preserve">Methodology </w:t>
      </w:r>
    </w:p>
    <w:p w14:paraId="7098152F" w14:textId="77777777" w:rsidR="00D867AA" w:rsidRDefault="009D2A04" w:rsidP="008D3B1D">
      <w:pPr>
        <w:jc w:val="both"/>
      </w:pPr>
      <w:r>
        <w:t>M</w:t>
      </w:r>
      <w:r w:rsidR="002E76D8">
        <w:t xml:space="preserve">y research is based on my experience </w:t>
      </w:r>
      <w:r>
        <w:t>in</w:t>
      </w:r>
      <w:r w:rsidR="002E76D8">
        <w:t xml:space="preserve"> the pantheon due to several visits and observations, adding to it the work and ideas of several theorists and scholars to help guide myself into using my observational and analytic ideas correctly. My methodology will be similar to that of Tilley’s</w:t>
      </w:r>
      <w:r w:rsidR="00134A5B">
        <w:t xml:space="preserve">, </w:t>
      </w:r>
      <w:r w:rsidR="002E76D8">
        <w:t>where he stresses on the  importance of making several visits to form a better understanding of the place, also by emphasizing on the importance of the experience taking place by the subject to form a good understanding and phenomenology. “Phenomenology involves the understanding and description of things as they are experienced by a subject.”</w:t>
      </w:r>
      <w:r>
        <w:rPr>
          <w:rStyle w:val="FootnoteReference"/>
        </w:rPr>
        <w:footnoteReference w:id="12"/>
      </w:r>
      <w:r w:rsidR="002E76D8">
        <w:t xml:space="preserve">  </w:t>
      </w:r>
      <w:r w:rsidR="0052089A">
        <w:t xml:space="preserve">However, since I am focusing on the role of the sun in the pantheon, I thought I should connect my visits to times where there is an event related to the role of the sun, like the solstices or equinoxes. I have visited the pantheon plenty of times </w:t>
      </w:r>
      <w:r w:rsidR="00D867AA">
        <w:t>before but have never entered. However</w:t>
      </w:r>
      <w:r w:rsidR="0052089A">
        <w:t xml:space="preserve">, </w:t>
      </w:r>
      <w:r w:rsidR="00274D7A">
        <w:t xml:space="preserve">the visits that focused on documenting my research where on 11-10-2019, and on 22-12-2019 (the winter solstice). I focused on visiting the pantheon on a regular day on October that doesn’t include an aligned solar event with the building, in contrast to a day that included a solar event which is the winter solstice.  </w:t>
      </w:r>
      <w:r w:rsidR="00983B3C">
        <w:t xml:space="preserve">     </w:t>
      </w:r>
    </w:p>
    <w:p w14:paraId="24126DAB" w14:textId="032A8995" w:rsidR="003E5B3E" w:rsidRDefault="00D867AA" w:rsidP="003C168D">
      <w:pPr>
        <w:jc w:val="both"/>
      </w:pPr>
      <w:r w:rsidRPr="00E01B3C">
        <w:rPr>
          <w:color w:val="000000" w:themeColor="text1"/>
        </w:rPr>
        <w:t xml:space="preserve">Nevertheless, I will </w:t>
      </w:r>
      <w:r>
        <w:t>include a description of the building, and its surrounding and how it could impact the sacredness of the place. Another thing is an analysis of the interaction of people with the place and their behavior that could play a role into considering a place sacred since according to Durkheim, “Objects or places are made sacred by groups of people  who set them apart and keep them bounded by specific actions; they remain sacred only so long as groups continue to do this”.</w:t>
      </w:r>
      <w:r>
        <w:rPr>
          <w:rStyle w:val="FootnoteReference"/>
        </w:rPr>
        <w:footnoteReference w:id="13"/>
      </w:r>
      <w:r>
        <w:t xml:space="preserve"> And finally, adding my own self-reflexive ideas and feelings of my experiences in the pantheon, that could help me connect more to Eliade’s theories of sacred space, since he mentions that sacred space is experienced when one can experience the sense of </w:t>
      </w:r>
      <w:r w:rsidR="00A27087">
        <w:t>hierophany</w:t>
      </w:r>
      <w:r>
        <w:t xml:space="preserve">, “Every sacred space implies a hierophany, an </w:t>
      </w:r>
      <w:r w:rsidR="00A27087">
        <w:t>eruption</w:t>
      </w:r>
      <w:r>
        <w:t xml:space="preserve"> of the sacred that results in detaching a territory from the surrounding cosmic milieu and making it qualitatively </w:t>
      </w:r>
      <w:r w:rsidRPr="001713DA">
        <w:rPr>
          <w:color w:val="000000" w:themeColor="text1"/>
        </w:rPr>
        <w:t>different.</w:t>
      </w:r>
      <w:r w:rsidRPr="001713DA">
        <w:rPr>
          <w:rStyle w:val="FootnoteReference"/>
          <w:color w:val="000000" w:themeColor="text1"/>
        </w:rPr>
        <w:footnoteReference w:id="14"/>
      </w:r>
      <w:r w:rsidRPr="001713DA">
        <w:rPr>
          <w:color w:val="000000" w:themeColor="text1"/>
        </w:rPr>
        <w:t xml:space="preserve"> </w:t>
      </w:r>
      <w:r w:rsidR="004D0E56" w:rsidRPr="001713DA">
        <w:rPr>
          <w:color w:val="000000" w:themeColor="text1"/>
        </w:rPr>
        <w:t xml:space="preserve">Talking about experience, this connects to Lucien theory of “Participation”, which I thought is a primary feature in my research because I could experience this theory when doing my visits. </w:t>
      </w:r>
      <w:r w:rsidR="00446AEC" w:rsidRPr="001713DA">
        <w:rPr>
          <w:color w:val="000000" w:themeColor="text1"/>
        </w:rPr>
        <w:t xml:space="preserve">He </w:t>
      </w:r>
      <w:r w:rsidR="004D0E56" w:rsidRPr="001713DA">
        <w:rPr>
          <w:color w:val="000000" w:themeColor="text1"/>
        </w:rPr>
        <w:t xml:space="preserve">explains that </w:t>
      </w:r>
      <w:r w:rsidR="00446AEC" w:rsidRPr="001713DA">
        <w:rPr>
          <w:color w:val="000000" w:themeColor="text1"/>
        </w:rPr>
        <w:t xml:space="preserve">‘The mystical world with its own time and its fluidity, is a world no less objective than that of ordinary experience.’ </w:t>
      </w:r>
      <w:r w:rsidR="00E01B3C" w:rsidRPr="001713DA">
        <w:rPr>
          <w:rStyle w:val="FootnoteReference"/>
          <w:color w:val="000000" w:themeColor="text1"/>
        </w:rPr>
        <w:footnoteReference w:id="15"/>
      </w:r>
    </w:p>
    <w:p w14:paraId="3333A075" w14:textId="67B84DF5" w:rsidR="00346702" w:rsidRPr="00037FBA" w:rsidRDefault="00346702" w:rsidP="00037FBA">
      <w:pPr>
        <w:pStyle w:val="ListParagraph"/>
        <w:numPr>
          <w:ilvl w:val="0"/>
          <w:numId w:val="2"/>
        </w:numPr>
        <w:rPr>
          <w:color w:val="BF8F00" w:themeColor="accent4" w:themeShade="BF"/>
        </w:rPr>
      </w:pPr>
      <w:r w:rsidRPr="00037FBA">
        <w:rPr>
          <w:color w:val="BF8F00" w:themeColor="accent4" w:themeShade="BF"/>
        </w:rPr>
        <w:t>Reflexive Considerations</w:t>
      </w:r>
      <w:r w:rsidR="00D867AA">
        <w:rPr>
          <w:color w:val="BF8F00" w:themeColor="accent4" w:themeShade="BF"/>
        </w:rPr>
        <w:t xml:space="preserve">  </w:t>
      </w:r>
    </w:p>
    <w:p w14:paraId="4153E552" w14:textId="66B9232C" w:rsidR="003B5A45" w:rsidRDefault="00346702" w:rsidP="00C440A4">
      <w:pPr>
        <w:jc w:val="both"/>
      </w:pPr>
      <w:r>
        <w:t xml:space="preserve">Since I will not be doing interviews to test people’s interaction and sensations about the place, I will be </w:t>
      </w:r>
      <w:r w:rsidRPr="00A80BE0">
        <w:rPr>
          <w:color w:val="000000" w:themeColor="text1"/>
        </w:rPr>
        <w:t>depending on my own perceptions and reflexive sensations of my experiences in the pantheon.</w:t>
      </w:r>
      <w:r w:rsidR="003B5A45">
        <w:rPr>
          <w:color w:val="000000" w:themeColor="text1"/>
        </w:rPr>
        <w:t xml:space="preserve"> However, I thought that doing the right research before my visits </w:t>
      </w:r>
      <w:r w:rsidR="00957E10">
        <w:rPr>
          <w:color w:val="000000" w:themeColor="text1"/>
        </w:rPr>
        <w:t xml:space="preserve">is very essential so I could engage with the place, be fascinated with its details, its </w:t>
      </w:r>
      <w:r w:rsidR="00C440A4">
        <w:rPr>
          <w:color w:val="000000" w:themeColor="text1"/>
        </w:rPr>
        <w:t>mystery,</w:t>
      </w:r>
      <w:r w:rsidR="00957E10">
        <w:rPr>
          <w:color w:val="000000" w:themeColor="text1"/>
        </w:rPr>
        <w:t xml:space="preserve"> in other words to dwell in it as to be fully existent. For as </w:t>
      </w:r>
      <w:proofErr w:type="spellStart"/>
      <w:r w:rsidR="00957E10">
        <w:rPr>
          <w:color w:val="000000" w:themeColor="text1"/>
        </w:rPr>
        <w:t>Heideggar</w:t>
      </w:r>
      <w:proofErr w:type="spellEnd"/>
      <w:r w:rsidR="00957E10">
        <w:rPr>
          <w:color w:val="000000" w:themeColor="text1"/>
        </w:rPr>
        <w:t xml:space="preserve"> explained ‘Being fully open to the world, is a matter of “dwelling” in place so as to unite the </w:t>
      </w:r>
      <w:r w:rsidR="00957E10">
        <w:rPr>
          <w:color w:val="000000" w:themeColor="text1"/>
        </w:rPr>
        <w:lastRenderedPageBreak/>
        <w:t>four essential facets of true human existence – earth, sky, gods, and men.’</w:t>
      </w:r>
      <w:r w:rsidR="00957E10">
        <w:rPr>
          <w:rStyle w:val="FootnoteReference"/>
          <w:color w:val="000000" w:themeColor="text1"/>
        </w:rPr>
        <w:footnoteReference w:id="16"/>
      </w:r>
      <w:r w:rsidR="00FE0098">
        <w:rPr>
          <w:color w:val="000000" w:themeColor="text1"/>
        </w:rPr>
        <w:t xml:space="preserve"> However, My cultural background could also play a role by analyzing the space in a certain matter, for </w:t>
      </w:r>
      <w:r w:rsidR="00D867AA" w:rsidRPr="00A80BE0">
        <w:rPr>
          <w:color w:val="000000" w:themeColor="text1"/>
        </w:rPr>
        <w:t>I am a Lebanese woman of 26 years, currently living in Italy.</w:t>
      </w:r>
      <w:r w:rsidRPr="00A80BE0">
        <w:rPr>
          <w:color w:val="000000" w:themeColor="text1"/>
        </w:rPr>
        <w:t xml:space="preserve"> I</w:t>
      </w:r>
      <w:r w:rsidR="00D867AA" w:rsidRPr="00A80BE0">
        <w:rPr>
          <w:color w:val="000000" w:themeColor="text1"/>
        </w:rPr>
        <w:t xml:space="preserve"> consider </w:t>
      </w:r>
      <w:r w:rsidR="00D867AA">
        <w:t xml:space="preserve">myself to be </w:t>
      </w:r>
      <w:r>
        <w:t>religious perso</w:t>
      </w:r>
      <w:r w:rsidR="003B5A45">
        <w:t>n. B</w:t>
      </w:r>
      <w:r>
        <w:t>eing a Muslim especially, I do believe in the sacredness of</w:t>
      </w:r>
      <w:r w:rsidR="003B5A45">
        <w:t xml:space="preserve"> spaces</w:t>
      </w:r>
      <w:r>
        <w:t xml:space="preserve">, whether it was a church, mosque, or even a temple. In </w:t>
      </w:r>
      <w:r w:rsidR="0052089A">
        <w:t>addition,</w:t>
      </w:r>
      <w:r>
        <w:t xml:space="preserve"> being an architect could </w:t>
      </w:r>
      <w:r w:rsidR="00D867AA">
        <w:t xml:space="preserve">assist </w:t>
      </w:r>
      <w:r>
        <w:t xml:space="preserve">me </w:t>
      </w:r>
      <w:r w:rsidR="00D867AA">
        <w:t xml:space="preserve">in this research about </w:t>
      </w:r>
      <w:r>
        <w:t>distinguish</w:t>
      </w:r>
      <w:r w:rsidR="00D867AA">
        <w:t>ing</w:t>
      </w:r>
      <w:r>
        <w:t xml:space="preserve"> </w:t>
      </w:r>
      <w:r w:rsidR="00D867AA">
        <w:t>the</w:t>
      </w:r>
      <w:r>
        <w:t xml:space="preserve"> uniqueness of the pantheon as a building from other architectural works</w:t>
      </w:r>
      <w:r w:rsidR="003B5A45">
        <w:t xml:space="preserve"> according to form, function, structure, </w:t>
      </w:r>
      <w:proofErr w:type="spellStart"/>
      <w:r w:rsidR="003B5A45">
        <w:t>etc</w:t>
      </w:r>
      <w:proofErr w:type="spellEnd"/>
      <w:r w:rsidR="003B5A45">
        <w:t>…</w:t>
      </w:r>
    </w:p>
    <w:p w14:paraId="2F13AA20" w14:textId="6591D064" w:rsidR="00814DDA" w:rsidRDefault="00814DDA">
      <w:pPr>
        <w:rPr>
          <w:color w:val="BF8F00" w:themeColor="accent4" w:themeShade="BF"/>
          <w:sz w:val="28"/>
          <w:szCs w:val="28"/>
          <w:u w:val="single"/>
        </w:rPr>
      </w:pPr>
      <w:r w:rsidRPr="00274D7A">
        <w:rPr>
          <w:color w:val="BF8F00" w:themeColor="accent4" w:themeShade="BF"/>
          <w:sz w:val="28"/>
          <w:szCs w:val="28"/>
          <w:u w:val="single"/>
        </w:rPr>
        <w:t xml:space="preserve">Findings/ Discussion </w:t>
      </w:r>
    </w:p>
    <w:p w14:paraId="77846DEB" w14:textId="7970BC45" w:rsidR="00C7477D" w:rsidRPr="00446AEC" w:rsidRDefault="00CE6653" w:rsidP="008D3B1D">
      <w:pPr>
        <w:jc w:val="both"/>
      </w:pPr>
      <w:r>
        <w:rPr>
          <w:noProof/>
          <w:color w:val="000000" w:themeColor="text1"/>
        </w:rPr>
        <w:drawing>
          <wp:anchor distT="0" distB="0" distL="114300" distR="114300" simplePos="0" relativeHeight="251658240" behindDoc="0" locked="0" layoutInCell="1" allowOverlap="1" wp14:anchorId="4E4B6F7D" wp14:editId="57B4DB20">
            <wp:simplePos x="0" y="0"/>
            <wp:positionH relativeFrom="margin">
              <wp:posOffset>4160373</wp:posOffset>
            </wp:positionH>
            <wp:positionV relativeFrom="paragraph">
              <wp:posOffset>4592</wp:posOffset>
            </wp:positionV>
            <wp:extent cx="2477135" cy="5157470"/>
            <wp:effectExtent l="0" t="0" r="0" b="508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477135" cy="515747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7477D">
        <w:t xml:space="preserve">My findings will be distributed in three themes, ‘mystery and Hierophany’, ‘Sacred Dates and Collective consciousness’, and finally </w:t>
      </w:r>
      <w:r w:rsidR="00446AEC">
        <w:t>‘Pantheon</w:t>
      </w:r>
      <w:r w:rsidR="00C7477D">
        <w:t xml:space="preserve"> – of all gods’. Each theme will connect the role of the sun and oculus with the features of sacredness inside the building. </w:t>
      </w:r>
    </w:p>
    <w:p w14:paraId="0FCC52A9" w14:textId="6054C90F" w:rsidR="00771273" w:rsidRPr="00A80BE0" w:rsidRDefault="00501FB3" w:rsidP="00037FBA">
      <w:pPr>
        <w:pStyle w:val="ListParagraph"/>
        <w:numPr>
          <w:ilvl w:val="0"/>
          <w:numId w:val="1"/>
        </w:numPr>
        <w:rPr>
          <w:color w:val="BF8F00" w:themeColor="accent4" w:themeShade="BF"/>
        </w:rPr>
      </w:pPr>
      <w:r w:rsidRPr="00A80BE0">
        <w:rPr>
          <w:color w:val="BF8F00" w:themeColor="accent4" w:themeShade="BF"/>
        </w:rPr>
        <w:t>Mystery and Hi</w:t>
      </w:r>
      <w:r w:rsidR="00C7477D" w:rsidRPr="00A80BE0">
        <w:rPr>
          <w:color w:val="BF8F00" w:themeColor="accent4" w:themeShade="BF"/>
        </w:rPr>
        <w:t>e</w:t>
      </w:r>
      <w:r w:rsidRPr="00A80BE0">
        <w:rPr>
          <w:color w:val="BF8F00" w:themeColor="accent4" w:themeShade="BF"/>
        </w:rPr>
        <w:t xml:space="preserve">rophany </w:t>
      </w:r>
    </w:p>
    <w:p w14:paraId="145EA36D" w14:textId="39067083" w:rsidR="00BD639F" w:rsidRDefault="00CE6653" w:rsidP="008D3B1D">
      <w:pPr>
        <w:jc w:val="both"/>
        <w:rPr>
          <w:color w:val="000000" w:themeColor="text1"/>
        </w:rPr>
      </w:pPr>
      <w:r>
        <w:rPr>
          <w:noProof/>
        </w:rPr>
        <mc:AlternateContent>
          <mc:Choice Requires="wps">
            <w:drawing>
              <wp:anchor distT="0" distB="0" distL="114300" distR="114300" simplePos="0" relativeHeight="251660288" behindDoc="0" locked="0" layoutInCell="1" allowOverlap="1" wp14:anchorId="220C0CFB" wp14:editId="0A753AE4">
                <wp:simplePos x="0" y="0"/>
                <wp:positionH relativeFrom="column">
                  <wp:posOffset>4136066</wp:posOffset>
                </wp:positionH>
                <wp:positionV relativeFrom="paragraph">
                  <wp:posOffset>3960052</wp:posOffset>
                </wp:positionV>
                <wp:extent cx="2530298" cy="635"/>
                <wp:effectExtent l="0" t="0" r="3810" b="6985"/>
                <wp:wrapSquare wrapText="bothSides"/>
                <wp:docPr id="2" name="Text Box 2"/>
                <wp:cNvGraphicFramePr/>
                <a:graphic xmlns:a="http://schemas.openxmlformats.org/drawingml/2006/main">
                  <a:graphicData uri="http://schemas.microsoft.com/office/word/2010/wordprocessingShape">
                    <wps:wsp>
                      <wps:cNvSpPr txBox="1"/>
                      <wps:spPr>
                        <a:xfrm>
                          <a:off x="0" y="0"/>
                          <a:ext cx="2530298" cy="635"/>
                        </a:xfrm>
                        <a:prstGeom prst="rect">
                          <a:avLst/>
                        </a:prstGeom>
                        <a:solidFill>
                          <a:prstClr val="white"/>
                        </a:solidFill>
                        <a:ln>
                          <a:noFill/>
                        </a:ln>
                      </wps:spPr>
                      <wps:txbx>
                        <w:txbxContent>
                          <w:p w14:paraId="19F96841" w14:textId="0DAE4CDD" w:rsidR="008D3B1D" w:rsidRPr="005F2ACE" w:rsidRDefault="008D3B1D" w:rsidP="008D3B1D">
                            <w:pPr>
                              <w:pStyle w:val="Caption"/>
                              <w:rPr>
                                <w:noProof/>
                                <w:color w:val="000000" w:themeColor="text1"/>
                              </w:rPr>
                            </w:pPr>
                            <w:r>
                              <w:t xml:space="preserve">Figure </w:t>
                            </w:r>
                            <w:r w:rsidR="00D27FAE">
                              <w:fldChar w:fldCharType="begin"/>
                            </w:r>
                            <w:r w:rsidR="00D27FAE">
                              <w:instrText xml:space="preserve"> SEQ Figure \* ARABIC </w:instrText>
                            </w:r>
                            <w:r w:rsidR="00D27FAE">
                              <w:fldChar w:fldCharType="separate"/>
                            </w:r>
                            <w:r>
                              <w:rPr>
                                <w:noProof/>
                              </w:rPr>
                              <w:t>1</w:t>
                            </w:r>
                            <w:r w:rsidR="00D27FAE">
                              <w:rPr>
                                <w:noProof/>
                              </w:rPr>
                              <w:fldChar w:fldCharType="end"/>
                            </w:r>
                            <w:r>
                              <w:t xml:space="preserve"> From inside the Pantheon of Rome, showing the people's eyes fixed on the sunspot reflected.</w:t>
                            </w:r>
                            <w:r w:rsidR="00CE6653">
                              <w:t xml:space="preserve"> Photo by me, 11-10-2019</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220C0CFB" id="_x0000_t202" coordsize="21600,21600" o:spt="202" path="m,l,21600r21600,l21600,xe">
                <v:stroke joinstyle="miter"/>
                <v:path gradientshapeok="t" o:connecttype="rect"/>
              </v:shapetype>
              <v:shape id="Text Box 2" o:spid="_x0000_s1026" type="#_x0000_t202" style="position:absolute;left:0;text-align:left;margin-left:325.65pt;margin-top:311.8pt;width:199.25pt;height:.05pt;z-index:2516602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" stroked="f">
                <v:textbox style="mso-fit-shape-to-text:t" inset="0,0,0,0">
                  <w:txbxContent>
                    <w:p w14:paraId="19F96841" w14:textId="0DAE4CDD" w:rsidR="008D3B1D" w:rsidRPr="005F2ACE" w:rsidRDefault="008D3B1D" w:rsidP="008D3B1D">
                      <w:pPr>
                        <w:pStyle w:val="Caption"/>
                        <w:rPr>
                          <w:noProof/>
                          <w:color w:val="000000" w:themeColor="text1"/>
                        </w:rPr>
                      </w:pPr>
                      <w:r>
                        <w:t xml:space="preserve">Figure </w:t>
                      </w:r>
                      <w:r w:rsidR="00D27FAE">
                        <w:fldChar w:fldCharType="begin"/>
                      </w:r>
                      <w:r w:rsidR="00D27FAE">
                        <w:instrText xml:space="preserve"> SEQ Figure \* ARABIC </w:instrText>
                      </w:r>
                      <w:r w:rsidR="00D27FAE">
                        <w:fldChar w:fldCharType="separate"/>
                      </w:r>
                      <w:r>
                        <w:rPr>
                          <w:noProof/>
                        </w:rPr>
                        <w:t>1</w:t>
                      </w:r>
                      <w:r w:rsidR="00D27FAE">
                        <w:rPr>
                          <w:noProof/>
                        </w:rPr>
                        <w:fldChar w:fldCharType="end"/>
                      </w:r>
                      <w:r>
                        <w:t xml:space="preserve"> From inside the Pantheon of Rome, showing the people's eyes fixed on the sunspot reflected.</w:t>
                      </w:r>
                      <w:r w:rsidR="00CE6653">
                        <w:t xml:space="preserve"> Photo by me, 11-10-2019</w:t>
                      </w:r>
                    </w:p>
                  </w:txbxContent>
                </v:textbox>
                <w10:wrap type="square"/>
              </v:shape>
            </w:pict>
          </mc:Fallback>
        </mc:AlternateContent>
      </w:r>
      <w:r w:rsidR="00A65DCB">
        <w:rPr>
          <w:color w:val="000000" w:themeColor="text1"/>
        </w:rPr>
        <w:t xml:space="preserve">The </w:t>
      </w:r>
      <w:r w:rsidR="00156DEF">
        <w:rPr>
          <w:color w:val="000000" w:themeColor="text1"/>
        </w:rPr>
        <w:t>Pantheon still presents a mystery until this day of why it was built</w:t>
      </w:r>
      <w:r w:rsidR="003F09D5">
        <w:rPr>
          <w:color w:val="000000" w:themeColor="text1"/>
        </w:rPr>
        <w:t xml:space="preserve">. The building contains unique features that make is stand out, one of these features is its unique location in the center of Rome, which shows that there is an importance to it. </w:t>
      </w:r>
      <w:r w:rsidR="003F09D5">
        <w:rPr>
          <w:rStyle w:val="FootnoteReference"/>
          <w:color w:val="000000" w:themeColor="text1"/>
        </w:rPr>
        <w:footnoteReference w:id="17"/>
      </w:r>
      <w:r w:rsidR="003F09D5">
        <w:rPr>
          <w:color w:val="000000" w:themeColor="text1"/>
        </w:rPr>
        <w:t xml:space="preserve"> Another unique thing about the building, is its construction not only around a cent</w:t>
      </w:r>
      <w:r w:rsidR="00F52869">
        <w:rPr>
          <w:color w:val="000000" w:themeColor="text1"/>
        </w:rPr>
        <w:t>ral</w:t>
      </w:r>
      <w:r w:rsidR="003F09D5">
        <w:rPr>
          <w:color w:val="000000" w:themeColor="text1"/>
        </w:rPr>
        <w:t xml:space="preserve"> axis, but also its circular plan, its orientation to the four cardinal directions, and the hemispheric character of its dome all clearly suggest cosmic concerns.</w:t>
      </w:r>
      <w:r w:rsidR="003F09D5">
        <w:rPr>
          <w:rStyle w:val="FootnoteReference"/>
          <w:color w:val="000000" w:themeColor="text1"/>
        </w:rPr>
        <w:footnoteReference w:id="18"/>
      </w:r>
      <w:r w:rsidR="003F09D5">
        <w:rPr>
          <w:color w:val="000000" w:themeColor="text1"/>
        </w:rPr>
        <w:t xml:space="preserve"> </w:t>
      </w:r>
      <w:r w:rsidR="001D031F">
        <w:rPr>
          <w:color w:val="000000" w:themeColor="text1"/>
        </w:rPr>
        <w:t>S</w:t>
      </w:r>
      <w:r w:rsidR="00F52869">
        <w:rPr>
          <w:color w:val="000000" w:themeColor="text1"/>
        </w:rPr>
        <w:t>omething that lead to the most distinctive cosmic concern in the building, is the role of the sun. When visiting the pantheon</w:t>
      </w:r>
      <w:r w:rsidR="00F63F20">
        <w:rPr>
          <w:color w:val="000000" w:themeColor="text1"/>
        </w:rPr>
        <w:t>, I wanted to focus on the first reaction and behavior of the people entering the space, so I stood facing the main entrance and what I noticed is that when people enter the space, they do not have a certain target to look at, they wander in the space searching for a target of where to fix their eyes in order to start making sense of observing the circular space</w:t>
      </w:r>
      <w:r w:rsidR="008D3B1D">
        <w:rPr>
          <w:color w:val="000000" w:themeColor="text1"/>
        </w:rPr>
        <w:t>,</w:t>
      </w:r>
      <w:r w:rsidR="00F63F20">
        <w:rPr>
          <w:color w:val="000000" w:themeColor="text1"/>
        </w:rPr>
        <w:t xml:space="preserve"> their eyes are fixed when they spot the oculus and from it they link their gaze on the sun spot reflected on the dome, and here is where I can spot awe and their eyes, and in their behavior. Some people would spontaneously and excitingly point on the reflected </w:t>
      </w:r>
      <w:r w:rsidR="00501FB3">
        <w:rPr>
          <w:color w:val="000000" w:themeColor="text1"/>
        </w:rPr>
        <w:t>sunspot</w:t>
      </w:r>
      <w:r w:rsidR="00F63F20">
        <w:rPr>
          <w:color w:val="000000" w:themeColor="text1"/>
        </w:rPr>
        <w:t xml:space="preserve">, others would just stand still with a long gaze. </w:t>
      </w:r>
      <w:r w:rsidR="00501FB3">
        <w:rPr>
          <w:color w:val="000000" w:themeColor="text1"/>
        </w:rPr>
        <w:t xml:space="preserve">What struck my mind, is that we see the sun light everyday everywhere, but why is it that people are excited when they see the sun reflected on the dome? In my opinion I was simply in awe of this phenomenon because of the admiration of the human minds and architects that constructed a building that aligned very much accurately certain dates with the sun. Eliade’s theories where mostly in my mind at this stage because I could feel the space being sacred through the </w:t>
      </w:r>
      <w:r w:rsidR="00A27087">
        <w:rPr>
          <w:color w:val="000000" w:themeColor="text1"/>
        </w:rPr>
        <w:lastRenderedPageBreak/>
        <w:t>hierophany</w:t>
      </w:r>
      <w:r w:rsidR="00501FB3">
        <w:rPr>
          <w:color w:val="000000" w:themeColor="text1"/>
        </w:rPr>
        <w:t xml:space="preserve"> it presented. However, the date of this visit, was on the 11</w:t>
      </w:r>
      <w:r w:rsidR="00501FB3" w:rsidRPr="00501FB3">
        <w:rPr>
          <w:color w:val="000000" w:themeColor="text1"/>
          <w:vertAlign w:val="superscript"/>
        </w:rPr>
        <w:t>th</w:t>
      </w:r>
      <w:r w:rsidR="00501FB3">
        <w:rPr>
          <w:color w:val="000000" w:themeColor="text1"/>
        </w:rPr>
        <w:t xml:space="preserve"> of October 2019, it was my first time to enter the pantheon, and I was speechless</w:t>
      </w:r>
      <w:r w:rsidR="000C65AC">
        <w:rPr>
          <w:color w:val="000000" w:themeColor="text1"/>
        </w:rPr>
        <w:t xml:space="preserve"> of how to describe what I felt when I first entered through its doors. I was literally in awe and wonder, such an epiphany to this majestic place and its structure. I directly felt how holly this place is when I witnessed the connection of the heavens with the building </w:t>
      </w:r>
      <w:proofErr w:type="gramStart"/>
      <w:r w:rsidR="000C65AC">
        <w:rPr>
          <w:color w:val="000000" w:themeColor="text1"/>
        </w:rPr>
        <w:t>and also</w:t>
      </w:r>
      <w:proofErr w:type="gramEnd"/>
      <w:r w:rsidR="000C65AC">
        <w:rPr>
          <w:color w:val="000000" w:themeColor="text1"/>
        </w:rPr>
        <w:t xml:space="preserve"> because it was now a church so that was another feature of sacredness. </w:t>
      </w:r>
    </w:p>
    <w:p w14:paraId="3A6F692E" w14:textId="77777777" w:rsidR="000C65AC" w:rsidRPr="00037FBA" w:rsidRDefault="000C65AC" w:rsidP="00037FBA">
      <w:pPr>
        <w:pStyle w:val="ListParagraph"/>
        <w:numPr>
          <w:ilvl w:val="0"/>
          <w:numId w:val="1"/>
        </w:numPr>
        <w:rPr>
          <w:color w:val="BF8F00" w:themeColor="accent4" w:themeShade="BF"/>
        </w:rPr>
      </w:pPr>
      <w:r w:rsidRPr="00037FBA">
        <w:rPr>
          <w:color w:val="BF8F00" w:themeColor="accent4" w:themeShade="BF"/>
        </w:rPr>
        <w:t xml:space="preserve">Sacred dates </w:t>
      </w:r>
      <w:r w:rsidR="00342226" w:rsidRPr="00037FBA">
        <w:rPr>
          <w:color w:val="BF8F00" w:themeColor="accent4" w:themeShade="BF"/>
        </w:rPr>
        <w:t xml:space="preserve">and collective consciousness </w:t>
      </w:r>
    </w:p>
    <w:p w14:paraId="5F22CD98" w14:textId="7C32450E" w:rsidR="00E74F1B" w:rsidRPr="00E63FEF" w:rsidRDefault="000C65AC" w:rsidP="008D3B1D">
      <w:pPr>
        <w:jc w:val="both"/>
        <w:rPr>
          <w:color w:val="BF8F00" w:themeColor="accent4" w:themeShade="BF"/>
        </w:rPr>
      </w:pPr>
      <w:r w:rsidRPr="000C65AC">
        <w:rPr>
          <w:color w:val="000000" w:themeColor="text1"/>
        </w:rPr>
        <w:t>On the 22</w:t>
      </w:r>
      <w:r w:rsidRPr="000C65AC">
        <w:rPr>
          <w:color w:val="000000" w:themeColor="text1"/>
          <w:vertAlign w:val="superscript"/>
        </w:rPr>
        <w:t>nd</w:t>
      </w:r>
      <w:r w:rsidRPr="000C65AC">
        <w:rPr>
          <w:color w:val="000000" w:themeColor="text1"/>
        </w:rPr>
        <w:t xml:space="preserve"> of December, I intended to revisit the pantheon</w:t>
      </w:r>
      <w:r>
        <w:rPr>
          <w:color w:val="000000" w:themeColor="text1"/>
        </w:rPr>
        <w:t xml:space="preserve"> since it was the winter solstice</w:t>
      </w:r>
      <w:r w:rsidRPr="000C65AC">
        <w:rPr>
          <w:color w:val="000000" w:themeColor="text1"/>
        </w:rPr>
        <w:t>,</w:t>
      </w:r>
      <w:r>
        <w:rPr>
          <w:color w:val="000000" w:themeColor="text1"/>
        </w:rPr>
        <w:t xml:space="preserve"> I wanted</w:t>
      </w:r>
      <w:r w:rsidRPr="000C65AC">
        <w:rPr>
          <w:color w:val="000000" w:themeColor="text1"/>
        </w:rPr>
        <w:t xml:space="preserve"> to compare </w:t>
      </w:r>
      <w:r>
        <w:rPr>
          <w:color w:val="000000" w:themeColor="text1"/>
        </w:rPr>
        <w:t xml:space="preserve">the two dates </w:t>
      </w:r>
      <w:r w:rsidR="00342226">
        <w:rPr>
          <w:color w:val="000000" w:themeColor="text1"/>
        </w:rPr>
        <w:t>to see if people would recognize the place being sacred due to one of its features which is the role of the sun on certain dates. However, Durkheim’s idea was mostly in my mind at this stage, because according to Durkheim a space is made sacred due to collective consciousness. He states that a place is considered sacred due to people’s engagement with it by their constant visits.</w:t>
      </w:r>
      <w:r w:rsidR="004921BE">
        <w:rPr>
          <w:color w:val="000000" w:themeColor="text1"/>
        </w:rPr>
        <w:t xml:space="preserve"> </w:t>
      </w:r>
      <w:r w:rsidR="004921BE" w:rsidRPr="004921BE">
        <w:rPr>
          <w:color w:val="000000" w:themeColor="text1"/>
        </w:rPr>
        <w:t>“Nonphysical reality is available to the individual mind only as it participates in mind both inside and outside itself. And because sacredness originates as it does, it is inherently impermanent and so must be added to the object again and again, just as it was originally; by collective human doing”.</w:t>
      </w:r>
      <w:r w:rsidR="004921BE">
        <w:rPr>
          <w:rStyle w:val="FootnoteReference"/>
          <w:color w:val="000000" w:themeColor="text1"/>
        </w:rPr>
        <w:footnoteReference w:id="19"/>
      </w:r>
      <w:r w:rsidR="004921BE" w:rsidRPr="004921BE">
        <w:rPr>
          <w:color w:val="000000" w:themeColor="text1"/>
        </w:rPr>
        <w:t xml:space="preserve"> </w:t>
      </w:r>
      <w:r w:rsidR="00C517B3">
        <w:rPr>
          <w:color w:val="000000" w:themeColor="text1"/>
        </w:rPr>
        <w:t>What I imagined is that I will see a group of people waiting impatiently to witness the role of the sun in the winter solstice, but what I saw was just an increased number of people than that of my first visit. Unfortunately, it was cloudy, the reflection of the sun inside the pantheon was not visible</w:t>
      </w:r>
      <w:r w:rsidR="007F099E">
        <w:rPr>
          <w:color w:val="000000" w:themeColor="text1"/>
        </w:rPr>
        <w:t xml:space="preserve">. </w:t>
      </w:r>
      <w:r w:rsidR="00C517B3">
        <w:rPr>
          <w:color w:val="000000" w:themeColor="text1"/>
        </w:rPr>
        <w:t xml:space="preserve">But to my surprise, it started raining heavily! And I thought to myself, maybe the winter solstice event, is still about a connection with the heavens but it is through rain not through the sun. It was mostly now about the role of the oculus in the pantheon rather than the role of the sun, the experience was sensational. The people stood in a circle around the rain, stretching their arms and gazing at the oculus with ultimate happiness of the idea of being in contact with the heavens from inside this space. The rain is basically </w:t>
      </w:r>
      <w:r w:rsidR="00C517B3" w:rsidRPr="00E01B3C">
        <w:rPr>
          <w:color w:val="000000" w:themeColor="text1"/>
        </w:rPr>
        <w:t xml:space="preserve">everywhere but I thought that the idea of the rain from inside the pantheon is thought of to be sacred since it is happening inside this specific space. </w:t>
      </w:r>
      <w:r w:rsidR="00E63FEF" w:rsidRPr="00E01B3C">
        <w:rPr>
          <w:color w:val="000000" w:themeColor="text1"/>
        </w:rPr>
        <w:t xml:space="preserve">Another thing is that most of the people in the pantheon reacted in a similar way when dealing with phenomena, also with similar facial expressions in other words, sensations. It was so as Lucien said, </w:t>
      </w:r>
      <w:bookmarkStart w:id="9" w:name="_Hlk39092988"/>
      <w:r w:rsidR="00A80BE0" w:rsidRPr="00E01B3C">
        <w:rPr>
          <w:color w:val="000000" w:themeColor="text1"/>
        </w:rPr>
        <w:t>‘</w:t>
      </w:r>
      <w:r w:rsidR="00E63FEF" w:rsidRPr="00E01B3C">
        <w:rPr>
          <w:color w:val="000000" w:themeColor="text1"/>
        </w:rPr>
        <w:t xml:space="preserve">The representations which are termed collective, defined </w:t>
      </w:r>
      <w:proofErr w:type="gramStart"/>
      <w:r w:rsidR="00E63FEF" w:rsidRPr="00E01B3C">
        <w:rPr>
          <w:color w:val="000000" w:themeColor="text1"/>
        </w:rPr>
        <w:t>as a whole without</w:t>
      </w:r>
      <w:proofErr w:type="gramEnd"/>
      <w:r w:rsidR="00E63FEF" w:rsidRPr="00E01B3C">
        <w:rPr>
          <w:color w:val="000000" w:themeColor="text1"/>
        </w:rPr>
        <w:t xml:space="preserve"> entering into detail, may be recognized by the following signs. They are common to the members of a given social group; they are transmitted from one generation to another; they impress themselves upon its individual members, and awaken in them sentiments of respect, fear, adoration, and so on, according to the circumstances of the case</w:t>
      </w:r>
      <w:bookmarkEnd w:id="9"/>
      <w:r w:rsidR="00E63FEF" w:rsidRPr="00E01B3C">
        <w:rPr>
          <w:color w:val="000000" w:themeColor="text1"/>
        </w:rPr>
        <w:t>.</w:t>
      </w:r>
      <w:r w:rsidR="00A80BE0" w:rsidRPr="00E01B3C">
        <w:rPr>
          <w:color w:val="000000" w:themeColor="text1"/>
        </w:rPr>
        <w:t>’</w:t>
      </w:r>
      <w:r w:rsidR="00A80BE0" w:rsidRPr="00E01B3C">
        <w:rPr>
          <w:rStyle w:val="FootnoteReference"/>
          <w:color w:val="000000" w:themeColor="text1"/>
        </w:rPr>
        <w:footnoteReference w:id="20"/>
      </w:r>
      <w:r w:rsidR="00E63FEF" w:rsidRPr="00E01B3C">
        <w:rPr>
          <w:color w:val="000000" w:themeColor="text1"/>
        </w:rPr>
        <w:t xml:space="preserve"> </w:t>
      </w:r>
    </w:p>
    <w:p w14:paraId="55362FC9" w14:textId="77777777" w:rsidR="002A6F79" w:rsidRPr="002A6F79" w:rsidRDefault="002A6F79" w:rsidP="002A6F79">
      <w:pPr>
        <w:pStyle w:val="ListParagraph"/>
        <w:numPr>
          <w:ilvl w:val="0"/>
          <w:numId w:val="1"/>
        </w:numPr>
        <w:rPr>
          <w:color w:val="000000" w:themeColor="text1"/>
        </w:rPr>
      </w:pPr>
      <w:r w:rsidRPr="002A6F79">
        <w:rPr>
          <w:color w:val="BF8F00" w:themeColor="accent4" w:themeShade="BF"/>
        </w:rPr>
        <w:t xml:space="preserve">Pantheon- </w:t>
      </w:r>
      <w:r>
        <w:rPr>
          <w:i/>
          <w:iCs/>
          <w:color w:val="BF8F00" w:themeColor="accent4" w:themeShade="BF"/>
          <w:sz w:val="20"/>
          <w:szCs w:val="20"/>
        </w:rPr>
        <w:t xml:space="preserve">of all gods </w:t>
      </w:r>
    </w:p>
    <w:p w14:paraId="1AD41D9F" w14:textId="2BCBEB0E" w:rsidR="0044030B" w:rsidRDefault="002A6F79" w:rsidP="008D3B1D">
      <w:pPr>
        <w:jc w:val="both"/>
        <w:rPr>
          <w:color w:val="000000" w:themeColor="text1"/>
        </w:rPr>
      </w:pPr>
      <w:r>
        <w:rPr>
          <w:color w:val="000000" w:themeColor="text1"/>
        </w:rPr>
        <w:t xml:space="preserve">Something, that should be taken into consideration, is the name of the pantheon and its definition, which means, to all gods. This issue connects </w:t>
      </w:r>
      <w:r w:rsidR="00AB1B3B">
        <w:rPr>
          <w:color w:val="000000" w:themeColor="text1"/>
        </w:rPr>
        <w:t xml:space="preserve">with the sacredness of the space </w:t>
      </w:r>
      <w:r>
        <w:rPr>
          <w:color w:val="000000" w:themeColor="text1"/>
        </w:rPr>
        <w:t xml:space="preserve">in a way </w:t>
      </w:r>
      <w:r w:rsidR="00AB1B3B">
        <w:rPr>
          <w:color w:val="000000" w:themeColor="text1"/>
        </w:rPr>
        <w:t xml:space="preserve">due to </w:t>
      </w:r>
      <w:r>
        <w:rPr>
          <w:color w:val="000000" w:themeColor="text1"/>
        </w:rPr>
        <w:t>planting in the subconscious of the visitors that the pantheon is something sacred, so when the victors witness the phenomenon of the sun inside the pantheon, they would li</w:t>
      </w:r>
      <w:r w:rsidR="00AB1B3B">
        <w:rPr>
          <w:color w:val="000000" w:themeColor="text1"/>
        </w:rPr>
        <w:t>nk</w:t>
      </w:r>
      <w:r>
        <w:rPr>
          <w:color w:val="000000" w:themeColor="text1"/>
        </w:rPr>
        <w:t xml:space="preserve"> it to a godly spirit in a way</w:t>
      </w:r>
      <w:r w:rsidR="00AB1B3B">
        <w:rPr>
          <w:color w:val="000000" w:themeColor="text1"/>
        </w:rPr>
        <w:t xml:space="preserve">, or something that is connected to the heavens. I witnessed this about myself when I visited the pantheon, for after I finished gazing at the oculus and the reflection of the sun, the first thought that came to my mind afterwards was the connection with the godly spirit inside the pantheon. The statues around the circular space in the pantheon was what I connected this thought to. However, I did notice that in the visitors in </w:t>
      </w:r>
      <w:r w:rsidR="00AB1B3B">
        <w:rPr>
          <w:color w:val="000000" w:themeColor="text1"/>
        </w:rPr>
        <w:lastRenderedPageBreak/>
        <w:t xml:space="preserve">the pantheon as well, they would pass by all the statues one by one and would gaze at them with admiration and just as they want to go to the next statue they would gaze upon the oculus again and again, as if they are connecting the statues with the heavens in a way. This made me wonder about how the role of the oculus is connecting all the features that relate to sacredness with the heavens. </w:t>
      </w:r>
      <w:r w:rsidR="00792AA9">
        <w:rPr>
          <w:color w:val="000000" w:themeColor="text1"/>
        </w:rPr>
        <w:t xml:space="preserve">Furthermore, the definition of the pantheon-to all gods, made sense to me of why this temple was transformed into a church. </w:t>
      </w:r>
      <w:r w:rsidR="00B44D72">
        <w:rPr>
          <w:color w:val="000000" w:themeColor="text1"/>
        </w:rPr>
        <w:t>It’s</w:t>
      </w:r>
      <w:r w:rsidR="00792AA9">
        <w:rPr>
          <w:color w:val="000000" w:themeColor="text1"/>
        </w:rPr>
        <w:t xml:space="preserve"> not just about the experience of </w:t>
      </w:r>
      <w:r w:rsidR="00A27087">
        <w:rPr>
          <w:color w:val="000000" w:themeColor="text1"/>
        </w:rPr>
        <w:t>hierophany</w:t>
      </w:r>
      <w:r w:rsidR="00792AA9">
        <w:rPr>
          <w:color w:val="000000" w:themeColor="text1"/>
        </w:rPr>
        <w:t xml:space="preserve"> due to the role of the sun and oculus in the building, </w:t>
      </w:r>
      <w:r w:rsidR="00B44D72">
        <w:rPr>
          <w:color w:val="000000" w:themeColor="text1"/>
        </w:rPr>
        <w:t>it’s</w:t>
      </w:r>
      <w:r w:rsidR="00792AA9">
        <w:rPr>
          <w:color w:val="000000" w:themeColor="text1"/>
        </w:rPr>
        <w:t xml:space="preserve"> also about the initial meaning behind the issue, which is something dedicated to the gods in addition to an astronomical phenomenon which increases the value of dedication to all gods. Hence, the role of the sun here plays a role of increased value and dedication to all gods of the pantheon.  </w:t>
      </w:r>
      <w:r w:rsidR="00B10A16">
        <w:rPr>
          <w:color w:val="000000" w:themeColor="text1"/>
        </w:rPr>
        <w:t xml:space="preserve"> </w:t>
      </w:r>
    </w:p>
    <w:p w14:paraId="65E805EC" w14:textId="77777777" w:rsidR="00B44D72" w:rsidRPr="0044030B" w:rsidRDefault="00B44D72">
      <w:pPr>
        <w:rPr>
          <w:color w:val="000000" w:themeColor="text1"/>
        </w:rPr>
      </w:pPr>
    </w:p>
    <w:p w14:paraId="568109F1" w14:textId="77777777" w:rsidR="002E76D8" w:rsidRPr="00037FBA" w:rsidRDefault="002E76D8">
      <w:pPr>
        <w:rPr>
          <w:color w:val="BF8F00" w:themeColor="accent4" w:themeShade="BF"/>
          <w:sz w:val="28"/>
          <w:szCs w:val="28"/>
          <w:u w:val="single"/>
        </w:rPr>
      </w:pPr>
      <w:r w:rsidRPr="00037FBA">
        <w:rPr>
          <w:color w:val="BF8F00" w:themeColor="accent4" w:themeShade="BF"/>
          <w:sz w:val="28"/>
          <w:szCs w:val="28"/>
          <w:u w:val="single"/>
        </w:rPr>
        <w:t xml:space="preserve">Conclusion </w:t>
      </w:r>
    </w:p>
    <w:p w14:paraId="08E497F3" w14:textId="6F9C9DA3" w:rsidR="00037FBA" w:rsidRDefault="00037FBA" w:rsidP="003C168D">
      <w:pPr>
        <w:jc w:val="both"/>
      </w:pPr>
      <w:r>
        <w:t xml:space="preserve">As mentioned before, many features assist into making the space inside the pantheon a sacred space, but the most distinctive and visible feature is the role of the sun. However, the initial question </w:t>
      </w:r>
      <w:r w:rsidR="003E2D7C">
        <w:t xml:space="preserve">was, </w:t>
      </w:r>
      <w:r w:rsidR="003E2D7C" w:rsidRPr="003E2D7C">
        <w:t>“Is the role of the sun in the pantheon considered sacred due to the space being initially sacred, or is the space considered sacred due to the role of the sun</w:t>
      </w:r>
      <w:r w:rsidRPr="00037FBA">
        <w:t>?</w:t>
      </w:r>
      <w:r>
        <w:t>” What I noticed is that the role of the sun in the pantheon is to mark certain dates, but even on regular dates, the sun is still reflected on the dome, and that itself is also a unique feature for the interior of a building. The experience of witnessing the phenomenon of the sun reflected in the interior of the building did create a sense of hierophany even on regular days, hence the role of the sun did present sacredness to the space</w:t>
      </w:r>
      <w:r w:rsidR="0044030B">
        <w:t xml:space="preserve"> according to Eliade’s theory</w:t>
      </w:r>
      <w:r>
        <w:t xml:space="preserve">. However, I did notice that the </w:t>
      </w:r>
      <w:r w:rsidR="00F32E84">
        <w:t xml:space="preserve">sense of </w:t>
      </w:r>
      <w:r>
        <w:t>epiphany and awe is a variable, and it can increase according to the level of perfection and accuracy</w:t>
      </w:r>
      <w:r w:rsidR="00F32E84">
        <w:t>, and that is what the alignment of the sun on the solstices and equinoxes presents. Moreover, the attraction of people due to the distinctive and visual role of the sun in the pantheon is something that is still attracting visitors to the pantheon till this very day, and just by the knowledge of the role of the sun and its uniqueness inside the pantheon, this did create collective consciousness that proved this space to be sacred</w:t>
      </w:r>
      <w:r w:rsidR="0044030B">
        <w:t xml:space="preserve"> according to Durkheim’s theory</w:t>
      </w:r>
      <w:r w:rsidR="00F32E84">
        <w:t xml:space="preserve">. Hence, according to my observation and experience, I did witness both of Durkheim and Eliade’s theories in the pantheon. According to Eliade a space is considered sacred when witnessing a </w:t>
      </w:r>
      <w:r w:rsidR="00A27087">
        <w:t>hierophany</w:t>
      </w:r>
      <w:r w:rsidR="00F32E84">
        <w:t xml:space="preserve">, However, this </w:t>
      </w:r>
      <w:r w:rsidR="00A27087">
        <w:t>hierophany</w:t>
      </w:r>
      <w:r w:rsidR="00F32E84">
        <w:t xml:space="preserve"> was created via a human construct which is the building itself and the oculus to be more specific, but still there can be other human constructs that would not present </w:t>
      </w:r>
      <w:r w:rsidR="00A27087">
        <w:t>hierophanies</w:t>
      </w:r>
      <w:r w:rsidR="00F32E84">
        <w:t>, which indicates the uniqueness and distinction of the space of the pantheon from the profane, hence a sacred space</w:t>
      </w:r>
      <w:r w:rsidR="00DE2819">
        <w:t xml:space="preserve"> not under the influence of just human construct but aided by it. At the same time, people are still making this space sacred according to Durkheim by the collective </w:t>
      </w:r>
      <w:r w:rsidR="00DE2819" w:rsidRPr="00E01B3C">
        <w:rPr>
          <w:color w:val="000000" w:themeColor="text1"/>
        </w:rPr>
        <w:t>consciousness of its events and repeated visits.</w:t>
      </w:r>
      <w:r w:rsidR="00B44D72" w:rsidRPr="00E01B3C">
        <w:rPr>
          <w:color w:val="000000" w:themeColor="text1"/>
        </w:rPr>
        <w:t xml:space="preserve"> In addition, Lucien</w:t>
      </w:r>
      <w:r w:rsidR="00A27087" w:rsidRPr="00E01B3C">
        <w:rPr>
          <w:color w:val="000000" w:themeColor="text1"/>
        </w:rPr>
        <w:t>’s</w:t>
      </w:r>
      <w:r w:rsidR="00B44D72" w:rsidRPr="00E01B3C">
        <w:rPr>
          <w:color w:val="000000" w:themeColor="text1"/>
        </w:rPr>
        <w:t xml:space="preserve"> theory of participation which </w:t>
      </w:r>
      <w:r w:rsidR="00A27087" w:rsidRPr="00E01B3C">
        <w:rPr>
          <w:color w:val="000000" w:themeColor="text1"/>
        </w:rPr>
        <w:t xml:space="preserve">has a direct effect on the visitors of the place, </w:t>
      </w:r>
      <w:r w:rsidR="00B44D72" w:rsidRPr="00E01B3C">
        <w:rPr>
          <w:color w:val="000000" w:themeColor="text1"/>
        </w:rPr>
        <w:t>I personal</w:t>
      </w:r>
      <w:r w:rsidR="00A27087" w:rsidRPr="00E01B3C">
        <w:rPr>
          <w:color w:val="000000" w:themeColor="text1"/>
        </w:rPr>
        <w:t>ly did experience how my participation aided into constructing an idea of the place being sacred</w:t>
      </w:r>
      <w:r w:rsidR="00B44D72" w:rsidRPr="00E01B3C">
        <w:rPr>
          <w:color w:val="000000" w:themeColor="text1"/>
        </w:rPr>
        <w:t>.</w:t>
      </w:r>
      <w:r w:rsidR="00A27087" w:rsidRPr="00E01B3C">
        <w:rPr>
          <w:color w:val="000000" w:themeColor="text1"/>
        </w:rPr>
        <w:t xml:space="preserve"> </w:t>
      </w:r>
      <w:r w:rsidR="00DE2819">
        <w:t xml:space="preserve">At </w:t>
      </w:r>
      <w:r w:rsidR="00E01B3C">
        <w:t>first,</w:t>
      </w:r>
      <w:r w:rsidR="00DE2819">
        <w:t xml:space="preserve"> I thought </w:t>
      </w:r>
      <w:r w:rsidR="0044030B">
        <w:t>the role of the sun in the pantheon is creating a kind of paradox of what is making what sacred, but now I think that the h</w:t>
      </w:r>
      <w:r w:rsidR="00A27087">
        <w:t>ie</w:t>
      </w:r>
      <w:r w:rsidR="0044030B">
        <w:t>rophany and the human construct complete each other.</w:t>
      </w:r>
      <w:r w:rsidR="00DE2819">
        <w:t xml:space="preserve"> I would say that both Durkheim and Eliade’s theories are valid for creating a sacred space in the pantheon,</w:t>
      </w:r>
      <w:r w:rsidR="00A27087">
        <w:t xml:space="preserve"> and it came to life when applying Lucien’s theory of ‘participation’, the idea is that</w:t>
      </w:r>
      <w:r w:rsidR="00DE2819">
        <w:t xml:space="preserve"> it is actually somewhere in between</w:t>
      </w:r>
      <w:r w:rsidR="00A27087">
        <w:t xml:space="preserve"> all of these theories</w:t>
      </w:r>
      <w:r w:rsidR="00DE2819">
        <w:t xml:space="preserve">, it is a </w:t>
      </w:r>
      <w:r w:rsidR="00A27087">
        <w:t>hierophany</w:t>
      </w:r>
      <w:r w:rsidR="00DE2819">
        <w:t xml:space="preserve"> aided by a human construct that would present collective consciousness</w:t>
      </w:r>
      <w:r w:rsidR="00A27087">
        <w:t xml:space="preserve"> when in participation</w:t>
      </w:r>
      <w:r w:rsidR="00DE2819">
        <w:t xml:space="preserve"> that makes this </w:t>
      </w:r>
      <w:r w:rsidR="0044030B">
        <w:t xml:space="preserve">space </w:t>
      </w:r>
      <w:r w:rsidR="00DE2819">
        <w:t xml:space="preserve">sacred. </w:t>
      </w:r>
    </w:p>
    <w:p w14:paraId="7CCD2D9B" w14:textId="77777777" w:rsidR="003C168D" w:rsidRDefault="003C168D" w:rsidP="003C168D">
      <w:pPr>
        <w:jc w:val="both"/>
      </w:pPr>
    </w:p>
    <w:p w14:paraId="44A5EBA4" w14:textId="665B88DE" w:rsidR="009D2A04" w:rsidRPr="003C168D" w:rsidRDefault="009D2A04">
      <w:pPr>
        <w:rPr>
          <w:sz w:val="28"/>
          <w:szCs w:val="28"/>
          <w:u w:val="single"/>
        </w:rPr>
      </w:pPr>
      <w:r w:rsidRPr="003C168D">
        <w:rPr>
          <w:sz w:val="28"/>
          <w:szCs w:val="28"/>
          <w:u w:val="single"/>
        </w:rPr>
        <w:lastRenderedPageBreak/>
        <w:t xml:space="preserve">Bibliography: </w:t>
      </w:r>
    </w:p>
    <w:p w14:paraId="609EACB3" w14:textId="77777777" w:rsidR="003C168D" w:rsidRDefault="003C168D"/>
    <w:p w14:paraId="2C4DCC6B" w14:textId="00C757C3" w:rsidR="00E335EF" w:rsidRPr="003C168D" w:rsidRDefault="009D2A04" w:rsidP="003C168D">
      <w:pPr>
        <w:pStyle w:val="ListParagraph"/>
        <w:numPr>
          <w:ilvl w:val="0"/>
          <w:numId w:val="3"/>
        </w:numPr>
        <w:rPr>
          <w:b/>
          <w:bCs/>
          <w:sz w:val="24"/>
          <w:szCs w:val="24"/>
        </w:rPr>
      </w:pPr>
      <w:r w:rsidRPr="003C168D">
        <w:rPr>
          <w:b/>
          <w:bCs/>
          <w:sz w:val="24"/>
          <w:szCs w:val="24"/>
        </w:rPr>
        <w:t xml:space="preserve">Primary Sources: </w:t>
      </w:r>
    </w:p>
    <w:p w14:paraId="3FA7F68B" w14:textId="77777777" w:rsidR="00E335EF" w:rsidRDefault="000D5323">
      <w:r>
        <w:t xml:space="preserve">Visits to the site. </w:t>
      </w:r>
    </w:p>
    <w:p w14:paraId="29AA0BE3" w14:textId="77777777" w:rsidR="009D2A04" w:rsidRDefault="009D2A04"/>
    <w:p w14:paraId="5AB7B56A" w14:textId="4C86940C" w:rsidR="0052245F" w:rsidRPr="003C168D" w:rsidRDefault="009D2A04" w:rsidP="003C168D">
      <w:pPr>
        <w:pStyle w:val="ListParagraph"/>
        <w:numPr>
          <w:ilvl w:val="0"/>
          <w:numId w:val="3"/>
        </w:numPr>
        <w:rPr>
          <w:b/>
          <w:bCs/>
          <w:sz w:val="24"/>
          <w:szCs w:val="24"/>
        </w:rPr>
      </w:pPr>
      <w:r w:rsidRPr="003C168D">
        <w:rPr>
          <w:b/>
          <w:bCs/>
          <w:sz w:val="24"/>
          <w:szCs w:val="24"/>
        </w:rPr>
        <w:t xml:space="preserve">Secondary Sources: </w:t>
      </w:r>
    </w:p>
    <w:p w14:paraId="060782D1" w14:textId="77777777" w:rsidR="00B37045" w:rsidRDefault="00B37045"/>
    <w:p w14:paraId="63F73F0D" w14:textId="77777777" w:rsidR="009D2A04" w:rsidRPr="004146B6" w:rsidRDefault="008972F1">
      <w:pPr>
        <w:rPr>
          <w:sz w:val="28"/>
          <w:szCs w:val="28"/>
        </w:rPr>
      </w:pPr>
      <w:r w:rsidRPr="004146B6">
        <w:rPr>
          <w:sz w:val="28"/>
          <w:szCs w:val="28"/>
        </w:rPr>
        <w:t>Durkheim, Emile, The Elementary Forms of Religious Life, trans. Karen E. Fields, (New York: The Free Press, 1995)</w:t>
      </w:r>
    </w:p>
    <w:p w14:paraId="1F3AC824" w14:textId="693241F2" w:rsidR="008972F1" w:rsidRPr="004146B6" w:rsidRDefault="008972F1">
      <w:pPr>
        <w:rPr>
          <w:sz w:val="28"/>
          <w:szCs w:val="28"/>
        </w:rPr>
      </w:pPr>
      <w:r w:rsidRPr="004146B6">
        <w:rPr>
          <w:sz w:val="28"/>
          <w:szCs w:val="28"/>
        </w:rPr>
        <w:t>Eliade, Mircea, Patterns in Comparative Religion, trans. Rosemary.S. (New York: Sheed and ward inc.,1958)</w:t>
      </w:r>
    </w:p>
    <w:p w14:paraId="6AF71FF1" w14:textId="38EE65E5" w:rsidR="00B37045" w:rsidRPr="004146B6" w:rsidRDefault="00C66CD6" w:rsidP="00C66CD6">
      <w:pPr>
        <w:pStyle w:val="EndnoteText"/>
        <w:rPr>
          <w:rFonts w:cstheme="minorHAnsi"/>
          <w:color w:val="212529"/>
          <w:sz w:val="28"/>
          <w:szCs w:val="28"/>
          <w:shd w:val="clear" w:color="auto" w:fill="FFFFFF"/>
        </w:rPr>
      </w:pPr>
      <w:r w:rsidRPr="004146B6">
        <w:rPr>
          <w:rFonts w:cstheme="minorHAnsi"/>
          <w:color w:val="212529"/>
          <w:sz w:val="28"/>
          <w:szCs w:val="28"/>
          <w:shd w:val="clear" w:color="auto" w:fill="FFFFFF"/>
        </w:rPr>
        <w:t>Eliade, Mircea. The Sacred and the Profane, the Nature of Religion. Trans</w:t>
      </w:r>
      <w:r w:rsidR="00324924" w:rsidRPr="004146B6">
        <w:rPr>
          <w:rFonts w:cstheme="minorHAnsi"/>
          <w:color w:val="212529"/>
          <w:sz w:val="28"/>
          <w:szCs w:val="28"/>
          <w:shd w:val="clear" w:color="auto" w:fill="FFFFFF"/>
        </w:rPr>
        <w:t>.</w:t>
      </w:r>
      <w:r w:rsidRPr="004146B6">
        <w:rPr>
          <w:rFonts w:cstheme="minorHAnsi"/>
          <w:color w:val="212529"/>
          <w:sz w:val="28"/>
          <w:szCs w:val="28"/>
          <w:shd w:val="clear" w:color="auto" w:fill="FFFFFF"/>
        </w:rPr>
        <w:t xml:space="preserve"> Willard R. Trask. </w:t>
      </w:r>
      <w:r w:rsidR="00324924" w:rsidRPr="004146B6">
        <w:rPr>
          <w:rFonts w:cstheme="minorHAnsi"/>
          <w:color w:val="212529"/>
          <w:sz w:val="28"/>
          <w:szCs w:val="28"/>
          <w:shd w:val="clear" w:color="auto" w:fill="FFFFFF"/>
        </w:rPr>
        <w:t>(</w:t>
      </w:r>
      <w:r w:rsidRPr="004146B6">
        <w:rPr>
          <w:rFonts w:cstheme="minorHAnsi"/>
          <w:color w:val="212529"/>
          <w:sz w:val="28"/>
          <w:szCs w:val="28"/>
          <w:shd w:val="clear" w:color="auto" w:fill="FFFFFF"/>
        </w:rPr>
        <w:t>London: Harcourt, Inc. (1957)1987</w:t>
      </w:r>
      <w:r w:rsidR="00324924" w:rsidRPr="004146B6">
        <w:rPr>
          <w:rFonts w:cstheme="minorHAnsi"/>
          <w:color w:val="212529"/>
          <w:sz w:val="28"/>
          <w:szCs w:val="28"/>
          <w:shd w:val="clear" w:color="auto" w:fill="FFFFFF"/>
        </w:rPr>
        <w:t>)</w:t>
      </w:r>
    </w:p>
    <w:p w14:paraId="01A87DC4" w14:textId="77777777" w:rsidR="00B37045" w:rsidRPr="004146B6" w:rsidRDefault="00B37045" w:rsidP="00C66CD6">
      <w:pPr>
        <w:pStyle w:val="EndnoteText"/>
        <w:rPr>
          <w:rFonts w:cstheme="minorHAnsi"/>
          <w:color w:val="212529"/>
          <w:sz w:val="28"/>
          <w:szCs w:val="28"/>
          <w:shd w:val="clear" w:color="auto" w:fill="FFFFFF"/>
        </w:rPr>
      </w:pPr>
    </w:p>
    <w:p w14:paraId="265F2A1E" w14:textId="6B7138C0" w:rsidR="005D7371" w:rsidRPr="004146B6" w:rsidRDefault="00B37045" w:rsidP="00B37045">
      <w:pPr>
        <w:rPr>
          <w:color w:val="000000" w:themeColor="text1"/>
          <w:sz w:val="28"/>
          <w:szCs w:val="28"/>
        </w:rPr>
      </w:pPr>
      <w:r w:rsidRPr="004146B6">
        <w:rPr>
          <w:color w:val="000000" w:themeColor="text1"/>
          <w:sz w:val="28"/>
          <w:szCs w:val="28"/>
        </w:rPr>
        <w:t xml:space="preserve">Levy-Bruhl, </w:t>
      </w:r>
      <w:r w:rsidR="00324924" w:rsidRPr="004146B6">
        <w:rPr>
          <w:color w:val="000000" w:themeColor="text1"/>
          <w:sz w:val="28"/>
          <w:szCs w:val="28"/>
        </w:rPr>
        <w:t>Lucien,</w:t>
      </w:r>
      <w:r w:rsidRPr="004146B6">
        <w:rPr>
          <w:color w:val="000000" w:themeColor="text1"/>
          <w:sz w:val="28"/>
          <w:szCs w:val="28"/>
        </w:rPr>
        <w:t xml:space="preserve"> </w:t>
      </w:r>
      <w:r w:rsidRPr="004146B6">
        <w:rPr>
          <w:i/>
          <w:iCs/>
          <w:color w:val="000000" w:themeColor="text1"/>
          <w:sz w:val="28"/>
          <w:szCs w:val="28"/>
        </w:rPr>
        <w:t>How Natives Think</w:t>
      </w:r>
      <w:r w:rsidRPr="004146B6">
        <w:rPr>
          <w:color w:val="000000" w:themeColor="text1"/>
          <w:sz w:val="28"/>
          <w:szCs w:val="28"/>
        </w:rPr>
        <w:t xml:space="preserve">, trasn. Lililan A. Clare, (Washington Square Press Inc., 1966.) </w:t>
      </w:r>
    </w:p>
    <w:p w14:paraId="719B1A81" w14:textId="096081C3" w:rsidR="005005BA" w:rsidRPr="004146B6" w:rsidRDefault="00B10A16" w:rsidP="00B37045">
      <w:pPr>
        <w:rPr>
          <w:color w:val="000000" w:themeColor="text1"/>
          <w:sz w:val="28"/>
          <w:szCs w:val="28"/>
        </w:rPr>
      </w:pPr>
      <w:r w:rsidRPr="004146B6">
        <w:rPr>
          <w:color w:val="000000" w:themeColor="text1"/>
          <w:sz w:val="28"/>
          <w:szCs w:val="28"/>
        </w:rPr>
        <w:t xml:space="preserve"> Levy-Bruhl, Lucien</w:t>
      </w:r>
      <w:r w:rsidRPr="004146B6">
        <w:rPr>
          <w:i/>
          <w:iCs/>
          <w:color w:val="000000" w:themeColor="text1"/>
          <w:sz w:val="28"/>
          <w:szCs w:val="28"/>
        </w:rPr>
        <w:t>, The Notebooks on Primitive Mentalit</w:t>
      </w:r>
      <w:r w:rsidRPr="004146B6">
        <w:rPr>
          <w:color w:val="000000" w:themeColor="text1"/>
          <w:sz w:val="28"/>
          <w:szCs w:val="28"/>
        </w:rPr>
        <w:t>y trans. Peter Riviere (San Francisco: Harper &amp; Row Publishers, 1975).</w:t>
      </w:r>
    </w:p>
    <w:p w14:paraId="565EDCCC" w14:textId="4B11A441" w:rsidR="004146B6" w:rsidRPr="004146B6" w:rsidRDefault="004146B6" w:rsidP="00B37045">
      <w:pPr>
        <w:rPr>
          <w:color w:val="000000" w:themeColor="text1"/>
          <w:sz w:val="28"/>
          <w:szCs w:val="28"/>
        </w:rPr>
      </w:pPr>
      <w:r w:rsidRPr="004146B6">
        <w:rPr>
          <w:sz w:val="28"/>
          <w:szCs w:val="28"/>
        </w:rPr>
        <w:t>C. Lane,</w:t>
      </w:r>
      <w:r w:rsidR="009C36F0">
        <w:rPr>
          <w:sz w:val="28"/>
          <w:szCs w:val="28"/>
        </w:rPr>
        <w:t xml:space="preserve"> Belden</w:t>
      </w:r>
      <w:r w:rsidRPr="004146B6">
        <w:rPr>
          <w:sz w:val="28"/>
          <w:szCs w:val="28"/>
        </w:rPr>
        <w:t xml:space="preserve"> </w:t>
      </w:r>
      <w:r w:rsidRPr="004146B6">
        <w:rPr>
          <w:i/>
          <w:iCs/>
          <w:sz w:val="28"/>
          <w:szCs w:val="28"/>
        </w:rPr>
        <w:t>Landscapes of the Sacred: Geography and Narrative in American Spirituality</w:t>
      </w:r>
      <w:r w:rsidRPr="004146B6">
        <w:rPr>
          <w:sz w:val="28"/>
          <w:szCs w:val="28"/>
        </w:rPr>
        <w:t>. (Baltimore</w:t>
      </w:r>
      <w:r w:rsidRPr="004146B6">
        <w:rPr>
          <w:sz w:val="28"/>
          <w:szCs w:val="28"/>
        </w:rPr>
        <w:t xml:space="preserve"> and </w:t>
      </w:r>
      <w:r w:rsidRPr="004146B6">
        <w:rPr>
          <w:sz w:val="28"/>
          <w:szCs w:val="28"/>
        </w:rPr>
        <w:t>London</w:t>
      </w:r>
      <w:r w:rsidRPr="004146B6">
        <w:rPr>
          <w:sz w:val="28"/>
          <w:szCs w:val="28"/>
        </w:rPr>
        <w:t>,</w:t>
      </w:r>
      <w:r w:rsidRPr="004146B6">
        <w:rPr>
          <w:sz w:val="28"/>
          <w:szCs w:val="28"/>
        </w:rPr>
        <w:t xml:space="preserve"> Johns Hopkins University Press, 2001).</w:t>
      </w:r>
    </w:p>
    <w:p w14:paraId="78F1EBEB" w14:textId="5862B310" w:rsidR="00A84E48" w:rsidRPr="004146B6" w:rsidRDefault="00324924">
      <w:pPr>
        <w:rPr>
          <w:sz w:val="28"/>
          <w:szCs w:val="28"/>
        </w:rPr>
      </w:pPr>
      <w:r w:rsidRPr="004146B6">
        <w:rPr>
          <w:sz w:val="28"/>
          <w:szCs w:val="28"/>
        </w:rPr>
        <w:t>Gaugier, Christiane,</w:t>
      </w:r>
      <w:r w:rsidR="00A84E48" w:rsidRPr="004146B6">
        <w:rPr>
          <w:sz w:val="28"/>
          <w:szCs w:val="28"/>
        </w:rPr>
        <w:t xml:space="preserve"> “The iconography of Sacred Space: A Suggested reading of the meaning of the Roman Pantheon”, Publications of IRSA, 38.19 (1998), pp. 21-42</w:t>
      </w:r>
    </w:p>
    <w:p w14:paraId="73F4844A" w14:textId="4E6A0835" w:rsidR="008972F1" w:rsidRPr="004146B6" w:rsidRDefault="008972F1">
      <w:pPr>
        <w:rPr>
          <w:sz w:val="28"/>
          <w:szCs w:val="28"/>
        </w:rPr>
      </w:pPr>
      <w:r w:rsidRPr="004146B6">
        <w:rPr>
          <w:sz w:val="28"/>
          <w:szCs w:val="28"/>
        </w:rPr>
        <w:t xml:space="preserve">Tilley, Christopher, A phenomenology of landscape: Places, paths, and monuments. (Oxford, U.K: </w:t>
      </w:r>
      <w:r w:rsidR="00324924" w:rsidRPr="004146B6">
        <w:rPr>
          <w:sz w:val="28"/>
          <w:szCs w:val="28"/>
        </w:rPr>
        <w:t>Berg,</w:t>
      </w:r>
      <w:r w:rsidRPr="004146B6">
        <w:rPr>
          <w:sz w:val="28"/>
          <w:szCs w:val="28"/>
        </w:rPr>
        <w:t xml:space="preserve"> 1994</w:t>
      </w:r>
      <w:proofErr w:type="gramStart"/>
      <w:r w:rsidRPr="004146B6">
        <w:rPr>
          <w:sz w:val="28"/>
          <w:szCs w:val="28"/>
        </w:rPr>
        <w:t>. )</w:t>
      </w:r>
      <w:proofErr w:type="gramEnd"/>
    </w:p>
    <w:p w14:paraId="0683F6B5" w14:textId="13436711" w:rsidR="00C66CD6" w:rsidRPr="004146B6" w:rsidRDefault="00C66CD6" w:rsidP="00C66CD6">
      <w:pPr>
        <w:pStyle w:val="EndnoteText"/>
        <w:rPr>
          <w:rFonts w:eastAsia="Times New Roman" w:cstheme="minorHAnsi"/>
          <w:color w:val="000000"/>
          <w:sz w:val="28"/>
          <w:szCs w:val="28"/>
        </w:rPr>
      </w:pPr>
      <w:r w:rsidRPr="004146B6">
        <w:rPr>
          <w:rFonts w:eastAsia="Times New Roman" w:cstheme="minorHAnsi"/>
          <w:color w:val="000000"/>
          <w:sz w:val="28"/>
          <w:szCs w:val="28"/>
        </w:rPr>
        <w:t>S</w:t>
      </w:r>
      <w:r w:rsidR="00D32EE4" w:rsidRPr="004146B6">
        <w:rPr>
          <w:rFonts w:eastAsia="Times New Roman" w:cstheme="minorHAnsi"/>
          <w:color w:val="000000"/>
          <w:sz w:val="28"/>
          <w:szCs w:val="28"/>
        </w:rPr>
        <w:t>tudstill Randall,</w:t>
      </w:r>
      <w:r w:rsidRPr="004146B6">
        <w:rPr>
          <w:rFonts w:eastAsia="Times New Roman" w:cstheme="minorHAnsi"/>
          <w:color w:val="000000"/>
          <w:sz w:val="28"/>
          <w:szCs w:val="28"/>
        </w:rPr>
        <w:t xml:space="preserve"> </w:t>
      </w:r>
      <w:r w:rsidR="00D32EE4" w:rsidRPr="004146B6">
        <w:rPr>
          <w:rFonts w:eastAsia="Times New Roman" w:cstheme="minorHAnsi"/>
          <w:color w:val="000000"/>
          <w:sz w:val="28"/>
          <w:szCs w:val="28"/>
        </w:rPr>
        <w:t>“Phenomenology</w:t>
      </w:r>
      <w:r w:rsidRPr="004146B6">
        <w:rPr>
          <w:rFonts w:eastAsia="Times New Roman" w:cstheme="minorHAnsi"/>
          <w:color w:val="000000"/>
          <w:sz w:val="28"/>
          <w:szCs w:val="28"/>
        </w:rPr>
        <w:t xml:space="preserve">, and the Sacred”, </w:t>
      </w:r>
      <w:r w:rsidR="00D32EE4" w:rsidRPr="004146B6">
        <w:rPr>
          <w:rFonts w:eastAsia="Times New Roman" w:cstheme="minorHAnsi"/>
          <w:color w:val="000000"/>
          <w:sz w:val="28"/>
          <w:szCs w:val="28"/>
        </w:rPr>
        <w:t>(</w:t>
      </w:r>
      <w:r w:rsidRPr="004146B6">
        <w:rPr>
          <w:rFonts w:eastAsia="Times New Roman" w:cstheme="minorHAnsi"/>
          <w:color w:val="000000"/>
          <w:sz w:val="28"/>
          <w:szCs w:val="28"/>
        </w:rPr>
        <w:t xml:space="preserve">Publications of Cambridge University Press, 36.2 (2000), pp.177-194 </w:t>
      </w:r>
    </w:p>
    <w:p w14:paraId="0F9C3FEB" w14:textId="77777777" w:rsidR="00C66CD6" w:rsidRDefault="00C66CD6"/>
    <w:p w14:paraId="784CDCC1" w14:textId="77777777" w:rsidR="009D2A04" w:rsidRDefault="009D2A04"/>
    <w:p w14:paraId="37BDD5C5" w14:textId="77777777" w:rsidR="009D2A04" w:rsidRDefault="009D2A04"/>
    <w:p w14:paraId="08BEB193" w14:textId="77777777" w:rsidR="009D2A04" w:rsidRDefault="009D2A04"/>
    <w:sectPr w:rsidR="009D2A0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008919B" w14:textId="77777777" w:rsidR="00D27FAE" w:rsidRDefault="00D27FAE" w:rsidP="002E76D8">
      <w:pPr>
        <w:spacing w:after="0" w:line="240" w:lineRule="auto"/>
      </w:pPr>
      <w:r>
        <w:separator/>
      </w:r>
    </w:p>
  </w:endnote>
  <w:endnote w:type="continuationSeparator" w:id="0">
    <w:p w14:paraId="3F75EC3B" w14:textId="77777777" w:rsidR="00D27FAE" w:rsidRDefault="00D27FAE" w:rsidP="002E76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F0E8750" w14:textId="77777777" w:rsidR="00D27FAE" w:rsidRDefault="00D27FAE" w:rsidP="002E76D8">
      <w:pPr>
        <w:spacing w:after="0" w:line="240" w:lineRule="auto"/>
      </w:pPr>
      <w:r>
        <w:separator/>
      </w:r>
    </w:p>
  </w:footnote>
  <w:footnote w:type="continuationSeparator" w:id="0">
    <w:p w14:paraId="60528590" w14:textId="77777777" w:rsidR="00D27FAE" w:rsidRDefault="00D27FAE" w:rsidP="002E76D8">
      <w:pPr>
        <w:spacing w:after="0" w:line="240" w:lineRule="auto"/>
      </w:pPr>
      <w:r>
        <w:continuationSeparator/>
      </w:r>
    </w:p>
  </w:footnote>
  <w:footnote w:id="1">
    <w:p w14:paraId="0FF25930" w14:textId="3A732925" w:rsidR="003935DF" w:rsidRPr="009137DF" w:rsidRDefault="003935DF">
      <w:pPr>
        <w:pStyle w:val="FootnoteText"/>
        <w:rPr>
          <w:lang w:val="en-US"/>
        </w:rPr>
      </w:pPr>
      <w:r>
        <w:rPr>
          <w:rStyle w:val="FootnoteReference"/>
        </w:rPr>
        <w:footnoteRef/>
      </w:r>
      <w:r>
        <w:t xml:space="preserve"> </w:t>
      </w:r>
      <w:r w:rsidR="00CC2A5F">
        <w:t xml:space="preserve">Christiane </w:t>
      </w:r>
      <w:r>
        <w:t xml:space="preserve">Gaugier, </w:t>
      </w:r>
      <w:r w:rsidRPr="00CC2A5F">
        <w:rPr>
          <w:i/>
          <w:iCs/>
        </w:rPr>
        <w:t>The iconography of Sacred Space</w:t>
      </w:r>
      <w:r w:rsidR="00CC2A5F">
        <w:t xml:space="preserve"> (IRSA s.c,), </w:t>
      </w:r>
      <w:r w:rsidR="00CC2A5F">
        <w:rPr>
          <w:lang w:val="en-US"/>
        </w:rPr>
        <w:t>p.21</w:t>
      </w:r>
    </w:p>
  </w:footnote>
  <w:footnote w:id="2">
    <w:p w14:paraId="3C7E1BD5" w14:textId="43AC31A8" w:rsidR="000436BA" w:rsidRPr="000436BA" w:rsidRDefault="000436BA">
      <w:pPr>
        <w:pStyle w:val="FootnoteText"/>
        <w:rPr>
          <w:lang w:val="en-US"/>
        </w:rPr>
      </w:pPr>
      <w:r>
        <w:rPr>
          <w:rStyle w:val="FootnoteReference"/>
        </w:rPr>
        <w:footnoteRef/>
      </w:r>
      <w:r>
        <w:t xml:space="preserve"> Gaugier, </w:t>
      </w:r>
      <w:r w:rsidRPr="00CC2A5F">
        <w:rPr>
          <w:i/>
          <w:iCs/>
        </w:rPr>
        <w:t>The iconography of Sacred Spac</w:t>
      </w:r>
      <w:r>
        <w:rPr>
          <w:i/>
          <w:iCs/>
        </w:rPr>
        <w:t xml:space="preserve">e, </w:t>
      </w:r>
      <w:r>
        <w:t>p.21</w:t>
      </w:r>
    </w:p>
  </w:footnote>
  <w:footnote w:id="3">
    <w:p w14:paraId="1BBB51AA" w14:textId="248CF4EF" w:rsidR="003C168D" w:rsidRPr="003C168D" w:rsidRDefault="003C168D">
      <w:pPr>
        <w:pStyle w:val="FootnoteText"/>
        <w:rPr>
          <w:lang w:val="en-US"/>
        </w:rPr>
      </w:pPr>
      <w:r>
        <w:rPr>
          <w:rStyle w:val="FootnoteReference"/>
        </w:rPr>
        <w:footnoteRef/>
      </w:r>
      <w:r>
        <w:t xml:space="preserve"> Gaugier, </w:t>
      </w:r>
      <w:r w:rsidRPr="00CC2A5F">
        <w:rPr>
          <w:i/>
          <w:iCs/>
        </w:rPr>
        <w:t>The iconography of Sacred Spac</w:t>
      </w:r>
      <w:r>
        <w:rPr>
          <w:i/>
          <w:iCs/>
        </w:rPr>
        <w:t xml:space="preserve">e, </w:t>
      </w:r>
      <w:r>
        <w:t>p.21</w:t>
      </w:r>
    </w:p>
  </w:footnote>
  <w:footnote w:id="4">
    <w:p w14:paraId="5F5435B7" w14:textId="67E37CAE" w:rsidR="003935DF" w:rsidRPr="00A84E48" w:rsidRDefault="003935DF">
      <w:pPr>
        <w:pStyle w:val="FootnoteText"/>
        <w:rPr>
          <w:lang w:val="en-US"/>
        </w:rPr>
      </w:pPr>
      <w:r>
        <w:rPr>
          <w:rStyle w:val="FootnoteReference"/>
        </w:rPr>
        <w:footnoteRef/>
      </w:r>
      <w:r>
        <w:t xml:space="preserve"> </w:t>
      </w:r>
      <w:r w:rsidR="00CC2A5F">
        <w:t xml:space="preserve">Gaugier, </w:t>
      </w:r>
      <w:r w:rsidR="00CC2A5F" w:rsidRPr="00CC2A5F">
        <w:rPr>
          <w:i/>
          <w:iCs/>
        </w:rPr>
        <w:t>The iconography of Sacred Spac</w:t>
      </w:r>
      <w:r w:rsidR="00CC2A5F">
        <w:rPr>
          <w:i/>
          <w:iCs/>
        </w:rPr>
        <w:t xml:space="preserve">e, </w:t>
      </w:r>
      <w:r w:rsidR="00CC2A5F">
        <w:t>p.21</w:t>
      </w:r>
    </w:p>
  </w:footnote>
  <w:footnote w:id="5">
    <w:p w14:paraId="3C9D9EEC" w14:textId="5E7785BE" w:rsidR="003935DF" w:rsidRPr="00BD639F" w:rsidRDefault="003935DF">
      <w:pPr>
        <w:pStyle w:val="FootnoteText"/>
        <w:rPr>
          <w:lang w:val="en-US"/>
        </w:rPr>
      </w:pPr>
      <w:r w:rsidRPr="00BD639F">
        <w:rPr>
          <w:rStyle w:val="FootnoteReference"/>
        </w:rPr>
        <w:footnoteRef/>
      </w:r>
      <w:r w:rsidRPr="00BD639F">
        <w:rPr>
          <w:color w:val="FF0000"/>
        </w:rPr>
        <w:t xml:space="preserve"> </w:t>
      </w:r>
      <w:r w:rsidR="00BD639F" w:rsidRPr="00BD639F">
        <w:rPr>
          <w:color w:val="212529"/>
          <w:shd w:val="clear" w:color="auto" w:fill="FFFFFF"/>
        </w:rPr>
        <w:t>Eliade Mircea, The</w:t>
      </w:r>
      <w:r w:rsidR="00BD639F" w:rsidRPr="00BD639F">
        <w:rPr>
          <w:i/>
          <w:iCs/>
          <w:color w:val="212529"/>
          <w:shd w:val="clear" w:color="auto" w:fill="FFFFFF"/>
        </w:rPr>
        <w:t xml:space="preserve"> Sacred and the Profane, the Nature of Religion</w:t>
      </w:r>
      <w:r w:rsidR="00BD639F" w:rsidRPr="00BD639F">
        <w:rPr>
          <w:color w:val="212529"/>
          <w:shd w:val="clear" w:color="auto" w:fill="FFFFFF"/>
        </w:rPr>
        <w:t>. Translated by Willard R. Trask. London:     Harcourt, Inc. (1957) p. 10</w:t>
      </w:r>
    </w:p>
  </w:footnote>
  <w:footnote w:id="6">
    <w:p w14:paraId="05E69DBA" w14:textId="04A9515D" w:rsidR="003935DF" w:rsidRPr="001A0F5B" w:rsidRDefault="003935DF" w:rsidP="00BD639F">
      <w:r w:rsidRPr="00BD639F">
        <w:rPr>
          <w:rStyle w:val="FootnoteReference"/>
          <w:rFonts w:ascii="Times New Roman" w:hAnsi="Times New Roman" w:cs="Times New Roman"/>
        </w:rPr>
        <w:footnoteRef/>
      </w:r>
      <w:r w:rsidR="00BD639F" w:rsidRPr="00BD639F">
        <w:rPr>
          <w:rFonts w:ascii="Times New Roman" w:hAnsi="Times New Roman" w:cs="Times New Roman"/>
          <w:sz w:val="20"/>
          <w:szCs w:val="20"/>
        </w:rPr>
        <w:t xml:space="preserve"> Emile Durkheim, </w:t>
      </w:r>
      <w:r w:rsidR="00BD639F" w:rsidRPr="00BD639F">
        <w:rPr>
          <w:rFonts w:ascii="Times New Roman" w:hAnsi="Times New Roman" w:cs="Times New Roman"/>
          <w:i/>
          <w:iCs/>
          <w:sz w:val="20"/>
          <w:szCs w:val="20"/>
        </w:rPr>
        <w:t>The Elementary Forms of Religious Life</w:t>
      </w:r>
      <w:r w:rsidR="00BD639F" w:rsidRPr="00BD639F">
        <w:rPr>
          <w:rFonts w:ascii="Times New Roman" w:hAnsi="Times New Roman" w:cs="Times New Roman"/>
          <w:sz w:val="20"/>
          <w:szCs w:val="20"/>
        </w:rPr>
        <w:t>, trans. Karen E. Fields, (New York: The Free Press, 1995) p. 52</w:t>
      </w:r>
    </w:p>
  </w:footnote>
  <w:footnote w:id="7">
    <w:p w14:paraId="35946E45" w14:textId="77777777" w:rsidR="009C59D9" w:rsidRPr="009C59D9" w:rsidRDefault="009C59D9" w:rsidP="009C59D9">
      <w:pPr>
        <w:pStyle w:val="FootnoteText"/>
        <w:rPr>
          <w:lang w:val="en-US"/>
        </w:rPr>
      </w:pPr>
      <w:r>
        <w:rPr>
          <w:rStyle w:val="FootnoteReference"/>
        </w:rPr>
        <w:footnoteRef/>
      </w:r>
      <w:r>
        <w:t xml:space="preserve"> </w:t>
      </w:r>
      <w:r w:rsidRPr="00CF0BBF">
        <w:rPr>
          <w:color w:val="000000" w:themeColor="text1"/>
        </w:rPr>
        <w:t>Lucien</w:t>
      </w:r>
      <w:r>
        <w:rPr>
          <w:color w:val="000000" w:themeColor="text1"/>
        </w:rPr>
        <w:t xml:space="preserve"> levy-</w:t>
      </w:r>
      <w:proofErr w:type="spellStart"/>
      <w:r>
        <w:rPr>
          <w:color w:val="000000" w:themeColor="text1"/>
        </w:rPr>
        <w:t>Bruhl</w:t>
      </w:r>
      <w:proofErr w:type="spellEnd"/>
      <w:r>
        <w:rPr>
          <w:color w:val="000000" w:themeColor="text1"/>
        </w:rPr>
        <w:t>,</w:t>
      </w:r>
      <w:r w:rsidRPr="00CF0BBF">
        <w:rPr>
          <w:color w:val="000000" w:themeColor="text1"/>
        </w:rPr>
        <w:t xml:space="preserve"> </w:t>
      </w:r>
      <w:r w:rsidRPr="00CF0BBF">
        <w:rPr>
          <w:i/>
          <w:iCs/>
          <w:color w:val="000000" w:themeColor="text1"/>
        </w:rPr>
        <w:t>How Natives Think</w:t>
      </w:r>
      <w:r w:rsidRPr="00CF0BBF">
        <w:rPr>
          <w:color w:val="000000" w:themeColor="text1"/>
        </w:rPr>
        <w:t xml:space="preserve">, </w:t>
      </w:r>
      <w:proofErr w:type="spellStart"/>
      <w:r w:rsidRPr="00CF0BBF">
        <w:rPr>
          <w:color w:val="000000" w:themeColor="text1"/>
        </w:rPr>
        <w:t>trasn</w:t>
      </w:r>
      <w:proofErr w:type="spellEnd"/>
      <w:r w:rsidRPr="00CF0BBF">
        <w:rPr>
          <w:color w:val="000000" w:themeColor="text1"/>
        </w:rPr>
        <w:t xml:space="preserve">. </w:t>
      </w:r>
      <w:proofErr w:type="spellStart"/>
      <w:r w:rsidRPr="00CF0BBF">
        <w:rPr>
          <w:color w:val="000000" w:themeColor="text1"/>
        </w:rPr>
        <w:t>Lililan</w:t>
      </w:r>
      <w:proofErr w:type="spellEnd"/>
      <w:r w:rsidRPr="00CF0BBF">
        <w:rPr>
          <w:color w:val="000000" w:themeColor="text1"/>
        </w:rPr>
        <w:t xml:space="preserve"> A. Clare, (Washington Square Press Inc., 1966.)</w:t>
      </w:r>
      <w:r w:rsidRPr="00324924">
        <w:rPr>
          <w:color w:val="000000" w:themeColor="text1"/>
        </w:rPr>
        <w:t xml:space="preserve"> </w:t>
      </w:r>
      <w:proofErr w:type="spellStart"/>
      <w:r>
        <w:rPr>
          <w:color w:val="000000" w:themeColor="text1"/>
        </w:rPr>
        <w:t>p.xii</w:t>
      </w:r>
      <w:proofErr w:type="spellEnd"/>
    </w:p>
  </w:footnote>
  <w:footnote w:id="8">
    <w:p w14:paraId="7B3DA1D0" w14:textId="5BA0741C" w:rsidR="003935DF" w:rsidRPr="00D32EE4" w:rsidRDefault="003935DF">
      <w:pPr>
        <w:pStyle w:val="FootnoteText"/>
        <w:rPr>
          <w:lang w:val="en-US"/>
        </w:rPr>
      </w:pPr>
      <w:r w:rsidRPr="00D32EE4">
        <w:rPr>
          <w:rStyle w:val="FootnoteReference"/>
        </w:rPr>
        <w:footnoteRef/>
      </w:r>
      <w:r w:rsidRPr="00D32EE4">
        <w:t xml:space="preserve"> </w:t>
      </w:r>
      <w:r w:rsidR="00D32EE4" w:rsidRPr="00D32EE4">
        <w:t xml:space="preserve">Randall </w:t>
      </w:r>
      <w:r w:rsidR="00D32EE4" w:rsidRPr="00D32EE4">
        <w:rPr>
          <w:color w:val="000000"/>
        </w:rPr>
        <w:t>Studstill, “</w:t>
      </w:r>
      <w:r w:rsidR="00D32EE4" w:rsidRPr="00D32EE4">
        <w:rPr>
          <w:i/>
          <w:iCs/>
          <w:color w:val="000000"/>
        </w:rPr>
        <w:t>Phenomenology, and the Sacred</w:t>
      </w:r>
      <w:r w:rsidR="00D32EE4" w:rsidRPr="00D32EE4">
        <w:rPr>
          <w:color w:val="000000"/>
        </w:rPr>
        <w:t>”, (Publications of Cambridge University Press, 36.2 (2000), p. 178</w:t>
      </w:r>
      <w:r w:rsidR="00D32EE4" w:rsidRPr="00D32EE4">
        <w:rPr>
          <w:color w:val="000000"/>
          <w:sz w:val="22"/>
          <w:szCs w:val="22"/>
        </w:rPr>
        <w:t xml:space="preserve"> </w:t>
      </w:r>
    </w:p>
  </w:footnote>
  <w:footnote w:id="9">
    <w:p w14:paraId="0675A014" w14:textId="2DA8714F" w:rsidR="003935DF" w:rsidRPr="00E0694A" w:rsidRDefault="003935DF">
      <w:pPr>
        <w:pStyle w:val="FootnoteText"/>
        <w:rPr>
          <w:lang w:val="en-US"/>
        </w:rPr>
      </w:pPr>
      <w:r w:rsidRPr="00D32EE4">
        <w:rPr>
          <w:rStyle w:val="FootnoteReference"/>
        </w:rPr>
        <w:footnoteRef/>
      </w:r>
      <w:r w:rsidRPr="00D32EE4">
        <w:t xml:space="preserve"> </w:t>
      </w:r>
      <w:r w:rsidR="00BD639F" w:rsidRPr="00D32EE4">
        <w:rPr>
          <w:color w:val="212529"/>
          <w:shd w:val="clear" w:color="auto" w:fill="FFFFFF"/>
        </w:rPr>
        <w:t>Eliade Mircea, The</w:t>
      </w:r>
      <w:r w:rsidR="00BD639F" w:rsidRPr="00D32EE4">
        <w:rPr>
          <w:i/>
          <w:iCs/>
          <w:color w:val="212529"/>
          <w:shd w:val="clear" w:color="auto" w:fill="FFFFFF"/>
        </w:rPr>
        <w:t xml:space="preserve"> Sacred and the Profane, the Nature of Religion</w:t>
      </w:r>
      <w:r w:rsidR="00BD639F" w:rsidRPr="00D32EE4">
        <w:rPr>
          <w:color w:val="212529"/>
          <w:shd w:val="clear" w:color="auto" w:fill="FFFFFF"/>
        </w:rPr>
        <w:t xml:space="preserve">. Translated by Willard R. Trask. London:     Harcourt, Inc. (1957) </w:t>
      </w:r>
      <w:r w:rsidRPr="00D32EE4">
        <w:t>p. 11</w:t>
      </w:r>
    </w:p>
  </w:footnote>
  <w:footnote w:id="10">
    <w:p w14:paraId="37F40293" w14:textId="1951FFD0" w:rsidR="00972819" w:rsidRPr="005005BA" w:rsidRDefault="00972819" w:rsidP="005005BA">
      <w:pPr>
        <w:rPr>
          <w:color w:val="000000" w:themeColor="text1"/>
        </w:rPr>
      </w:pPr>
      <w:r>
        <w:rPr>
          <w:rStyle w:val="FootnoteReference"/>
        </w:rPr>
        <w:footnoteRef/>
      </w:r>
      <w:r>
        <w:t xml:space="preserve"> </w:t>
      </w:r>
      <w:bookmarkStart w:id="7" w:name="_Hlk39152092"/>
      <w:r w:rsidR="00CF0BBF" w:rsidRPr="00CF0BBF">
        <w:rPr>
          <w:rFonts w:ascii="Times New Roman" w:hAnsi="Times New Roman" w:cs="Times New Roman"/>
          <w:color w:val="000000" w:themeColor="text1"/>
          <w:sz w:val="20"/>
          <w:szCs w:val="20"/>
        </w:rPr>
        <w:t>Lucien</w:t>
      </w:r>
      <w:r w:rsidR="005005BA">
        <w:rPr>
          <w:rFonts w:ascii="Times New Roman" w:hAnsi="Times New Roman" w:cs="Times New Roman"/>
          <w:color w:val="000000" w:themeColor="text1"/>
          <w:sz w:val="20"/>
          <w:szCs w:val="20"/>
        </w:rPr>
        <w:t xml:space="preserve"> levy-Bruhl,</w:t>
      </w:r>
      <w:r w:rsidR="00CF0BBF" w:rsidRPr="00CF0BBF">
        <w:rPr>
          <w:rFonts w:ascii="Times New Roman" w:hAnsi="Times New Roman" w:cs="Times New Roman"/>
          <w:color w:val="000000" w:themeColor="text1"/>
          <w:sz w:val="20"/>
          <w:szCs w:val="20"/>
        </w:rPr>
        <w:t xml:space="preserve"> </w:t>
      </w:r>
      <w:r w:rsidR="00CF0BBF" w:rsidRPr="00CF0BBF">
        <w:rPr>
          <w:rFonts w:ascii="Times New Roman" w:hAnsi="Times New Roman" w:cs="Times New Roman"/>
          <w:i/>
          <w:iCs/>
          <w:color w:val="000000" w:themeColor="text1"/>
          <w:sz w:val="20"/>
          <w:szCs w:val="20"/>
        </w:rPr>
        <w:t>How Natives Think</w:t>
      </w:r>
      <w:r w:rsidR="00CF0BBF" w:rsidRPr="00CF0BBF">
        <w:rPr>
          <w:rFonts w:ascii="Times New Roman" w:hAnsi="Times New Roman" w:cs="Times New Roman"/>
          <w:color w:val="000000" w:themeColor="text1"/>
          <w:sz w:val="20"/>
          <w:szCs w:val="20"/>
        </w:rPr>
        <w:t>, trasn. Lililan A. Clare, (Washington Square Press Inc., 1966.)</w:t>
      </w:r>
      <w:r w:rsidR="00CF0BBF" w:rsidRPr="00324924">
        <w:rPr>
          <w:color w:val="000000" w:themeColor="text1"/>
        </w:rPr>
        <w:t xml:space="preserve"> </w:t>
      </w:r>
      <w:r w:rsidR="005005BA">
        <w:rPr>
          <w:color w:val="000000" w:themeColor="text1"/>
        </w:rPr>
        <w:t xml:space="preserve">p.xii </w:t>
      </w:r>
      <w:bookmarkEnd w:id="7"/>
    </w:p>
  </w:footnote>
  <w:footnote w:id="11">
    <w:p w14:paraId="0DC5BE4A" w14:textId="7EF57D7C" w:rsidR="00755BED" w:rsidRPr="00755BED" w:rsidRDefault="00755BED">
      <w:pPr>
        <w:pStyle w:val="FootnoteText"/>
        <w:rPr>
          <w:lang w:val="en-US"/>
        </w:rPr>
      </w:pPr>
      <w:r>
        <w:rPr>
          <w:rStyle w:val="FootnoteReference"/>
        </w:rPr>
        <w:footnoteRef/>
      </w:r>
      <w:r>
        <w:t xml:space="preserve"> </w:t>
      </w:r>
      <w:r w:rsidR="00E01B3C">
        <w:t>Levy-</w:t>
      </w:r>
      <w:r w:rsidR="005005BA">
        <w:t xml:space="preserve">Bruhl, </w:t>
      </w:r>
      <w:r w:rsidR="005005BA" w:rsidRPr="005005BA">
        <w:rPr>
          <w:i/>
          <w:iCs/>
        </w:rPr>
        <w:t>How Natives Think</w:t>
      </w:r>
      <w:r w:rsidR="005005BA">
        <w:t xml:space="preserve">, p. xii </w:t>
      </w:r>
    </w:p>
  </w:footnote>
  <w:footnote w:id="12">
    <w:p w14:paraId="698AC7F3" w14:textId="3666FA5C" w:rsidR="003935DF" w:rsidRPr="009D2A04" w:rsidRDefault="003935DF" w:rsidP="003E5B3E">
      <w:r>
        <w:rPr>
          <w:rStyle w:val="FootnoteReference"/>
        </w:rPr>
        <w:footnoteRef/>
      </w:r>
      <w:r>
        <w:t xml:space="preserve"> </w:t>
      </w:r>
      <w:r w:rsidR="003E5B3E" w:rsidRPr="00CF0BBF">
        <w:rPr>
          <w:rFonts w:ascii="Times New Roman" w:hAnsi="Times New Roman" w:cs="Times New Roman"/>
          <w:sz w:val="20"/>
          <w:szCs w:val="20"/>
        </w:rPr>
        <w:t xml:space="preserve">Christopher Tilly, </w:t>
      </w:r>
      <w:r w:rsidR="003E5B3E" w:rsidRPr="00CF0BBF">
        <w:rPr>
          <w:rFonts w:ascii="Times New Roman" w:hAnsi="Times New Roman" w:cs="Times New Roman"/>
          <w:i/>
          <w:iCs/>
          <w:sz w:val="20"/>
          <w:szCs w:val="20"/>
        </w:rPr>
        <w:t>A phenomenology of landscape: Places, paths, and monuments</w:t>
      </w:r>
      <w:r w:rsidR="003E5B3E" w:rsidRPr="00CF0BBF">
        <w:rPr>
          <w:rFonts w:ascii="Times New Roman" w:hAnsi="Times New Roman" w:cs="Times New Roman"/>
          <w:sz w:val="20"/>
          <w:szCs w:val="20"/>
        </w:rPr>
        <w:t>. (Oxford, U.K: Ber ,1994.) p.12</w:t>
      </w:r>
    </w:p>
  </w:footnote>
  <w:footnote w:id="13">
    <w:p w14:paraId="40700511" w14:textId="3CA8DDB7" w:rsidR="003935DF" w:rsidRPr="00771273" w:rsidRDefault="003935DF" w:rsidP="00D867AA">
      <w:pPr>
        <w:pStyle w:val="FootnoteText"/>
        <w:rPr>
          <w:lang w:val="en-US"/>
        </w:rPr>
      </w:pPr>
      <w:r>
        <w:rPr>
          <w:rStyle w:val="FootnoteReference"/>
        </w:rPr>
        <w:footnoteRef/>
      </w:r>
      <w:r>
        <w:t xml:space="preserve"> </w:t>
      </w:r>
      <w:r w:rsidR="00BD639F" w:rsidRPr="00BD639F">
        <w:t xml:space="preserve">Emile Durkheim, </w:t>
      </w:r>
      <w:r w:rsidR="00BD639F" w:rsidRPr="00BD639F">
        <w:rPr>
          <w:i/>
          <w:iCs/>
        </w:rPr>
        <w:t>The Elementary Forms of Religious Life</w:t>
      </w:r>
      <w:r w:rsidR="00BD639F" w:rsidRPr="00BD639F">
        <w:t xml:space="preserve">, trans. Karen E. Fields, (New York: The Free Press, 1995) </w:t>
      </w:r>
      <w:r>
        <w:t>p. xliv</w:t>
      </w:r>
    </w:p>
  </w:footnote>
  <w:footnote w:id="14">
    <w:p w14:paraId="247F313F" w14:textId="6E50D4F1" w:rsidR="003935DF" w:rsidRPr="00771273" w:rsidRDefault="003935DF" w:rsidP="00D867AA">
      <w:pPr>
        <w:pStyle w:val="FootnoteText"/>
        <w:rPr>
          <w:lang w:val="en-US"/>
        </w:rPr>
      </w:pPr>
      <w:r>
        <w:rPr>
          <w:rStyle w:val="FootnoteReference"/>
        </w:rPr>
        <w:footnoteRef/>
      </w:r>
      <w:r>
        <w:t xml:space="preserve"> </w:t>
      </w:r>
      <w:r w:rsidR="00BD639F" w:rsidRPr="00BD639F">
        <w:rPr>
          <w:color w:val="212529"/>
          <w:shd w:val="clear" w:color="auto" w:fill="FFFFFF"/>
        </w:rPr>
        <w:t>Eliade Mircea, The</w:t>
      </w:r>
      <w:r w:rsidR="00BD639F" w:rsidRPr="00BD639F">
        <w:rPr>
          <w:i/>
          <w:iCs/>
          <w:color w:val="212529"/>
          <w:shd w:val="clear" w:color="auto" w:fill="FFFFFF"/>
        </w:rPr>
        <w:t xml:space="preserve"> Sacred and the Profane, the Nature of Religion</w:t>
      </w:r>
      <w:r w:rsidR="00BD639F" w:rsidRPr="00BD639F">
        <w:rPr>
          <w:color w:val="212529"/>
          <w:shd w:val="clear" w:color="auto" w:fill="FFFFFF"/>
        </w:rPr>
        <w:t>. Trans</w:t>
      </w:r>
      <w:r w:rsidR="00E01B3C">
        <w:rPr>
          <w:color w:val="212529"/>
          <w:shd w:val="clear" w:color="auto" w:fill="FFFFFF"/>
        </w:rPr>
        <w:t>.</w:t>
      </w:r>
      <w:r w:rsidR="00BD639F" w:rsidRPr="00BD639F">
        <w:rPr>
          <w:color w:val="212529"/>
          <w:shd w:val="clear" w:color="auto" w:fill="FFFFFF"/>
        </w:rPr>
        <w:t xml:space="preserve"> Willard R. Trask. London: Harcourt, Inc. (1957) </w:t>
      </w:r>
      <w:r>
        <w:rPr>
          <w:lang w:val="en-US"/>
        </w:rPr>
        <w:t xml:space="preserve">p. 26 </w:t>
      </w:r>
    </w:p>
  </w:footnote>
  <w:footnote w:id="15">
    <w:p w14:paraId="26D10B31" w14:textId="3E1D6C2C" w:rsidR="00E01B3C" w:rsidRPr="00E01B3C" w:rsidRDefault="00E01B3C">
      <w:pPr>
        <w:pStyle w:val="FootnoteText"/>
        <w:rPr>
          <w:lang w:val="en-US"/>
        </w:rPr>
      </w:pPr>
      <w:r>
        <w:rPr>
          <w:rStyle w:val="FootnoteReference"/>
        </w:rPr>
        <w:footnoteRef/>
      </w:r>
      <w:r>
        <w:t xml:space="preserve"> </w:t>
      </w:r>
      <w:r w:rsidRPr="00E01B3C">
        <w:t xml:space="preserve">Lucien  Lévy-Bruhl, </w:t>
      </w:r>
      <w:r w:rsidRPr="00E01B3C">
        <w:rPr>
          <w:i/>
          <w:iCs/>
        </w:rPr>
        <w:t>The notebooks on primitive mentality</w:t>
      </w:r>
      <w:r w:rsidRPr="00E01B3C">
        <w:t xml:space="preserve"> trans. Peter Riviera (San Francisco: Harper &amp; Row Publishers, 1975) p. 62</w:t>
      </w:r>
    </w:p>
  </w:footnote>
  <w:footnote w:id="16">
    <w:p w14:paraId="1CC29741" w14:textId="6378F950" w:rsidR="00957E10" w:rsidRPr="00FE0098" w:rsidRDefault="00957E10" w:rsidP="00FE0098">
      <w:pPr>
        <w:rPr>
          <w:rFonts w:ascii="Times New Roman" w:hAnsi="Times New Roman" w:cs="Times New Roman"/>
          <w:color w:val="000000" w:themeColor="text1"/>
          <w:sz w:val="20"/>
          <w:szCs w:val="20"/>
        </w:rPr>
      </w:pPr>
      <w:r>
        <w:rPr>
          <w:rStyle w:val="FootnoteReference"/>
        </w:rPr>
        <w:footnoteRef/>
      </w:r>
      <w:r>
        <w:t xml:space="preserve"> </w:t>
      </w:r>
      <w:r w:rsidRPr="00957E10">
        <w:rPr>
          <w:rFonts w:ascii="Times New Roman" w:hAnsi="Times New Roman" w:cs="Times New Roman"/>
          <w:sz w:val="20"/>
          <w:szCs w:val="20"/>
        </w:rPr>
        <w:t xml:space="preserve">Belden C. Lane, </w:t>
      </w:r>
      <w:r w:rsidRPr="00957E10">
        <w:rPr>
          <w:rFonts w:ascii="Times New Roman" w:hAnsi="Times New Roman" w:cs="Times New Roman"/>
          <w:i/>
          <w:iCs/>
          <w:sz w:val="20"/>
          <w:szCs w:val="20"/>
        </w:rPr>
        <w:t>Landscapes of the Sacred: Geography and Narrative in American Spirituality</w:t>
      </w:r>
      <w:r w:rsidRPr="00957E10">
        <w:rPr>
          <w:rFonts w:ascii="Times New Roman" w:hAnsi="Times New Roman" w:cs="Times New Roman"/>
          <w:sz w:val="20"/>
          <w:szCs w:val="20"/>
        </w:rPr>
        <w:t>. (Baltimore and London, Johns Hopkins University Press, 2001).</w:t>
      </w:r>
    </w:p>
  </w:footnote>
  <w:footnote w:id="17">
    <w:p w14:paraId="1A34AC1E" w14:textId="3136311C" w:rsidR="003935DF" w:rsidRPr="003F09D5" w:rsidRDefault="003935DF">
      <w:pPr>
        <w:pStyle w:val="FootnoteText"/>
        <w:rPr>
          <w:lang w:val="en-US"/>
        </w:rPr>
      </w:pPr>
      <w:r>
        <w:rPr>
          <w:rStyle w:val="FootnoteReference"/>
        </w:rPr>
        <w:footnoteRef/>
      </w:r>
      <w:r w:rsidR="00BD639F">
        <w:t xml:space="preserve"> Christiane Gaugier, </w:t>
      </w:r>
      <w:r w:rsidR="00BD639F" w:rsidRPr="00CC2A5F">
        <w:rPr>
          <w:i/>
          <w:iCs/>
        </w:rPr>
        <w:t>The iconography of Sacred Space</w:t>
      </w:r>
      <w:r w:rsidR="00BD639F">
        <w:t xml:space="preserve"> (IRSA </w:t>
      </w:r>
      <w:proofErr w:type="spellStart"/>
      <w:r w:rsidR="00BD639F">
        <w:t>s.c</w:t>
      </w:r>
      <w:proofErr w:type="spellEnd"/>
      <w:r w:rsidR="00BD639F">
        <w:t>,), p.21</w:t>
      </w:r>
    </w:p>
  </w:footnote>
  <w:footnote w:id="18">
    <w:p w14:paraId="71BBA8AD" w14:textId="6A289243" w:rsidR="003935DF" w:rsidRPr="003F09D5" w:rsidRDefault="003935DF">
      <w:pPr>
        <w:pStyle w:val="FootnoteText"/>
        <w:rPr>
          <w:lang w:val="en-US"/>
        </w:rPr>
      </w:pPr>
      <w:r>
        <w:rPr>
          <w:rStyle w:val="FootnoteReference"/>
        </w:rPr>
        <w:footnoteRef/>
      </w:r>
      <w:r>
        <w:t xml:space="preserve"> </w:t>
      </w:r>
      <w:r w:rsidR="00BD639F">
        <w:t xml:space="preserve">Gaugier, </w:t>
      </w:r>
      <w:r w:rsidR="00BD639F" w:rsidRPr="00CC2A5F">
        <w:rPr>
          <w:i/>
          <w:iCs/>
        </w:rPr>
        <w:t>The iconography of Sacred Spac</w:t>
      </w:r>
      <w:r w:rsidR="00BD639F">
        <w:rPr>
          <w:i/>
          <w:iCs/>
        </w:rPr>
        <w:t xml:space="preserve">e, </w:t>
      </w:r>
      <w:r>
        <w:rPr>
          <w:lang w:val="en-US"/>
        </w:rPr>
        <w:t>p.29</w:t>
      </w:r>
    </w:p>
  </w:footnote>
  <w:footnote w:id="19">
    <w:p w14:paraId="4742F460" w14:textId="21C49F9A" w:rsidR="003935DF" w:rsidRPr="004921BE" w:rsidRDefault="003935DF">
      <w:pPr>
        <w:pStyle w:val="FootnoteText"/>
        <w:rPr>
          <w:lang w:val="en-US"/>
        </w:rPr>
      </w:pPr>
      <w:r>
        <w:rPr>
          <w:rStyle w:val="FootnoteReference"/>
        </w:rPr>
        <w:footnoteRef/>
      </w:r>
      <w:r>
        <w:t xml:space="preserve"> </w:t>
      </w:r>
      <w:r w:rsidR="00BD639F" w:rsidRPr="00BD639F">
        <w:t xml:space="preserve">Emile Durkheim, </w:t>
      </w:r>
      <w:r w:rsidR="00BD639F" w:rsidRPr="00BD639F">
        <w:rPr>
          <w:i/>
          <w:iCs/>
        </w:rPr>
        <w:t>The Elementary Forms of Religious Life</w:t>
      </w:r>
      <w:r w:rsidR="00BD639F" w:rsidRPr="00BD639F">
        <w:t xml:space="preserve">, trans. Karen E. Fields, (New York: The Free Press, 1995) </w:t>
      </w:r>
      <w:r>
        <w:t>p. xliv</w:t>
      </w:r>
    </w:p>
  </w:footnote>
  <w:footnote w:id="20">
    <w:p w14:paraId="4E29F35E" w14:textId="28699FEA" w:rsidR="00A80BE0" w:rsidRPr="00A80BE0" w:rsidRDefault="00A80BE0">
      <w:pPr>
        <w:pStyle w:val="FootnoteText"/>
        <w:rPr>
          <w:lang w:val="en-US"/>
        </w:rPr>
      </w:pPr>
      <w:r>
        <w:rPr>
          <w:rStyle w:val="FootnoteReference"/>
        </w:rPr>
        <w:footnoteRef/>
      </w:r>
      <w:r>
        <w:t xml:space="preserve"> </w:t>
      </w:r>
      <w:r w:rsidRPr="00A80BE0">
        <w:t xml:space="preserve">Lucien levy-Bruhl, </w:t>
      </w:r>
      <w:r w:rsidRPr="00E01B3C">
        <w:rPr>
          <w:i/>
          <w:iCs/>
        </w:rPr>
        <w:t>How Natives Think</w:t>
      </w:r>
      <w:r w:rsidRPr="00A80BE0">
        <w:t>, trans. Lililan A. Clare, (Washington Square Press Inc., 1966.) p.</w:t>
      </w:r>
      <w:r>
        <w:t>3</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D465EA1"/>
    <w:multiLevelType w:val="hybridMultilevel"/>
    <w:tmpl w:val="4686EB18"/>
    <w:lvl w:ilvl="0" w:tplc="9B021E4C">
      <w:start w:val="1"/>
      <w:numFmt w:val="bullet"/>
      <w:lvlText w:val=""/>
      <w:lvlJc w:val="left"/>
      <w:pPr>
        <w:ind w:left="1080" w:hanging="360"/>
      </w:pPr>
      <w:rPr>
        <w:rFonts w:ascii="Symbol" w:hAnsi="Symbol" w:hint="default"/>
        <w:color w:val="BF8F00" w:themeColor="accent4" w:themeShade="BF"/>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C130670"/>
    <w:multiLevelType w:val="hybridMultilevel"/>
    <w:tmpl w:val="C178CA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A7D6011"/>
    <w:multiLevelType w:val="hybridMultilevel"/>
    <w:tmpl w:val="EC2AC9A8"/>
    <w:lvl w:ilvl="0" w:tplc="1AD4B3F2">
      <w:start w:val="1"/>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76D8"/>
    <w:rsid w:val="000120E9"/>
    <w:rsid w:val="00037FBA"/>
    <w:rsid w:val="000436BA"/>
    <w:rsid w:val="000C65AC"/>
    <w:rsid w:val="000D5323"/>
    <w:rsid w:val="001058A1"/>
    <w:rsid w:val="0011494B"/>
    <w:rsid w:val="00134A5B"/>
    <w:rsid w:val="00156DEF"/>
    <w:rsid w:val="001713DA"/>
    <w:rsid w:val="001A0F5B"/>
    <w:rsid w:val="001C0DED"/>
    <w:rsid w:val="001D031F"/>
    <w:rsid w:val="00247857"/>
    <w:rsid w:val="00274D7A"/>
    <w:rsid w:val="002A6F79"/>
    <w:rsid w:val="002B2E7A"/>
    <w:rsid w:val="002B5AEA"/>
    <w:rsid w:val="002E76D8"/>
    <w:rsid w:val="00324924"/>
    <w:rsid w:val="00342226"/>
    <w:rsid w:val="00346702"/>
    <w:rsid w:val="003935DF"/>
    <w:rsid w:val="003B5A45"/>
    <w:rsid w:val="003C168D"/>
    <w:rsid w:val="003E2D7C"/>
    <w:rsid w:val="003E5B3E"/>
    <w:rsid w:val="003F09D5"/>
    <w:rsid w:val="004146B6"/>
    <w:rsid w:val="0044030B"/>
    <w:rsid w:val="00446AEC"/>
    <w:rsid w:val="00457165"/>
    <w:rsid w:val="00481D04"/>
    <w:rsid w:val="004921BE"/>
    <w:rsid w:val="004D0E56"/>
    <w:rsid w:val="004D4CA0"/>
    <w:rsid w:val="005005BA"/>
    <w:rsid w:val="00501FB3"/>
    <w:rsid w:val="0052089A"/>
    <w:rsid w:val="0052245F"/>
    <w:rsid w:val="005248A7"/>
    <w:rsid w:val="0054767E"/>
    <w:rsid w:val="00574113"/>
    <w:rsid w:val="00591706"/>
    <w:rsid w:val="005D7371"/>
    <w:rsid w:val="005F4148"/>
    <w:rsid w:val="007001C0"/>
    <w:rsid w:val="00732EEF"/>
    <w:rsid w:val="00746334"/>
    <w:rsid w:val="00755BED"/>
    <w:rsid w:val="00763B02"/>
    <w:rsid w:val="00771273"/>
    <w:rsid w:val="00792AA9"/>
    <w:rsid w:val="007A4DE1"/>
    <w:rsid w:val="007F099E"/>
    <w:rsid w:val="00814DDA"/>
    <w:rsid w:val="008972F1"/>
    <w:rsid w:val="008D3B1D"/>
    <w:rsid w:val="009137DF"/>
    <w:rsid w:val="00957E10"/>
    <w:rsid w:val="00972819"/>
    <w:rsid w:val="00983B3C"/>
    <w:rsid w:val="00992E3D"/>
    <w:rsid w:val="009A5994"/>
    <w:rsid w:val="009C36F0"/>
    <w:rsid w:val="009C59D9"/>
    <w:rsid w:val="009D2A04"/>
    <w:rsid w:val="009D600B"/>
    <w:rsid w:val="00A14C60"/>
    <w:rsid w:val="00A27087"/>
    <w:rsid w:val="00A65DCB"/>
    <w:rsid w:val="00A72DE2"/>
    <w:rsid w:val="00A80BE0"/>
    <w:rsid w:val="00A84E48"/>
    <w:rsid w:val="00A923A0"/>
    <w:rsid w:val="00AB1B3B"/>
    <w:rsid w:val="00AD38BD"/>
    <w:rsid w:val="00B10A16"/>
    <w:rsid w:val="00B37045"/>
    <w:rsid w:val="00B37C2F"/>
    <w:rsid w:val="00B44D72"/>
    <w:rsid w:val="00B90B32"/>
    <w:rsid w:val="00BD639F"/>
    <w:rsid w:val="00C440A4"/>
    <w:rsid w:val="00C517B3"/>
    <w:rsid w:val="00C51E3A"/>
    <w:rsid w:val="00C66CD6"/>
    <w:rsid w:val="00C7477D"/>
    <w:rsid w:val="00C80D90"/>
    <w:rsid w:val="00CA6D0B"/>
    <w:rsid w:val="00CC2A5F"/>
    <w:rsid w:val="00CE3312"/>
    <w:rsid w:val="00CE6653"/>
    <w:rsid w:val="00CF0BBF"/>
    <w:rsid w:val="00D27FAE"/>
    <w:rsid w:val="00D32EE4"/>
    <w:rsid w:val="00D52C16"/>
    <w:rsid w:val="00D565DA"/>
    <w:rsid w:val="00D867AA"/>
    <w:rsid w:val="00DB6A7A"/>
    <w:rsid w:val="00DE2819"/>
    <w:rsid w:val="00E01B3C"/>
    <w:rsid w:val="00E0694A"/>
    <w:rsid w:val="00E236E4"/>
    <w:rsid w:val="00E335EF"/>
    <w:rsid w:val="00E4543C"/>
    <w:rsid w:val="00E63FEF"/>
    <w:rsid w:val="00E74F1B"/>
    <w:rsid w:val="00E8523E"/>
    <w:rsid w:val="00EA3EFD"/>
    <w:rsid w:val="00EE2A4B"/>
    <w:rsid w:val="00EF60F3"/>
    <w:rsid w:val="00F32E84"/>
    <w:rsid w:val="00F51012"/>
    <w:rsid w:val="00F52869"/>
    <w:rsid w:val="00F63F20"/>
    <w:rsid w:val="00FA3545"/>
    <w:rsid w:val="00FD6AE5"/>
    <w:rsid w:val="00FE009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E832EF5"/>
  <w15:chartTrackingRefBased/>
  <w15:docId w15:val="{D883642F-4C4D-4A91-9BD5-6C92410B33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semiHidden/>
    <w:unhideWhenUsed/>
    <w:qFormat/>
    <w:rsid w:val="0011494B"/>
    <w:pPr>
      <w:keepNext/>
      <w:spacing w:after="0" w:line="240" w:lineRule="auto"/>
      <w:ind w:left="720"/>
      <w:jc w:val="both"/>
      <w:outlineLvl w:val="2"/>
    </w:pPr>
    <w:rPr>
      <w:rFonts w:ascii="Tahoma" w:eastAsia="Times New Roman" w:hAnsi="Tahoma" w:cs="Tahoma"/>
      <w:b/>
      <w:bCs/>
      <w:sz w:val="20"/>
      <w:szCs w:val="20"/>
      <w:lang w:val="en-GB"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semiHidden/>
    <w:rsid w:val="002E76D8"/>
    <w:pPr>
      <w:spacing w:after="0" w:line="240" w:lineRule="auto"/>
    </w:pPr>
    <w:rPr>
      <w:rFonts w:ascii="Times New Roman" w:eastAsia="Times New Roman" w:hAnsi="Times New Roman" w:cs="Times New Roman"/>
      <w:sz w:val="20"/>
      <w:szCs w:val="20"/>
      <w:lang w:val="en-GB"/>
    </w:rPr>
  </w:style>
  <w:style w:type="character" w:customStyle="1" w:styleId="FootnoteTextChar">
    <w:name w:val="Footnote Text Char"/>
    <w:basedOn w:val="DefaultParagraphFont"/>
    <w:link w:val="FootnoteText"/>
    <w:semiHidden/>
    <w:rsid w:val="002E76D8"/>
    <w:rPr>
      <w:rFonts w:ascii="Times New Roman" w:eastAsia="Times New Roman" w:hAnsi="Times New Roman" w:cs="Times New Roman"/>
      <w:sz w:val="20"/>
      <w:szCs w:val="20"/>
      <w:lang w:val="en-GB"/>
    </w:rPr>
  </w:style>
  <w:style w:type="character" w:styleId="FootnoteReference">
    <w:name w:val="footnote reference"/>
    <w:semiHidden/>
    <w:rsid w:val="002E76D8"/>
    <w:rPr>
      <w:vertAlign w:val="superscript"/>
    </w:rPr>
  </w:style>
  <w:style w:type="paragraph" w:styleId="ListParagraph">
    <w:name w:val="List Paragraph"/>
    <w:basedOn w:val="Normal"/>
    <w:uiPriority w:val="34"/>
    <w:qFormat/>
    <w:rsid w:val="00037FBA"/>
    <w:pPr>
      <w:ind w:left="720"/>
      <w:contextualSpacing/>
    </w:pPr>
  </w:style>
  <w:style w:type="paragraph" w:styleId="EndnoteText">
    <w:name w:val="endnote text"/>
    <w:basedOn w:val="Normal"/>
    <w:link w:val="EndnoteTextChar"/>
    <w:uiPriority w:val="99"/>
    <w:unhideWhenUsed/>
    <w:rsid w:val="00C66CD6"/>
    <w:pPr>
      <w:spacing w:after="0" w:line="240" w:lineRule="auto"/>
    </w:pPr>
    <w:rPr>
      <w:sz w:val="20"/>
      <w:szCs w:val="20"/>
    </w:rPr>
  </w:style>
  <w:style w:type="character" w:customStyle="1" w:styleId="EndnoteTextChar">
    <w:name w:val="Endnote Text Char"/>
    <w:basedOn w:val="DefaultParagraphFont"/>
    <w:link w:val="EndnoteText"/>
    <w:uiPriority w:val="99"/>
    <w:rsid w:val="00C66CD6"/>
    <w:rPr>
      <w:sz w:val="20"/>
      <w:szCs w:val="20"/>
    </w:rPr>
  </w:style>
  <w:style w:type="character" w:styleId="EndnoteReference">
    <w:name w:val="endnote reference"/>
    <w:basedOn w:val="DefaultParagraphFont"/>
    <w:uiPriority w:val="99"/>
    <w:semiHidden/>
    <w:unhideWhenUsed/>
    <w:rsid w:val="007001C0"/>
    <w:rPr>
      <w:vertAlign w:val="superscript"/>
    </w:rPr>
  </w:style>
  <w:style w:type="paragraph" w:styleId="Caption">
    <w:name w:val="caption"/>
    <w:basedOn w:val="Normal"/>
    <w:next w:val="Normal"/>
    <w:uiPriority w:val="35"/>
    <w:unhideWhenUsed/>
    <w:qFormat/>
    <w:rsid w:val="008D3B1D"/>
    <w:pPr>
      <w:spacing w:after="200" w:line="240" w:lineRule="auto"/>
    </w:pPr>
    <w:rPr>
      <w:i/>
      <w:iCs/>
      <w:color w:val="44546A" w:themeColor="text2"/>
      <w:sz w:val="18"/>
      <w:szCs w:val="18"/>
    </w:rPr>
  </w:style>
  <w:style w:type="character" w:customStyle="1" w:styleId="Heading3Char">
    <w:name w:val="Heading 3 Char"/>
    <w:basedOn w:val="DefaultParagraphFont"/>
    <w:link w:val="Heading3"/>
    <w:semiHidden/>
    <w:rsid w:val="0011494B"/>
    <w:rPr>
      <w:rFonts w:ascii="Tahoma" w:eastAsia="Times New Roman" w:hAnsi="Tahoma" w:cs="Tahoma"/>
      <w:b/>
      <w:bCs/>
      <w:sz w:val="20"/>
      <w:szCs w:val="20"/>
      <w:lang w:val="en-GB" w:eastAsia="zh-CN"/>
    </w:rPr>
  </w:style>
  <w:style w:type="paragraph" w:styleId="NormalWeb">
    <w:name w:val="Normal (Web)"/>
    <w:basedOn w:val="Normal"/>
    <w:semiHidden/>
    <w:unhideWhenUsed/>
    <w:rsid w:val="0011494B"/>
    <w:pPr>
      <w:spacing w:before="100" w:beforeAutospacing="1" w:after="100" w:afterAutospacing="1" w:line="240" w:lineRule="auto"/>
    </w:pPr>
    <w:rPr>
      <w:rFonts w:ascii="Georgia" w:eastAsia="SimSun" w:hAnsi="Georgia" w:cs="Times New Roman"/>
      <w:color w:val="000000"/>
      <w:sz w:val="21"/>
      <w:szCs w:val="21"/>
      <w:lang w:val="en-GB"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199056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4711096-9B49-496E-9AF0-CA51351C3B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4288</Words>
  <Characters>20974</Characters>
  <Application>Microsoft Office Word</Application>
  <DocSecurity>0</DocSecurity>
  <Lines>299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 bizri</dc:creator>
  <cp:keywords/>
  <dc:description/>
  <cp:lastModifiedBy>Sara El Bizri</cp:lastModifiedBy>
  <cp:revision>2</cp:revision>
  <dcterms:created xsi:type="dcterms:W3CDTF">2020-05-01T08:54:00Z</dcterms:created>
  <dcterms:modified xsi:type="dcterms:W3CDTF">2020-05-01T08:54:00Z</dcterms:modified>
</cp:coreProperties>
</file>