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spacing w:line="480" w:lineRule="auto"/>
        <w:rPr>
          <w:rFonts w:ascii="Georgia" w:cs="Georgia" w:hAnsi="Georgia" w:eastAsia="Georgia"/>
          <w:b w:val="1"/>
          <w:bCs w:val="1"/>
          <w:color w:val="000000"/>
          <w:sz w:val="21"/>
          <w:szCs w:val="21"/>
          <w:u w:val="none" w:color="000000"/>
        </w:rPr>
      </w:pPr>
      <w:r>
        <w:rPr>
          <w:rFonts w:ascii="Georgia" w:cs="Georgia" w:hAnsi="Georgia" w:eastAsia="Georgia"/>
          <w:b w:val="1"/>
          <w:bCs w:val="1"/>
          <w:color w:val="000000"/>
          <w:sz w:val="21"/>
          <w:szCs w:val="21"/>
          <w:u w:val="none" w:color="000000"/>
          <w:lang w:val="en-US"/>
        </w:rPr>
        <w:drawing>
          <wp:inline distT="0" distB="0" distL="0" distR="0">
            <wp:extent cx="2058006" cy="856908"/>
            <wp:effectExtent l="0" t="0" r="0" b="0"/>
            <wp:docPr id="1073741825" name="officeArt object" descr="C:\Users\ablettm\AppData\Local\Microsoft\Windows\Temporary Internet Files\Content.Outlook\R41HOZLM\UWTSD Logo.jpg"/>
            <wp:cNvGraphicFramePr/>
            <a:graphic xmlns:a="http://schemas.openxmlformats.org/drawingml/2006/main">
              <a:graphicData uri="http://schemas.openxmlformats.org/drawingml/2006/picture">
                <pic:pic xmlns:pic="http://schemas.openxmlformats.org/drawingml/2006/picture">
                  <pic:nvPicPr>
                    <pic:cNvPr id="1073741825" name="C:\Users\ablettm\AppData\Local\Microsoft\Windows\Temporary Internet Files\Content.Outlook\R41HOZLM\UWTSD Logo.jpg" descr="C:\Users\ablettm\AppData\Local\Microsoft\Windows\Temporary Internet Files\Content.Outlook\R41HOZLM\UWTSD Logo.jpg"/>
                    <pic:cNvPicPr>
                      <a:picLocks noChangeAspect="1"/>
                    </pic:cNvPicPr>
                  </pic:nvPicPr>
                  <pic:blipFill>
                    <a:blip r:embed="rId4">
                      <a:extLst/>
                    </a:blip>
                    <a:stretch>
                      <a:fillRect/>
                    </a:stretch>
                  </pic:blipFill>
                  <pic:spPr>
                    <a:xfrm>
                      <a:off x="0" y="0"/>
                      <a:ext cx="2058006" cy="856908"/>
                    </a:xfrm>
                    <a:prstGeom prst="rect">
                      <a:avLst/>
                    </a:prstGeom>
                    <a:ln w="12700" cap="flat">
                      <a:noFill/>
                      <a:miter lim="400000"/>
                    </a:ln>
                    <a:effectLst/>
                  </pic:spPr>
                </pic:pic>
              </a:graphicData>
            </a:graphic>
          </wp:inline>
        </w:drawing>
      </w:r>
    </w:p>
    <w:p>
      <w:pPr>
        <w:pStyle w:val="Default"/>
        <w:spacing w:line="480" w:lineRule="auto"/>
        <w:rPr>
          <w:rFonts w:ascii="Helvetica" w:cs="Helvetica" w:hAnsi="Helvetica" w:eastAsia="Helvetica"/>
          <w:b w:val="1"/>
          <w:bCs w:val="1"/>
          <w:color w:val="202020"/>
          <w:sz w:val="36"/>
          <w:szCs w:val="36"/>
          <w:u w:val="single" w:color="202020"/>
        </w:rPr>
      </w:pPr>
    </w:p>
    <w:p>
      <w:pPr>
        <w:pStyle w:val="Default"/>
        <w:jc w:val="center"/>
        <w:rPr>
          <w:rFonts w:ascii="Times New Roman" w:cs="Times New Roman" w:hAnsi="Times New Roman" w:eastAsia="Times New Roman"/>
          <w:sz w:val="24"/>
          <w:szCs w:val="24"/>
          <w:u w:color="000000"/>
        </w:rPr>
      </w:pPr>
    </w:p>
    <w:p>
      <w:pPr>
        <w:pStyle w:val="Default"/>
        <w:jc w:val="center"/>
        <w:rPr>
          <w:rFonts w:ascii="Times New Roman" w:cs="Times New Roman" w:hAnsi="Times New Roman" w:eastAsia="Times New Roman"/>
          <w:sz w:val="24"/>
          <w:szCs w:val="24"/>
          <w:u w:color="000000"/>
        </w:rPr>
      </w:pPr>
    </w:p>
    <w:p>
      <w:pPr>
        <w:pStyle w:val="Default"/>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 xml:space="preserve">Postgraduate/Distance Learning </w:t>
      </w:r>
    </w:p>
    <w:p>
      <w:pPr>
        <w:pStyle w:val="Default"/>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Assignment coversheet and feedback form</w:t>
      </w:r>
    </w:p>
    <w:p>
      <w:pPr>
        <w:pStyle w:val="Default"/>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lang w:val="en-US"/>
        </w:rPr>
      </w:pPr>
    </w:p>
    <w:p>
      <w:pPr>
        <w:pStyle w:val="Default"/>
        <w:jc w:val="center"/>
      </w:pPr>
    </w:p>
    <w:tbl>
      <w:tblPr>
        <w:tblW w:w="8856" w:type="dxa"/>
        <w:jc w:val="left"/>
        <w:tblInd w:w="54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788"/>
        <w:gridCol w:w="2265"/>
        <w:gridCol w:w="1803"/>
      </w:tblGrid>
      <w:tr>
        <w:tblPrEx>
          <w:shd w:val="clear" w:color="auto" w:fill="cadfff"/>
        </w:tblPrEx>
        <w:trPr>
          <w:trHeight w:val="524"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ind w:right="34"/>
            </w:pPr>
            <w:r>
              <w:rPr>
                <w:rFonts w:ascii="Arial" w:hAnsi="Arial"/>
                <w:b w:val="1"/>
                <w:bCs w:val="1"/>
                <w:rtl w:val="0"/>
                <w:lang w:val="en-US"/>
              </w:rPr>
              <w:t>For completion by the student</w:t>
            </w:r>
            <w:r>
              <w:rPr>
                <w:rFonts w:ascii="Arial" w:hAnsi="Arial"/>
                <w:rtl w:val="0"/>
                <w:lang w:val="en-US"/>
              </w:rPr>
              <w:t>:</w:t>
            </w:r>
          </w:p>
        </w:tc>
      </w:tr>
      <w:tr>
        <w:tblPrEx>
          <w:shd w:val="clear" w:color="auto" w:fill="cadfff"/>
        </w:tblPrEx>
        <w:trPr>
          <w:trHeight w:val="628"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ind w:right="34"/>
            </w:pPr>
            <w:r>
              <w:rPr>
                <w:rFonts w:ascii="Arial" w:hAnsi="Arial"/>
                <w:rtl w:val="0"/>
                <w:lang w:val="en-US"/>
              </w:rPr>
              <w:t>Student Name: P MARGAND</w:t>
            </w:r>
          </w:p>
        </w:tc>
      </w:tr>
      <w:tr>
        <w:tblPrEx>
          <w:shd w:val="clear" w:color="auto" w:fill="cadfff"/>
        </w:tblPrEx>
        <w:trPr>
          <w:trHeight w:val="151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ind w:right="34"/>
              <w:rPr>
                <w:rFonts w:ascii="Arial" w:cs="Arial" w:hAnsi="Arial" w:eastAsia="Arial"/>
              </w:rPr>
            </w:pPr>
            <w:r>
              <w:rPr>
                <w:rFonts w:ascii="Arial" w:hAnsi="Arial"/>
                <w:rtl w:val="0"/>
                <w:lang w:val="en-US"/>
              </w:rPr>
              <w:t>Module code: CSEN7021</w:t>
            </w:r>
          </w:p>
          <w:p>
            <w:pPr>
              <w:pStyle w:val="Default"/>
              <w:ind w:right="34"/>
              <w:rPr>
                <w:rFonts w:ascii="Arial" w:cs="Arial" w:hAnsi="Arial" w:eastAsia="Arial"/>
                <w:lang w:val="en-US"/>
              </w:rPr>
            </w:pPr>
          </w:p>
          <w:p>
            <w:pPr>
              <w:pStyle w:val="Default"/>
              <w:bidi w:val="0"/>
              <w:ind w:left="0" w:right="34" w:firstLine="0"/>
              <w:jc w:val="left"/>
              <w:rPr>
                <w:rFonts w:ascii="Arial" w:cs="Arial" w:hAnsi="Arial" w:eastAsia="Arial"/>
                <w:rtl w:val="0"/>
              </w:rPr>
            </w:pPr>
            <w:r>
              <w:rPr>
                <w:rFonts w:ascii="Arial" w:hAnsi="Arial"/>
                <w:rtl w:val="0"/>
                <w:lang w:val="en-US"/>
              </w:rPr>
              <w:t>Module title:</w:t>
            </w:r>
          </w:p>
          <w:p>
            <w:pPr>
              <w:pStyle w:val="Default"/>
              <w:bidi w:val="0"/>
              <w:ind w:left="0" w:right="34" w:firstLine="0"/>
              <w:jc w:val="left"/>
              <w:rPr>
                <w:rtl w:val="0"/>
              </w:rPr>
            </w:pPr>
            <w:r>
              <w:rPr>
                <w:rFonts w:ascii="Arial" w:hAnsi="Arial"/>
                <w:rtl w:val="0"/>
                <w:lang w:val="en-US"/>
              </w:rPr>
              <w:t>THE SHOCK OF THE NEW: FROM MODERNISM TO POSTMODERNISM</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ind w:right="34"/>
              <w:rPr>
                <w:rFonts w:ascii="Arial" w:cs="Arial" w:hAnsi="Arial" w:eastAsia="Arial"/>
              </w:rPr>
            </w:pPr>
            <w:r>
              <w:rPr>
                <w:rFonts w:ascii="Arial" w:hAnsi="Arial"/>
                <w:rtl w:val="0"/>
                <w:lang w:val="en-US"/>
              </w:rPr>
              <w:t>Student ID number:</w:t>
            </w:r>
          </w:p>
          <w:p>
            <w:pPr>
              <w:pStyle w:val="Default"/>
              <w:bidi w:val="0"/>
              <w:ind w:left="0" w:right="34" w:firstLine="0"/>
              <w:jc w:val="left"/>
              <w:rPr>
                <w:rtl w:val="0"/>
              </w:rPr>
            </w:pPr>
            <w:r>
              <w:rPr>
                <w:rFonts w:ascii="Arial" w:hAnsi="Arial"/>
                <w:rtl w:val="0"/>
                <w:lang w:val="en-US"/>
              </w:rPr>
              <w:t>1303265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ind w:right="34"/>
              <w:rPr>
                <w:rFonts w:ascii="Arial" w:cs="Arial" w:hAnsi="Arial" w:eastAsia="Arial"/>
              </w:rPr>
            </w:pPr>
            <w:r>
              <w:rPr>
                <w:rFonts w:ascii="Arial" w:hAnsi="Arial"/>
                <w:rtl w:val="0"/>
                <w:lang w:val="en-US"/>
              </w:rPr>
              <w:t>Educational support needs:</w:t>
            </w:r>
          </w:p>
          <w:p>
            <w:pPr>
              <w:pStyle w:val="Default"/>
              <w:bidi w:val="0"/>
              <w:ind w:left="0" w:right="34" w:firstLine="0"/>
              <w:jc w:val="left"/>
              <w:rPr>
                <w:rtl w:val="0"/>
              </w:rPr>
            </w:pPr>
            <w:r>
              <w:rPr>
                <w:rFonts w:ascii="Arial" w:hAnsi="Arial"/>
                <w:rtl w:val="0"/>
                <w:lang w:val="en-US"/>
              </w:rPr>
              <w:t>No</w:t>
            </w:r>
          </w:p>
        </w:tc>
      </w:tr>
      <w:tr>
        <w:tblPrEx>
          <w:shd w:val="clear" w:color="auto" w:fill="cadfff"/>
        </w:tblPrEx>
        <w:trPr>
          <w:trHeight w:val="1049"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ind w:right="34"/>
              <w:rPr>
                <w:rFonts w:ascii="Arial" w:cs="Arial" w:hAnsi="Arial" w:eastAsia="Arial"/>
              </w:rPr>
            </w:pPr>
            <w:r>
              <w:rPr>
                <w:rFonts w:ascii="Arial" w:hAnsi="Arial"/>
                <w:rtl w:val="0"/>
                <w:lang w:val="en-US"/>
              </w:rPr>
              <w:t>Module tutor: JENI WILLIAMS</w:t>
            </w:r>
          </w:p>
          <w:p>
            <w:pPr>
              <w:pStyle w:val="Default"/>
              <w:ind w:right="34"/>
              <w:rPr>
                <w:rFonts w:ascii="Arial" w:cs="Arial" w:hAnsi="Arial" w:eastAsia="Arial"/>
                <w:lang w:val="en-US"/>
              </w:rPr>
            </w:pPr>
          </w:p>
          <w:p>
            <w:pPr>
              <w:pStyle w:val="Default"/>
              <w:ind w:right="34"/>
              <w:rPr>
                <w:rFonts w:ascii="Arial" w:cs="Arial" w:hAnsi="Arial" w:eastAsia="Arial"/>
                <w:lang w:val="en-US"/>
              </w:rPr>
            </w:pPr>
          </w:p>
          <w:p>
            <w:pPr>
              <w:pStyle w:val="Default"/>
              <w:bidi w:val="0"/>
              <w:ind w:left="0" w:right="34" w:firstLine="0"/>
              <w:jc w:val="left"/>
              <w:rPr>
                <w:rtl w:val="0"/>
              </w:rPr>
            </w:pPr>
            <w:r>
              <w:rPr>
                <w:rFonts w:ascii="Arial" w:hAnsi="Arial"/>
                <w:rtl w:val="0"/>
                <w:lang w:val="en-US"/>
              </w:rPr>
              <w:t>Assignment due date: 9th May</w:t>
            </w:r>
          </w:p>
        </w:tc>
      </w:tr>
      <w:tr>
        <w:tblPrEx>
          <w:shd w:val="clear" w:color="auto" w:fill="cadfff"/>
        </w:tblPrEx>
        <w:trPr>
          <w:trHeight w:val="1080"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rPr>
                <w:rFonts w:ascii="Lucida Grande" w:cs="Lucida Grande" w:hAnsi="Lucida Grande" w:eastAsia="Lucida Grande"/>
                <w:b w:val="1"/>
                <w:bCs w:val="1"/>
                <w:sz w:val="44"/>
                <w:szCs w:val="44"/>
                <w:vertAlign w:val="superscript"/>
              </w:rPr>
            </w:pPr>
            <w:r>
              <w:rPr>
                <w:rFonts w:ascii="Arial" w:hAnsi="Arial"/>
                <w:b w:val="0"/>
                <w:bCs w:val="0"/>
                <w:sz w:val="22"/>
                <w:szCs w:val="22"/>
                <w:vertAlign w:val="baseline"/>
                <w:rtl w:val="0"/>
                <w:lang w:val="en-US"/>
              </w:rPr>
              <w:t>If your module has multiple submissions please indicate which piece of work this is.</w:t>
            </w:r>
          </w:p>
          <w:p>
            <w:pPr>
              <w:pStyle w:val="Default"/>
              <w:bidi w:val="0"/>
              <w:ind w:left="0" w:right="0" w:firstLine="0"/>
              <w:jc w:val="left"/>
              <w:rPr>
                <w:rtl w:val="0"/>
              </w:rPr>
            </w:pPr>
            <w:r>
              <w:rPr>
                <w:rFonts w:ascii="Arial" w:hAnsi="Arial"/>
                <w:rtl w:val="0"/>
                <w:lang w:val="en-US"/>
              </w:rPr>
              <w:t>1</w:t>
            </w:r>
            <w:r>
              <w:rPr>
                <w:rFonts w:ascii="Arial" w:hAnsi="Arial"/>
                <w:vertAlign w:val="superscript"/>
                <w:rtl w:val="0"/>
                <w:lang w:val="en-US"/>
              </w:rPr>
              <w:t xml:space="preserve">st      </w:t>
            </w:r>
            <w:r>
              <w:rPr>
                <w:rFonts w:ascii="Arial" w:hAnsi="Arial"/>
                <w:rtl w:val="0"/>
                <w:lang w:val="en-US"/>
              </w:rPr>
              <w:t>2</w:t>
            </w:r>
            <w:r>
              <w:rPr>
                <w:rFonts w:ascii="Arial" w:hAnsi="Arial"/>
                <w:vertAlign w:val="superscript"/>
                <w:rtl w:val="0"/>
                <w:lang w:val="en-US"/>
              </w:rPr>
              <w:t>nd</w:t>
            </w:r>
            <w:r>
              <w:rPr>
                <w:rFonts w:ascii="Lucida Grande" w:hAnsi="Lucida Grande" w:hint="default"/>
                <w:b w:val="1"/>
                <w:bCs w:val="1"/>
                <w:sz w:val="44"/>
                <w:szCs w:val="44"/>
                <w:rtl w:val="0"/>
                <w:lang w:val="en-US"/>
              </w:rPr>
              <w:t>√</w:t>
            </w:r>
            <w:r>
              <w:rPr>
                <w:rFonts w:ascii="Arial" w:hAnsi="Arial"/>
                <w:rtl w:val="0"/>
                <w:lang w:val="en-US"/>
              </w:rPr>
              <w:t>3</w:t>
            </w:r>
            <w:r>
              <w:rPr>
                <w:rFonts w:ascii="Arial" w:hAnsi="Arial"/>
                <w:vertAlign w:val="superscript"/>
                <w:rtl w:val="0"/>
                <w:lang w:val="en-US"/>
              </w:rPr>
              <w:t>rd</w:t>
            </w:r>
            <w:r>
              <w:rPr>
                <w:rFonts w:ascii="Arial" w:hAnsi="Arial"/>
                <w:rtl w:val="0"/>
                <w:lang w:val="en-US"/>
              </w:rPr>
              <w:t xml:space="preserve">        4</w:t>
            </w:r>
            <w:r>
              <w:rPr>
                <w:rFonts w:ascii="Arial" w:hAnsi="Arial"/>
                <w:vertAlign w:val="superscript"/>
                <w:rtl w:val="0"/>
                <w:lang w:val="en-US"/>
              </w:rPr>
              <w:t>th</w:t>
            </w:r>
            <w:r>
              <w:rPr>
                <w:rFonts w:ascii="Arial" w:hAnsi="Arial"/>
                <w:rtl w:val="0"/>
                <w:lang w:val="en-US"/>
              </w:rPr>
              <w:t xml:space="preserve">       5</w:t>
            </w:r>
            <w:r>
              <w:rPr>
                <w:rFonts w:ascii="Arial" w:hAnsi="Arial"/>
                <w:vertAlign w:val="superscript"/>
                <w:rtl w:val="0"/>
                <w:lang w:val="en-US"/>
              </w:rPr>
              <w:t>th</w:t>
            </w:r>
            <w:r>
              <w:rPr>
                <w:rFonts w:ascii="Arial" w:hAnsi="Arial"/>
                <w:rtl w:val="0"/>
                <w:lang w:val="en-US"/>
              </w:rPr>
              <w:t xml:space="preserve">       6</w:t>
            </w:r>
            <w:r>
              <w:rPr>
                <w:rFonts w:ascii="Arial" w:hAnsi="Arial"/>
                <w:vertAlign w:val="superscript"/>
                <w:rtl w:val="0"/>
                <w:lang w:val="en-US"/>
              </w:rPr>
              <w:t>th</w:t>
            </w:r>
            <w:r>
              <w:rPr>
                <w:rFonts w:ascii="Arial" w:hAnsi="Arial"/>
                <w:rtl w:val="0"/>
                <w:lang w:val="en-US"/>
              </w:rPr>
              <w:t xml:space="preserve"> </w:t>
            </w:r>
          </w:p>
        </w:tc>
      </w:tr>
      <w:tr>
        <w:tblPrEx>
          <w:shd w:val="clear" w:color="auto" w:fill="cadfff"/>
        </w:tblPrEx>
        <w:trPr>
          <w:trHeight w:val="1885"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Default"/>
              <w:ind w:right="34"/>
              <w:rPr>
                <w:rFonts w:ascii="Arial" w:cs="Arial" w:hAnsi="Arial" w:eastAsia="Arial"/>
              </w:rPr>
            </w:pPr>
            <w:r>
              <w:rPr>
                <w:rFonts w:ascii="Arial" w:hAnsi="Arial"/>
                <w:rtl w:val="0"/>
                <w:lang w:val="en-US"/>
              </w:rPr>
              <w:t>I confirm that this is my original work and that I have adhered to the University policy on plagiarism.</w:t>
            </w:r>
          </w:p>
          <w:p>
            <w:pPr>
              <w:pStyle w:val="Default"/>
              <w:bidi w:val="0"/>
              <w:ind w:left="0" w:right="34" w:firstLine="0"/>
              <w:jc w:val="left"/>
              <w:rPr>
                <w:rFonts w:ascii="Arial" w:cs="Arial" w:hAnsi="Arial" w:eastAsia="Arial"/>
                <w:rtl w:val="0"/>
              </w:rPr>
            </w:pPr>
            <w:r>
              <w:rPr>
                <w:rFonts w:ascii="Arial" w:hAnsi="Arial"/>
                <w:rtl w:val="0"/>
                <w:lang w:val="en-US"/>
              </w:rPr>
              <w:t xml:space="preserve">Signed </w:t>
            </w:r>
            <w:r>
              <w:rPr>
                <w:rFonts w:ascii="Arial" w:hAnsi="Arial" w:hint="default"/>
                <w:rtl w:val="0"/>
                <w:lang w:val="en-US"/>
              </w:rPr>
              <w:t>……………………………………………………………</w:t>
            </w:r>
          </w:p>
          <w:p>
            <w:pPr>
              <w:pStyle w:val="Default"/>
              <w:bidi w:val="0"/>
              <w:ind w:left="0" w:right="34" w:firstLine="0"/>
              <w:jc w:val="left"/>
              <w:rPr>
                <w:rtl w:val="0"/>
              </w:rPr>
            </w:pPr>
            <w:r>
              <w:rPr>
                <w:rFonts w:ascii="Calibri" w:cs="Calibri" w:hAnsi="Calibri" w:eastAsia="Calibri"/>
                <w:b w:val="1"/>
                <w:bCs w:val="1"/>
                <w:sz w:val="24"/>
                <w:szCs w:val="24"/>
                <w:rtl w:val="0"/>
                <w:lang w:val="en-US"/>
              </w:rPr>
              <w:t xml:space="preserve">Email submission: if you are submitting this form via email, please tick this box </w:t>
            </w:r>
            <w:r>
              <w:rPr>
                <w:rFonts w:ascii="Calibri" w:cs="Calibri" w:hAnsi="Calibri" w:eastAsia="Calibri"/>
                <w:b w:val="1"/>
                <w:bCs w:val="1"/>
                <w:sz w:val="44"/>
                <w:szCs w:val="44"/>
                <w:rtl w:val="0"/>
                <w:lang w:val="en-US"/>
              </w:rPr>
              <w:t>□</w:t>
            </w:r>
            <w:r>
              <w:rPr>
                <w:rFonts w:ascii="Lucida Grande" w:hAnsi="Lucida Grande" w:hint="default"/>
                <w:b w:val="1"/>
                <w:bCs w:val="1"/>
                <w:sz w:val="44"/>
                <w:szCs w:val="44"/>
                <w:rtl w:val="0"/>
                <w:lang w:val="en-US"/>
              </w:rPr>
              <w:t>√</w:t>
            </w:r>
            <w:r>
              <w:rPr>
                <w:rFonts w:ascii="Calibri" w:cs="Calibri" w:hAnsi="Calibri" w:eastAsia="Calibri"/>
                <w:b w:val="1"/>
                <w:bCs w:val="1"/>
                <w:sz w:val="24"/>
                <w:szCs w:val="24"/>
                <w:rtl w:val="0"/>
                <w:lang w:val="en-US"/>
              </w:rPr>
              <w:t>(as a substitute for your signature) to confirm that you agree to the above declaration.</w:t>
            </w:r>
          </w:p>
        </w:tc>
      </w:tr>
    </w:tbl>
    <w:p>
      <w:pPr>
        <w:pStyle w:val="Default"/>
        <w:widowControl w:val="0"/>
        <w:ind w:left="432" w:hanging="432"/>
      </w:pPr>
    </w:p>
    <w:p>
      <w:pPr>
        <w:pStyle w:val="Default"/>
        <w:widowControl w:val="0"/>
        <w:ind w:left="324" w:hanging="324"/>
      </w:pPr>
    </w:p>
    <w:p>
      <w:pPr>
        <w:pStyle w:val="Default"/>
        <w:widowControl w:val="0"/>
        <w:ind w:left="216" w:hanging="216"/>
      </w:pPr>
    </w:p>
    <w:p>
      <w:pPr>
        <w:pStyle w:val="Default"/>
        <w:widowControl w:val="0"/>
        <w:ind w:left="108" w:hanging="108"/>
      </w:pPr>
    </w:p>
    <w:p>
      <w:pPr>
        <w:pStyle w:val="Default"/>
        <w:jc w:val="center"/>
      </w:pPr>
      <w:r>
        <w:rPr>
          <w:rFonts w:ascii="Georgia" w:hAnsi="Georgia"/>
          <w:b w:val="1"/>
          <w:bCs w:val="1"/>
          <w:caps w:val="0"/>
          <w:smallCaps w:val="0"/>
          <w:strike w:val="0"/>
          <w:dstrike w:val="0"/>
          <w:outline w:val="0"/>
          <w:color w:val="000000"/>
          <w:spacing w:val="0"/>
          <w:kern w:val="0"/>
          <w:position w:val="0"/>
          <w:sz w:val="21"/>
          <w:szCs w:val="21"/>
          <w:u w:val="none" w:color="000000"/>
          <w:vertAlign w:val="baseline"/>
          <w:rtl w:val="0"/>
          <w:lang w:val="en-US"/>
        </w:rPr>
        <w:t>THIS SHEET MUST BE THE FIRST PAGE OF THE ASSIGNMENT</w:t>
      </w:r>
    </w:p>
    <w:tbl>
      <w:tblPr>
        <w:tblW w:w="885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5211"/>
        <w:gridCol w:w="1557"/>
        <w:gridCol w:w="2088"/>
      </w:tblGrid>
      <w:tr>
        <w:tblPrEx>
          <w:shd w:val="clear" w:color="auto" w:fill="cadfff"/>
        </w:tblPrEx>
        <w:trPr>
          <w:trHeight w:val="5413"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rPr>
                <w:rFonts w:ascii="Arial" w:cs="Arial" w:hAnsi="Arial" w:eastAsia="Arial"/>
                <w:b w:val="1"/>
                <w:bCs w:val="1"/>
                <w:sz w:val="24"/>
                <w:szCs w:val="24"/>
                <w:lang w:val="en-US"/>
              </w:rPr>
            </w:pPr>
          </w:p>
          <w:p>
            <w:pPr>
              <w:pStyle w:val="Default"/>
              <w:bidi w:val="0"/>
              <w:ind w:left="0" w:right="0" w:firstLine="0"/>
              <w:jc w:val="left"/>
              <w:rPr>
                <w:rFonts w:ascii="Arial" w:cs="Arial" w:hAnsi="Arial" w:eastAsia="Arial"/>
                <w:sz w:val="24"/>
                <w:szCs w:val="24"/>
                <w:rtl w:val="0"/>
              </w:rPr>
            </w:pPr>
            <w:r>
              <w:rPr>
                <w:rFonts w:ascii="Arial" w:hAnsi="Arial"/>
                <w:b w:val="1"/>
                <w:bCs w:val="1"/>
                <w:sz w:val="24"/>
                <w:szCs w:val="24"/>
                <w:rtl w:val="0"/>
                <w:lang w:val="en-US"/>
              </w:rPr>
              <w:t>Assignment Mark</w:t>
            </w:r>
          </w:p>
          <w:p>
            <w:pPr>
              <w:pStyle w:val="Default"/>
              <w:rPr>
                <w:rFonts w:ascii="Arial" w:cs="Arial" w:hAnsi="Arial" w:eastAsia="Arial"/>
                <w:sz w:val="20"/>
                <w:szCs w:val="20"/>
                <w:lang w:val="en-US"/>
              </w:rPr>
            </w:pPr>
          </w:p>
          <w:p>
            <w:pPr>
              <w:pStyle w:val="Default"/>
              <w:bidi w:val="0"/>
              <w:ind w:left="0" w:right="0" w:firstLine="0"/>
              <w:jc w:val="left"/>
              <w:rPr>
                <w:rFonts w:ascii="Arial" w:cs="Arial" w:hAnsi="Arial" w:eastAsia="Arial"/>
                <w:sz w:val="20"/>
                <w:szCs w:val="20"/>
                <w:rtl w:val="0"/>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Default"/>
              <w:rPr>
                <w:rFonts w:ascii="Arial" w:cs="Arial" w:hAnsi="Arial" w:eastAsia="Arial"/>
                <w:sz w:val="20"/>
                <w:szCs w:val="20"/>
                <w:lang w:val="en-US"/>
              </w:rPr>
            </w:pPr>
          </w:p>
          <w:p>
            <w:pPr>
              <w:pStyle w:val="Default"/>
              <w:bidi w:val="0"/>
              <w:ind w:left="0" w:right="0" w:firstLine="0"/>
              <w:jc w:val="left"/>
              <w:rPr>
                <w:rFonts w:ascii="Arial" w:cs="Arial" w:hAnsi="Arial" w:eastAsia="Arial"/>
                <w:sz w:val="20"/>
                <w:szCs w:val="20"/>
                <w:rtl w:val="0"/>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Default"/>
              <w:bidi w:val="0"/>
              <w:ind w:left="0" w:right="0" w:firstLine="0"/>
              <w:jc w:val="left"/>
              <w:rPr>
                <w:rFonts w:ascii="Arial" w:cs="Arial" w:hAnsi="Arial" w:eastAsia="Arial"/>
                <w:sz w:val="20"/>
                <w:szCs w:val="20"/>
                <w:rtl w:val="0"/>
              </w:rPr>
            </w:pPr>
            <w:r>
              <w:rPr>
                <w:rFonts w:ascii="Arial" w:hAnsi="Arial"/>
                <w:sz w:val="20"/>
                <w:szCs w:val="20"/>
                <w:rtl w:val="0"/>
                <w:lang w:val="en-US"/>
              </w:rPr>
              <w:t xml:space="preserve">Agreed Internal Mark: </w:t>
            </w:r>
          </w:p>
          <w:p>
            <w:pPr>
              <w:pStyle w:val="Default"/>
              <w:bidi w:val="0"/>
              <w:ind w:left="0" w:right="0" w:firstLine="0"/>
              <w:jc w:val="left"/>
              <w:rPr>
                <w:rFonts w:ascii="Arial" w:cs="Arial" w:hAnsi="Arial" w:eastAsia="Arial"/>
                <w:sz w:val="20"/>
                <w:szCs w:val="20"/>
                <w:shd w:val="clear" w:color="auto" w:fill="ffff00"/>
                <w:rtl w:val="0"/>
              </w:rPr>
            </w:pPr>
            <w:r>
              <w:rPr>
                <w:rFonts w:ascii="Arial" w:cs="Arial" w:hAnsi="Arial" w:eastAsia="Arial"/>
                <w:sz w:val="20"/>
                <w:szCs w:val="20"/>
                <w:shd w:val="clear" w:color="auto" w:fill="ffff00"/>
                <w:lang w:val="en-US"/>
              </w:rPr>
              <w:tab/>
            </w:r>
          </w:p>
          <w:p>
            <w:pPr>
              <w:pStyle w:val="Default"/>
              <w:rPr>
                <w:rFonts w:ascii="Arial" w:cs="Arial" w:hAnsi="Arial" w:eastAsia="Arial"/>
                <w:sz w:val="20"/>
                <w:szCs w:val="20"/>
                <w:lang w:val="en-US"/>
              </w:rPr>
            </w:pPr>
          </w:p>
          <w:p>
            <w:pPr>
              <w:pStyle w:val="Default"/>
              <w:bidi w:val="0"/>
              <w:ind w:left="0" w:right="0" w:firstLine="0"/>
              <w:jc w:val="left"/>
              <w:rPr>
                <w:rFonts w:ascii="Arial" w:cs="Arial" w:hAnsi="Arial" w:eastAsia="Arial"/>
                <w:sz w:val="20"/>
                <w:szCs w:val="20"/>
                <w:rtl w:val="0"/>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Default"/>
              <w:rPr>
                <w:rFonts w:ascii="Arial" w:cs="Arial" w:hAnsi="Arial" w:eastAsia="Arial"/>
                <w:sz w:val="20"/>
                <w:szCs w:val="20"/>
                <w:lang w:val="en-US"/>
              </w:rPr>
            </w:pPr>
          </w:p>
          <w:p>
            <w:pPr>
              <w:pStyle w:val="Default"/>
              <w:bidi w:val="0"/>
              <w:ind w:left="0" w:right="0" w:firstLine="0"/>
              <w:jc w:val="left"/>
              <w:rPr>
                <w:rFonts w:ascii="Arial" w:cs="Arial" w:hAnsi="Arial" w:eastAsia="Arial"/>
                <w:b w:val="1"/>
                <w:bCs w:val="1"/>
                <w:sz w:val="20"/>
                <w:szCs w:val="20"/>
                <w:rtl w:val="0"/>
              </w:rPr>
            </w:pPr>
            <w:r>
              <w:rPr>
                <w:rFonts w:ascii="Arial" w:hAnsi="Arial"/>
                <w:b w:val="1"/>
                <w:bCs w:val="1"/>
                <w:sz w:val="20"/>
                <w:szCs w:val="20"/>
                <w:rtl w:val="0"/>
                <w:lang w:val="en-US"/>
              </w:rPr>
              <w:t>Final Mark</w:t>
            </w:r>
          </w:p>
          <w:p>
            <w:pPr>
              <w:pStyle w:val="Default"/>
              <w:bidi w:val="0"/>
              <w:ind w:left="0" w:right="0" w:firstLine="0"/>
              <w:jc w:val="left"/>
              <w:rPr>
                <w:rFonts w:ascii="Arial" w:cs="Arial" w:hAnsi="Arial" w:eastAsia="Arial"/>
                <w:b w:val="1"/>
                <w:bCs w:val="1"/>
                <w:sz w:val="20"/>
                <w:szCs w:val="20"/>
                <w:rtl w:val="0"/>
              </w:rPr>
            </w:pPr>
            <w:r>
              <w:rPr>
                <w:rFonts w:ascii="Arial" w:cs="Arial" w:hAnsi="Arial" w:eastAsia="Arial"/>
                <w:b w:val="1"/>
                <w:bCs w:val="1"/>
                <w:sz w:val="20"/>
                <w:szCs w:val="20"/>
                <w:lang w:val="en-US"/>
              </w:rPr>
              <w:tab/>
            </w:r>
          </w:p>
          <w:p>
            <w:pPr>
              <w:pStyle w:val="Default"/>
              <w:ind w:left="142" w:right="34" w:firstLine="0"/>
              <w:rPr>
                <w:rFonts w:ascii="Arial" w:cs="Arial" w:hAnsi="Arial" w:eastAsia="Arial"/>
                <w:b w:val="1"/>
                <w:bCs w:val="1"/>
                <w:lang w:val="en-US"/>
              </w:rPr>
            </w:pPr>
          </w:p>
          <w:p>
            <w:pPr>
              <w:pStyle w:val="Default"/>
              <w:bidi w:val="0"/>
              <w:ind w:left="142" w:right="34" w:firstLine="0"/>
              <w:jc w:val="left"/>
              <w:rPr>
                <w:rFonts w:ascii="Arial" w:cs="Arial" w:hAnsi="Arial" w:eastAsia="Arial"/>
                <w:rtl w:val="0"/>
              </w:rPr>
            </w:pPr>
            <w:r>
              <w:rPr>
                <w:rFonts w:ascii="Arial" w:hAnsi="Arial"/>
                <w:b w:val="1"/>
                <w:bCs w:val="1"/>
                <w:rtl w:val="0"/>
                <w:lang w:val="en-US"/>
              </w:rPr>
              <w:t>NB.</w:t>
            </w:r>
            <w:r>
              <w:rPr>
                <w:rFonts w:ascii="Arial" w:hAnsi="Arial"/>
                <w:rtl w:val="0"/>
                <w:lang w:val="en-US"/>
              </w:rPr>
              <w:t xml:space="preserve">  All marks are provisional until confirmed by the Final Examination Board.</w:t>
            </w:r>
          </w:p>
          <w:p>
            <w:pPr>
              <w:pStyle w:val="Default"/>
              <w:rPr>
                <w:rFonts w:ascii="Arial" w:cs="Arial" w:hAnsi="Arial" w:eastAsia="Arial"/>
                <w:b w:val="1"/>
                <w:bCs w:val="1"/>
                <w:lang w:val="en-US"/>
              </w:rPr>
            </w:pPr>
          </w:p>
          <w:p>
            <w:pPr>
              <w:pStyle w:val="Default"/>
              <w:rPr>
                <w:rFonts w:ascii="Arial" w:cs="Arial" w:hAnsi="Arial" w:eastAsia="Arial"/>
                <w:b w:val="1"/>
                <w:bCs w:val="1"/>
                <w:lang w:val="en-US"/>
              </w:rPr>
            </w:pPr>
          </w:p>
          <w:p>
            <w:pPr>
              <w:pStyle w:val="Default"/>
              <w:rPr>
                <w:rFonts w:ascii="Arial" w:cs="Arial" w:hAnsi="Arial" w:eastAsia="Arial"/>
                <w:b w:val="1"/>
                <w:bCs w:val="1"/>
                <w:lang w:val="en-US"/>
              </w:rPr>
            </w:pPr>
          </w:p>
          <w:p>
            <w:pPr>
              <w:pStyle w:val="Default"/>
              <w:rPr>
                <w:rFonts w:ascii="Arial" w:cs="Arial" w:hAnsi="Arial" w:eastAsia="Arial"/>
                <w:b w:val="1"/>
                <w:bCs w:val="1"/>
                <w:lang w:val="en-US"/>
              </w:rPr>
            </w:pPr>
          </w:p>
          <w:p>
            <w:pPr>
              <w:pStyle w:val="Default"/>
              <w:bidi w:val="0"/>
              <w:ind w:left="0" w:right="0" w:firstLine="0"/>
              <w:jc w:val="left"/>
              <w:rPr>
                <w:rFonts w:ascii="Arial" w:cs="Arial" w:hAnsi="Arial" w:eastAsia="Arial"/>
                <w:b w:val="1"/>
                <w:bCs w:val="1"/>
                <w:rtl w:val="0"/>
              </w:rPr>
            </w:pPr>
            <w:r>
              <w:rPr>
                <w:rFonts w:ascii="Arial" w:hAnsi="Arial"/>
                <w:b w:val="1"/>
                <w:bCs w:val="1"/>
                <w:rtl w:val="0"/>
                <w:lang w:val="en-US"/>
              </w:rPr>
              <w:t>For completion by Marker 1 :</w:t>
            </w:r>
          </w:p>
          <w:p>
            <w:pPr>
              <w:pStyle w:val="Default"/>
              <w:bidi w:val="0"/>
              <w:spacing w:before="100" w:after="100"/>
              <w:ind w:left="0" w:right="0" w:firstLine="0"/>
              <w:jc w:val="left"/>
              <w:rPr>
                <w:rtl w:val="0"/>
              </w:rPr>
            </w:pPr>
            <w:r>
              <w:rPr>
                <w:rFonts w:ascii="Arial" w:hAnsi="Arial"/>
                <w:rtl w:val="0"/>
                <w:lang w:val="en-US"/>
              </w:rPr>
              <w:t>Comments:</w:t>
            </w:r>
          </w:p>
        </w:tc>
      </w:tr>
      <w:tr>
        <w:tblPrEx>
          <w:shd w:val="clear" w:color="auto" w:fill="cadfff"/>
        </w:tblPrEx>
        <w:trPr>
          <w:trHeight w:val="40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Default"/>
              <w:spacing w:before="100" w:after="100"/>
              <w:ind w:left="142" w:right="34" w:firstLine="0"/>
            </w:pPr>
            <w:r>
              <w:rPr>
                <w:rFonts w:ascii="Arial" w:hAnsi="Arial"/>
                <w:rtl w:val="0"/>
                <w:lang w:val="en-US"/>
              </w:rPr>
              <w:t>Marker</w:t>
            </w:r>
            <w:r>
              <w:rPr>
                <w:rFonts w:ascii="Arial" w:hAnsi="Arial" w:hint="default"/>
                <w:rtl w:val="0"/>
                <w:lang w:val="en-US"/>
              </w:rPr>
              <w:t>’</w:t>
            </w:r>
            <w:r>
              <w:rPr>
                <w:rFonts w:ascii="Arial" w:hAnsi="Arial"/>
                <w:rtl w:val="0"/>
                <w:lang w:val="en-US"/>
              </w:rPr>
              <w:t>s signature:</w:t>
            </w:r>
          </w:p>
        </w:tc>
        <w:tc>
          <w:tcPr>
            <w:tcW w:type="dxa" w:w="2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Default"/>
              <w:spacing w:before="100" w:after="100"/>
              <w:ind w:left="142" w:right="34" w:firstLine="0"/>
            </w:pPr>
            <w:r>
              <w:rPr>
                <w:rFonts w:ascii="Arial" w:hAnsi="Arial"/>
                <w:rtl w:val="0"/>
                <w:lang w:val="en-US"/>
              </w:rPr>
              <w:t>Date:</w:t>
            </w:r>
          </w:p>
        </w:tc>
      </w:tr>
      <w:tr>
        <w:tblPrEx>
          <w:shd w:val="clear" w:color="auto" w:fill="cadfff"/>
        </w:tblPrEx>
        <w:trPr>
          <w:trHeight w:val="1753"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rPr>
                <w:rFonts w:ascii="Arial" w:cs="Arial" w:hAnsi="Arial" w:eastAsia="Arial"/>
                <w:i w:val="1"/>
                <w:iCs w:val="1"/>
                <w:lang w:val="en-US"/>
              </w:rPr>
            </w:pPr>
          </w:p>
          <w:p>
            <w:pPr>
              <w:pStyle w:val="Default"/>
              <w:bidi w:val="0"/>
              <w:ind w:left="0" w:right="0" w:firstLine="0"/>
              <w:jc w:val="left"/>
              <w:rPr>
                <w:rFonts w:ascii="Arial" w:cs="Arial" w:hAnsi="Arial" w:eastAsia="Arial"/>
                <w:b w:val="1"/>
                <w:bCs w:val="1"/>
                <w:rtl w:val="0"/>
              </w:rPr>
            </w:pPr>
            <w:r>
              <w:rPr>
                <w:rFonts w:ascii="Arial" w:hAnsi="Arial"/>
                <w:b w:val="1"/>
                <w:bCs w:val="1"/>
                <w:rtl w:val="0"/>
                <w:lang w:val="en-US"/>
              </w:rPr>
              <w:t>For completion by Marker 2/Moderator:</w:t>
            </w:r>
          </w:p>
          <w:p>
            <w:pPr>
              <w:pStyle w:val="Default"/>
              <w:rPr>
                <w:rFonts w:ascii="Arial" w:cs="Arial" w:hAnsi="Arial" w:eastAsia="Arial"/>
                <w:b w:val="1"/>
                <w:bCs w:val="1"/>
                <w:lang w:val="en-US"/>
              </w:rPr>
            </w:pPr>
          </w:p>
          <w:p>
            <w:pPr>
              <w:pStyle w:val="Default"/>
              <w:bidi w:val="0"/>
              <w:ind w:left="0" w:right="0" w:firstLine="0"/>
              <w:jc w:val="left"/>
              <w:rPr>
                <w:rtl w:val="0"/>
              </w:rPr>
            </w:pPr>
            <w:r>
              <w:rPr>
                <w:rFonts w:ascii="Arial" w:hAnsi="Arial"/>
                <w:rtl w:val="0"/>
                <w:lang w:val="en-US"/>
              </w:rPr>
              <w:t>Comments:</w:t>
            </w:r>
          </w:p>
        </w:tc>
      </w:tr>
      <w:tr>
        <w:tblPrEx>
          <w:shd w:val="clear" w:color="auto" w:fill="cadfff"/>
        </w:tblPrEx>
        <w:trPr>
          <w:trHeight w:val="630" w:hRule="atLeast"/>
        </w:trPr>
        <w:tc>
          <w:tcPr>
            <w:tcW w:type="dxa" w:w="52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pPr>
            <w:r>
              <w:rPr>
                <w:rFonts w:ascii="Arial" w:hAnsi="Arial"/>
                <w:rtl w:val="0"/>
                <w:lang w:val="en-US"/>
              </w:rPr>
              <w:t>Marker</w:t>
            </w:r>
            <w:r>
              <w:rPr>
                <w:rFonts w:ascii="Arial" w:hAnsi="Arial" w:hint="default"/>
                <w:rtl w:val="0"/>
                <w:lang w:val="en-US"/>
              </w:rPr>
              <w:t>’</w:t>
            </w:r>
            <w:r>
              <w:rPr>
                <w:rFonts w:ascii="Arial" w:hAnsi="Arial"/>
                <w:rtl w:val="0"/>
                <w:lang w:val="en-US"/>
              </w:rPr>
              <w:t>s Signature:</w:t>
            </w:r>
          </w:p>
        </w:tc>
        <w:tc>
          <w:tcPr>
            <w:tcW w:type="dxa" w:w="364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pPr>
            <w:r>
              <w:rPr>
                <w:rFonts w:ascii="Arial" w:hAnsi="Arial"/>
                <w:rtl w:val="0"/>
                <w:lang w:val="en-US"/>
              </w:rPr>
              <w:t>Date:</w:t>
            </w:r>
          </w:p>
        </w:tc>
      </w:tr>
      <w:tr>
        <w:tblPrEx>
          <w:shd w:val="clear" w:color="auto" w:fill="cadfff"/>
        </w:tblPrEx>
        <w:trPr>
          <w:trHeight w:val="1273"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rPr>
                <w:rFonts w:ascii="Arial" w:cs="Arial" w:hAnsi="Arial" w:eastAsia="Arial"/>
                <w:b w:val="1"/>
                <w:bCs w:val="1"/>
              </w:rPr>
            </w:pPr>
            <w:r>
              <w:rPr>
                <w:rFonts w:ascii="Arial" w:hAnsi="Arial"/>
                <w:b w:val="1"/>
                <w:bCs w:val="1"/>
                <w:rtl w:val="0"/>
                <w:lang w:val="en-US"/>
              </w:rPr>
              <w:t>AGREED INTERNAL MARK (where necessary):</w:t>
            </w:r>
          </w:p>
          <w:p>
            <w:pPr>
              <w:pStyle w:val="Default"/>
              <w:rPr>
                <w:rFonts w:ascii="Arial" w:cs="Arial" w:hAnsi="Arial" w:eastAsia="Arial"/>
                <w:b w:val="1"/>
                <w:bCs w:val="1"/>
                <w:lang w:val="en-US"/>
              </w:rPr>
            </w:pPr>
          </w:p>
          <w:p>
            <w:pPr>
              <w:pStyle w:val="Default"/>
              <w:bidi w:val="0"/>
              <w:ind w:left="0" w:right="0" w:firstLine="0"/>
              <w:jc w:val="left"/>
              <w:rPr>
                <w:rtl w:val="0"/>
              </w:rPr>
            </w:pPr>
            <w:r>
              <w:rPr>
                <w:rFonts w:ascii="Arial" w:hAnsi="Arial"/>
                <w:b w:val="1"/>
                <w:bCs w:val="1"/>
                <w:rtl w:val="0"/>
                <w:lang w:val="en-US"/>
              </w:rPr>
              <w:t>Comment on process on arriving at agreed mark:</w:t>
            </w:r>
          </w:p>
        </w:tc>
      </w:tr>
      <w:tr>
        <w:tblPrEx>
          <w:shd w:val="clear" w:color="auto" w:fill="cadfff"/>
        </w:tblPrEx>
        <w:trPr>
          <w:trHeight w:val="1033" w:hRule="atLeast"/>
        </w:trPr>
        <w:tc>
          <w:tcPr>
            <w:tcW w:type="dxa" w:w="885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pPr>
            <w:r>
              <w:rPr>
                <w:rFonts w:ascii="Arial" w:hAnsi="Arial"/>
                <w:b w:val="1"/>
                <w:bCs w:val="1"/>
                <w:rtl w:val="0"/>
                <w:lang w:val="en-US"/>
              </w:rPr>
              <w:t>External Examiner</w:t>
            </w:r>
            <w:r>
              <w:rPr>
                <w:rFonts w:ascii="Arial" w:hAnsi="Arial" w:hint="default"/>
                <w:b w:val="1"/>
                <w:bCs w:val="1"/>
                <w:rtl w:val="0"/>
                <w:lang w:val="en-US"/>
              </w:rPr>
              <w:t>’</w:t>
            </w:r>
            <w:r>
              <w:rPr>
                <w:rFonts w:ascii="Arial" w:hAnsi="Arial"/>
                <w:b w:val="1"/>
                <w:bCs w:val="1"/>
                <w:rtl w:val="0"/>
                <w:lang w:val="en-US"/>
              </w:rPr>
              <w:t>s comments (if relevant)</w:t>
            </w:r>
          </w:p>
        </w:tc>
      </w:tr>
      <w:tr>
        <w:tblPrEx>
          <w:shd w:val="clear" w:color="auto" w:fill="cadfff"/>
        </w:tblPrEx>
        <w:trPr>
          <w:trHeight w:val="630" w:hRule="atLeast"/>
        </w:trPr>
        <w:tc>
          <w:tcPr>
            <w:tcW w:type="dxa" w:w="52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pPr>
            <w:r>
              <w:rPr>
                <w:rFonts w:ascii="Arial" w:hAnsi="Arial"/>
                <w:rtl w:val="0"/>
                <w:lang w:val="en-US"/>
              </w:rPr>
              <w:t>External Examiner</w:t>
            </w:r>
            <w:r>
              <w:rPr>
                <w:rFonts w:ascii="Arial" w:hAnsi="Arial" w:hint="default"/>
                <w:rtl w:val="0"/>
                <w:lang w:val="en-US"/>
              </w:rPr>
              <w:t>’</w:t>
            </w:r>
            <w:r>
              <w:rPr>
                <w:rFonts w:ascii="Arial" w:hAnsi="Arial"/>
                <w:rtl w:val="0"/>
                <w:lang w:val="en-US"/>
              </w:rPr>
              <w:t>s Signature:</w:t>
            </w:r>
          </w:p>
        </w:tc>
        <w:tc>
          <w:tcPr>
            <w:tcW w:type="dxa" w:w="364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pPr>
            <w:r>
              <w:rPr>
                <w:rFonts w:ascii="Arial" w:hAnsi="Arial"/>
                <w:rtl w:val="0"/>
                <w:lang w:val="en-US"/>
              </w:rPr>
              <w:t>Date:</w:t>
            </w:r>
          </w:p>
        </w:tc>
      </w:tr>
    </w:tbl>
    <w:p>
      <w:pPr>
        <w:pStyle w:val="Default"/>
        <w:widowControl w:val="0"/>
        <w:ind w:left="324" w:hanging="324"/>
      </w:pPr>
    </w:p>
    <w:p>
      <w:pPr>
        <w:pStyle w:val="Default"/>
        <w:widowControl w:val="0"/>
        <w:ind w:left="216" w:hanging="216"/>
      </w:pPr>
    </w:p>
    <w:p>
      <w:pPr>
        <w:pStyle w:val="Default"/>
        <w:widowControl w:val="0"/>
        <w:ind w:left="108" w:hanging="108"/>
      </w:pPr>
    </w:p>
    <w:p>
      <w:pPr>
        <w:pStyle w:val="Default"/>
        <w:spacing w:line="480" w:lineRule="auto"/>
        <w:rPr>
          <w:rFonts w:ascii="Helvetica" w:cs="Helvetica" w:hAnsi="Helvetica" w:eastAsia="Helvetica"/>
          <w:color w:val="202020"/>
          <w:u w:val="single" w:color="202020"/>
        </w:rPr>
      </w:pPr>
      <w:r>
        <w:rPr>
          <w:rFonts w:ascii="Georgia" w:hAnsi="Georgia"/>
          <w:b w:val="1"/>
          <w:bCs w:val="1"/>
          <w:caps w:val="0"/>
          <w:smallCaps w:val="0"/>
          <w:strike w:val="0"/>
          <w:dstrike w:val="0"/>
          <w:outline w:val="0"/>
          <w:color w:val="000000"/>
          <w:spacing w:val="0"/>
          <w:kern w:val="0"/>
          <w:position w:val="0"/>
          <w:sz w:val="21"/>
          <w:szCs w:val="21"/>
          <w:u w:val="none" w:color="000000"/>
          <w:vertAlign w:val="baseline"/>
          <w:rtl w:val="0"/>
          <w:lang w:val="en-US"/>
        </w:rPr>
        <w:t xml:space="preserve"> </w:t>
      </w:r>
    </w:p>
    <w:p>
      <w:pPr>
        <w:pStyle w:val="Default"/>
        <w:spacing w:line="480" w:lineRule="auto"/>
        <w:rPr>
          <w:rFonts w:ascii="Helvetica" w:cs="Helvetica" w:hAnsi="Helvetica" w:eastAsia="Helvetica"/>
          <w:color w:val="202020"/>
          <w:u w:val="single" w:color="202020"/>
        </w:rPr>
      </w:pPr>
    </w:p>
    <w:p>
      <w:pPr>
        <w:pStyle w:val="Default"/>
        <w:spacing w:line="480" w:lineRule="auto"/>
        <w:rPr>
          <w:rFonts w:ascii="Helvetica" w:cs="Helvetica" w:hAnsi="Helvetica" w:eastAsia="Helvetica"/>
          <w:color w:val="202020"/>
          <w:u w:val="single" w:color="202020"/>
        </w:rPr>
      </w:pPr>
    </w:p>
    <w:p>
      <w:pPr>
        <w:pStyle w:val="Default"/>
        <w:spacing w:line="480" w:lineRule="auto"/>
        <w:rPr>
          <w:rFonts w:ascii="Helvetica" w:cs="Helvetica" w:hAnsi="Helvetica" w:eastAsia="Helvetica"/>
          <w:color w:val="202020"/>
          <w:u w:val="single" w:color="202020"/>
        </w:rPr>
      </w:pPr>
    </w:p>
    <w:p>
      <w:pPr>
        <w:pStyle w:val="Default"/>
        <w:spacing w:line="480" w:lineRule="auto"/>
        <w:rPr>
          <w:rFonts w:ascii="Helvetica" w:cs="Helvetica" w:hAnsi="Helvetica" w:eastAsia="Helvetica"/>
          <w:color w:val="202020"/>
          <w:u w:val="single" w:color="202020"/>
        </w:rPr>
      </w:pPr>
    </w:p>
    <w:p>
      <w:pPr>
        <w:pStyle w:val="Default"/>
        <w:spacing w:line="480" w:lineRule="auto"/>
        <w:rPr>
          <w:rFonts w:ascii="Helvetica" w:cs="Helvetica" w:hAnsi="Helvetica" w:eastAsia="Helvetica"/>
          <w:b w:val="1"/>
          <w:bCs w:val="1"/>
          <w:color w:val="202020"/>
          <w:sz w:val="36"/>
          <w:szCs w:val="36"/>
          <w:u w:val="single" w:color="202020"/>
        </w:rPr>
      </w:pPr>
      <w:r>
        <w:rPr>
          <w:rFonts w:ascii="Helvetica" w:hAnsi="Helvetica"/>
          <w:b w:val="1"/>
          <w:bCs w:val="1"/>
          <w:color w:val="202020"/>
          <w:sz w:val="36"/>
          <w:szCs w:val="36"/>
          <w:u w:val="single" w:color="202020"/>
          <w:rtl w:val="0"/>
          <w:lang w:val="fr-FR"/>
        </w:rPr>
        <w:t>Postcolonial</w:t>
      </w:r>
      <w:r>
        <w:rPr>
          <w:rFonts w:ascii="Helvetica" w:hAnsi="Helvetica"/>
          <w:b w:val="1"/>
          <w:bCs w:val="1"/>
          <w:color w:val="202020"/>
          <w:sz w:val="36"/>
          <w:szCs w:val="36"/>
          <w:u w:val="single" w:color="202020"/>
          <w:rtl w:val="0"/>
          <w:lang w:val="en-US"/>
        </w:rPr>
        <w:t xml:space="preserve"> Identity in Zadie Smith's </w:t>
      </w:r>
      <w:r>
        <w:rPr>
          <w:rFonts w:ascii="Helvetica" w:hAnsi="Helvetica"/>
          <w:b w:val="1"/>
          <w:bCs w:val="1"/>
          <w:i w:val="1"/>
          <w:iCs w:val="1"/>
          <w:color w:val="202020"/>
          <w:sz w:val="36"/>
          <w:szCs w:val="36"/>
          <w:u w:val="single" w:color="202020"/>
          <w:rtl w:val="0"/>
          <w:lang w:val="en-US"/>
        </w:rPr>
        <w:t>White Teeth</w:t>
      </w:r>
    </w:p>
    <w:p>
      <w:pPr>
        <w:pStyle w:val="Body A"/>
        <w:spacing w:line="480" w:lineRule="auto"/>
        <w:rPr>
          <w:sz w:val="28"/>
          <w:szCs w:val="28"/>
        </w:rPr>
      </w:pPr>
      <w:r>
        <w:rPr>
          <w:sz w:val="28"/>
          <w:szCs w:val="28"/>
          <w:rtl w:val="0"/>
          <w:lang w:val="en-US"/>
        </w:rPr>
        <w:t>Alsana, one of the characters in Zadie Smith</w:t>
      </w:r>
      <w:r>
        <w:rPr>
          <w:sz w:val="28"/>
          <w:szCs w:val="28"/>
          <w:rtl w:val="0"/>
          <w:lang w:val="en-US"/>
        </w:rPr>
        <w:t>’</w:t>
      </w:r>
      <w:r>
        <w:rPr>
          <w:sz w:val="28"/>
          <w:szCs w:val="28"/>
          <w:rtl w:val="0"/>
          <w:lang w:val="en-US"/>
        </w:rPr>
        <w:t xml:space="preserve">s novel </w:t>
      </w:r>
      <w:r>
        <w:rPr>
          <w:i w:val="1"/>
          <w:iCs w:val="1"/>
          <w:sz w:val="28"/>
          <w:szCs w:val="28"/>
          <w:rtl w:val="0"/>
          <w:lang w:val="en-US"/>
        </w:rPr>
        <w:t xml:space="preserve">White Teeth, </w:t>
      </w:r>
      <w:r>
        <w:rPr>
          <w:sz w:val="28"/>
          <w:szCs w:val="28"/>
          <w:rtl w:val="0"/>
          <w:lang w:val="en-US"/>
        </w:rPr>
        <w:t>expresses the opinion that:</w:t>
      </w:r>
    </w:p>
    <w:p>
      <w:pPr>
        <w:pStyle w:val="Body A"/>
        <w:spacing w:line="480" w:lineRule="auto"/>
        <w:rPr>
          <w:sz w:val="28"/>
          <w:szCs w:val="28"/>
        </w:rPr>
      </w:pPr>
    </w:p>
    <w:p>
      <w:pPr>
        <w:pStyle w:val="Body A"/>
        <w:spacing w:line="480" w:lineRule="auto"/>
        <w:rPr>
          <w:sz w:val="28"/>
          <w:szCs w:val="28"/>
        </w:rPr>
      </w:pPr>
      <w:r>
        <w:rPr>
          <w:sz w:val="28"/>
          <w:szCs w:val="28"/>
          <w:rtl w:val="0"/>
          <w:lang w:val="en-US"/>
        </w:rPr>
        <w:t xml:space="preserve"> </w:t>
        <w:tab/>
        <w:t>“…</w:t>
      </w:r>
      <w:r>
        <w:rPr>
          <w:sz w:val="28"/>
          <w:szCs w:val="28"/>
          <w:rtl w:val="0"/>
          <w:lang w:val="en-US"/>
        </w:rPr>
        <w:t>you go back and back and back and it</w:t>
      </w:r>
      <w:r>
        <w:rPr>
          <w:sz w:val="28"/>
          <w:szCs w:val="28"/>
          <w:rtl w:val="0"/>
          <w:lang w:val="en-US"/>
        </w:rPr>
        <w:t>’</w:t>
      </w:r>
      <w:r>
        <w:rPr>
          <w:sz w:val="28"/>
          <w:szCs w:val="28"/>
          <w:rtl w:val="0"/>
          <w:lang w:val="en-US"/>
        </w:rPr>
        <w:t xml:space="preserve">s still easier to find the </w:t>
        <w:tab/>
        <w:tab/>
        <w:t xml:space="preserve">correct Hoover bag than to find one pure person, one pure faith, on the </w:t>
        <w:tab/>
        <w:t>globe. Do you think anybody is English? Really English? It</w:t>
      </w:r>
      <w:r>
        <w:rPr>
          <w:sz w:val="28"/>
          <w:szCs w:val="28"/>
          <w:rtl w:val="0"/>
          <w:lang w:val="en-US"/>
        </w:rPr>
        <w:t>’</w:t>
      </w:r>
      <w:r>
        <w:rPr>
          <w:sz w:val="28"/>
          <w:szCs w:val="28"/>
          <w:rtl w:val="0"/>
          <w:lang w:val="fr-FR"/>
        </w:rPr>
        <w:t>s a fairy-</w:t>
      </w:r>
      <w:r>
        <w:rPr>
          <w:sz w:val="28"/>
          <w:szCs w:val="28"/>
          <w:rtl w:val="0"/>
          <w:lang w:val="en-US"/>
        </w:rPr>
        <w:tab/>
        <w:tab/>
        <w:t>tale!</w:t>
      </w:r>
      <w:r>
        <w:rPr>
          <w:sz w:val="28"/>
          <w:szCs w:val="28"/>
          <w:rtl w:val="0"/>
          <w:lang w:val="en-US"/>
        </w:rPr>
        <w:t>”</w:t>
      </w:r>
      <w:r>
        <w:rPr>
          <w:sz w:val="28"/>
          <w:szCs w:val="28"/>
          <w:vertAlign w:val="superscript"/>
          <w:lang w:val="en-US"/>
        </w:rPr>
        <w:footnoteReference w:id="1"/>
      </w:r>
      <w:r>
        <w:rPr>
          <w:sz w:val="28"/>
          <w:szCs w:val="28"/>
          <w:rtl w:val="0"/>
          <w:lang w:val="en-US"/>
        </w:rPr>
        <w:t xml:space="preserve"> </w:t>
      </w:r>
    </w:p>
    <w:p>
      <w:pPr>
        <w:pStyle w:val="Body A"/>
        <w:spacing w:line="480" w:lineRule="auto"/>
        <w:rPr>
          <w:sz w:val="28"/>
          <w:szCs w:val="28"/>
        </w:rPr>
      </w:pPr>
    </w:p>
    <w:p>
      <w:pPr>
        <w:pStyle w:val="Body A"/>
        <w:spacing w:line="480" w:lineRule="auto"/>
        <w:rPr>
          <w:rStyle w:val="None"/>
          <w:i w:val="1"/>
          <w:iCs w:val="1"/>
          <w:sz w:val="28"/>
          <w:szCs w:val="28"/>
        </w:rPr>
      </w:pPr>
      <w:r>
        <w:rPr>
          <w:sz w:val="28"/>
          <w:szCs w:val="28"/>
          <w:rtl w:val="0"/>
          <w:lang w:val="en-US"/>
        </w:rPr>
        <w:t>Smith grew up in a mixed race family, with an English father and a Jamaican mother, in the borough of Brent in North</w:t>
      </w:r>
      <w:r>
        <w:rPr>
          <w:sz w:val="28"/>
          <w:szCs w:val="28"/>
          <w:rtl w:val="0"/>
          <w:lang w:val="it-IT"/>
        </w:rPr>
        <w:t xml:space="preserve"> London</w:t>
      </w:r>
      <w:r>
        <w:rPr>
          <w:sz w:val="28"/>
          <w:szCs w:val="28"/>
          <w:rtl w:val="0"/>
          <w:lang w:val="en-US"/>
        </w:rPr>
        <w:t xml:space="preserve"> </w:t>
      </w:r>
      <w:r>
        <w:rPr>
          <w:sz w:val="28"/>
          <w:szCs w:val="28"/>
          <w:vertAlign w:val="superscript"/>
          <w:lang w:val="en-US"/>
        </w:rPr>
        <w:footnoteReference w:id="2"/>
      </w:r>
      <w:r>
        <w:rPr>
          <w:rStyle w:val="None"/>
          <w:sz w:val="28"/>
          <w:szCs w:val="28"/>
          <w:rtl w:val="0"/>
          <w:lang w:val="en-US"/>
        </w:rPr>
        <w:t xml:space="preserve">, a city in which </w:t>
      </w:r>
      <w:r>
        <w:rPr>
          <w:rStyle w:val="None"/>
          <w:sz w:val="28"/>
          <w:szCs w:val="28"/>
          <w:rtl w:val="0"/>
          <w:lang w:val="en-US"/>
        </w:rPr>
        <w:t>‘</w:t>
      </w:r>
      <w:r>
        <w:rPr>
          <w:rStyle w:val="None"/>
          <w:sz w:val="28"/>
          <w:szCs w:val="28"/>
          <w:rtl w:val="0"/>
          <w:lang w:val="en-US"/>
        </w:rPr>
        <w:t>according to recent statistics, forty percent of children [</w:t>
      </w:r>
      <w:r>
        <w:rPr>
          <w:rStyle w:val="None"/>
          <w:sz w:val="28"/>
          <w:szCs w:val="28"/>
          <w:rtl w:val="0"/>
          <w:lang w:val="en-US"/>
        </w:rPr>
        <w:t>…</w:t>
      </w:r>
      <w:r>
        <w:rPr>
          <w:rStyle w:val="None"/>
          <w:sz w:val="28"/>
          <w:szCs w:val="28"/>
          <w:rtl w:val="0"/>
          <w:lang w:val="en-US"/>
        </w:rPr>
        <w:t>] are born to at least one non-white parent</w:t>
      </w:r>
      <w:r>
        <w:rPr>
          <w:rStyle w:val="None"/>
          <w:sz w:val="28"/>
          <w:szCs w:val="28"/>
          <w:rtl w:val="0"/>
          <w:lang w:val="en-US"/>
        </w:rPr>
        <w:t>’</w:t>
      </w:r>
      <w:r>
        <w:rPr>
          <w:rStyle w:val="None"/>
          <w:sz w:val="28"/>
          <w:szCs w:val="28"/>
          <w:vertAlign w:val="superscript"/>
          <w:lang w:val="en-US"/>
        </w:rPr>
        <w:footnoteReference w:id="3"/>
      </w:r>
      <w:r>
        <w:rPr>
          <w:rStyle w:val="None"/>
          <w:sz w:val="28"/>
          <w:szCs w:val="28"/>
          <w:rtl w:val="0"/>
          <w:lang w:val="en-US"/>
        </w:rPr>
        <w:t xml:space="preserve">. The impact on personal identity from both immigration and being raised in a mixed race family in London, are amongst the central themes that Smith explores in her novel </w:t>
      </w:r>
      <w:r>
        <w:rPr>
          <w:rStyle w:val="None"/>
          <w:i w:val="1"/>
          <w:iCs w:val="1"/>
          <w:sz w:val="28"/>
          <w:szCs w:val="28"/>
          <w:rtl w:val="0"/>
          <w:lang w:val="en-US"/>
        </w:rPr>
        <w:t>White Teeth.</w:t>
      </w:r>
    </w:p>
    <w:p>
      <w:pPr>
        <w:pStyle w:val="Body A"/>
        <w:spacing w:line="480" w:lineRule="auto"/>
        <w:rPr>
          <w:rStyle w:val="None"/>
          <w:sz w:val="28"/>
          <w:szCs w:val="28"/>
        </w:rPr>
      </w:pPr>
      <w:r>
        <w:rPr>
          <w:rStyle w:val="None"/>
          <w:i w:val="1"/>
          <w:iCs w:val="1"/>
          <w:sz w:val="28"/>
          <w:szCs w:val="28"/>
          <w:lang w:val="en-US"/>
        </w:rPr>
        <w:tab/>
      </w:r>
      <w:r>
        <w:rPr>
          <w:rStyle w:val="None"/>
          <w:sz w:val="28"/>
          <w:szCs w:val="28"/>
          <w:rtl w:val="0"/>
          <w:lang w:val="en-US"/>
        </w:rPr>
        <w:t>Conrad</w:t>
      </w:r>
      <w:r>
        <w:rPr>
          <w:rStyle w:val="None"/>
          <w:sz w:val="28"/>
          <w:szCs w:val="28"/>
          <w:rtl w:val="0"/>
          <w:lang w:val="en-US"/>
        </w:rPr>
        <w:t>’</w:t>
      </w:r>
      <w:r>
        <w:rPr>
          <w:rStyle w:val="None"/>
          <w:sz w:val="28"/>
          <w:szCs w:val="28"/>
          <w:rtl w:val="0"/>
          <w:lang w:val="en-US"/>
        </w:rPr>
        <w:t xml:space="preserve">s novella </w:t>
      </w:r>
      <w:r>
        <w:rPr>
          <w:rStyle w:val="None"/>
          <w:i w:val="1"/>
          <w:iCs w:val="1"/>
          <w:sz w:val="28"/>
          <w:szCs w:val="28"/>
          <w:rtl w:val="0"/>
          <w:lang w:val="en-US"/>
        </w:rPr>
        <w:t xml:space="preserve">Heart of Darkness </w:t>
      </w:r>
      <w:r>
        <w:rPr>
          <w:rStyle w:val="None"/>
          <w:sz w:val="28"/>
          <w:szCs w:val="28"/>
          <w:vertAlign w:val="superscript"/>
          <w:lang w:val="en-US"/>
        </w:rPr>
        <w:footnoteReference w:id="4"/>
      </w:r>
      <w:r>
        <w:rPr>
          <w:rStyle w:val="None"/>
          <w:i w:val="1"/>
          <w:iCs w:val="1"/>
          <w:sz w:val="28"/>
          <w:szCs w:val="28"/>
          <w:rtl w:val="0"/>
          <w:lang w:val="en-US"/>
        </w:rPr>
        <w:t xml:space="preserve"> </w:t>
      </w:r>
      <w:r>
        <w:rPr>
          <w:rStyle w:val="None"/>
          <w:sz w:val="28"/>
          <w:szCs w:val="28"/>
          <w:rtl w:val="0"/>
          <w:lang w:val="en-US"/>
        </w:rPr>
        <w:t>has been perceptively criticised by Chinchua Achebe on the grounds that even though Conrad writes as a stern critic of European colonialism, dramatising the horrific impact it can have on a country</w:t>
      </w:r>
      <w:r>
        <w:rPr>
          <w:rStyle w:val="None"/>
          <w:sz w:val="28"/>
          <w:szCs w:val="28"/>
          <w:rtl w:val="0"/>
          <w:lang w:val="en-US"/>
        </w:rPr>
        <w:t>’</w:t>
      </w:r>
      <w:r>
        <w:rPr>
          <w:rStyle w:val="None"/>
          <w:sz w:val="28"/>
          <w:szCs w:val="28"/>
          <w:rtl w:val="0"/>
          <w:lang w:val="en-US"/>
        </w:rPr>
        <w:t xml:space="preserve">s indigenous people, the text is still racist </w:t>
      </w:r>
      <w:r>
        <w:rPr>
          <w:rStyle w:val="None"/>
          <w:sz w:val="28"/>
          <w:szCs w:val="28"/>
          <w:vertAlign w:val="superscript"/>
          <w:lang w:val="en-US"/>
        </w:rPr>
        <w:footnoteReference w:id="5"/>
      </w:r>
      <w:r>
        <w:rPr>
          <w:rStyle w:val="None"/>
          <w:sz w:val="28"/>
          <w:szCs w:val="28"/>
          <w:rtl w:val="0"/>
          <w:lang w:val="en-US"/>
        </w:rPr>
        <w:t xml:space="preserve">. Marlowe ponders his </w:t>
      </w:r>
      <w:r>
        <w:rPr>
          <w:rStyle w:val="None"/>
          <w:sz w:val="28"/>
          <w:szCs w:val="28"/>
          <w:rtl w:val="0"/>
          <w:lang w:val="en-US"/>
        </w:rPr>
        <w:t>‘“</w:t>
      </w:r>
      <w:r>
        <w:rPr>
          <w:rStyle w:val="None"/>
          <w:sz w:val="28"/>
          <w:szCs w:val="28"/>
          <w:rtl w:val="0"/>
          <w:lang w:val="en-US"/>
        </w:rPr>
        <w:t>remote kinship</w:t>
      </w:r>
      <w:r>
        <w:rPr>
          <w:rStyle w:val="None"/>
          <w:sz w:val="28"/>
          <w:szCs w:val="28"/>
          <w:rtl w:val="0"/>
          <w:lang w:val="en-US"/>
        </w:rPr>
        <w:t xml:space="preserve">” </w:t>
      </w:r>
      <w:r>
        <w:rPr>
          <w:rStyle w:val="None"/>
          <w:sz w:val="28"/>
          <w:szCs w:val="28"/>
          <w:rtl w:val="0"/>
          <w:lang w:val="en-US"/>
        </w:rPr>
        <w:t xml:space="preserve">[with men who were admittedly] </w:t>
      </w:r>
      <w:r>
        <w:rPr>
          <w:rStyle w:val="None"/>
          <w:sz w:val="28"/>
          <w:szCs w:val="28"/>
          <w:rtl w:val="0"/>
          <w:lang w:val="en-US"/>
        </w:rPr>
        <w:t>“</w:t>
      </w:r>
      <w:r>
        <w:rPr>
          <w:rStyle w:val="None"/>
          <w:sz w:val="28"/>
          <w:szCs w:val="28"/>
          <w:rtl w:val="0"/>
          <w:lang w:val="fr-FR"/>
        </w:rPr>
        <w:t>not inhuman</w:t>
      </w:r>
      <w:r>
        <w:rPr>
          <w:rStyle w:val="None"/>
          <w:sz w:val="28"/>
          <w:szCs w:val="28"/>
          <w:rtl w:val="0"/>
          <w:lang w:val="en-US"/>
        </w:rPr>
        <w:t xml:space="preserve">” </w:t>
      </w:r>
      <w:r>
        <w:rPr>
          <w:rStyle w:val="None"/>
          <w:sz w:val="28"/>
          <w:szCs w:val="28"/>
          <w:rtl w:val="0"/>
          <w:lang w:val="en-US"/>
        </w:rPr>
        <w:t xml:space="preserve">[but the thought to him is] </w:t>
      </w:r>
      <w:r>
        <w:rPr>
          <w:rStyle w:val="None"/>
          <w:sz w:val="28"/>
          <w:szCs w:val="28"/>
          <w:rtl w:val="0"/>
          <w:lang w:val="en-US"/>
        </w:rPr>
        <w:t>“</w:t>
      </w:r>
      <w:r>
        <w:rPr>
          <w:rStyle w:val="None"/>
          <w:sz w:val="28"/>
          <w:szCs w:val="28"/>
          <w:rtl w:val="0"/>
          <w:lang w:val="en-US"/>
        </w:rPr>
        <w:t>ugly</w:t>
      </w:r>
      <w:r>
        <w:rPr>
          <w:rStyle w:val="None"/>
          <w:sz w:val="28"/>
          <w:szCs w:val="28"/>
          <w:rtl w:val="0"/>
          <w:lang w:val="en-US"/>
        </w:rPr>
        <w:t xml:space="preserve">”’ </w:t>
      </w:r>
      <w:r>
        <w:rPr>
          <w:rStyle w:val="None"/>
          <w:sz w:val="28"/>
          <w:szCs w:val="28"/>
          <w:rtl w:val="0"/>
          <w:lang w:val="en-US"/>
        </w:rPr>
        <w:t xml:space="preserve">(Achebe, p17). Most of the description of the Africans is confined to their </w:t>
      </w:r>
      <w:r>
        <w:rPr>
          <w:rStyle w:val="None"/>
          <w:sz w:val="28"/>
          <w:szCs w:val="28"/>
          <w:rtl w:val="0"/>
          <w:lang w:val="en-US"/>
        </w:rPr>
        <w:t>‘</w:t>
      </w:r>
      <w:r>
        <w:rPr>
          <w:rStyle w:val="None"/>
          <w:sz w:val="28"/>
          <w:szCs w:val="28"/>
          <w:rtl w:val="0"/>
          <w:lang w:val="en-US"/>
        </w:rPr>
        <w:t>black limbs or rolling eyes.</w:t>
      </w:r>
      <w:r>
        <w:rPr>
          <w:rStyle w:val="None"/>
          <w:sz w:val="28"/>
          <w:szCs w:val="28"/>
          <w:rtl w:val="0"/>
          <w:lang w:val="en-US"/>
        </w:rPr>
        <w:t>’</w:t>
      </w:r>
      <w:r>
        <w:rPr>
          <w:rStyle w:val="None"/>
          <w:sz w:val="28"/>
          <w:szCs w:val="28"/>
          <w:rtl w:val="0"/>
          <w:lang w:val="nl-NL"/>
        </w:rPr>
        <w:t xml:space="preserve"> (Achebe, p17).</w:t>
      </w:r>
      <w:r>
        <w:rPr>
          <w:rStyle w:val="None"/>
          <w:sz w:val="28"/>
          <w:szCs w:val="28"/>
          <w:rtl w:val="0"/>
          <w:lang w:val="en-US"/>
        </w:rPr>
        <w:t xml:space="preserve"> Racism can be seen as </w:t>
      </w:r>
      <w:r>
        <w:rPr>
          <w:rStyle w:val="None"/>
          <w:sz w:val="28"/>
          <w:szCs w:val="28"/>
          <w:rtl w:val="0"/>
          <w:lang w:val="en-US"/>
        </w:rPr>
        <w:t>‘</w:t>
      </w:r>
      <w:r>
        <w:rPr>
          <w:rStyle w:val="None"/>
          <w:sz w:val="28"/>
          <w:szCs w:val="28"/>
          <w:rtl w:val="0"/>
          <w:lang w:val="en-US"/>
        </w:rPr>
        <w:t>particular expressions of othering</w:t>
      </w:r>
      <w:r>
        <w:rPr>
          <w:rStyle w:val="None"/>
          <w:sz w:val="28"/>
          <w:szCs w:val="28"/>
          <w:rtl w:val="0"/>
          <w:lang w:val="en-US"/>
        </w:rPr>
        <w:t>’</w:t>
      </w:r>
      <w:r>
        <w:rPr>
          <w:rStyle w:val="None"/>
          <w:sz w:val="28"/>
          <w:szCs w:val="28"/>
          <w:vertAlign w:val="superscript"/>
          <w:lang w:val="en-US"/>
        </w:rPr>
        <w:footnoteReference w:id="6"/>
      </w:r>
      <w:r>
        <w:rPr>
          <w:rStyle w:val="None"/>
          <w:sz w:val="28"/>
          <w:szCs w:val="28"/>
          <w:rtl w:val="0"/>
          <w:lang w:val="en-US"/>
        </w:rPr>
        <w:t xml:space="preserve">. To subjugate </w:t>
      </w:r>
      <w:r>
        <w:rPr>
          <w:rStyle w:val="None"/>
          <w:sz w:val="28"/>
          <w:szCs w:val="28"/>
          <w:rtl w:val="0"/>
          <w:lang w:val="en-US"/>
        </w:rPr>
        <w:t>‘</w:t>
      </w:r>
      <w:r>
        <w:rPr>
          <w:rStyle w:val="None"/>
          <w:sz w:val="28"/>
          <w:szCs w:val="28"/>
          <w:rtl w:val="0"/>
          <w:lang w:val="en-US"/>
        </w:rPr>
        <w:t xml:space="preserve">an </w:t>
      </w:r>
      <w:r>
        <w:rPr>
          <w:rStyle w:val="None"/>
          <w:sz w:val="28"/>
          <w:szCs w:val="28"/>
          <w:rtl w:val="0"/>
          <w:lang w:val="en-US"/>
        </w:rPr>
        <w:t>“</w:t>
      </w:r>
      <w:r>
        <w:rPr>
          <w:rStyle w:val="None"/>
          <w:sz w:val="28"/>
          <w:szCs w:val="28"/>
          <w:rtl w:val="0"/>
          <w:lang w:val="de-DE"/>
        </w:rPr>
        <w:t>alien</w:t>
      </w:r>
      <w:r>
        <w:rPr>
          <w:rStyle w:val="None"/>
          <w:sz w:val="28"/>
          <w:szCs w:val="28"/>
          <w:rtl w:val="0"/>
          <w:lang w:val="en-US"/>
        </w:rPr>
        <w:t xml:space="preserve">” </w:t>
      </w:r>
      <w:r>
        <w:rPr>
          <w:rStyle w:val="None"/>
          <w:sz w:val="28"/>
          <w:szCs w:val="28"/>
          <w:rtl w:val="0"/>
          <w:lang w:val="en-US"/>
        </w:rPr>
        <w:t xml:space="preserve">people, a nation must convince itself that those people are </w:t>
      </w:r>
      <w:r>
        <w:rPr>
          <w:rStyle w:val="None"/>
          <w:sz w:val="28"/>
          <w:szCs w:val="28"/>
          <w:rtl w:val="0"/>
          <w:lang w:val="en-US"/>
        </w:rPr>
        <w:t>“</w:t>
      </w:r>
      <w:r>
        <w:rPr>
          <w:rStyle w:val="None"/>
          <w:sz w:val="28"/>
          <w:szCs w:val="28"/>
          <w:rtl w:val="0"/>
          <w:lang w:val="en-US"/>
        </w:rPr>
        <w:t>different,</w:t>
      </w:r>
      <w:r>
        <w:rPr>
          <w:rStyle w:val="None"/>
          <w:sz w:val="28"/>
          <w:szCs w:val="28"/>
          <w:rtl w:val="0"/>
          <w:lang w:val="en-US"/>
        </w:rPr>
        <w:t xml:space="preserve">” </w:t>
      </w:r>
      <w:r>
        <w:rPr>
          <w:rStyle w:val="None"/>
          <w:sz w:val="28"/>
          <w:szCs w:val="28"/>
          <w:rtl w:val="0"/>
          <w:lang w:val="en-US"/>
        </w:rPr>
        <w:t xml:space="preserve">and </w:t>
      </w:r>
      <w:r>
        <w:rPr>
          <w:rStyle w:val="None"/>
          <w:sz w:val="28"/>
          <w:szCs w:val="28"/>
          <w:rtl w:val="0"/>
          <w:lang w:val="en-US"/>
        </w:rPr>
        <w:t>“</w:t>
      </w:r>
      <w:r>
        <w:rPr>
          <w:rStyle w:val="None"/>
          <w:sz w:val="28"/>
          <w:szCs w:val="28"/>
          <w:rtl w:val="0"/>
          <w:lang w:val="en-US"/>
        </w:rPr>
        <w:t>different</w:t>
      </w:r>
      <w:r>
        <w:rPr>
          <w:rStyle w:val="None"/>
          <w:sz w:val="28"/>
          <w:szCs w:val="28"/>
          <w:rtl w:val="0"/>
          <w:lang w:val="en-US"/>
        </w:rPr>
        <w:t xml:space="preserve">” </w:t>
      </w:r>
      <w:r>
        <w:rPr>
          <w:rStyle w:val="None"/>
          <w:sz w:val="28"/>
          <w:szCs w:val="28"/>
          <w:rtl w:val="0"/>
          <w:lang w:val="en-US"/>
        </w:rPr>
        <w:t>must mean inferior to the point of being less than fully human. In postcolonial terminology, the subjugated people must be othered.</w:t>
      </w:r>
      <w:r>
        <w:rPr>
          <w:rStyle w:val="None"/>
          <w:sz w:val="28"/>
          <w:szCs w:val="28"/>
          <w:rtl w:val="0"/>
          <w:lang w:val="en-US"/>
        </w:rPr>
        <w:t>’</w:t>
      </w:r>
      <w:r>
        <w:rPr>
          <w:rStyle w:val="None"/>
          <w:sz w:val="28"/>
          <w:szCs w:val="28"/>
          <w:vertAlign w:val="superscript"/>
          <w:lang w:val="en-US"/>
        </w:rPr>
        <w:footnoteReference w:id="7"/>
      </w:r>
      <w:r>
        <w:rPr>
          <w:rStyle w:val="None"/>
          <w:sz w:val="28"/>
          <w:szCs w:val="28"/>
          <w:rtl w:val="0"/>
          <w:lang w:val="en-US"/>
        </w:rPr>
        <w:t xml:space="preserve"> Edward Said</w:t>
      </w:r>
      <w:r>
        <w:rPr>
          <w:rStyle w:val="None"/>
          <w:sz w:val="28"/>
          <w:szCs w:val="28"/>
          <w:rtl w:val="0"/>
          <w:lang w:val="en-US"/>
        </w:rPr>
        <w:t>’</w:t>
      </w:r>
      <w:r>
        <w:rPr>
          <w:rStyle w:val="None"/>
          <w:sz w:val="28"/>
          <w:szCs w:val="28"/>
          <w:rtl w:val="0"/>
          <w:lang w:val="en-US"/>
        </w:rPr>
        <w:t xml:space="preserve">s Orientalism is a form of othering, in which Western nations create a positive self image through contrasting themselves with </w:t>
      </w:r>
      <w:r>
        <w:rPr>
          <w:rStyle w:val="None"/>
          <w:sz w:val="28"/>
          <w:szCs w:val="28"/>
          <w:rtl w:val="0"/>
          <w:lang w:val="en-US"/>
        </w:rPr>
        <w:t>‘</w:t>
      </w:r>
      <w:r>
        <w:rPr>
          <w:rStyle w:val="None"/>
          <w:sz w:val="28"/>
          <w:szCs w:val="28"/>
          <w:rtl w:val="0"/>
          <w:lang w:val="en-US"/>
        </w:rPr>
        <w:t>Eastern nations on which the West projects all the negative characteristics it doesn</w:t>
      </w:r>
      <w:r>
        <w:rPr>
          <w:rStyle w:val="None"/>
          <w:sz w:val="28"/>
          <w:szCs w:val="28"/>
          <w:rtl w:val="0"/>
          <w:lang w:val="en-US"/>
        </w:rPr>
        <w:t>’</w:t>
      </w:r>
      <w:r>
        <w:rPr>
          <w:rStyle w:val="None"/>
          <w:sz w:val="28"/>
          <w:szCs w:val="28"/>
          <w:rtl w:val="0"/>
          <w:lang w:val="en-US"/>
        </w:rPr>
        <w:t>t want to believe exist among its own people.</w:t>
      </w:r>
      <w:r>
        <w:rPr>
          <w:rStyle w:val="None"/>
          <w:sz w:val="28"/>
          <w:szCs w:val="28"/>
          <w:rtl w:val="0"/>
          <w:lang w:val="en-US"/>
        </w:rPr>
        <w:t xml:space="preserve">’ </w:t>
      </w:r>
      <w:r>
        <w:rPr>
          <w:rStyle w:val="None"/>
          <w:sz w:val="28"/>
          <w:szCs w:val="28"/>
          <w:rtl w:val="0"/>
          <w:lang w:val="en-US"/>
        </w:rPr>
        <w:t>(Tyson p. 420).</w:t>
      </w:r>
    </w:p>
    <w:p>
      <w:pPr>
        <w:pStyle w:val="Body A"/>
        <w:spacing w:line="480" w:lineRule="auto"/>
        <w:rPr>
          <w:rStyle w:val="None"/>
          <w:sz w:val="28"/>
          <w:szCs w:val="28"/>
        </w:rPr>
      </w:pPr>
      <w:r>
        <w:rPr>
          <w:rStyle w:val="None"/>
          <w:sz w:val="28"/>
          <w:szCs w:val="28"/>
          <w:rtl w:val="0"/>
        </w:rPr>
        <w:tab/>
        <w:t xml:space="preserve">Othering in the form of racism occurs in a couple of notable examples </w:t>
      </w:r>
    </w:p>
    <w:p>
      <w:pPr>
        <w:pStyle w:val="Body A"/>
        <w:spacing w:line="480" w:lineRule="auto"/>
        <w:rPr>
          <w:rStyle w:val="None"/>
          <w:sz w:val="28"/>
          <w:szCs w:val="28"/>
        </w:rPr>
      </w:pPr>
      <w:r>
        <w:rPr>
          <w:rStyle w:val="None"/>
          <w:sz w:val="28"/>
          <w:szCs w:val="28"/>
          <w:rtl w:val="0"/>
          <w:lang w:val="en-US"/>
        </w:rPr>
        <w:t xml:space="preserve"> in </w:t>
      </w:r>
      <w:r>
        <w:rPr>
          <w:rStyle w:val="None"/>
          <w:i w:val="1"/>
          <w:iCs w:val="1"/>
          <w:sz w:val="28"/>
          <w:szCs w:val="28"/>
          <w:rtl w:val="0"/>
          <w:lang w:val="en-US"/>
        </w:rPr>
        <w:t xml:space="preserve">White Teeth. </w:t>
      </w:r>
      <w:r>
        <w:rPr>
          <w:rStyle w:val="None"/>
          <w:sz w:val="28"/>
          <w:szCs w:val="28"/>
          <w:rtl w:val="0"/>
          <w:lang w:val="en-US"/>
        </w:rPr>
        <w:t>At one point Magid, Millat and Irie are told by a pensioner, whom they visit to deliver harvest festival goods from their school, that during his time in the army he indiscriminately shot Africans when he saw their white teeth. Irie</w:t>
      </w:r>
      <w:r>
        <w:rPr>
          <w:rStyle w:val="None"/>
          <w:sz w:val="28"/>
          <w:szCs w:val="28"/>
          <w:rtl w:val="0"/>
          <w:lang w:val="en-US"/>
        </w:rPr>
        <w:t>’</w:t>
      </w:r>
      <w:r>
        <w:rPr>
          <w:rStyle w:val="None"/>
          <w:sz w:val="28"/>
          <w:szCs w:val="28"/>
          <w:rtl w:val="0"/>
          <w:lang w:val="en-US"/>
        </w:rPr>
        <w:t>s father, Archie, also receives luncheon vouchers on the understanding that he doesn</w:t>
      </w:r>
      <w:r>
        <w:rPr>
          <w:rStyle w:val="None"/>
          <w:sz w:val="28"/>
          <w:szCs w:val="28"/>
          <w:rtl w:val="0"/>
          <w:lang w:val="en-US"/>
        </w:rPr>
        <w:t>’</w:t>
      </w:r>
      <w:r>
        <w:rPr>
          <w:rStyle w:val="None"/>
          <w:sz w:val="28"/>
          <w:szCs w:val="28"/>
          <w:rtl w:val="0"/>
          <w:lang w:val="en-US"/>
        </w:rPr>
        <w:t>t attend any office functions with his black wife. But Smith also portrays the discrimination existing on the part of the immigrants who fear their offspring will be corrupted through their contact with the West. Samad sends one of his son</w:t>
      </w:r>
      <w:r>
        <w:rPr>
          <w:rStyle w:val="None"/>
          <w:sz w:val="28"/>
          <w:szCs w:val="28"/>
          <w:rtl w:val="0"/>
          <w:lang w:val="en-US"/>
        </w:rPr>
        <w:t>’</w:t>
      </w:r>
      <w:r>
        <w:rPr>
          <w:rStyle w:val="None"/>
          <w:sz w:val="28"/>
          <w:szCs w:val="28"/>
          <w:rtl w:val="0"/>
          <w:lang w:val="en-US"/>
        </w:rPr>
        <w:t xml:space="preserve">s, Magid, back to Bangladesh in the hope that the experience will make him a good Muslim. His wife, Alsana, also has nightmares that her sons through marriage will eventually lose any trace of their Bengali heritage, </w:t>
      </w:r>
      <w:r>
        <w:rPr>
          <w:rStyle w:val="None"/>
          <w:sz w:val="28"/>
          <w:szCs w:val="28"/>
          <w:rtl w:val="0"/>
          <w:lang w:val="en-US"/>
        </w:rPr>
        <w:t>‘</w:t>
      </w:r>
      <w:r>
        <w:rPr>
          <w:rStyle w:val="None"/>
          <w:sz w:val="28"/>
          <w:szCs w:val="28"/>
          <w:rtl w:val="0"/>
          <w:lang w:val="en-US"/>
        </w:rPr>
        <w:t>leaving Alsana with a legacy of unrecognizable great- grandchildren (Aaaaaaa!), their Bengaliness thoroughly diluted, genotype hidden by phenotype.</w:t>
      </w:r>
      <w:r>
        <w:rPr>
          <w:rStyle w:val="None"/>
          <w:sz w:val="28"/>
          <w:szCs w:val="28"/>
          <w:rtl w:val="0"/>
          <w:lang w:val="en-US"/>
        </w:rPr>
        <w:t xml:space="preserve">’ </w:t>
      </w:r>
      <w:r>
        <w:rPr>
          <w:rStyle w:val="None"/>
          <w:sz w:val="28"/>
          <w:szCs w:val="28"/>
          <w:rtl w:val="0"/>
          <w:lang w:val="en-US"/>
        </w:rPr>
        <w:t>(Smith p. 330).</w:t>
      </w:r>
    </w:p>
    <w:p>
      <w:pPr>
        <w:pStyle w:val="Body A"/>
        <w:spacing w:line="480" w:lineRule="auto"/>
        <w:rPr>
          <w:rStyle w:val="None"/>
          <w:sz w:val="28"/>
          <w:szCs w:val="28"/>
        </w:rPr>
      </w:pPr>
      <w:r>
        <w:rPr>
          <w:rStyle w:val="None"/>
          <w:sz w:val="28"/>
          <w:szCs w:val="28"/>
          <w:rtl w:val="0"/>
        </w:rPr>
        <w:tab/>
        <w:t>McMann writes that Samad and Alsana</w:t>
      </w:r>
      <w:r>
        <w:rPr>
          <w:rStyle w:val="None"/>
          <w:sz w:val="28"/>
          <w:szCs w:val="28"/>
          <w:rtl w:val="0"/>
          <w:lang w:val="en-US"/>
        </w:rPr>
        <w:t>’</w:t>
      </w:r>
      <w:r>
        <w:rPr>
          <w:rStyle w:val="None"/>
          <w:sz w:val="28"/>
          <w:szCs w:val="28"/>
          <w:rtl w:val="0"/>
          <w:lang w:val="en-US"/>
        </w:rPr>
        <w:t>s two sons aren</w:t>
      </w:r>
      <w:r>
        <w:rPr>
          <w:rStyle w:val="None"/>
          <w:sz w:val="28"/>
          <w:szCs w:val="28"/>
          <w:rtl w:val="0"/>
          <w:lang w:val="en-US"/>
        </w:rPr>
        <w:t>’</w:t>
      </w:r>
      <w:r>
        <w:rPr>
          <w:rStyle w:val="None"/>
          <w:sz w:val="28"/>
          <w:szCs w:val="28"/>
          <w:rtl w:val="0"/>
          <w:lang w:val="en-US"/>
        </w:rPr>
        <w:t xml:space="preserve">t as affected by the binary division that otherness imposes because </w:t>
      </w:r>
      <w:r>
        <w:rPr>
          <w:rStyle w:val="None"/>
          <w:sz w:val="28"/>
          <w:szCs w:val="28"/>
          <w:rtl w:val="0"/>
          <w:lang w:val="en-US"/>
        </w:rPr>
        <w:t>‘</w:t>
      </w:r>
      <w:r>
        <w:rPr>
          <w:rStyle w:val="None"/>
          <w:sz w:val="28"/>
          <w:szCs w:val="28"/>
          <w:rtl w:val="0"/>
          <w:lang w:val="en-US"/>
        </w:rPr>
        <w:t>though they struggle with being multicultural, they don't wrestle with a biracial identity; perhaps because they are not black, but Asian</w:t>
      </w:r>
      <w:r>
        <w:rPr>
          <w:rStyle w:val="None"/>
          <w:sz w:val="28"/>
          <w:szCs w:val="28"/>
          <w:rtl w:val="0"/>
          <w:lang w:val="en-US"/>
        </w:rPr>
        <w:t>—</w:t>
      </w:r>
      <w:r>
        <w:rPr>
          <w:rStyle w:val="None"/>
          <w:sz w:val="28"/>
          <w:szCs w:val="28"/>
          <w:rtl w:val="0"/>
          <w:lang w:val="en-US"/>
        </w:rPr>
        <w:t>they appear to struggle less with the rhetoric and images of race that surround them</w:t>
      </w:r>
      <w:r>
        <w:rPr>
          <w:rStyle w:val="None"/>
          <w:sz w:val="28"/>
          <w:szCs w:val="28"/>
          <w:rtl w:val="0"/>
          <w:lang w:val="en-US"/>
        </w:rPr>
        <w:t>’</w:t>
      </w:r>
      <w:r>
        <w:rPr>
          <w:rStyle w:val="None"/>
          <w:sz w:val="28"/>
          <w:szCs w:val="28"/>
          <w:vertAlign w:val="superscript"/>
        </w:rPr>
        <w:footnoteReference w:id="8"/>
      </w:r>
      <w:r>
        <w:rPr>
          <w:rStyle w:val="None"/>
          <w:sz w:val="28"/>
          <w:szCs w:val="28"/>
          <w:rtl w:val="0"/>
          <w:lang w:val="en-US"/>
        </w:rPr>
        <w:t xml:space="preserve"> Yet despite this they are still victims of othering and it impacts on their sense of self:</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 xml:space="preserve">He knew that he, Millat, was a Paki no matter where he came from; </w:t>
        <w:tab/>
        <w:tab/>
        <w:t>that he smelt of curry; had no sexual identity; took other people</w:t>
      </w:r>
      <w:r>
        <w:rPr>
          <w:rStyle w:val="None"/>
          <w:sz w:val="28"/>
          <w:szCs w:val="28"/>
          <w:rtl w:val="0"/>
          <w:lang w:val="en-US"/>
        </w:rPr>
        <w:t>’</w:t>
      </w:r>
      <w:r>
        <w:rPr>
          <w:rStyle w:val="None"/>
          <w:sz w:val="28"/>
          <w:szCs w:val="28"/>
          <w:rtl w:val="0"/>
          <w:lang w:val="en-US"/>
        </w:rPr>
        <w:t xml:space="preserve">s jobs </w:t>
        <w:tab/>
        <w:t xml:space="preserve">or had no job and bummed off the state; or gave all the jobs to his </w:t>
        <w:tab/>
        <w:tab/>
        <w:t xml:space="preserve">relatives; that he could be a dentist or a shop-owner but not a </w:t>
        <w:tab/>
        <w:tab/>
        <w:tab/>
        <w:t>footballer or film-</w:t>
        <w:tab/>
        <w:t xml:space="preserve">maker; that he should go back to his own country; or </w:t>
        <w:tab/>
        <w:t xml:space="preserve">stay here and earn his bloody keep; that he worshipped elephants and </w:t>
        <w:tab/>
        <w:t>wore turbans; (Smith p. 239).</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In postcolonial criticism the term double consciousness is used to identify one of the consequences that can occur when an individual tries to construct their self to counter the effects of othering. Tyson</w:t>
      </w:r>
      <w:r>
        <w:rPr>
          <w:rStyle w:val="None"/>
          <w:sz w:val="28"/>
          <w:szCs w:val="28"/>
          <w:rtl w:val="0"/>
          <w:lang w:val="en-US"/>
        </w:rPr>
        <w:t>’</w:t>
      </w:r>
      <w:r>
        <w:rPr>
          <w:rStyle w:val="None"/>
          <w:sz w:val="28"/>
          <w:szCs w:val="28"/>
          <w:rtl w:val="0"/>
          <w:lang w:val="en-US"/>
        </w:rPr>
        <w:t>s description of double consciousness in a specifically Afro-American context is given below as:</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 xml:space="preserve">The awareness of belonging to two conflicting cultures: the African </w:t>
        <w:tab/>
        <w:tab/>
        <w:t xml:space="preserve">culture, which grew from African roots and was transformed by its own </w:t>
        <w:tab/>
        <w:t xml:space="preserve">unique history on American soil, and the European culture imposed by </w:t>
        <w:tab/>
        <w:t xml:space="preserve">white America. For many black Americans this means having one </w:t>
        <w:tab/>
        <w:tab/>
        <w:t>cultural self at home and another cultural self in white</w:t>
      </w:r>
      <w:r>
        <w:rPr>
          <w:rStyle w:val="None"/>
          <w:sz w:val="28"/>
          <w:szCs w:val="28"/>
          <w:rtl w:val="0"/>
          <w:lang w:val="en-US"/>
        </w:rPr>
        <w:t>‐</w:t>
      </w:r>
      <w:r>
        <w:rPr>
          <w:rStyle w:val="None"/>
          <w:sz w:val="28"/>
          <w:szCs w:val="28"/>
          <w:rtl w:val="0"/>
          <w:lang w:val="en-US"/>
        </w:rPr>
        <w:t xml:space="preserve">dominated </w:t>
        <w:tab/>
        <w:tab/>
        <w:t>public space, such as the workplace and the school. (Tyson, p.362)</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Double consciousness is closely aligned to mimicry, a term coined by Homi Bhabha </w:t>
      </w:r>
      <w:r>
        <w:rPr>
          <w:rStyle w:val="None"/>
          <w:sz w:val="28"/>
          <w:szCs w:val="28"/>
          <w:vertAlign w:val="superscript"/>
        </w:rPr>
        <w:footnoteReference w:id="9"/>
      </w:r>
      <w:r>
        <w:rPr>
          <w:rStyle w:val="None"/>
          <w:sz w:val="28"/>
          <w:szCs w:val="28"/>
          <w:rtl w:val="0"/>
          <w:lang w:val="en-US"/>
        </w:rPr>
        <w:t xml:space="preserve">. Similarly this involves members of the colonised society adopting the clothing, politics and culture of the colonisers, as though through this act of mimicry the power of the colonisers will be somehow magically bestowed upon them.       </w:t>
      </w:r>
    </w:p>
    <w:p>
      <w:pPr>
        <w:pStyle w:val="Body A"/>
        <w:spacing w:line="480" w:lineRule="auto"/>
        <w:rPr>
          <w:rStyle w:val="None"/>
          <w:sz w:val="28"/>
          <w:szCs w:val="28"/>
        </w:rPr>
      </w:pPr>
      <w:r>
        <w:rPr>
          <w:rStyle w:val="None"/>
          <w:sz w:val="28"/>
          <w:szCs w:val="28"/>
          <w:rtl w:val="0"/>
        </w:rPr>
        <w:tab/>
        <w:t xml:space="preserve">In </w:t>
      </w:r>
      <w:r>
        <w:rPr>
          <w:rStyle w:val="None"/>
          <w:i w:val="1"/>
          <w:iCs w:val="1"/>
          <w:sz w:val="28"/>
          <w:szCs w:val="28"/>
          <w:rtl w:val="0"/>
          <w:lang w:val="en-US"/>
        </w:rPr>
        <w:t>White Teeth</w:t>
      </w:r>
      <w:r>
        <w:rPr>
          <w:rStyle w:val="None"/>
          <w:sz w:val="28"/>
          <w:szCs w:val="28"/>
          <w:rtl w:val="0"/>
          <w:lang w:val="en-US"/>
        </w:rPr>
        <w:t xml:space="preserve"> characters who attempt to forge a composite self through retaining their beliefs about their homeland, but also seek to create a second self based on adopted Western values are treated satirically by Smith. Samad attempts to retain his strong Muslim faith but is frequently beset by the temptations that assail him on an almost daily basis in London, particularly in regard to alcohol and Western women. His son</w:t>
      </w:r>
      <w:r>
        <w:rPr>
          <w:rStyle w:val="None"/>
          <w:sz w:val="28"/>
          <w:szCs w:val="28"/>
          <w:rtl w:val="0"/>
          <w:lang w:val="en-US"/>
        </w:rPr>
        <w:t>’</w:t>
      </w:r>
      <w:r>
        <w:rPr>
          <w:rStyle w:val="None"/>
          <w:sz w:val="28"/>
          <w:szCs w:val="28"/>
          <w:rtl w:val="0"/>
          <w:lang w:val="en-US"/>
        </w:rPr>
        <w:t xml:space="preserve">s music teacher Poppy is attracted to him, telling him that, </w:t>
      </w:r>
      <w:r>
        <w:rPr>
          <w:rStyle w:val="None"/>
          <w:sz w:val="28"/>
          <w:szCs w:val="28"/>
          <w:rtl w:val="0"/>
          <w:lang w:val="en-US"/>
        </w:rPr>
        <w:t>“</w:t>
      </w:r>
      <w:r>
        <w:rPr>
          <w:rStyle w:val="None"/>
          <w:sz w:val="28"/>
          <w:szCs w:val="28"/>
          <w:rtl w:val="0"/>
          <w:lang w:val="en-US"/>
        </w:rPr>
        <w:t>I</w:t>
      </w:r>
      <w:r>
        <w:rPr>
          <w:rStyle w:val="None"/>
          <w:sz w:val="28"/>
          <w:szCs w:val="28"/>
          <w:rtl w:val="0"/>
          <w:lang w:val="en-US"/>
        </w:rPr>
        <w:t>’</w:t>
      </w:r>
      <w:r>
        <w:rPr>
          <w:rStyle w:val="None"/>
          <w:sz w:val="28"/>
          <w:szCs w:val="28"/>
          <w:rtl w:val="0"/>
          <w:lang w:val="en-US"/>
        </w:rPr>
        <w:t>m sure the Omar Sharif comparison</w:t>
      </w:r>
      <w:r>
        <w:rPr>
          <w:rStyle w:val="None"/>
          <w:sz w:val="28"/>
          <w:szCs w:val="28"/>
          <w:rtl w:val="0"/>
          <w:lang w:val="en-US"/>
        </w:rPr>
        <w:t>’</w:t>
      </w:r>
      <w:r>
        <w:rPr>
          <w:rStyle w:val="None"/>
          <w:sz w:val="28"/>
          <w:szCs w:val="28"/>
          <w:rtl w:val="0"/>
          <w:lang w:val="en-US"/>
        </w:rPr>
        <w:t>s been made before, Mr Iqbal.</w:t>
      </w:r>
      <w:r>
        <w:rPr>
          <w:rStyle w:val="None"/>
          <w:sz w:val="28"/>
          <w:szCs w:val="28"/>
          <w:rtl w:val="0"/>
          <w:lang w:val="en-US"/>
        </w:rPr>
        <w:t xml:space="preserve">” </w:t>
      </w:r>
      <w:r>
        <w:rPr>
          <w:rStyle w:val="None"/>
          <w:sz w:val="28"/>
          <w:szCs w:val="28"/>
          <w:rtl w:val="0"/>
          <w:lang w:val="en-US"/>
        </w:rPr>
        <w:t xml:space="preserve">(Smith, p.141). Unfortunately, the desire is reciprocated. His comic attempts to assuage his guilt over his sexual needs follow a series of deals he makes with God as </w:t>
      </w:r>
      <w:r>
        <w:rPr>
          <w:rStyle w:val="None"/>
          <w:sz w:val="28"/>
          <w:szCs w:val="28"/>
          <w:rtl w:val="0"/>
          <w:lang w:val="en-US"/>
        </w:rPr>
        <w:t>‘</w:t>
      </w:r>
      <w:r>
        <w:rPr>
          <w:rStyle w:val="None"/>
          <w:sz w:val="28"/>
          <w:szCs w:val="28"/>
          <w:rtl w:val="0"/>
          <w:lang w:val="en-US"/>
        </w:rPr>
        <w:t>the sleeping partner</w:t>
      </w:r>
      <w:r>
        <w:rPr>
          <w:rStyle w:val="None"/>
          <w:sz w:val="28"/>
          <w:szCs w:val="28"/>
          <w:rtl w:val="0"/>
          <w:lang w:val="en-US"/>
        </w:rPr>
        <w:t xml:space="preserve">’ </w:t>
      </w:r>
      <w:r>
        <w:rPr>
          <w:rStyle w:val="None"/>
          <w:sz w:val="28"/>
          <w:szCs w:val="28"/>
          <w:rtl w:val="0"/>
          <w:lang w:val="en-US"/>
        </w:rPr>
        <w:t>(Smith, p.145), in which he vows to give up masturbation if he can drink Guinness, a deal he ironically structures in Western terms as a New Year</w:t>
      </w:r>
      <w:r>
        <w:rPr>
          <w:rStyle w:val="None"/>
          <w:sz w:val="28"/>
          <w:szCs w:val="28"/>
          <w:rtl w:val="0"/>
          <w:lang w:val="en-US"/>
        </w:rPr>
        <w:t>’</w:t>
      </w:r>
      <w:r>
        <w:rPr>
          <w:rStyle w:val="None"/>
          <w:sz w:val="28"/>
          <w:szCs w:val="28"/>
          <w:rtl w:val="0"/>
          <w:lang w:val="en-US"/>
        </w:rPr>
        <w:t xml:space="preserve">s resolution, with the postscript </w:t>
      </w:r>
      <w:r>
        <w:rPr>
          <w:rStyle w:val="None"/>
          <w:sz w:val="28"/>
          <w:szCs w:val="28"/>
          <w:rtl w:val="0"/>
          <w:lang w:val="en-US"/>
        </w:rPr>
        <w:t>‘</w:t>
      </w:r>
      <w:r>
        <w:rPr>
          <w:rStyle w:val="None"/>
          <w:sz w:val="28"/>
          <w:szCs w:val="28"/>
          <w:rtl w:val="0"/>
          <w:lang w:val="en-US"/>
        </w:rPr>
        <w:t>Can</w:t>
      </w:r>
      <w:r>
        <w:rPr>
          <w:rStyle w:val="None"/>
          <w:sz w:val="28"/>
          <w:szCs w:val="28"/>
          <w:rtl w:val="0"/>
          <w:lang w:val="en-US"/>
        </w:rPr>
        <w:t>’</w:t>
      </w:r>
      <w:r>
        <w:rPr>
          <w:rStyle w:val="None"/>
          <w:sz w:val="28"/>
          <w:szCs w:val="28"/>
          <w:rtl w:val="0"/>
          <w:lang w:val="en-US"/>
        </w:rPr>
        <w:t>t say fairer than that.</w:t>
      </w:r>
      <w:r>
        <w:rPr>
          <w:rStyle w:val="None"/>
          <w:sz w:val="28"/>
          <w:szCs w:val="28"/>
          <w:rtl w:val="0"/>
          <w:lang w:val="en-US"/>
        </w:rPr>
        <w:t xml:space="preserve">’ </w:t>
      </w:r>
      <w:r>
        <w:rPr>
          <w:rStyle w:val="None"/>
          <w:sz w:val="28"/>
          <w:szCs w:val="28"/>
          <w:rtl w:val="0"/>
          <w:lang w:val="en-US"/>
        </w:rPr>
        <w:t xml:space="preserve">(Smith, p.145). Samad unfortunately is unable to abide by the terms of the deal, eventually having an affair with the teacher which also ends badly. This naturally causes him considerable guilt and stress, and clearly highlights the difficulties of creating a dual identity based upon the conflicting values of secular Western society, and the strict religious code of his homeland. </w:t>
      </w:r>
    </w:p>
    <w:p>
      <w:pPr>
        <w:pStyle w:val="Body A"/>
        <w:spacing w:line="480" w:lineRule="auto"/>
        <w:rPr>
          <w:rStyle w:val="None"/>
          <w:sz w:val="28"/>
          <w:szCs w:val="28"/>
        </w:rPr>
      </w:pPr>
      <w:r>
        <w:rPr>
          <w:rStyle w:val="None"/>
          <w:sz w:val="28"/>
          <w:szCs w:val="28"/>
          <w:rtl w:val="0"/>
        </w:rPr>
        <w:tab/>
        <w:t>Samad</w:t>
      </w:r>
      <w:r>
        <w:rPr>
          <w:rStyle w:val="None"/>
          <w:sz w:val="28"/>
          <w:szCs w:val="28"/>
          <w:rtl w:val="0"/>
          <w:lang w:val="en-US"/>
        </w:rPr>
        <w:t>’</w:t>
      </w:r>
      <w:r>
        <w:rPr>
          <w:rStyle w:val="None"/>
          <w:sz w:val="28"/>
          <w:szCs w:val="28"/>
          <w:rtl w:val="0"/>
          <w:lang w:val="en-US"/>
        </w:rPr>
        <w:t>s attempt to maintain an outwardly strict Muslim persona, whilst harbouring this inner duplicity, mark him as a hypocrite, as well as foregrounding the difficulties involved in constructing a self based on double consciousness. As if to underscore the invalidity of double consciousness, Samad</w:t>
      </w:r>
      <w:r>
        <w:rPr>
          <w:rStyle w:val="None"/>
          <w:sz w:val="28"/>
          <w:szCs w:val="28"/>
          <w:rtl w:val="0"/>
          <w:lang w:val="en-US"/>
        </w:rPr>
        <w:t>’</w:t>
      </w:r>
      <w:r>
        <w:rPr>
          <w:rStyle w:val="None"/>
          <w:sz w:val="28"/>
          <w:szCs w:val="28"/>
          <w:rtl w:val="0"/>
          <w:lang w:val="en-US"/>
        </w:rPr>
        <w:t>s decision to send one of his twin son</w:t>
      </w:r>
      <w:r>
        <w:rPr>
          <w:rStyle w:val="None"/>
          <w:sz w:val="28"/>
          <w:szCs w:val="28"/>
          <w:rtl w:val="0"/>
          <w:lang w:val="en-US"/>
        </w:rPr>
        <w:t>’</w:t>
      </w:r>
      <w:r>
        <w:rPr>
          <w:rStyle w:val="None"/>
          <w:sz w:val="28"/>
          <w:szCs w:val="28"/>
          <w:rtl w:val="0"/>
          <w:lang w:val="en-US"/>
        </w:rPr>
        <w:t>s Magid back to Bangladesh, at enormous financial and personal cost to both him and his wife Alsana, is a disaster. His intention to make him into a good Muslim boy, brought up in the strong cultural traditions Samad had known as a child, and the opposite of his westernised brother Millat backfires. Bangladesh is no longer the country he knew, and has now changed for the worse. Upon his son</w:t>
      </w:r>
      <w:r>
        <w:rPr>
          <w:rStyle w:val="None"/>
          <w:sz w:val="28"/>
          <w:szCs w:val="28"/>
          <w:rtl w:val="0"/>
          <w:lang w:val="en-US"/>
        </w:rPr>
        <w:t>’</w:t>
      </w:r>
      <w:r>
        <w:rPr>
          <w:rStyle w:val="None"/>
          <w:sz w:val="28"/>
          <w:szCs w:val="28"/>
          <w:rtl w:val="0"/>
          <w:lang w:val="en-US"/>
        </w:rPr>
        <w:t>s return he is far more anglicised then when he left, along with having become a convert to atheism and enjoying a bacon sandwich. Dumescu writes that:</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 xml:space="preserve">Samad feels that you have to relate to your past in order to have a </w:t>
        <w:tab/>
        <w:tab/>
        <w:t xml:space="preserve">future, but real-life events contradict him. His children refuse any </w:t>
        <w:tab/>
        <w:tab/>
        <w:t xml:space="preserve">connection to the past, Alsana trusts the BBC above anything, while </w:t>
        <w:tab/>
        <w:tab/>
        <w:t>her cousin is a lesbian who creates shoes.</w:t>
      </w:r>
      <w:r>
        <w:rPr>
          <w:rStyle w:val="None"/>
          <w:sz w:val="28"/>
          <w:szCs w:val="28"/>
          <w:vertAlign w:val="superscript"/>
        </w:rPr>
        <w:footnoteReference w:id="10"/>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In contrast to Samad, Irie who is daughter of a mixed race marriage wants to alter her physical appearance so that she can transform herself from </w:t>
      </w:r>
      <w:r>
        <w:rPr>
          <w:rStyle w:val="None"/>
          <w:sz w:val="28"/>
          <w:szCs w:val="28"/>
          <w:rtl w:val="0"/>
          <w:lang w:val="en-US"/>
        </w:rPr>
        <w:t>‘</w:t>
      </w:r>
      <w:r>
        <w:rPr>
          <w:rStyle w:val="None"/>
          <w:sz w:val="28"/>
          <w:szCs w:val="28"/>
          <w:rtl w:val="0"/>
          <w:lang w:val="en-US"/>
        </w:rPr>
        <w:t>Jamaican hourglass [</w:t>
      </w:r>
      <w:r>
        <w:rPr>
          <w:rStyle w:val="None"/>
          <w:sz w:val="28"/>
          <w:szCs w:val="28"/>
          <w:rtl w:val="0"/>
          <w:lang w:val="en-US"/>
        </w:rPr>
        <w:t>…</w:t>
      </w:r>
      <w:r>
        <w:rPr>
          <w:rStyle w:val="None"/>
          <w:sz w:val="28"/>
          <w:szCs w:val="28"/>
          <w:rtl w:val="0"/>
          <w:lang w:val="en-US"/>
        </w:rPr>
        <w:t xml:space="preserve">] to </w:t>
      </w:r>
      <w:r>
        <w:rPr>
          <w:rStyle w:val="None"/>
          <w:i w:val="1"/>
          <w:iCs w:val="1"/>
          <w:sz w:val="28"/>
          <w:szCs w:val="28"/>
          <w:rtl w:val="0"/>
          <w:lang w:val="en-US"/>
        </w:rPr>
        <w:t>English Rose.</w:t>
      </w:r>
      <w:r>
        <w:rPr>
          <w:rStyle w:val="None"/>
          <w:sz w:val="28"/>
          <w:szCs w:val="28"/>
          <w:rtl w:val="0"/>
          <w:lang w:val="en-US"/>
        </w:rPr>
        <w:t xml:space="preserve">’ </w:t>
      </w:r>
      <w:r>
        <w:rPr>
          <w:rStyle w:val="None"/>
          <w:sz w:val="28"/>
          <w:szCs w:val="28"/>
          <w:rtl w:val="0"/>
          <w:lang w:val="en-US"/>
        </w:rPr>
        <w:t xml:space="preserve">(Smith, p.271). In particular she wants to straighten out her afro so she can conform to the </w:t>
      </w:r>
      <w:r>
        <w:rPr>
          <w:rStyle w:val="None"/>
          <w:sz w:val="28"/>
          <w:szCs w:val="28"/>
          <w:rtl w:val="0"/>
          <w:lang w:val="en-US"/>
        </w:rPr>
        <w:t>‘</w:t>
      </w:r>
      <w:r>
        <w:rPr>
          <w:rStyle w:val="None"/>
          <w:sz w:val="28"/>
          <w:szCs w:val="28"/>
          <w:rtl w:val="0"/>
          <w:lang w:val="en-US"/>
        </w:rPr>
        <w:t>the narrowly Anglo definition of beauty that Irie has internalized.</w:t>
      </w:r>
      <w:r>
        <w:rPr>
          <w:rStyle w:val="None"/>
          <w:sz w:val="28"/>
          <w:szCs w:val="28"/>
          <w:rtl w:val="0"/>
          <w:lang w:val="en-US"/>
        </w:rPr>
        <w:t xml:space="preserve">’ </w:t>
      </w:r>
      <w:r>
        <w:rPr>
          <w:rStyle w:val="None"/>
          <w:sz w:val="28"/>
          <w:szCs w:val="28"/>
          <w:rtl w:val="0"/>
          <w:lang w:val="en-US"/>
        </w:rPr>
        <w:t>(McCann, p.630). Needless to say the attempt is a disaster. Ignoring the stylist in the hair salon she ends up burning her scalp with ammonia. Following this she undergoes a five and a half hour procedure in which she has someone else</w:t>
      </w:r>
      <w:r>
        <w:rPr>
          <w:rStyle w:val="None"/>
          <w:sz w:val="28"/>
          <w:szCs w:val="28"/>
          <w:rtl w:val="0"/>
          <w:lang w:val="en-US"/>
        </w:rPr>
        <w:t>’</w:t>
      </w:r>
      <w:r>
        <w:rPr>
          <w:rStyle w:val="None"/>
          <w:sz w:val="28"/>
          <w:szCs w:val="28"/>
          <w:rtl w:val="0"/>
          <w:lang w:val="en-US"/>
        </w:rPr>
        <w:t xml:space="preserve">s hair plaited and glued onto hers. After being ridiculed for wearing the hair of </w:t>
      </w:r>
      <w:r>
        <w:rPr>
          <w:rStyle w:val="None"/>
          <w:sz w:val="28"/>
          <w:szCs w:val="28"/>
          <w:rtl w:val="0"/>
          <w:lang w:val="en-US"/>
        </w:rPr>
        <w:t>‘</w:t>
      </w:r>
      <w:r>
        <w:rPr>
          <w:rStyle w:val="None"/>
          <w:sz w:val="28"/>
          <w:szCs w:val="28"/>
          <w:rtl w:val="0"/>
          <w:lang w:val="en-US"/>
        </w:rPr>
        <w:t>some poor oppressed Pakistani woman who needs the cash for her kids.</w:t>
      </w:r>
      <w:r>
        <w:rPr>
          <w:rStyle w:val="None"/>
          <w:sz w:val="28"/>
          <w:szCs w:val="28"/>
          <w:rtl w:val="0"/>
          <w:lang w:val="en-US"/>
        </w:rPr>
        <w:t xml:space="preserve">’ </w:t>
      </w:r>
      <w:r>
        <w:rPr>
          <w:rStyle w:val="None"/>
          <w:sz w:val="28"/>
          <w:szCs w:val="28"/>
          <w:rtl w:val="0"/>
          <w:lang w:val="en-US"/>
        </w:rPr>
        <w:t xml:space="preserve">(Smith, p.288), she receives the advice that, </w:t>
      </w:r>
      <w:r>
        <w:rPr>
          <w:rStyle w:val="None"/>
          <w:sz w:val="28"/>
          <w:szCs w:val="28"/>
          <w:rtl w:val="0"/>
          <w:lang w:val="en-US"/>
        </w:rPr>
        <w:t>‘</w:t>
      </w:r>
      <w:r>
        <w:rPr>
          <w:rStyle w:val="None"/>
          <w:sz w:val="28"/>
          <w:szCs w:val="28"/>
          <w:rtl w:val="0"/>
          <w:lang w:val="en-US"/>
        </w:rPr>
        <w:t>the truth is the Barbra Streisand cut you</w:t>
      </w:r>
      <w:r>
        <w:rPr>
          <w:rStyle w:val="None"/>
          <w:sz w:val="28"/>
          <w:szCs w:val="28"/>
          <w:rtl w:val="0"/>
          <w:lang w:val="en-US"/>
        </w:rPr>
        <w:t>’</w:t>
      </w:r>
      <w:r>
        <w:rPr>
          <w:rStyle w:val="None"/>
          <w:sz w:val="28"/>
          <w:szCs w:val="28"/>
          <w:rtl w:val="0"/>
          <w:lang w:val="en-US"/>
        </w:rPr>
        <w:t>ve got there ain</w:t>
      </w:r>
      <w:r>
        <w:rPr>
          <w:rStyle w:val="None"/>
          <w:sz w:val="28"/>
          <w:szCs w:val="28"/>
          <w:rtl w:val="0"/>
          <w:lang w:val="en-US"/>
        </w:rPr>
        <w:t>’</w:t>
      </w:r>
      <w:r>
        <w:rPr>
          <w:rStyle w:val="None"/>
          <w:sz w:val="28"/>
          <w:szCs w:val="28"/>
          <w:rtl w:val="0"/>
          <w:lang w:val="en-US"/>
        </w:rPr>
        <w:t xml:space="preserve">t doing shit for you. The Afro was cool, man. It was wicked. It was </w:t>
      </w:r>
      <w:r>
        <w:rPr>
          <w:rStyle w:val="None"/>
          <w:i w:val="1"/>
          <w:iCs w:val="1"/>
          <w:sz w:val="28"/>
          <w:szCs w:val="28"/>
          <w:rtl w:val="0"/>
          <w:lang w:val="en-US"/>
        </w:rPr>
        <w:t>yours</w:t>
      </w:r>
      <w:r>
        <w:rPr>
          <w:rStyle w:val="None"/>
          <w:sz w:val="28"/>
          <w:szCs w:val="28"/>
          <w:rtl w:val="0"/>
          <w:lang w:val="en-US"/>
        </w:rPr>
        <w:t>.</w:t>
      </w:r>
      <w:r>
        <w:rPr>
          <w:rStyle w:val="None"/>
          <w:sz w:val="28"/>
          <w:szCs w:val="28"/>
          <w:rtl w:val="0"/>
          <w:lang w:val="en-US"/>
        </w:rPr>
        <w:t xml:space="preserve">’ </w:t>
      </w:r>
      <w:r>
        <w:rPr>
          <w:rStyle w:val="None"/>
          <w:sz w:val="28"/>
          <w:szCs w:val="28"/>
          <w:rtl w:val="0"/>
          <w:lang w:val="en-US"/>
        </w:rPr>
        <w:t xml:space="preserve">(Smith, p.289). Again, this demonstrates clearly the difficulties of trying to maintain a dual identity based on the values of two different cultures. </w:t>
      </w:r>
    </w:p>
    <w:p>
      <w:pPr>
        <w:pStyle w:val="Body A"/>
        <w:spacing w:line="480" w:lineRule="auto"/>
        <w:rPr>
          <w:rStyle w:val="None"/>
          <w:sz w:val="28"/>
          <w:szCs w:val="28"/>
        </w:rPr>
      </w:pPr>
      <w:r>
        <w:rPr>
          <w:rStyle w:val="None"/>
          <w:sz w:val="28"/>
          <w:szCs w:val="28"/>
          <w:rtl w:val="0"/>
        </w:rPr>
        <w:tab/>
        <w:t xml:space="preserve">A consequence of attempting to construct an identity based upon double consciousness is what Homi Bhabha, amongst others have termed as unhomeliness. Central to this is idea is that as well as trying to belong in equal parts to both cultures, (with the attendant problems shown above), the individual can also become stranded between cultures, </w:t>
      </w:r>
      <w:r>
        <w:rPr>
          <w:rStyle w:val="None"/>
          <w:sz w:val="28"/>
          <w:szCs w:val="28"/>
          <w:rtl w:val="0"/>
          <w:lang w:val="en-US"/>
        </w:rPr>
        <w:t>‘</w:t>
      </w:r>
      <w:r>
        <w:rPr>
          <w:rStyle w:val="None"/>
          <w:sz w:val="28"/>
          <w:szCs w:val="28"/>
          <w:rtl w:val="0"/>
          <w:lang w:val="en-US"/>
        </w:rPr>
        <w:t>of belonging to neither rather than to both, of finding oneself arrested in a psychological limbo that results not merely from some individual psychological disorder but from the trauma of the cultural displacement within which one lives</w:t>
      </w:r>
      <w:r>
        <w:rPr>
          <w:rStyle w:val="None"/>
          <w:sz w:val="28"/>
          <w:szCs w:val="28"/>
          <w:rtl w:val="0"/>
          <w:lang w:val="en-US"/>
        </w:rPr>
        <w:t xml:space="preserve">’ </w:t>
      </w:r>
      <w:r>
        <w:rPr>
          <w:rStyle w:val="None"/>
          <w:sz w:val="28"/>
          <w:szCs w:val="28"/>
          <w:rtl w:val="0"/>
          <w:lang w:val="en-US"/>
        </w:rPr>
        <w:t xml:space="preserve">(Tyson, p.421). Moreover, the experience is often worse for women than men, who are subjected to all of the above problems, only to suffer the further level of oppression that occurs within a sexist, patriarchal society. This is often termed as double colonisation by postcolonial feminist writers.    </w:t>
      </w:r>
    </w:p>
    <w:p>
      <w:pPr>
        <w:pStyle w:val="Body A"/>
        <w:spacing w:line="480" w:lineRule="auto"/>
        <w:rPr>
          <w:rStyle w:val="None"/>
          <w:sz w:val="28"/>
          <w:szCs w:val="28"/>
        </w:rPr>
      </w:pPr>
      <w:r>
        <w:rPr>
          <w:rStyle w:val="None"/>
          <w:sz w:val="28"/>
          <w:szCs w:val="28"/>
          <w:rtl w:val="0"/>
        </w:rPr>
        <w:tab/>
        <w:t>Does Smith present an alternative to the unstable sense of self that follows from othering, double consciousness and unhomeliness? Is there a way that someone can leave the country in which they were born, and following their exposure to the West still retain their cultural heritage and identity? One of the difficulties an immigrant encounters is that the culture in the country that they define as home is subject to change, and so the pursuit of that culture becomes an impossible quest as has been shown by Samid</w:t>
      </w:r>
      <w:r>
        <w:rPr>
          <w:rStyle w:val="None"/>
          <w:sz w:val="28"/>
          <w:szCs w:val="28"/>
          <w:rtl w:val="0"/>
          <w:lang w:val="en-US"/>
        </w:rPr>
        <w:t>’</w:t>
      </w:r>
      <w:r>
        <w:rPr>
          <w:rStyle w:val="None"/>
          <w:sz w:val="28"/>
          <w:szCs w:val="28"/>
          <w:rtl w:val="0"/>
          <w:lang w:val="en-US"/>
        </w:rPr>
        <w:t xml:space="preserve">s fruitless attempt to save his son Magid from the evils of the West by sending him back to Bangladesh. In </w:t>
      </w:r>
      <w:r>
        <w:rPr>
          <w:rStyle w:val="None"/>
          <w:i w:val="1"/>
          <w:iCs w:val="1"/>
          <w:sz w:val="28"/>
          <w:szCs w:val="28"/>
          <w:rtl w:val="0"/>
          <w:lang w:val="en-US"/>
        </w:rPr>
        <w:t>White Teeth</w:t>
      </w:r>
      <w:r>
        <w:rPr>
          <w:rStyle w:val="None"/>
          <w:sz w:val="28"/>
          <w:szCs w:val="28"/>
          <w:rtl w:val="0"/>
          <w:lang w:val="en-US"/>
        </w:rPr>
        <w:t xml:space="preserve"> the second generation fares better then their parents, which could be due to never having experienced their native cultures, and whilst they gain insight into the cultural traditions of their native country through their families, they are able to form new identities without being bound to a pre-existing ideal that may or may not exist. Tyson writes that: </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 xml:space="preserve">many postcolonial theorists argue that postcolonial identity is </w:t>
        <w:tab/>
        <w:tab/>
        <w:tab/>
        <w:t xml:space="preserve">necessarily a dynamic, constantly evolving hybrid of native and </w:t>
        <w:tab/>
        <w:tab/>
        <w:t xml:space="preserve">colonial cultures. Moreover, they assert that this hybridity, or </w:t>
        <w:tab/>
        <w:tab/>
        <w:tab/>
        <w:t>syncretism as it</w:t>
      </w:r>
      <w:r>
        <w:rPr>
          <w:rStyle w:val="None"/>
          <w:sz w:val="28"/>
          <w:szCs w:val="28"/>
          <w:rtl w:val="0"/>
          <w:lang w:val="en-US"/>
        </w:rPr>
        <w:t>’</w:t>
      </w:r>
      <w:r>
        <w:rPr>
          <w:rStyle w:val="None"/>
          <w:sz w:val="28"/>
          <w:szCs w:val="28"/>
          <w:rtl w:val="0"/>
          <w:lang w:val="en-US"/>
        </w:rPr>
        <w:t xml:space="preserve">s sometimes called, does not consist of a stalemate </w:t>
        <w:tab/>
        <w:tab/>
        <w:t xml:space="preserve">between two warring cultures but is rather a productive, exciting, </w:t>
        <w:tab/>
        <w:tab/>
        <w:t xml:space="preserve">positive force in a shrinking world that is itself becoming more and </w:t>
        <w:tab/>
        <w:tab/>
        <w:t>more culturally hybrid. This view encourages ex</w:t>
      </w:r>
      <w:r>
        <w:rPr>
          <w:rStyle w:val="None"/>
          <w:sz w:val="28"/>
          <w:szCs w:val="28"/>
          <w:rtl w:val="0"/>
          <w:lang w:val="en-US"/>
        </w:rPr>
        <w:t>‐</w:t>
      </w:r>
      <w:r>
        <w:rPr>
          <w:rStyle w:val="None"/>
          <w:sz w:val="28"/>
          <w:szCs w:val="28"/>
          <w:rtl w:val="0"/>
          <w:lang w:val="en-US"/>
        </w:rPr>
        <w:t xml:space="preserve">colonials to embrace </w:t>
        <w:tab/>
        <w:t xml:space="preserve">the multiple and often conflicting aspects of the blended culture that is </w:t>
        <w:tab/>
        <w:t>theirs and that is an indelible fact of history. (Tyson,  p.422)</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Amardeep Singh defines this hybridity as:</w:t>
      </w:r>
    </w:p>
    <w:p>
      <w:pPr>
        <w:pStyle w:val="Body A"/>
        <w:spacing w:line="480" w:lineRule="auto"/>
        <w:rPr>
          <w:rStyle w:val="None"/>
          <w:sz w:val="28"/>
          <w:szCs w:val="28"/>
        </w:rPr>
      </w:pPr>
      <w:r>
        <w:rPr>
          <w:rStyle w:val="None"/>
          <w:sz w:val="28"/>
          <w:szCs w:val="28"/>
        </w:rPr>
        <w:tab/>
      </w:r>
    </w:p>
    <w:p>
      <w:pPr>
        <w:pStyle w:val="Body A"/>
        <w:spacing w:line="480" w:lineRule="auto"/>
        <w:rPr>
          <w:rStyle w:val="None"/>
          <w:sz w:val="28"/>
          <w:szCs w:val="28"/>
        </w:rPr>
      </w:pPr>
      <w:r>
        <w:rPr>
          <w:rStyle w:val="None"/>
          <w:sz w:val="28"/>
          <w:szCs w:val="28"/>
          <w:rtl w:val="0"/>
        </w:rPr>
        <w:tab/>
        <w:t xml:space="preserve">At a basic level, hybridity refers to any mixing of east and western </w:t>
        <w:tab/>
        <w:tab/>
        <w:t xml:space="preserve">culture. Within colonial and postcolonial literature, it most commonly </w:t>
        <w:tab/>
        <w:tab/>
        <w:t xml:space="preserve">refers to colonial subjects from Asia or Africa who have found a </w:t>
        <w:tab/>
        <w:tab/>
        <w:t xml:space="preserve">balance between eastern and western cultural attributes. </w:t>
      </w:r>
      <w:r>
        <w:rPr>
          <w:rStyle w:val="None"/>
          <w:sz w:val="28"/>
          <w:szCs w:val="28"/>
          <w:vertAlign w:val="superscript"/>
        </w:rPr>
        <w:footnoteReference w:id="11"/>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Joyce Chalfen, horticulturalist, and wife of Marcus, describes how </w:t>
      </w:r>
      <w:r>
        <w:rPr>
          <w:rStyle w:val="None"/>
          <w:sz w:val="28"/>
          <w:szCs w:val="28"/>
          <w:rtl w:val="0"/>
          <w:lang w:val="en-US"/>
        </w:rPr>
        <w:t>‘</w:t>
      </w:r>
      <w:r>
        <w:rPr>
          <w:rStyle w:val="None"/>
          <w:sz w:val="28"/>
          <w:szCs w:val="28"/>
          <w:rtl w:val="0"/>
          <w:lang w:val="en-US"/>
        </w:rPr>
        <w:t>cross pollination produces more varied off spring which are able to cope with a changed environment</w:t>
      </w:r>
      <w:r>
        <w:rPr>
          <w:rStyle w:val="None"/>
          <w:sz w:val="28"/>
          <w:szCs w:val="28"/>
          <w:rtl w:val="0"/>
          <w:lang w:val="en-US"/>
        </w:rPr>
        <w:t xml:space="preserve">’ </w:t>
      </w:r>
      <w:r>
        <w:rPr>
          <w:rStyle w:val="None"/>
          <w:sz w:val="28"/>
          <w:szCs w:val="28"/>
          <w:rtl w:val="0"/>
          <w:lang w:val="en-US"/>
        </w:rPr>
        <w:t>(Smith, p313). This could be seen as metaphorical recognition of the principle of hybridity, but the novel</w:t>
      </w:r>
      <w:r>
        <w:rPr>
          <w:rStyle w:val="None"/>
          <w:i w:val="1"/>
          <w:iCs w:val="1"/>
          <w:sz w:val="28"/>
          <w:szCs w:val="28"/>
          <w:rtl w:val="0"/>
          <w:lang w:val="en-US"/>
        </w:rPr>
        <w:t xml:space="preserve"> </w:t>
      </w:r>
      <w:r>
        <w:rPr>
          <w:rStyle w:val="None"/>
          <w:sz w:val="28"/>
          <w:szCs w:val="28"/>
          <w:rtl w:val="0"/>
          <w:lang w:val="en-US"/>
        </w:rPr>
        <w:t>provides numerous further examples. Dumescu writes that:</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 xml:space="preserve">The Joneses are thus placed in the middle of the debate, being </w:t>
      </w:r>
      <w:r>
        <w:rPr>
          <w:rStyle w:val="None"/>
          <w:sz w:val="28"/>
          <w:szCs w:val="28"/>
          <w:rtl w:val="0"/>
          <w:lang w:val="en-US"/>
        </w:rPr>
        <w:t>“</w:t>
      </w:r>
      <w:r>
        <w:rPr>
          <w:rStyle w:val="None"/>
          <w:sz w:val="28"/>
          <w:szCs w:val="28"/>
          <w:rtl w:val="0"/>
          <w:lang w:val="en-US"/>
        </w:rPr>
        <w:t>both/</w:t>
        <w:tab/>
        <w:t>and</w:t>
      </w:r>
      <w:r>
        <w:rPr>
          <w:rStyle w:val="None"/>
          <w:sz w:val="28"/>
          <w:szCs w:val="28"/>
          <w:rtl w:val="0"/>
          <w:lang w:val="en-US"/>
        </w:rPr>
        <w:t>”</w:t>
      </w:r>
      <w:r>
        <w:rPr>
          <w:rStyle w:val="None"/>
          <w:sz w:val="28"/>
          <w:szCs w:val="28"/>
          <w:rtl w:val="0"/>
          <w:lang w:val="en-US"/>
        </w:rPr>
        <w:t xml:space="preserve">, Western and Eastern, white and black, common and exquisite, </w:t>
        <w:tab/>
        <w:t xml:space="preserve">modern and traditional, all at the same time. Their relationship does not </w:t>
        <w:tab/>
        <w:t xml:space="preserve">imply any discussions about race because they have ceased to see the </w:t>
        <w:tab/>
        <w:t xml:space="preserve">colour of the other </w:t>
      </w:r>
      <w:r>
        <w:rPr>
          <w:rStyle w:val="None"/>
          <w:sz w:val="28"/>
          <w:szCs w:val="28"/>
          <w:rtl w:val="0"/>
          <w:lang w:val="en-US"/>
        </w:rPr>
        <w:t xml:space="preserve">– </w:t>
      </w:r>
      <w:r>
        <w:rPr>
          <w:rStyle w:val="None"/>
          <w:sz w:val="28"/>
          <w:szCs w:val="28"/>
          <w:rtl w:val="0"/>
          <w:lang w:val="en-US"/>
        </w:rPr>
        <w:t xml:space="preserve">their reality is far beyond the concept of race and </w:t>
        <w:tab/>
        <w:t>resides more in the human value of the other. (Dumescu, p596)</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The two Iqbal children have no interest in their father Samad</w:t>
      </w:r>
      <w:r>
        <w:rPr>
          <w:rStyle w:val="None"/>
          <w:sz w:val="28"/>
          <w:szCs w:val="28"/>
          <w:rtl w:val="0"/>
          <w:lang w:val="en-US"/>
        </w:rPr>
        <w:t>’</w:t>
      </w:r>
      <w:r>
        <w:rPr>
          <w:rStyle w:val="None"/>
          <w:sz w:val="28"/>
          <w:szCs w:val="28"/>
          <w:rtl w:val="0"/>
          <w:lang w:val="en-US"/>
        </w:rPr>
        <w:t>s obsession with Mangal Pande, the man who fired the first shot in the Indian mutiny, and who was apparently Samad</w:t>
      </w:r>
      <w:r>
        <w:rPr>
          <w:rStyle w:val="None"/>
          <w:sz w:val="28"/>
          <w:szCs w:val="28"/>
          <w:rtl w:val="0"/>
          <w:lang w:val="en-US"/>
        </w:rPr>
        <w:t>’</w:t>
      </w:r>
      <w:r>
        <w:rPr>
          <w:rStyle w:val="None"/>
          <w:sz w:val="28"/>
          <w:szCs w:val="28"/>
          <w:rtl w:val="0"/>
          <w:lang w:val="en-US"/>
        </w:rPr>
        <w:t>s great-great grandfather. His son</w:t>
      </w:r>
      <w:r>
        <w:rPr>
          <w:rStyle w:val="None"/>
          <w:sz w:val="28"/>
          <w:szCs w:val="28"/>
          <w:rtl w:val="0"/>
          <w:lang w:val="en-US"/>
        </w:rPr>
        <w:t>’</w:t>
      </w:r>
      <w:r>
        <w:rPr>
          <w:rStyle w:val="None"/>
          <w:sz w:val="28"/>
          <w:szCs w:val="28"/>
          <w:rtl w:val="0"/>
          <w:lang w:val="en-US"/>
        </w:rPr>
        <w:t>s have no place in their lives, nor have any desire to learn about the history and culture of a part of the world they have never visited or to which they feel a connection. The past cannot be imposed, and their interest lies in the multicultural, image conscious, consumerist culture embodied by the city they grew up in - London. When Joyce Chalfen asks Millat where he</w:t>
      </w:r>
      <w:r>
        <w:rPr>
          <w:rStyle w:val="None"/>
          <w:sz w:val="28"/>
          <w:szCs w:val="28"/>
          <w:rtl w:val="0"/>
          <w:lang w:val="en-US"/>
        </w:rPr>
        <w:t>’</w:t>
      </w:r>
      <w:r>
        <w:rPr>
          <w:rStyle w:val="None"/>
          <w:sz w:val="28"/>
          <w:szCs w:val="28"/>
          <w:rtl w:val="0"/>
          <w:lang w:val="en-US"/>
        </w:rPr>
        <w:t xml:space="preserve">s from he tells her Willesden:      </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w:t>
      </w:r>
      <w:r>
        <w:rPr>
          <w:rStyle w:val="None"/>
          <w:sz w:val="28"/>
          <w:szCs w:val="28"/>
          <w:rtl w:val="0"/>
          <w:lang w:val="en-US"/>
        </w:rPr>
        <w:t xml:space="preserve">Yes, yes, of course, but where </w:t>
      </w:r>
      <w:r>
        <w:rPr>
          <w:rStyle w:val="None"/>
          <w:i w:val="1"/>
          <w:iCs w:val="1"/>
          <w:sz w:val="28"/>
          <w:szCs w:val="28"/>
          <w:rtl w:val="0"/>
          <w:lang w:val="en-US"/>
        </w:rPr>
        <w:t>originally</w:t>
      </w:r>
      <w:r>
        <w:rPr>
          <w:rStyle w:val="None"/>
          <w:sz w:val="28"/>
          <w:szCs w:val="28"/>
          <w:rtl w:val="0"/>
          <w:lang w:val="en-US"/>
        </w:rPr>
        <w:t>?</w:t>
      </w:r>
      <w:r>
        <w:rPr>
          <w:rStyle w:val="None"/>
          <w:sz w:val="28"/>
          <w:szCs w:val="28"/>
          <w:rtl w:val="0"/>
          <w:lang w:val="en-US"/>
        </w:rPr>
        <w:t>’</w:t>
      </w:r>
    </w:p>
    <w:p>
      <w:pPr>
        <w:pStyle w:val="Body A"/>
        <w:spacing w:line="480" w:lineRule="auto"/>
        <w:rPr>
          <w:rStyle w:val="None"/>
          <w:sz w:val="28"/>
          <w:szCs w:val="28"/>
        </w:rPr>
      </w:pPr>
      <w:r>
        <w:rPr>
          <w:rStyle w:val="None"/>
          <w:sz w:val="28"/>
          <w:szCs w:val="28"/>
          <w:rtl w:val="0"/>
          <w:lang w:val="en-US"/>
        </w:rPr>
        <w:tab/>
        <w:t>‘</w:t>
      </w:r>
      <w:r>
        <w:rPr>
          <w:rStyle w:val="None"/>
          <w:sz w:val="28"/>
          <w:szCs w:val="28"/>
          <w:rtl w:val="0"/>
          <w:lang w:val="en-US"/>
        </w:rPr>
        <w:t>Oh,</w:t>
      </w:r>
      <w:r>
        <w:rPr>
          <w:rStyle w:val="None"/>
          <w:sz w:val="28"/>
          <w:szCs w:val="28"/>
          <w:rtl w:val="0"/>
          <w:lang w:val="en-US"/>
        </w:rPr>
        <w:t xml:space="preserve">’ </w:t>
      </w:r>
      <w:r>
        <w:rPr>
          <w:rStyle w:val="None"/>
          <w:sz w:val="28"/>
          <w:szCs w:val="28"/>
          <w:rtl w:val="0"/>
          <w:lang w:val="en-US"/>
        </w:rPr>
        <w:t xml:space="preserve">said Millat, putting on what he called a </w:t>
      </w:r>
      <w:r>
        <w:rPr>
          <w:rStyle w:val="None"/>
          <w:i w:val="1"/>
          <w:iCs w:val="1"/>
          <w:sz w:val="28"/>
          <w:szCs w:val="28"/>
          <w:rtl w:val="0"/>
          <w:lang w:val="en-US"/>
        </w:rPr>
        <w:t>bud-bud-ding-ding</w:t>
      </w:r>
      <w:r>
        <w:rPr>
          <w:rStyle w:val="None"/>
          <w:sz w:val="28"/>
          <w:szCs w:val="28"/>
          <w:rtl w:val="0"/>
          <w:lang w:val="en-US"/>
        </w:rPr>
        <w:t xml:space="preserve"> </w:t>
        <w:tab/>
        <w:tab/>
      </w:r>
      <w:r>
        <w:rPr>
          <w:rStyle w:val="None"/>
          <w:sz w:val="28"/>
          <w:szCs w:val="28"/>
          <w:rtl w:val="0"/>
          <w:lang w:val="it-IT"/>
        </w:rPr>
        <w:t xml:space="preserve">accent. </w:t>
      </w:r>
      <w:r>
        <w:rPr>
          <w:rStyle w:val="None"/>
          <w:sz w:val="28"/>
          <w:szCs w:val="28"/>
          <w:rtl w:val="0"/>
          <w:lang w:val="en-US"/>
        </w:rPr>
        <w:t>‘</w:t>
      </w:r>
      <w:r>
        <w:rPr>
          <w:rStyle w:val="None"/>
          <w:sz w:val="28"/>
          <w:szCs w:val="28"/>
          <w:rtl w:val="0"/>
          <w:lang w:val="en-US"/>
        </w:rPr>
        <w:t xml:space="preserve">You are meaning where from am I </w:t>
      </w:r>
      <w:r>
        <w:rPr>
          <w:rStyle w:val="None"/>
          <w:i w:val="1"/>
          <w:iCs w:val="1"/>
          <w:sz w:val="28"/>
          <w:szCs w:val="28"/>
          <w:rtl w:val="0"/>
          <w:lang w:val="en-US"/>
        </w:rPr>
        <w:t>originally</w:t>
      </w:r>
      <w:r>
        <w:rPr>
          <w:rStyle w:val="None"/>
          <w:sz w:val="28"/>
          <w:szCs w:val="28"/>
          <w:rtl w:val="0"/>
          <w:lang w:val="en-US"/>
        </w:rPr>
        <w:t>.</w:t>
      </w:r>
      <w:r>
        <w:rPr>
          <w:rStyle w:val="None"/>
          <w:sz w:val="28"/>
          <w:szCs w:val="28"/>
          <w:rtl w:val="0"/>
          <w:lang w:val="en-US"/>
        </w:rPr>
        <w:t>’</w:t>
      </w:r>
    </w:p>
    <w:p>
      <w:pPr>
        <w:pStyle w:val="Body A"/>
        <w:spacing w:line="480" w:lineRule="auto"/>
        <w:rPr>
          <w:rStyle w:val="None"/>
          <w:sz w:val="28"/>
          <w:szCs w:val="28"/>
        </w:rPr>
      </w:pPr>
      <w:r>
        <w:rPr>
          <w:rStyle w:val="None"/>
          <w:sz w:val="28"/>
          <w:szCs w:val="28"/>
          <w:rtl w:val="0"/>
        </w:rPr>
        <w:tab/>
        <w:t xml:space="preserve">Joyce looked confused. </w:t>
      </w:r>
      <w:r>
        <w:rPr>
          <w:rStyle w:val="None"/>
          <w:sz w:val="28"/>
          <w:szCs w:val="28"/>
          <w:rtl w:val="0"/>
          <w:lang w:val="en-US"/>
        </w:rPr>
        <w:t>‘</w:t>
      </w:r>
      <w:r>
        <w:rPr>
          <w:rStyle w:val="None"/>
          <w:sz w:val="28"/>
          <w:szCs w:val="28"/>
          <w:rtl w:val="0"/>
          <w:lang w:val="en-US"/>
        </w:rPr>
        <w:t xml:space="preserve">Yes, </w:t>
      </w:r>
      <w:r>
        <w:rPr>
          <w:rStyle w:val="None"/>
          <w:i w:val="1"/>
          <w:iCs w:val="1"/>
          <w:sz w:val="28"/>
          <w:szCs w:val="28"/>
          <w:rtl w:val="0"/>
          <w:lang w:val="en-US"/>
        </w:rPr>
        <w:t>originally</w:t>
      </w:r>
      <w:r>
        <w:rPr>
          <w:rStyle w:val="None"/>
          <w:sz w:val="28"/>
          <w:szCs w:val="28"/>
          <w:rtl w:val="0"/>
          <w:lang w:val="en-US"/>
        </w:rPr>
        <w:t>.</w:t>
      </w:r>
      <w:r>
        <w:rPr>
          <w:rStyle w:val="None"/>
          <w:sz w:val="28"/>
          <w:szCs w:val="28"/>
          <w:rtl w:val="0"/>
          <w:lang w:val="en-US"/>
        </w:rPr>
        <w:t>’</w:t>
      </w:r>
    </w:p>
    <w:p>
      <w:pPr>
        <w:pStyle w:val="Body A"/>
        <w:spacing w:line="480" w:lineRule="auto"/>
        <w:rPr>
          <w:rStyle w:val="None"/>
          <w:sz w:val="28"/>
          <w:szCs w:val="28"/>
        </w:rPr>
      </w:pPr>
      <w:r>
        <w:rPr>
          <w:rStyle w:val="None"/>
          <w:sz w:val="28"/>
          <w:szCs w:val="28"/>
          <w:rtl w:val="0"/>
        </w:rPr>
        <w:tab/>
        <w:t>‘</w:t>
      </w:r>
      <w:r>
        <w:rPr>
          <w:rStyle w:val="None"/>
          <w:sz w:val="28"/>
          <w:szCs w:val="28"/>
          <w:rtl w:val="0"/>
          <w:lang w:val="en-US"/>
        </w:rPr>
        <w:t>Whitechapel,</w:t>
      </w:r>
      <w:r>
        <w:rPr>
          <w:rStyle w:val="None"/>
          <w:sz w:val="28"/>
          <w:szCs w:val="28"/>
          <w:rtl w:val="0"/>
          <w:lang w:val="en-US"/>
        </w:rPr>
        <w:t xml:space="preserve">’ </w:t>
      </w:r>
      <w:r>
        <w:rPr>
          <w:rStyle w:val="None"/>
          <w:sz w:val="28"/>
          <w:szCs w:val="28"/>
          <w:rtl w:val="0"/>
          <w:lang w:val="en-US"/>
        </w:rPr>
        <w:t xml:space="preserve">said Millat, pulling out a fag. </w:t>
      </w:r>
      <w:r>
        <w:rPr>
          <w:rStyle w:val="None"/>
          <w:sz w:val="28"/>
          <w:szCs w:val="28"/>
          <w:rtl w:val="0"/>
          <w:lang w:val="en-US"/>
        </w:rPr>
        <w:t>‘</w:t>
      </w:r>
      <w:r>
        <w:rPr>
          <w:rStyle w:val="None"/>
          <w:sz w:val="28"/>
          <w:szCs w:val="28"/>
          <w:rtl w:val="0"/>
          <w:lang w:val="en-US"/>
        </w:rPr>
        <w:t xml:space="preserve">Via the Royal London </w:t>
        <w:tab/>
        <w:tab/>
        <w:t>Hospital and the 207 bus.</w:t>
      </w:r>
      <w:r>
        <w:rPr>
          <w:rStyle w:val="None"/>
          <w:sz w:val="28"/>
          <w:szCs w:val="28"/>
          <w:rtl w:val="0"/>
          <w:lang w:val="en-US"/>
        </w:rPr>
        <w:t xml:space="preserve">” </w:t>
      </w:r>
      <w:r>
        <w:rPr>
          <w:rStyle w:val="None"/>
          <w:sz w:val="28"/>
          <w:szCs w:val="28"/>
          <w:rtl w:val="0"/>
          <w:lang w:val="en-US"/>
        </w:rPr>
        <w:t>(Smith, p 323)</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Language is also an area that powerfully conveys the dynamic notion of hybridity. In a sense it is the perfect vehicle because it is constantly evolving, and whilst it is formed from the old and the new, it possesses an emergent quality that makes it different from either. Along with fashion and other cultural references it forms a vital part of the complex identity of second generation immigrant children like Millat:      </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rPr>
        <w:tab/>
        <w:t xml:space="preserve">This new breed of street kids was a "cultural mongrel" and "spoke a </w:t>
        <w:tab/>
        <w:tab/>
        <w:t xml:space="preserve">strange mix of Jamaican patois, Bengali, Gujarati and English" (192). It </w:t>
        <w:tab/>
        <w:t xml:space="preserve">included American rap music, Kung Fu movies, and omnipresent Nike </w:t>
        <w:tab/>
        <w:t xml:space="preserve">apparel. This new identity embraces pastiche and abandons the need </w:t>
        <w:tab/>
        <w:t xml:space="preserve">for pure or monolithic signifiers of race and ethnicity. Instead, it </w:t>
        <w:tab/>
        <w:tab/>
        <w:t xml:space="preserve">highlights the fluidity of what it means to be British in the 1980s and </w:t>
        <w:tab/>
        <w:tab/>
        <w:t>1990s. (McCann, p628)</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Even two of the most culturally ossified figures in the novel, Samid and Archie, play a part in the culturally hybrid world of modern London. The social hub of their relationship, which has spanned decades by the end of the novel, is O</w:t>
      </w:r>
      <w:r>
        <w:rPr>
          <w:rStyle w:val="None"/>
          <w:sz w:val="28"/>
          <w:szCs w:val="28"/>
          <w:rtl w:val="0"/>
          <w:lang w:val="en-US"/>
        </w:rPr>
        <w:t>’</w:t>
      </w:r>
      <w:r>
        <w:rPr>
          <w:rStyle w:val="None"/>
          <w:sz w:val="28"/>
          <w:szCs w:val="28"/>
          <w:rtl w:val="0"/>
          <w:lang w:val="en-US"/>
        </w:rPr>
        <w:t>Conell</w:t>
      </w:r>
      <w:r>
        <w:rPr>
          <w:rStyle w:val="None"/>
          <w:sz w:val="28"/>
          <w:szCs w:val="28"/>
          <w:rtl w:val="0"/>
          <w:lang w:val="en-US"/>
        </w:rPr>
        <w:t>’</w:t>
      </w:r>
      <w:r>
        <w:rPr>
          <w:rStyle w:val="None"/>
          <w:sz w:val="28"/>
          <w:szCs w:val="28"/>
          <w:rtl w:val="0"/>
          <w:lang w:val="en-US"/>
        </w:rPr>
        <w:t xml:space="preserve">s Pool House. This is </w:t>
      </w:r>
      <w:r>
        <w:rPr>
          <w:rStyle w:val="None"/>
          <w:sz w:val="28"/>
          <w:szCs w:val="28"/>
          <w:rtl w:val="0"/>
          <w:lang w:val="en-US"/>
        </w:rPr>
        <w:t>‘</w:t>
      </w:r>
      <w:r>
        <w:rPr>
          <w:rStyle w:val="None"/>
          <w:sz w:val="28"/>
          <w:szCs w:val="28"/>
          <w:rtl w:val="0"/>
          <w:lang w:val="en-US"/>
        </w:rPr>
        <w:t>an Irish pool house run by Arabs with no pool tables</w:t>
      </w:r>
      <w:r>
        <w:rPr>
          <w:rStyle w:val="None"/>
          <w:sz w:val="28"/>
          <w:szCs w:val="28"/>
          <w:rtl w:val="0"/>
          <w:lang w:val="en-US"/>
        </w:rPr>
        <w:t>’</w:t>
      </w:r>
      <w:r>
        <w:rPr>
          <w:rStyle w:val="None"/>
          <w:sz w:val="28"/>
          <w:szCs w:val="28"/>
          <w:rtl w:val="0"/>
          <w:lang w:val="en-US"/>
        </w:rPr>
        <w:t xml:space="preserve">. (Smith, p.189), that serves only English fried food to it multiracial clientele. After his failure to make Magid into the perfect Muslim son, and his own personal short comings, Samad begins to doubt his views about the importance of the past, and the idea that you must have cultural roots to have a true sense of self:   </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ab/>
        <w:t xml:space="preserve">And then you begin to give up the very </w:t>
      </w:r>
      <w:r>
        <w:rPr>
          <w:rStyle w:val="None"/>
          <w:i w:val="1"/>
          <w:iCs w:val="1"/>
          <w:sz w:val="28"/>
          <w:szCs w:val="28"/>
          <w:rtl w:val="0"/>
          <w:lang w:val="en-US"/>
        </w:rPr>
        <w:t>idea</w:t>
      </w:r>
      <w:r>
        <w:rPr>
          <w:rStyle w:val="None"/>
          <w:sz w:val="28"/>
          <w:szCs w:val="28"/>
          <w:rtl w:val="0"/>
          <w:lang w:val="en-US"/>
        </w:rPr>
        <w:t xml:space="preserve"> of belonging. Suddenly </w:t>
        <w:tab/>
        <w:tab/>
        <w:t xml:space="preserve">this thing, this </w:t>
      </w:r>
      <w:r>
        <w:rPr>
          <w:rStyle w:val="None"/>
          <w:i w:val="1"/>
          <w:iCs w:val="1"/>
          <w:sz w:val="28"/>
          <w:szCs w:val="28"/>
          <w:rtl w:val="0"/>
          <w:lang w:val="en-US"/>
        </w:rPr>
        <w:t>belonging</w:t>
      </w:r>
      <w:r>
        <w:rPr>
          <w:rStyle w:val="None"/>
          <w:sz w:val="28"/>
          <w:szCs w:val="28"/>
          <w:rtl w:val="0"/>
          <w:lang w:val="en-US"/>
        </w:rPr>
        <w:t xml:space="preserve">, it seems like some long, dirty lie ... and I </w:t>
        <w:tab/>
        <w:tab/>
        <w:t xml:space="preserve">begin to believe that birthplaces are accidents, that everything is an </w:t>
        <w:tab/>
        <w:tab/>
      </w:r>
      <w:r>
        <w:rPr>
          <w:rStyle w:val="None"/>
          <w:i w:val="1"/>
          <w:iCs w:val="1"/>
          <w:sz w:val="28"/>
          <w:szCs w:val="28"/>
          <w:rtl w:val="0"/>
          <w:lang w:val="it-IT"/>
        </w:rPr>
        <w:t>accident</w:t>
      </w:r>
      <w:r>
        <w:rPr>
          <w:rStyle w:val="None"/>
          <w:sz w:val="28"/>
          <w:szCs w:val="28"/>
          <w:rtl w:val="0"/>
          <w:lang w:val="en-US"/>
        </w:rPr>
        <w:t xml:space="preserve">. But if you believe that, where do you go? What do you do? </w:t>
        <w:tab/>
        <w:t>What does anything matter? (Smith, p.409)</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Samad</w:t>
      </w:r>
      <w:r>
        <w:rPr>
          <w:rStyle w:val="None"/>
          <w:sz w:val="28"/>
          <w:szCs w:val="28"/>
          <w:rtl w:val="0"/>
          <w:lang w:val="en-US"/>
        </w:rPr>
        <w:t>’</w:t>
      </w:r>
      <w:r>
        <w:rPr>
          <w:rStyle w:val="None"/>
          <w:sz w:val="28"/>
          <w:szCs w:val="28"/>
          <w:rtl w:val="0"/>
          <w:lang w:val="en-US"/>
        </w:rPr>
        <w:t xml:space="preserve">s dilemma is that his sense of identity is tied to his sense of belonging to a particular cultural history and identity, as a Bangladeshi and as a Muslim. If this is taken from him through the agency of the moral and spiritual corruption that he perceives about him in London, (and to which he frequently succumbs), then he risks losing his sense of who he is. One factor that serves to subsume smaller ethnic groups into one all inclusive culture is globalisation. </w:t>
      </w:r>
      <w:r>
        <w:rPr>
          <w:rStyle w:val="None"/>
          <w:sz w:val="28"/>
          <w:szCs w:val="28"/>
          <w:rtl w:val="0"/>
          <w:lang w:val="en-US"/>
        </w:rPr>
        <w:t>‘</w:t>
      </w:r>
      <w:r>
        <w:rPr>
          <w:rStyle w:val="None"/>
          <w:sz w:val="28"/>
          <w:szCs w:val="28"/>
          <w:rtl w:val="0"/>
          <w:lang w:val="en-US"/>
        </w:rPr>
        <w:t>By its nature, globalization insists on the supposedly unique character of the present moment</w:t>
      </w:r>
      <w:r>
        <w:rPr>
          <w:rStyle w:val="None"/>
          <w:sz w:val="28"/>
          <w:szCs w:val="28"/>
          <w:rtl w:val="0"/>
          <w:lang w:val="en-US"/>
        </w:rPr>
        <w:t>’</w:t>
      </w:r>
      <w:r>
        <w:rPr>
          <w:rStyle w:val="None"/>
          <w:sz w:val="28"/>
          <w:szCs w:val="28"/>
          <w:vertAlign w:val="superscript"/>
        </w:rPr>
        <w:footnoteReference w:id="12"/>
      </w:r>
      <w:r>
        <w:rPr>
          <w:rStyle w:val="None"/>
          <w:sz w:val="28"/>
          <w:szCs w:val="28"/>
          <w:rtl w:val="0"/>
          <w:lang w:val="en-US"/>
        </w:rPr>
        <w:t xml:space="preserve"> This focus on the present is anathema to Samad, who bases his sense of identity on the customs and culture of the Bangladesh he remembers before he emigrated to England, and on the near worship of his great, great grandfather, Mangal Pande.   </w:t>
      </w:r>
    </w:p>
    <w:p>
      <w:pPr>
        <w:pStyle w:val="Body A"/>
        <w:spacing w:line="480" w:lineRule="auto"/>
        <w:rPr>
          <w:rStyle w:val="None"/>
          <w:sz w:val="28"/>
          <w:szCs w:val="28"/>
        </w:rPr>
      </w:pPr>
      <w:r>
        <w:rPr>
          <w:rStyle w:val="None"/>
          <w:sz w:val="28"/>
          <w:szCs w:val="28"/>
          <w:rtl w:val="0"/>
        </w:rPr>
        <w:tab/>
        <w:t xml:space="preserve">Globalisation erodes the boundaries and power of the nation state, replacing it with an increasingly single global </w:t>
      </w:r>
      <w:r>
        <w:rPr>
          <w:rStyle w:val="None"/>
          <w:sz w:val="28"/>
          <w:szCs w:val="28"/>
          <w:rtl w:val="0"/>
          <w:lang w:val="en-US"/>
        </w:rPr>
        <w:t>‘</w:t>
      </w:r>
      <w:r>
        <w:rPr>
          <w:rStyle w:val="None"/>
          <w:sz w:val="28"/>
          <w:szCs w:val="28"/>
          <w:rtl w:val="0"/>
          <w:lang w:val="en-US"/>
        </w:rPr>
        <w:t>space linked by a wide array of technological, economic, social, and cultural forces that are able to cross and criss-cross the imagined boundaries of cultures or nations with relative ease</w:t>
      </w:r>
      <w:r>
        <w:rPr>
          <w:rStyle w:val="None"/>
          <w:sz w:val="28"/>
          <w:szCs w:val="28"/>
          <w:rtl w:val="0"/>
          <w:lang w:val="en-US"/>
        </w:rPr>
        <w:t xml:space="preserve">’ </w:t>
      </w:r>
      <w:r>
        <w:rPr>
          <w:rStyle w:val="None"/>
          <w:sz w:val="28"/>
          <w:szCs w:val="28"/>
          <w:rtl w:val="0"/>
          <w:lang w:val="en-US"/>
        </w:rPr>
        <w:t xml:space="preserve">(Szeman p 459). An emergent global culture, fostered by such things as mass media, global brands and neo-liberalist ideology is coupled to an accelerated rate of change in society and increased competition. This frequently leads to instability in the workplace and job losses. All this increases the sense of uncertainty and poses as a threat to older cultures and the sense of self based upon them. One response to globalisation is to join ideological organisations that can provide an alternative, authoritative explanation to the modern world, and thereby provide the security their adherents seek. Herman and Dimaggio write that, </w:t>
      </w:r>
      <w:r>
        <w:rPr>
          <w:rStyle w:val="None"/>
          <w:sz w:val="28"/>
          <w:szCs w:val="28"/>
          <w:rtl w:val="0"/>
          <w:lang w:val="en-US"/>
        </w:rPr>
        <w:t>‘</w:t>
      </w:r>
      <w:r>
        <w:rPr>
          <w:rStyle w:val="None"/>
          <w:sz w:val="28"/>
          <w:szCs w:val="28"/>
          <w:rtl w:val="0"/>
          <w:lang w:val="en-US"/>
        </w:rPr>
        <w:t>Our era is witnessing an increasing impact of globalization on self and identity and at the same time a growing uncertainty. The experience of uncertainty motivates individuals and groups to find local niches for identity construction</w:t>
      </w:r>
      <w:r>
        <w:rPr>
          <w:rStyle w:val="None"/>
          <w:sz w:val="28"/>
          <w:szCs w:val="28"/>
          <w:rtl w:val="0"/>
          <w:lang w:val="en-US"/>
        </w:rPr>
        <w:t>’</w:t>
      </w:r>
      <w:r>
        <w:rPr>
          <w:rStyle w:val="None"/>
          <w:sz w:val="28"/>
          <w:szCs w:val="28"/>
          <w:vertAlign w:val="superscript"/>
        </w:rPr>
        <w:footnoteReference w:id="13"/>
      </w:r>
      <w:r>
        <w:rPr>
          <w:rStyle w:val="None"/>
          <w:sz w:val="28"/>
          <w:szCs w:val="28"/>
          <w:rtl w:val="0"/>
          <w:lang w:val="en-US"/>
        </w:rPr>
        <w:t>.</w:t>
        <w:tab/>
      </w:r>
    </w:p>
    <w:p>
      <w:pPr>
        <w:pStyle w:val="Body A"/>
        <w:spacing w:line="480" w:lineRule="auto"/>
        <w:rPr>
          <w:rStyle w:val="None"/>
          <w:sz w:val="28"/>
          <w:szCs w:val="28"/>
        </w:rPr>
      </w:pPr>
      <w:r>
        <w:rPr>
          <w:rStyle w:val="None"/>
          <w:sz w:val="28"/>
          <w:szCs w:val="28"/>
          <w:rtl w:val="0"/>
        </w:rPr>
        <w:tab/>
        <w:t xml:space="preserve">In </w:t>
      </w:r>
      <w:r>
        <w:rPr>
          <w:rStyle w:val="None"/>
          <w:i w:val="1"/>
          <w:iCs w:val="1"/>
          <w:sz w:val="28"/>
          <w:szCs w:val="28"/>
          <w:rtl w:val="0"/>
          <w:lang w:val="en-US"/>
        </w:rPr>
        <w:t>White Teeth</w:t>
      </w:r>
      <w:r>
        <w:rPr>
          <w:rStyle w:val="None"/>
          <w:sz w:val="28"/>
          <w:szCs w:val="28"/>
          <w:rtl w:val="0"/>
          <w:lang w:val="en-US"/>
        </w:rPr>
        <w:t xml:space="preserve"> there are a number of different ideologies presented that the characters in the novel cleave to in order to provide an explanation for an unstable world, and thereby gain the sense of belonging and identification they seek. Marcus Chalfen</w:t>
      </w:r>
      <w:r>
        <w:rPr>
          <w:rStyle w:val="None"/>
          <w:sz w:val="28"/>
          <w:szCs w:val="28"/>
          <w:rtl w:val="0"/>
          <w:lang w:val="en-US"/>
        </w:rPr>
        <w:t>’</w:t>
      </w:r>
      <w:r>
        <w:rPr>
          <w:rStyle w:val="None"/>
          <w:sz w:val="28"/>
          <w:szCs w:val="28"/>
          <w:rtl w:val="0"/>
          <w:lang w:val="en-US"/>
        </w:rPr>
        <w:t xml:space="preserve">s scientism is presented as a </w:t>
      </w:r>
      <w:r>
        <w:rPr>
          <w:rStyle w:val="None"/>
          <w:sz w:val="28"/>
          <w:szCs w:val="28"/>
          <w:rtl w:val="0"/>
          <w:lang w:val="en-US"/>
        </w:rPr>
        <w:t>‘</w:t>
      </w:r>
      <w:r>
        <w:rPr>
          <w:rStyle w:val="None"/>
          <w:sz w:val="28"/>
          <w:szCs w:val="28"/>
          <w:rtl w:val="0"/>
          <w:lang w:val="en-US"/>
        </w:rPr>
        <w:t>a new phase in human history, where we are not victims of the random but instead directors and arbitrators of our own fate</w:t>
      </w:r>
      <w:r>
        <w:rPr>
          <w:rStyle w:val="None"/>
          <w:sz w:val="28"/>
          <w:szCs w:val="28"/>
          <w:rtl w:val="0"/>
          <w:lang w:val="en-US"/>
        </w:rPr>
        <w:t xml:space="preserve">’ </w:t>
      </w:r>
      <w:r>
        <w:rPr>
          <w:rStyle w:val="None"/>
          <w:sz w:val="28"/>
          <w:szCs w:val="28"/>
          <w:rtl w:val="0"/>
          <w:lang w:val="en-US"/>
        </w:rPr>
        <w:t>(Smith, p.434). Marcus pays for Magid</w:t>
      </w:r>
      <w:r>
        <w:rPr>
          <w:rStyle w:val="None"/>
          <w:sz w:val="28"/>
          <w:szCs w:val="28"/>
          <w:rtl w:val="0"/>
          <w:lang w:val="en-US"/>
        </w:rPr>
        <w:t>’</w:t>
      </w:r>
      <w:r>
        <w:rPr>
          <w:rStyle w:val="None"/>
          <w:sz w:val="28"/>
          <w:szCs w:val="28"/>
          <w:rtl w:val="0"/>
          <w:lang w:val="en-US"/>
        </w:rPr>
        <w:t xml:space="preserve">s passage home and gains a convert to his cause of scientific rationalism. This is presented as a totalising world view that ensures  </w:t>
      </w:r>
      <w:r>
        <w:rPr>
          <w:rStyle w:val="None"/>
          <w:sz w:val="28"/>
          <w:szCs w:val="28"/>
          <w:rtl w:val="0"/>
          <w:lang w:val="en-US"/>
        </w:rPr>
        <w:t>‘</w:t>
      </w:r>
      <w:r>
        <w:rPr>
          <w:rStyle w:val="None"/>
          <w:sz w:val="28"/>
          <w:szCs w:val="28"/>
          <w:rtl w:val="0"/>
          <w:lang w:val="en-US"/>
        </w:rPr>
        <w:t>No second-guessing, no what-ifs, no might-have-beens. Just certainty. Just certainty in its purest form. And what more, thought Magid . . . what more is God than that?</w:t>
      </w:r>
      <w:r>
        <w:rPr>
          <w:rStyle w:val="None"/>
          <w:sz w:val="28"/>
          <w:szCs w:val="28"/>
          <w:rtl w:val="0"/>
          <w:lang w:val="en-US"/>
        </w:rPr>
        <w:t xml:space="preserve">’ </w:t>
      </w:r>
      <w:r>
        <w:rPr>
          <w:rStyle w:val="None"/>
          <w:sz w:val="28"/>
          <w:szCs w:val="28"/>
          <w:rtl w:val="0"/>
          <w:lang w:val="en-US"/>
        </w:rPr>
        <w:t xml:space="preserve">(Smith, p.489). Marcus Chalfen and later Magid adhere to this scientism with the fanaticism of religious zealots, </w:t>
      </w:r>
      <w:r>
        <w:rPr>
          <w:rStyle w:val="None"/>
          <w:sz w:val="28"/>
          <w:szCs w:val="28"/>
          <w:rtl w:val="0"/>
          <w:lang w:val="en-US"/>
        </w:rPr>
        <w:t>‘</w:t>
      </w:r>
      <w:r>
        <w:rPr>
          <w:rStyle w:val="None"/>
          <w:sz w:val="28"/>
          <w:szCs w:val="28"/>
          <w:rtl w:val="0"/>
          <w:lang w:val="en-US"/>
        </w:rPr>
        <w:t>as a way to eliminate uncertainty. Marcus and Magid are all too glad to replace God with the "ordering mind" of the scientist that can arbitrate fate</w:t>
      </w:r>
      <w:r>
        <w:rPr>
          <w:rStyle w:val="None"/>
          <w:sz w:val="28"/>
          <w:szCs w:val="28"/>
          <w:rtl w:val="0"/>
          <w:lang w:val="en-US"/>
        </w:rPr>
        <w:t>’</w:t>
      </w:r>
      <w:r>
        <w:rPr>
          <w:rStyle w:val="None"/>
          <w:sz w:val="28"/>
          <w:szCs w:val="28"/>
          <w:rtl w:val="0"/>
          <w:lang w:val="en-US"/>
        </w:rPr>
        <w:t>.</w:t>
      </w:r>
      <w:r>
        <w:rPr>
          <w:rStyle w:val="None"/>
          <w:sz w:val="28"/>
          <w:szCs w:val="28"/>
          <w:vertAlign w:val="superscript"/>
        </w:rPr>
        <w:footnoteReference w:id="14"/>
      </w:r>
    </w:p>
    <w:p>
      <w:pPr>
        <w:pStyle w:val="Body A"/>
        <w:spacing w:line="480" w:lineRule="auto"/>
        <w:rPr>
          <w:rStyle w:val="None"/>
          <w:sz w:val="28"/>
          <w:szCs w:val="28"/>
        </w:rPr>
      </w:pPr>
      <w:r>
        <w:rPr>
          <w:rStyle w:val="None"/>
          <w:sz w:val="28"/>
          <w:szCs w:val="28"/>
          <w:rtl w:val="0"/>
        </w:rPr>
        <w:tab/>
        <w:t>Hortense Bowden is a life long Jehovah</w:t>
      </w:r>
      <w:r>
        <w:rPr>
          <w:rStyle w:val="None"/>
          <w:sz w:val="28"/>
          <w:szCs w:val="28"/>
          <w:rtl w:val="0"/>
          <w:lang w:val="en-US"/>
        </w:rPr>
        <w:t>’</w:t>
      </w:r>
      <w:r>
        <w:rPr>
          <w:rStyle w:val="None"/>
          <w:sz w:val="28"/>
          <w:szCs w:val="28"/>
          <w:rtl w:val="0"/>
          <w:lang w:val="en-US"/>
        </w:rPr>
        <w:t xml:space="preserve">s witness, and her sense of self and purpose in life is rigidly defined by the religion and it apocalyptic forecasts. Despite the claims made by the elders of the religion that the world would be destroyed on two dates, with Hortense personally witnessing the failure of both forecasts, her faith in the religion never falters. This could be due to her identity being so rigidly fixed to the religion that to abandon it would be tantamount to abandoning herself. Finally, Millat, in the latter half of the novel, becomes a member of Kevin, </w:t>
      </w:r>
      <w:r>
        <w:rPr>
          <w:rStyle w:val="None"/>
          <w:sz w:val="28"/>
          <w:szCs w:val="28"/>
          <w:rtl w:val="0"/>
          <w:lang w:val="en-US"/>
        </w:rPr>
        <w:t>‘</w:t>
      </w:r>
      <w:r>
        <w:rPr>
          <w:rStyle w:val="None"/>
          <w:sz w:val="28"/>
          <w:szCs w:val="28"/>
          <w:rtl w:val="0"/>
          <w:lang w:val="en-US"/>
        </w:rPr>
        <w:t>The Keepers of the Eternal and Victorious Islamic Nation [</w:t>
      </w:r>
      <w:r>
        <w:rPr>
          <w:rStyle w:val="None"/>
          <w:sz w:val="28"/>
          <w:szCs w:val="28"/>
          <w:rtl w:val="0"/>
          <w:lang w:val="en-US"/>
        </w:rPr>
        <w:t>…</w:t>
      </w:r>
      <w:r>
        <w:rPr>
          <w:rStyle w:val="None"/>
          <w:sz w:val="28"/>
          <w:szCs w:val="28"/>
          <w:rtl w:val="0"/>
          <w:lang w:val="en-US"/>
        </w:rPr>
        <w:t>], an extremist faction dedicated to direct, often violent action, a splinter group frowned on by the rest of the Islamic community; popular with the sixteen to twenty-five age group</w:t>
      </w:r>
      <w:r>
        <w:rPr>
          <w:rStyle w:val="None"/>
          <w:sz w:val="28"/>
          <w:szCs w:val="28"/>
          <w:rtl w:val="0"/>
          <w:lang w:val="en-US"/>
        </w:rPr>
        <w:t>’</w:t>
      </w:r>
      <w:r>
        <w:rPr>
          <w:rStyle w:val="None"/>
          <w:sz w:val="28"/>
          <w:szCs w:val="28"/>
          <w:rtl w:val="0"/>
          <w:lang w:val="en-US"/>
        </w:rPr>
        <w:t>, (Smith p. 470). Millat</w:t>
      </w:r>
      <w:r>
        <w:rPr>
          <w:rStyle w:val="None"/>
          <w:sz w:val="28"/>
          <w:szCs w:val="28"/>
          <w:rtl w:val="0"/>
          <w:lang w:val="en-US"/>
        </w:rPr>
        <w:t>’</w:t>
      </w:r>
      <w:r>
        <w:rPr>
          <w:rStyle w:val="None"/>
          <w:sz w:val="28"/>
          <w:szCs w:val="28"/>
          <w:rtl w:val="0"/>
          <w:lang w:val="en-US"/>
        </w:rPr>
        <w:t>s involvement with the group requires him to change his lifestyle, eschewing women and drugs in favour of adopting a life in strict accordance with the Quran. This is a difficult change for him, particular with regards to his fascination with Hollywood gangster movies, (itself an aspect of globalisation in the form of the omnipresence of American media), and he ends up forging an identity somewhere between Islamic fundamentalism and Goodfellas such that:</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ab/>
        <w:t xml:space="preserve">whenever he opened a door </w:t>
      </w:r>
      <w:r>
        <w:rPr>
          <w:rStyle w:val="None"/>
          <w:sz w:val="28"/>
          <w:szCs w:val="28"/>
          <w:rtl w:val="0"/>
          <w:lang w:val="en-US"/>
        </w:rPr>
        <w:t xml:space="preserve">— </w:t>
      </w:r>
      <w:r>
        <w:rPr>
          <w:rStyle w:val="None"/>
          <w:sz w:val="28"/>
          <w:szCs w:val="28"/>
          <w:rtl w:val="0"/>
          <w:lang w:val="en-US"/>
        </w:rPr>
        <w:t xml:space="preserve">a car door, a car boot, the door of </w:t>
        <w:tab/>
        <w:tab/>
      </w:r>
      <w:r>
        <w:rPr>
          <w:rStyle w:val="None"/>
          <w:sz w:val="28"/>
          <w:szCs w:val="28"/>
          <w:rtl w:val="0"/>
          <w:lang w:val="de-DE"/>
        </w:rPr>
        <w:t>KEVIN</w:t>
      </w:r>
      <w:r>
        <w:rPr>
          <w:rStyle w:val="None"/>
          <w:sz w:val="28"/>
          <w:szCs w:val="28"/>
          <w:rtl w:val="0"/>
          <w:lang w:val="en-US"/>
        </w:rPr>
        <w:t>’</w:t>
      </w:r>
      <w:r>
        <w:rPr>
          <w:rStyle w:val="None"/>
          <w:sz w:val="28"/>
          <w:szCs w:val="28"/>
          <w:rtl w:val="0"/>
          <w:lang w:val="en-US"/>
        </w:rPr>
        <w:t xml:space="preserve">s meeting hall or the door of his own house just now </w:t>
      </w:r>
      <w:r>
        <w:rPr>
          <w:rStyle w:val="None"/>
          <w:sz w:val="28"/>
          <w:szCs w:val="28"/>
          <w:rtl w:val="0"/>
          <w:lang w:val="en-US"/>
        </w:rPr>
        <w:t xml:space="preserve">— </w:t>
      </w:r>
      <w:r>
        <w:rPr>
          <w:rStyle w:val="None"/>
          <w:sz w:val="28"/>
          <w:szCs w:val="28"/>
          <w:rtl w:val="0"/>
          <w:lang w:val="en-US"/>
        </w:rPr>
        <w:t xml:space="preserve">the </w:t>
        <w:tab/>
        <w:tab/>
        <w:t xml:space="preserve">opening of GoodFellas ran through his head and he found this </w:t>
        <w:tab/>
        <w:tab/>
        <w:tab/>
        <w:t xml:space="preserve">sentence rolling around in what he presumed was his subconscious: </w:t>
        <w:tab/>
        <w:tab/>
      </w:r>
      <w:r>
        <w:rPr>
          <w:rStyle w:val="None"/>
          <w:sz w:val="28"/>
          <w:szCs w:val="28"/>
          <w:rtl w:val="0"/>
          <w:lang w:val="en-US"/>
        </w:rPr>
        <w:t>“</w:t>
      </w:r>
      <w:r>
        <w:rPr>
          <w:rStyle w:val="None"/>
          <w:sz w:val="28"/>
          <w:szCs w:val="28"/>
          <w:rtl w:val="0"/>
          <w:lang w:val="en-US"/>
        </w:rPr>
        <w:t>As far back as I can remember, I always wanted to be a gangster</w:t>
      </w:r>
      <w:r>
        <w:rPr>
          <w:rStyle w:val="None"/>
          <w:sz w:val="28"/>
          <w:szCs w:val="28"/>
          <w:rtl w:val="0"/>
          <w:lang w:val="en-US"/>
        </w:rPr>
        <w:t>”</w:t>
      </w:r>
      <w:r>
        <w:rPr>
          <w:rStyle w:val="None"/>
          <w:sz w:val="28"/>
          <w:szCs w:val="28"/>
          <w:rtl w:val="0"/>
          <w:lang w:val="en-US"/>
        </w:rPr>
        <w:t xml:space="preserve">. </w:t>
        <w:tab/>
        <w:tab/>
        <w:t>(Smith, p. 446)</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The pursuit of such ideologically overarching narrative structures such as religious fundamentalism or scientism by these characters in </w:t>
      </w:r>
      <w:r>
        <w:rPr>
          <w:rStyle w:val="None"/>
          <w:i w:val="1"/>
          <w:iCs w:val="1"/>
          <w:sz w:val="28"/>
          <w:szCs w:val="28"/>
          <w:rtl w:val="0"/>
          <w:lang w:val="en-US"/>
        </w:rPr>
        <w:t>White Teeth,</w:t>
      </w:r>
      <w:r>
        <w:rPr>
          <w:rStyle w:val="None"/>
          <w:sz w:val="28"/>
          <w:szCs w:val="28"/>
          <w:rtl w:val="0"/>
          <w:lang w:val="en-US"/>
        </w:rPr>
        <w:t xml:space="preserve"> could be construed within a postmodern framework as adhering to grand or meta-narratives. </w:t>
      </w:r>
      <w:r>
        <w:rPr>
          <w:rStyle w:val="None"/>
          <w:sz w:val="28"/>
          <w:szCs w:val="28"/>
          <w:rtl w:val="0"/>
          <w:lang w:val="en-US"/>
        </w:rPr>
        <w:t>‘</w:t>
      </w:r>
      <w:r>
        <w:rPr>
          <w:rStyle w:val="None"/>
          <w:sz w:val="28"/>
          <w:szCs w:val="28"/>
          <w:rtl w:val="0"/>
          <w:lang w:val="en-US"/>
        </w:rPr>
        <w:t xml:space="preserve">The term </w:t>
      </w:r>
      <w:r>
        <w:rPr>
          <w:rStyle w:val="None"/>
          <w:sz w:val="28"/>
          <w:szCs w:val="28"/>
          <w:rtl w:val="0"/>
          <w:lang w:val="en-US"/>
        </w:rPr>
        <w:t>“</w:t>
      </w:r>
      <w:r>
        <w:rPr>
          <w:rStyle w:val="None"/>
          <w:sz w:val="28"/>
          <w:szCs w:val="28"/>
          <w:rtl w:val="0"/>
          <w:lang w:val="en-US"/>
        </w:rPr>
        <w:t>postmodernism</w:t>
      </w:r>
      <w:r>
        <w:rPr>
          <w:rStyle w:val="None"/>
          <w:sz w:val="28"/>
          <w:szCs w:val="28"/>
          <w:rtl w:val="0"/>
          <w:lang w:val="en-US"/>
        </w:rPr>
        <w:t xml:space="preserve">” </w:t>
      </w:r>
      <w:r>
        <w:rPr>
          <w:rStyle w:val="None"/>
          <w:sz w:val="28"/>
          <w:szCs w:val="28"/>
          <w:rtl w:val="0"/>
          <w:lang w:val="en-US"/>
        </w:rPr>
        <w:t xml:space="preserve">first entered the philosophical lexicon in 1979, with the publication of </w:t>
      </w:r>
      <w:r>
        <w:rPr>
          <w:rStyle w:val="None"/>
          <w:i w:val="1"/>
          <w:iCs w:val="1"/>
          <w:sz w:val="28"/>
          <w:szCs w:val="28"/>
          <w:rtl w:val="0"/>
          <w:lang w:val="en-US"/>
        </w:rPr>
        <w:t>The Postmodern Condition</w:t>
      </w:r>
      <w:r>
        <w:rPr>
          <w:rStyle w:val="None"/>
          <w:sz w:val="28"/>
          <w:szCs w:val="28"/>
          <w:rtl w:val="0"/>
          <w:lang w:val="fr-FR"/>
        </w:rPr>
        <w:t xml:space="preserve"> by Jean-Fran</w:t>
      </w:r>
      <w:r>
        <w:rPr>
          <w:rStyle w:val="None"/>
          <w:sz w:val="28"/>
          <w:szCs w:val="28"/>
          <w:rtl w:val="0"/>
          <w:lang w:val="pt-PT"/>
        </w:rPr>
        <w:t>ç</w:t>
      </w:r>
      <w:r>
        <w:rPr>
          <w:rStyle w:val="None"/>
          <w:sz w:val="28"/>
          <w:szCs w:val="28"/>
          <w:rtl w:val="0"/>
          <w:lang w:val="pt-PT"/>
        </w:rPr>
        <w:t>ois Lyotard</w:t>
      </w:r>
      <w:r>
        <w:rPr>
          <w:rStyle w:val="None"/>
          <w:sz w:val="28"/>
          <w:szCs w:val="28"/>
          <w:rtl w:val="0"/>
          <w:lang w:val="en-US"/>
        </w:rPr>
        <w:t>’</w:t>
      </w:r>
      <w:r>
        <w:rPr>
          <w:rStyle w:val="None"/>
          <w:sz w:val="28"/>
          <w:szCs w:val="28"/>
          <w:rtl w:val="0"/>
          <w:lang w:val="en-US"/>
        </w:rPr>
        <w:t>.</w:t>
      </w:r>
      <w:r>
        <w:rPr>
          <w:rStyle w:val="None"/>
          <w:sz w:val="28"/>
          <w:szCs w:val="28"/>
          <w:vertAlign w:val="superscript"/>
          <w:lang w:val="en-US"/>
        </w:rPr>
        <w:footnoteReference w:id="15"/>
      </w:r>
      <w:r>
        <w:rPr>
          <w:rStyle w:val="None"/>
          <w:sz w:val="28"/>
          <w:szCs w:val="28"/>
          <w:rtl w:val="0"/>
          <w:lang w:val="en-US"/>
        </w:rPr>
        <w:t xml:space="preserve"> Central to his argument in </w:t>
      </w:r>
      <w:r>
        <w:rPr>
          <w:rStyle w:val="None"/>
          <w:i w:val="1"/>
          <w:iCs w:val="1"/>
          <w:sz w:val="28"/>
          <w:szCs w:val="28"/>
          <w:rtl w:val="0"/>
          <w:lang w:val="en-US"/>
        </w:rPr>
        <w:t>The Postmodern Condition</w:t>
      </w:r>
      <w:r>
        <w:rPr>
          <w:rStyle w:val="None"/>
          <w:sz w:val="28"/>
          <w:szCs w:val="28"/>
          <w:rtl w:val="0"/>
          <w:lang w:val="en-US"/>
        </w:rPr>
        <w:t xml:space="preserve"> is the idea of grand or meta-narratives. These are explanations that purportedly possess universal truth and deny </w:t>
      </w:r>
      <w:r>
        <w:rPr>
          <w:rStyle w:val="None"/>
          <w:sz w:val="28"/>
          <w:szCs w:val="28"/>
          <w:rtl w:val="0"/>
          <w:lang w:val="en-US"/>
        </w:rPr>
        <w:t>‘</w:t>
      </w:r>
      <w:r>
        <w:rPr>
          <w:rStyle w:val="None"/>
          <w:sz w:val="28"/>
          <w:szCs w:val="28"/>
          <w:rtl w:val="0"/>
          <w:lang w:val="en-US"/>
        </w:rPr>
        <w:t>the validity of all other explanations, laying sole claim to truth</w:t>
      </w:r>
      <w:r>
        <w:rPr>
          <w:rStyle w:val="None"/>
          <w:sz w:val="28"/>
          <w:szCs w:val="28"/>
          <w:rtl w:val="0"/>
          <w:lang w:val="en-US"/>
        </w:rPr>
        <w:t>’</w:t>
      </w:r>
      <w:r>
        <w:rPr>
          <w:rStyle w:val="None"/>
          <w:sz w:val="28"/>
          <w:szCs w:val="28"/>
          <w:vertAlign w:val="superscript"/>
          <w:lang w:val="en-US"/>
        </w:rPr>
        <w:footnoteReference w:id="16"/>
      </w:r>
      <w:r>
        <w:rPr>
          <w:rStyle w:val="None"/>
          <w:sz w:val="28"/>
          <w:szCs w:val="28"/>
          <w:rtl w:val="0"/>
          <w:lang w:val="en-US"/>
        </w:rPr>
        <w:t xml:space="preserve">. Marxism would be an obvious example, but </w:t>
      </w:r>
      <w:r>
        <w:rPr>
          <w:rStyle w:val="None"/>
          <w:sz w:val="28"/>
          <w:szCs w:val="28"/>
          <w:rtl w:val="0"/>
          <w:lang w:val="en-US"/>
        </w:rPr>
        <w:t>‘</w:t>
      </w:r>
      <w:r>
        <w:rPr>
          <w:rStyle w:val="None"/>
          <w:sz w:val="28"/>
          <w:szCs w:val="28"/>
          <w:rtl w:val="0"/>
          <w:lang w:val="en-US"/>
        </w:rPr>
        <w:t>most religions offer a similar all-embracing explanation of human history</w:t>
      </w:r>
      <w:r>
        <w:rPr>
          <w:rStyle w:val="None"/>
          <w:sz w:val="28"/>
          <w:szCs w:val="28"/>
          <w:rtl w:val="0"/>
          <w:lang w:val="en-US"/>
        </w:rPr>
        <w:t xml:space="preserve">’ </w:t>
      </w:r>
      <w:r>
        <w:rPr>
          <w:rStyle w:val="None"/>
          <w:sz w:val="28"/>
          <w:szCs w:val="28"/>
          <w:rtl w:val="0"/>
          <w:lang w:val="en-US"/>
        </w:rPr>
        <w:t>(Sim. p.262). Lyotard makes the claim that such meta-narratives, due to their authoritarian nature no longer have any currency in the postmodern world. Yet it is precisely the absolutism and epistemic certainty that such views provide that makes them so attractive to the characters in</w:t>
      </w:r>
      <w:r>
        <w:rPr>
          <w:rStyle w:val="None"/>
          <w:i w:val="1"/>
          <w:iCs w:val="1"/>
          <w:sz w:val="28"/>
          <w:szCs w:val="28"/>
          <w:rtl w:val="0"/>
          <w:lang w:val="en-US"/>
        </w:rPr>
        <w:t xml:space="preserve"> White Teeth</w:t>
      </w:r>
      <w:r>
        <w:rPr>
          <w:rStyle w:val="None"/>
          <w:sz w:val="28"/>
          <w:szCs w:val="28"/>
          <w:rtl w:val="0"/>
          <w:lang w:val="en-US"/>
        </w:rPr>
        <w:t>. Moreover, it could be argued that Lyotard</w:t>
      </w:r>
      <w:r>
        <w:rPr>
          <w:rStyle w:val="None"/>
          <w:sz w:val="28"/>
          <w:szCs w:val="28"/>
          <w:rtl w:val="0"/>
          <w:lang w:val="en-US"/>
        </w:rPr>
        <w:t>’</w:t>
      </w:r>
      <w:r>
        <w:rPr>
          <w:rStyle w:val="None"/>
          <w:sz w:val="28"/>
          <w:szCs w:val="28"/>
          <w:rtl w:val="0"/>
          <w:lang w:val="en-US"/>
        </w:rPr>
        <w:t xml:space="preserve">s rejection of grand narratives could itself could construed as a grand narrative. </w:t>
      </w:r>
    </w:p>
    <w:p>
      <w:pPr>
        <w:pStyle w:val="Body A"/>
        <w:spacing w:line="480" w:lineRule="auto"/>
        <w:rPr>
          <w:rStyle w:val="None"/>
          <w:sz w:val="28"/>
          <w:szCs w:val="28"/>
        </w:rPr>
      </w:pPr>
      <w:r>
        <w:rPr>
          <w:rStyle w:val="None"/>
          <w:sz w:val="28"/>
          <w:szCs w:val="28"/>
          <w:rtl w:val="0"/>
        </w:rPr>
        <w:tab/>
        <w:t>A second postmodern attack on deriving a sense of self from the ideological certainty provided by the above grand narratives comes from deconstruction which:</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ab/>
        <w:t xml:space="preserve">defines the self as a fragmented pastiche of numerous </w:t>
      </w:r>
      <w:r>
        <w:rPr>
          <w:rStyle w:val="None"/>
          <w:sz w:val="28"/>
          <w:szCs w:val="28"/>
          <w:rtl w:val="0"/>
          <w:lang w:val="en-US"/>
        </w:rPr>
        <w:t>“</w:t>
      </w:r>
      <w:r>
        <w:rPr>
          <w:rStyle w:val="None"/>
          <w:sz w:val="28"/>
          <w:szCs w:val="28"/>
          <w:rtl w:val="0"/>
          <w:lang w:val="da-DK"/>
        </w:rPr>
        <w:t>selves</w:t>
      </w:r>
      <w:r>
        <w:rPr>
          <w:rStyle w:val="None"/>
          <w:sz w:val="28"/>
          <w:szCs w:val="28"/>
          <w:rtl w:val="0"/>
          <w:lang w:val="en-US"/>
        </w:rPr>
        <w:t xml:space="preserve">” </w:t>
      </w:r>
      <w:r>
        <w:rPr>
          <w:rStyle w:val="None"/>
          <w:sz w:val="28"/>
          <w:szCs w:val="28"/>
          <w:rtl w:val="0"/>
          <w:lang w:val="en-US"/>
        </w:rPr>
        <w:t xml:space="preserve">within </w:t>
        <w:tab/>
        <w:t xml:space="preserve">a world that has no stable meaning and no value beyond that which we </w:t>
        <w:tab/>
        <w:t xml:space="preserve">assign it. Such a theory is extremely helpful in allowing us to </w:t>
        <w:tab/>
        <w:tab/>
        <w:tab/>
        <w:t xml:space="preserve">understand how we construct the illusion of our own identity out of the </w:t>
        <w:tab/>
        <w:t xml:space="preserve">ideological materials provided by our culture. ( Tolson, p.426). </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This type of relativism owes much to Nietzche </w:t>
      </w:r>
      <w:r>
        <w:rPr>
          <w:rStyle w:val="None"/>
          <w:sz w:val="28"/>
          <w:szCs w:val="28"/>
          <w:rtl w:val="0"/>
          <w:lang w:val="en-US"/>
        </w:rPr>
        <w:t>‘</w:t>
      </w:r>
      <w:r>
        <w:rPr>
          <w:rStyle w:val="None"/>
          <w:sz w:val="28"/>
          <w:szCs w:val="28"/>
          <w:rtl w:val="0"/>
          <w:lang w:val="en-US"/>
        </w:rPr>
        <w:t>undoubtedly the most important nineteenth century thinker in relation to postmodernism</w:t>
      </w:r>
      <w:r>
        <w:rPr>
          <w:rStyle w:val="None"/>
          <w:sz w:val="28"/>
          <w:szCs w:val="28"/>
          <w:rtl w:val="0"/>
          <w:lang w:val="en-US"/>
        </w:rPr>
        <w:t xml:space="preserve">’ </w:t>
      </w:r>
      <w:r>
        <w:rPr>
          <w:rStyle w:val="None"/>
          <w:sz w:val="28"/>
          <w:szCs w:val="28"/>
          <w:rtl w:val="0"/>
          <w:lang w:val="en-US"/>
        </w:rPr>
        <w:t xml:space="preserve">(Sim, p.325). Nietzchean epistemology views the idea of an absolute notion of truth as an illusion, and instead adopts what has been termed as perspectivism. Art, morality, and science for example yield different types of knowledge, with certain forms possessing more practical value in different situations, but none of these different perspectives can be understood as an absolute notion of the truth. It is impossible for a scientist, or anyone else for that matter, to understand the world in a manner that is totally detached, objective and value free, and therefore grasp what is true. Moreover, like the deconstructionist position given above, Nietzsche held </w:t>
      </w:r>
      <w:r>
        <w:rPr>
          <w:rStyle w:val="None"/>
          <w:sz w:val="28"/>
          <w:szCs w:val="28"/>
          <w:rtl w:val="0"/>
          <w:lang w:val="en-US"/>
        </w:rPr>
        <w:t>‘</w:t>
      </w:r>
      <w:r>
        <w:rPr>
          <w:rStyle w:val="None"/>
          <w:sz w:val="28"/>
          <w:szCs w:val="28"/>
          <w:rtl w:val="0"/>
          <w:lang w:val="en-US"/>
        </w:rPr>
        <w:t>a very fluid conception of self, one which is not based on being or substance but on a process of becoming</w:t>
      </w:r>
      <w:r>
        <w:rPr>
          <w:rStyle w:val="None"/>
          <w:sz w:val="28"/>
          <w:szCs w:val="28"/>
          <w:rtl w:val="0"/>
          <w:lang w:val="en-US"/>
        </w:rPr>
        <w:t xml:space="preserve">’ </w:t>
      </w:r>
      <w:r>
        <w:rPr>
          <w:rStyle w:val="None"/>
          <w:sz w:val="28"/>
          <w:szCs w:val="28"/>
          <w:rtl w:val="0"/>
          <w:lang w:val="en-US"/>
        </w:rPr>
        <w:t xml:space="preserve">(Sim, p.326). This all serves to problematise the notion of ideological certainty and the possibility of deriving a sense of self from it.  </w:t>
      </w:r>
    </w:p>
    <w:p>
      <w:pPr>
        <w:pStyle w:val="Body A"/>
        <w:spacing w:line="480" w:lineRule="auto"/>
        <w:rPr>
          <w:rStyle w:val="None"/>
          <w:sz w:val="28"/>
          <w:szCs w:val="28"/>
        </w:rPr>
      </w:pPr>
      <w:r>
        <w:rPr>
          <w:rStyle w:val="None"/>
          <w:sz w:val="28"/>
          <w:szCs w:val="28"/>
          <w:rtl w:val="0"/>
        </w:rPr>
        <w:tab/>
        <w:t>The importance of these postmodern views, alongside those stated above, is that Smith</w:t>
      </w:r>
      <w:r>
        <w:rPr>
          <w:rStyle w:val="None"/>
          <w:sz w:val="28"/>
          <w:szCs w:val="28"/>
          <w:rtl w:val="0"/>
          <w:lang w:val="en-US"/>
        </w:rPr>
        <w:t>’</w:t>
      </w:r>
      <w:r>
        <w:rPr>
          <w:rStyle w:val="None"/>
          <w:sz w:val="28"/>
          <w:szCs w:val="28"/>
          <w:rtl w:val="0"/>
          <w:lang w:val="en-US"/>
        </w:rPr>
        <w:t xml:space="preserve">s omniscient narrator also seems to be equally sceptical towards the meta narratives in </w:t>
      </w:r>
      <w:r>
        <w:rPr>
          <w:rStyle w:val="None"/>
          <w:i w:val="1"/>
          <w:iCs w:val="1"/>
          <w:sz w:val="28"/>
          <w:szCs w:val="28"/>
          <w:rtl w:val="0"/>
          <w:lang w:val="en-US"/>
        </w:rPr>
        <w:t>White Teeth,</w:t>
      </w:r>
      <w:r>
        <w:rPr>
          <w:rStyle w:val="None"/>
          <w:sz w:val="28"/>
          <w:szCs w:val="28"/>
          <w:rtl w:val="0"/>
          <w:lang w:val="en-US"/>
        </w:rPr>
        <w:t xml:space="preserve"> and therefore any notion of certainty that the characters derive from them to create their sense of personal identity and belonging. From this perspective Smith</w:t>
      </w:r>
      <w:r>
        <w:rPr>
          <w:rStyle w:val="None"/>
          <w:sz w:val="28"/>
          <w:szCs w:val="28"/>
          <w:rtl w:val="0"/>
          <w:lang w:val="en-US"/>
        </w:rPr>
        <w:t>’</w:t>
      </w:r>
      <w:r>
        <w:rPr>
          <w:rStyle w:val="None"/>
          <w:sz w:val="28"/>
          <w:szCs w:val="28"/>
          <w:rtl w:val="0"/>
          <w:lang w:val="en-US"/>
        </w:rPr>
        <w:t>s narrator could be construed as presenting to the reader a postmodern perspective on knowledge and self. Bergholtz writes that the:</w:t>
      </w:r>
    </w:p>
    <w:p>
      <w:pPr>
        <w:pStyle w:val="Body A"/>
        <w:spacing w:line="480" w:lineRule="auto"/>
        <w:rPr>
          <w:rStyle w:val="None"/>
          <w:sz w:val="28"/>
          <w:szCs w:val="28"/>
        </w:rPr>
      </w:pPr>
      <w:r>
        <w:rPr>
          <w:rStyle w:val="None"/>
          <w:sz w:val="28"/>
          <w:szCs w:val="28"/>
        </w:rPr>
        <w:tab/>
      </w:r>
    </w:p>
    <w:p>
      <w:pPr>
        <w:pStyle w:val="Body A"/>
        <w:spacing w:line="480" w:lineRule="auto"/>
        <w:rPr>
          <w:rStyle w:val="None"/>
          <w:sz w:val="28"/>
          <w:szCs w:val="28"/>
        </w:rPr>
      </w:pPr>
      <w:r>
        <w:rPr>
          <w:rStyle w:val="None"/>
          <w:sz w:val="28"/>
          <w:szCs w:val="28"/>
          <w:rtl w:val="0"/>
          <w:lang w:val="en-US"/>
        </w:rPr>
        <w:tab/>
        <w:t>insistence on the inerrancy of a single narrative</w:t>
      </w:r>
      <w:r>
        <w:rPr>
          <w:rStyle w:val="None"/>
          <w:sz w:val="28"/>
          <w:szCs w:val="28"/>
          <w:rtl w:val="0"/>
          <w:lang w:val="en-US"/>
        </w:rPr>
        <w:t>—</w:t>
      </w:r>
      <w:r>
        <w:rPr>
          <w:rStyle w:val="None"/>
          <w:sz w:val="28"/>
          <w:szCs w:val="28"/>
          <w:rtl w:val="0"/>
          <w:lang w:val="en-US"/>
        </w:rPr>
        <w:t xml:space="preserve">whether it is Marcus </w:t>
        <w:tab/>
        <w:t xml:space="preserve">Chalfen's scientism, Millat Iqbal's militant Islam, or Hortense Bowden's </w:t>
        <w:tab/>
        <w:t>Christianity</w:t>
      </w:r>
      <w:r>
        <w:rPr>
          <w:rStyle w:val="None"/>
          <w:sz w:val="28"/>
          <w:szCs w:val="28"/>
          <w:rtl w:val="0"/>
          <w:lang w:val="en-US"/>
        </w:rPr>
        <w:t>—</w:t>
      </w:r>
      <w:r>
        <w:rPr>
          <w:rStyle w:val="None"/>
          <w:sz w:val="28"/>
          <w:szCs w:val="28"/>
          <w:rtl w:val="0"/>
          <w:lang w:val="en-US"/>
        </w:rPr>
        <w:t xml:space="preserve">is incompatible with the ambiguity inherent in a pluralistic </w:t>
        <w:tab/>
      </w:r>
      <w:r>
        <w:rPr>
          <w:rStyle w:val="None"/>
          <w:sz w:val="28"/>
          <w:szCs w:val="28"/>
          <w:rtl w:val="0"/>
          <w:lang w:val="it-IT"/>
        </w:rPr>
        <w:t>society</w:t>
      </w:r>
      <w:r>
        <w:rPr>
          <w:rStyle w:val="None"/>
          <w:sz w:val="28"/>
          <w:szCs w:val="28"/>
          <w:rtl w:val="0"/>
          <w:lang w:val="en-US"/>
        </w:rPr>
        <w:t>. [</w:t>
      </w:r>
      <w:r>
        <w:rPr>
          <w:rStyle w:val="None"/>
          <w:sz w:val="28"/>
          <w:szCs w:val="28"/>
          <w:rtl w:val="0"/>
          <w:lang w:val="en-US"/>
        </w:rPr>
        <w:t>…</w:t>
      </w:r>
      <w:r>
        <w:rPr>
          <w:rStyle w:val="None"/>
          <w:sz w:val="28"/>
          <w:szCs w:val="28"/>
          <w:rtl w:val="0"/>
          <w:lang w:val="en-US"/>
        </w:rPr>
        <w:t xml:space="preserve">] Readers are invited to laugh at characters such as Millat </w:t>
        <w:tab/>
        <w:tab/>
        <w:t xml:space="preserve">and Hortense for allowing didactic texts, including The Right to Bare: </w:t>
        <w:tab/>
        <w:t xml:space="preserve">The Naked Truth About Western Sexuality (308) and the "latest </w:t>
        <w:tab/>
        <w:tab/>
        <w:tab/>
        <w:t xml:space="preserve">Watchtower article" (337), to interpret the world for them (Bergholtz </w:t>
        <w:tab/>
        <w:tab/>
      </w:r>
      <w:r>
        <w:rPr>
          <w:rStyle w:val="None"/>
          <w:sz w:val="28"/>
          <w:szCs w:val="28"/>
          <w:rtl w:val="0"/>
          <w:lang w:val="pt-PT"/>
        </w:rPr>
        <w:t>para 2 of 39</w:t>
      </w:r>
      <w:r>
        <w:rPr>
          <w:rStyle w:val="None"/>
          <w:sz w:val="28"/>
          <w:szCs w:val="28"/>
          <w:rtl w:val="0"/>
          <w:lang w:val="en-US"/>
        </w:rPr>
        <w:t>).</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This could be construed as supporting Lyotard</w:t>
      </w:r>
      <w:r>
        <w:rPr>
          <w:rStyle w:val="None"/>
          <w:sz w:val="28"/>
          <w:szCs w:val="28"/>
          <w:rtl w:val="0"/>
          <w:lang w:val="en-US"/>
        </w:rPr>
        <w:t>’</w:t>
      </w:r>
      <w:r>
        <w:rPr>
          <w:rStyle w:val="None"/>
          <w:sz w:val="28"/>
          <w:szCs w:val="28"/>
          <w:rtl w:val="0"/>
          <w:lang w:val="en-US"/>
        </w:rPr>
        <w:t>s rejection of meta-narratives. In dismissing the idea of a single narrative that can be used to explain the world, Smith</w:t>
      </w:r>
      <w:r>
        <w:rPr>
          <w:rStyle w:val="None"/>
          <w:sz w:val="28"/>
          <w:szCs w:val="28"/>
          <w:rtl w:val="0"/>
          <w:lang w:val="en-US"/>
        </w:rPr>
        <w:t>’</w:t>
      </w:r>
      <w:r>
        <w:rPr>
          <w:rStyle w:val="None"/>
          <w:sz w:val="28"/>
          <w:szCs w:val="28"/>
          <w:rtl w:val="0"/>
          <w:lang w:val="en-US"/>
        </w:rPr>
        <w:t xml:space="preserve">s narrator could be understood as subscribing to the type of epistemological stance adopted by Nietzsche and later postmodernists. Bergholtz however claims that the certainty that the omniscient narrator displays in her pluralism leaves her open to the same charge she levels against Marcus </w:t>
      </w:r>
      <w:r>
        <w:rPr>
          <w:rStyle w:val="None"/>
          <w:sz w:val="28"/>
          <w:szCs w:val="28"/>
          <w:rtl w:val="0"/>
          <w:lang w:val="de-DE"/>
        </w:rPr>
        <w:t>Chalfen</w:t>
      </w:r>
      <w:r>
        <w:rPr>
          <w:rStyle w:val="None"/>
          <w:sz w:val="28"/>
          <w:szCs w:val="28"/>
          <w:rtl w:val="0"/>
          <w:lang w:val="en-US"/>
        </w:rPr>
        <w:t>, Hortense and Millat, namely, presenting certainty in an epistemological belief where there can be none (from a postmodern perspective). There is something paradoxical about expressing certainty about uncertainty: wouldn</w:t>
      </w:r>
      <w:r>
        <w:rPr>
          <w:rStyle w:val="None"/>
          <w:sz w:val="28"/>
          <w:szCs w:val="28"/>
          <w:rtl w:val="0"/>
          <w:lang w:val="en-US"/>
        </w:rPr>
        <w:t>’</w:t>
      </w:r>
      <w:r>
        <w:rPr>
          <w:rStyle w:val="None"/>
          <w:sz w:val="28"/>
          <w:szCs w:val="28"/>
          <w:rtl w:val="0"/>
          <w:lang w:val="en-US"/>
        </w:rPr>
        <w:t>t the uncertainty undermine the very certainty the narrator presents to the reader? Conversely, if anyone is allowed to be certain about something surely it should be, by definition, an omniscient narrator.</w:t>
      </w:r>
    </w:p>
    <w:p>
      <w:pPr>
        <w:pStyle w:val="Body A"/>
        <w:spacing w:line="480" w:lineRule="auto"/>
        <w:rPr>
          <w:rStyle w:val="None"/>
          <w:i w:val="1"/>
          <w:iCs w:val="1"/>
          <w:sz w:val="28"/>
          <w:szCs w:val="28"/>
        </w:rPr>
      </w:pPr>
      <w:r>
        <w:rPr>
          <w:rStyle w:val="None"/>
          <w:sz w:val="28"/>
          <w:szCs w:val="28"/>
          <w:rtl w:val="0"/>
          <w:lang w:val="en-US"/>
        </w:rPr>
        <w:tab/>
        <w:t>Hergholtz describes the narrator</w:t>
      </w:r>
      <w:r>
        <w:rPr>
          <w:rStyle w:val="None"/>
          <w:sz w:val="28"/>
          <w:szCs w:val="28"/>
          <w:rtl w:val="0"/>
          <w:lang w:val="en-US"/>
        </w:rPr>
        <w:t>’</w:t>
      </w:r>
      <w:r>
        <w:rPr>
          <w:rStyle w:val="None"/>
          <w:sz w:val="28"/>
          <w:szCs w:val="28"/>
          <w:rtl w:val="0"/>
          <w:lang w:val="en-US"/>
        </w:rPr>
        <w:t xml:space="preserve">s technique as depending on </w:t>
      </w:r>
      <w:r>
        <w:rPr>
          <w:rStyle w:val="None"/>
          <w:sz w:val="28"/>
          <w:szCs w:val="28"/>
          <w:rtl w:val="0"/>
          <w:lang w:val="en-US"/>
        </w:rPr>
        <w:t>‘</w:t>
      </w:r>
      <w:r>
        <w:rPr>
          <w:rStyle w:val="None"/>
          <w:sz w:val="28"/>
          <w:szCs w:val="28"/>
          <w:rtl w:val="0"/>
          <w:lang w:val="en-US"/>
        </w:rPr>
        <w:t>the reader both recognizing that the narrator is mimicking the dogmatic certainty of her characters and reflecting upon the inadequacy of such structural certainty in addressing the problems dramatized in the novel</w:t>
      </w:r>
      <w:r>
        <w:rPr>
          <w:rStyle w:val="None"/>
          <w:sz w:val="28"/>
          <w:szCs w:val="28"/>
          <w:rtl w:val="0"/>
          <w:lang w:val="en-US"/>
        </w:rPr>
        <w:t>’</w:t>
      </w:r>
      <w:r>
        <w:rPr>
          <w:rStyle w:val="None"/>
          <w:sz w:val="28"/>
          <w:szCs w:val="28"/>
          <w:rtl w:val="0"/>
          <w:lang w:val="en-US"/>
        </w:rPr>
        <w:t xml:space="preserve">. (Herholtz, </w:t>
      </w:r>
      <w:r>
        <w:rPr>
          <w:rStyle w:val="None"/>
          <w:sz w:val="28"/>
          <w:szCs w:val="28"/>
          <w:rtl w:val="0"/>
          <w:lang w:val="pt-PT"/>
        </w:rPr>
        <w:t>para 2 of 39</w:t>
      </w:r>
      <w:r>
        <w:rPr>
          <w:rStyle w:val="None"/>
          <w:sz w:val="28"/>
          <w:szCs w:val="28"/>
          <w:rtl w:val="0"/>
          <w:lang w:val="en-US"/>
        </w:rPr>
        <w:t xml:space="preserve">). Whilst this narrative approach does require an attentive reader, it seems to demand no more than other texts that contain postmodern themes, and certainly less work than other canonised postmodern novels such as </w:t>
      </w:r>
      <w:r>
        <w:rPr>
          <w:rStyle w:val="None"/>
          <w:i w:val="1"/>
          <w:iCs w:val="1"/>
          <w:sz w:val="28"/>
          <w:szCs w:val="28"/>
          <w:rtl w:val="0"/>
          <w:lang w:val="en-US"/>
        </w:rPr>
        <w:t>Gravity</w:t>
      </w:r>
      <w:r>
        <w:rPr>
          <w:rStyle w:val="None"/>
          <w:i w:val="1"/>
          <w:iCs w:val="1"/>
          <w:sz w:val="28"/>
          <w:szCs w:val="28"/>
          <w:rtl w:val="0"/>
          <w:lang w:val="en-US"/>
        </w:rPr>
        <w:t>’</w:t>
      </w:r>
      <w:r>
        <w:rPr>
          <w:rStyle w:val="None"/>
          <w:i w:val="1"/>
          <w:iCs w:val="1"/>
          <w:sz w:val="28"/>
          <w:szCs w:val="28"/>
          <w:rtl w:val="0"/>
          <w:lang w:val="en-US"/>
        </w:rPr>
        <w:t xml:space="preserve">s Rainbow </w:t>
      </w:r>
      <w:r>
        <w:rPr>
          <w:rStyle w:val="None"/>
          <w:i w:val="1"/>
          <w:iCs w:val="1"/>
          <w:sz w:val="28"/>
          <w:szCs w:val="28"/>
          <w:vertAlign w:val="superscript"/>
          <w:lang w:val="en-US"/>
        </w:rPr>
        <w:footnoteReference w:id="17"/>
      </w:r>
      <w:r>
        <w:rPr>
          <w:rStyle w:val="None"/>
          <w:i w:val="1"/>
          <w:iCs w:val="1"/>
          <w:sz w:val="28"/>
          <w:szCs w:val="28"/>
          <w:rtl w:val="0"/>
          <w:lang w:val="en-US"/>
        </w:rPr>
        <w:t>.</w:t>
      </w:r>
    </w:p>
    <w:p>
      <w:pPr>
        <w:pStyle w:val="Body A"/>
        <w:spacing w:line="480" w:lineRule="auto"/>
        <w:rPr>
          <w:rStyle w:val="None"/>
          <w:i w:val="1"/>
          <w:iCs w:val="1"/>
          <w:sz w:val="28"/>
          <w:szCs w:val="28"/>
        </w:rPr>
      </w:pPr>
      <w:r>
        <w:rPr>
          <w:rStyle w:val="None"/>
          <w:sz w:val="28"/>
          <w:szCs w:val="28"/>
          <w:rtl w:val="0"/>
        </w:rPr>
        <w:tab/>
        <w:t>Smith</w:t>
      </w:r>
      <w:r>
        <w:rPr>
          <w:rStyle w:val="None"/>
          <w:sz w:val="28"/>
          <w:szCs w:val="28"/>
          <w:rtl w:val="0"/>
          <w:lang w:val="en-US"/>
        </w:rPr>
        <w:t>’</w:t>
      </w:r>
      <w:r>
        <w:rPr>
          <w:rStyle w:val="None"/>
          <w:sz w:val="28"/>
          <w:szCs w:val="28"/>
          <w:rtl w:val="0"/>
          <w:lang w:val="en-US"/>
        </w:rPr>
        <w:t>s narrator</w:t>
      </w:r>
      <w:r>
        <w:rPr>
          <w:rStyle w:val="None"/>
          <w:sz w:val="28"/>
          <w:szCs w:val="28"/>
          <w:rtl w:val="0"/>
          <w:lang w:val="en-US"/>
        </w:rPr>
        <w:t>’</w:t>
      </w:r>
      <w:r>
        <w:rPr>
          <w:rStyle w:val="None"/>
          <w:sz w:val="28"/>
          <w:szCs w:val="28"/>
          <w:rtl w:val="0"/>
          <w:lang w:val="en-US"/>
        </w:rPr>
        <w:t xml:space="preserve">s critical stance towards the singular meta-narratives in the text, and their inability to provide a secure epistemological foundation for self and belonging, posits her conception of the postcolonial self as pluralistic. This narrative technique allows for the novel to be framed as postmodern, with the attendant implications for ideas such as a fixed notion of self. This reading seems to be supported and complemented by the notion of hybridity, particularly with regard to the second generation of immigrants in the book. They are presented as generally more able to deal with the uncertainties involved in living in the globalised, multiracial metropolis that is modern London. Even when Millat falls under the spell of fundamentalism, it is in a unique multivalent form; it is his own interpretation, and is as much a product of Scorsese and Hollywood as it is the Quran. In closing it could be said that Smith is implying that for anyone to manage the ambiguities, contradictions and unpredictable aspects of living in a modern, globalised world, necessarily high among the pre-requisites are a level of hybridity and tolerance.                        </w:t>
      </w:r>
    </w:p>
    <w:p>
      <w:pPr>
        <w:pStyle w:val="Body A"/>
        <w:spacing w:line="480" w:lineRule="auto"/>
        <w:rPr>
          <w:rStyle w:val="None"/>
          <w:i w:val="1"/>
          <w:iCs w:val="1"/>
          <w:sz w:val="28"/>
          <w:szCs w:val="28"/>
        </w:rPr>
      </w:pPr>
    </w:p>
    <w:p>
      <w:pPr>
        <w:pStyle w:val="Body A"/>
        <w:spacing w:line="480" w:lineRule="auto"/>
      </w:pPr>
    </w:p>
    <w:p>
      <w:pPr>
        <w:pStyle w:val="Body A"/>
        <w:spacing w:line="480" w:lineRule="auto"/>
      </w:pPr>
    </w:p>
    <w:p>
      <w:pPr>
        <w:pStyle w:val="Body A"/>
        <w:spacing w:line="480" w:lineRule="auto"/>
      </w:pPr>
    </w:p>
    <w:p>
      <w:pPr>
        <w:pStyle w:val="Body A"/>
        <w:spacing w:line="480" w:lineRule="auto"/>
        <w:rPr>
          <w:rStyle w:val="None"/>
          <w:i w:val="1"/>
          <w:iCs w:val="1"/>
          <w:sz w:val="36"/>
          <w:szCs w:val="36"/>
        </w:rPr>
      </w:pPr>
      <w:r>
        <w:rPr>
          <w:rStyle w:val="None"/>
          <w:b w:val="1"/>
          <w:bCs w:val="1"/>
          <w:sz w:val="36"/>
          <w:szCs w:val="36"/>
          <w:u w:val="single"/>
          <w:rtl w:val="0"/>
          <w:lang w:val="en-US"/>
        </w:rPr>
        <w:t>Bibliography</w:t>
      </w:r>
    </w:p>
    <w:p>
      <w:pPr>
        <w:pStyle w:val="Body A"/>
        <w:spacing w:line="480" w:lineRule="auto"/>
        <w:rPr>
          <w:rStyle w:val="None"/>
          <w:i w:val="1"/>
          <w:iCs w:val="1"/>
          <w:sz w:val="28"/>
          <w:szCs w:val="28"/>
        </w:rPr>
      </w:pPr>
      <w:r>
        <w:rPr>
          <w:rStyle w:val="None"/>
          <w:sz w:val="28"/>
          <w:szCs w:val="28"/>
          <w:rtl w:val="0"/>
          <w:lang w:val="de-DE"/>
        </w:rPr>
        <w:t>Achebe Chinua</w:t>
      </w:r>
      <w:r>
        <w:rPr>
          <w:rStyle w:val="None"/>
          <w:sz w:val="28"/>
          <w:szCs w:val="28"/>
          <w:rtl w:val="0"/>
          <w:lang w:val="en-US"/>
        </w:rPr>
        <w:t xml:space="preserve">, </w:t>
      </w:r>
      <w:r>
        <w:rPr>
          <w:rStyle w:val="None"/>
          <w:sz w:val="28"/>
          <w:szCs w:val="28"/>
          <w:rtl w:val="0"/>
          <w:lang w:val="en-US"/>
        </w:rPr>
        <w:t>‘</w:t>
      </w:r>
      <w:r>
        <w:rPr>
          <w:rStyle w:val="None"/>
          <w:sz w:val="28"/>
          <w:szCs w:val="28"/>
          <w:rtl w:val="0"/>
          <w:lang w:val="en-US"/>
        </w:rPr>
        <w:t>An Image ofAfrica: Racism in Conrad</w:t>
      </w:r>
      <w:r>
        <w:rPr>
          <w:rStyle w:val="None"/>
          <w:sz w:val="28"/>
          <w:szCs w:val="28"/>
          <w:rtl w:val="0"/>
          <w:lang w:val="en-US"/>
        </w:rPr>
        <w:t>’</w:t>
      </w:r>
      <w:r>
        <w:rPr>
          <w:rStyle w:val="None"/>
          <w:sz w:val="28"/>
          <w:szCs w:val="28"/>
          <w:rtl w:val="0"/>
          <w:lang w:val="en-US"/>
        </w:rPr>
        <w:t>s Heart of Darkness</w:t>
      </w:r>
      <w:r>
        <w:rPr>
          <w:rStyle w:val="None"/>
          <w:sz w:val="28"/>
          <w:szCs w:val="28"/>
          <w:rtl w:val="0"/>
          <w:lang w:val="en-US"/>
        </w:rPr>
        <w:t>’</w:t>
      </w:r>
      <w:r>
        <w:rPr>
          <w:rStyle w:val="None"/>
          <w:sz w:val="28"/>
          <w:szCs w:val="28"/>
          <w:rtl w:val="0"/>
          <w:lang w:val="en-US"/>
        </w:rPr>
        <w:t>,</w:t>
      </w:r>
      <w:r>
        <w:rPr>
          <w:rStyle w:val="None"/>
          <w:rFonts w:ascii="Helvetica" w:hAnsi="Helvetica"/>
          <w:i w:val="1"/>
          <w:iCs w:val="1"/>
          <w:sz w:val="28"/>
          <w:szCs w:val="28"/>
          <w:rtl w:val="0"/>
          <w:lang w:val="en-US"/>
        </w:rPr>
        <w:t xml:space="preserve"> The Massachusetts Review</w:t>
      </w:r>
      <w:r>
        <w:rPr>
          <w:rStyle w:val="None"/>
          <w:sz w:val="28"/>
          <w:szCs w:val="28"/>
          <w:rtl w:val="0"/>
          <w:lang w:val="en-US"/>
        </w:rPr>
        <w:t>, (Spring 2016), Vol. 57 Issue 1, pp.14-27.&lt;http:/  web.b.ebscohost.com.ezproxy.uwtsd.ac.uk/ehost/detail/detailsid=a59af8d3bd25-4e64-95ea-2e8eb1b610a4%40sessionmgr102&amp;vid=0&amp;hid=125&amp;bdata=JnNpdGU9ZWhvc3QtbGl2ZQ%3d%3d#db=aph&amp;AN=114187095&gt;[accessed 28 March 2018]</w:t>
      </w:r>
      <w:r>
        <w:rPr>
          <w:rStyle w:val="None"/>
          <w:i w:val="1"/>
          <w:iCs w:val="1"/>
          <w:sz w:val="28"/>
          <w:szCs w:val="28"/>
          <w:lang w:val="en-US"/>
        </w:rPr>
        <w:tab/>
      </w:r>
    </w:p>
    <w:p>
      <w:pPr>
        <w:pStyle w:val="Body A"/>
        <w:spacing w:line="480" w:lineRule="auto"/>
        <w:rPr>
          <w:rStyle w:val="None"/>
          <w:i w:val="1"/>
          <w:iCs w:val="1"/>
          <w:sz w:val="28"/>
          <w:szCs w:val="28"/>
        </w:rPr>
      </w:pPr>
    </w:p>
    <w:p>
      <w:pPr>
        <w:pStyle w:val="Body A"/>
        <w:spacing w:line="480" w:lineRule="auto"/>
        <w:rPr>
          <w:rStyle w:val="None"/>
          <w:sz w:val="28"/>
          <w:szCs w:val="28"/>
        </w:rPr>
      </w:pPr>
      <w:r>
        <w:rPr>
          <w:rStyle w:val="None"/>
          <w:sz w:val="28"/>
          <w:szCs w:val="28"/>
          <w:rtl w:val="0"/>
          <w:lang w:val="en-US"/>
        </w:rPr>
        <w:t xml:space="preserve">Aylesworth Gary, </w:t>
      </w:r>
      <w:r>
        <w:rPr>
          <w:rStyle w:val="None"/>
          <w:sz w:val="28"/>
          <w:szCs w:val="28"/>
          <w:rtl w:val="0"/>
          <w:lang w:val="en-US"/>
        </w:rPr>
        <w:t>‘</w:t>
      </w:r>
      <w:r>
        <w:rPr>
          <w:rStyle w:val="None"/>
          <w:sz w:val="28"/>
          <w:szCs w:val="28"/>
          <w:rtl w:val="0"/>
          <w:lang w:val="en-US"/>
        </w:rPr>
        <w:t>Postmodernism</w:t>
      </w:r>
      <w:r>
        <w:rPr>
          <w:rStyle w:val="None"/>
          <w:sz w:val="28"/>
          <w:szCs w:val="28"/>
          <w:rtl w:val="0"/>
          <w:lang w:val="en-US"/>
        </w:rPr>
        <w:t xml:space="preserve">’ </w:t>
      </w:r>
      <w:r>
        <w:rPr>
          <w:rStyle w:val="None"/>
          <w:sz w:val="28"/>
          <w:szCs w:val="28"/>
          <w:rtl w:val="0"/>
          <w:lang w:val="en-US"/>
        </w:rPr>
        <w:t>&lt;</w:t>
      </w:r>
      <w:r>
        <w:rPr>
          <w:rStyle w:val="Hyperlink.2"/>
        </w:rPr>
        <w:fldChar w:fldCharType="begin" w:fldLock="0"/>
      </w:r>
      <w:r>
        <w:rPr>
          <w:rStyle w:val="Hyperlink.2"/>
        </w:rPr>
        <w:instrText xml:space="preserve"> HYPERLINK "https://plato.stanford.edu/entries/postmodernism/"</w:instrText>
      </w:r>
      <w:r>
        <w:rPr>
          <w:rStyle w:val="Hyperlink.2"/>
        </w:rPr>
        <w:fldChar w:fldCharType="separate" w:fldLock="0"/>
      </w:r>
      <w:r>
        <w:rPr>
          <w:rStyle w:val="Hyperlink.2"/>
          <w:rtl w:val="0"/>
          <w:lang w:val="en-US"/>
        </w:rPr>
        <w:t>https://plato.stanford.edu/entries/postmodernism/</w:t>
      </w:r>
      <w:r>
        <w:rPr/>
        <w:fldChar w:fldCharType="end" w:fldLock="0"/>
      </w:r>
      <w:r>
        <w:rPr>
          <w:rStyle w:val="None"/>
          <w:sz w:val="28"/>
          <w:szCs w:val="28"/>
          <w:rtl w:val="0"/>
          <w:lang w:val="en-US"/>
        </w:rPr>
        <w:t>&gt; [Accessed 2 April 2018] (para. 2 of 55)</w:t>
      </w:r>
    </w:p>
    <w:p>
      <w:pPr>
        <w:pStyle w:val="Body A"/>
        <w:spacing w:line="480" w:lineRule="auto"/>
        <w:rPr>
          <w:sz w:val="28"/>
          <w:szCs w:val="28"/>
        </w:rPr>
      </w:pPr>
    </w:p>
    <w:p>
      <w:pPr>
        <w:pStyle w:val="Body A"/>
        <w:spacing w:line="480" w:lineRule="auto"/>
      </w:pPr>
      <w:r>
        <w:rPr>
          <w:rStyle w:val="None"/>
          <w:sz w:val="28"/>
          <w:szCs w:val="28"/>
          <w:rtl w:val="0"/>
          <w:lang w:val="en-US"/>
        </w:rPr>
        <w:t xml:space="preserve">Bhabha Homi, </w:t>
      </w:r>
      <w:r>
        <w:rPr>
          <w:rStyle w:val="None"/>
          <w:sz w:val="28"/>
          <w:szCs w:val="28"/>
          <w:rtl w:val="0"/>
          <w:lang w:val="en-US"/>
        </w:rPr>
        <w:t>‘</w:t>
      </w:r>
      <w:r>
        <w:rPr>
          <w:rStyle w:val="None"/>
          <w:sz w:val="28"/>
          <w:szCs w:val="28"/>
          <w:rtl w:val="0"/>
          <w:lang w:val="en-US"/>
        </w:rPr>
        <w:t>Of Mimicry and Man: The Ambivalence of Colonial Discourse</w:t>
      </w:r>
      <w:r>
        <w:rPr>
          <w:rStyle w:val="None"/>
          <w:sz w:val="28"/>
          <w:szCs w:val="28"/>
          <w:rtl w:val="0"/>
          <w:lang w:val="en-US"/>
        </w:rPr>
        <w:t>’</w:t>
      </w:r>
      <w:r>
        <w:rPr>
          <w:rStyle w:val="None"/>
          <w:sz w:val="28"/>
          <w:szCs w:val="28"/>
          <w:rtl w:val="0"/>
          <w:lang w:val="en-US"/>
        </w:rPr>
        <w:t>, &lt;http://www.jstor.org.ezproxy.uwtsd.ac.uk/stable/778467?sid=primo&amp;origin=crossref&amp;seq=1#page_scan_tab_contents&gt; [Accessed 29th March]</w:t>
      </w:r>
    </w:p>
    <w:p>
      <w:pPr>
        <w:pStyle w:val="Body A"/>
        <w:spacing w:line="480" w:lineRule="auto"/>
      </w:pPr>
    </w:p>
    <w:p>
      <w:pPr>
        <w:pStyle w:val="Body A"/>
        <w:spacing w:line="480" w:lineRule="auto"/>
        <w:rPr>
          <w:rStyle w:val="None"/>
          <w:sz w:val="28"/>
          <w:szCs w:val="28"/>
        </w:rPr>
      </w:pPr>
      <w:r>
        <w:rPr>
          <w:rStyle w:val="None"/>
          <w:sz w:val="28"/>
          <w:szCs w:val="28"/>
          <w:rtl w:val="0"/>
          <w:lang w:val="en-US"/>
        </w:rPr>
        <w:t xml:space="preserve">Bergholtz Benjamin, </w:t>
      </w:r>
      <w:r>
        <w:rPr>
          <w:rStyle w:val="None"/>
          <w:sz w:val="28"/>
          <w:szCs w:val="28"/>
          <w:rtl w:val="0"/>
          <w:lang w:val="en-US"/>
        </w:rPr>
        <w:t>’</w:t>
      </w:r>
      <w:r>
        <w:rPr>
          <w:rStyle w:val="None"/>
          <w:sz w:val="28"/>
          <w:szCs w:val="28"/>
          <w:rtl w:val="0"/>
          <w:lang w:val="en-US"/>
        </w:rPr>
        <w:t>Certainty in Its Purest Form</w:t>
      </w:r>
      <w:r>
        <w:rPr>
          <w:rStyle w:val="None"/>
          <w:sz w:val="28"/>
          <w:szCs w:val="28"/>
          <w:rtl w:val="0"/>
          <w:lang w:val="en-US"/>
        </w:rPr>
        <w:t>”</w:t>
      </w:r>
      <w:r>
        <w:rPr>
          <w:rStyle w:val="None"/>
          <w:sz w:val="28"/>
          <w:szCs w:val="28"/>
          <w:rtl w:val="0"/>
          <w:lang w:val="en-US"/>
        </w:rPr>
        <w:t>: Globalization, Fundamentalism, and Narrative in Zadie Smith's White Teeth</w:t>
      </w:r>
      <w:r>
        <w:rPr>
          <w:rStyle w:val="None"/>
          <w:sz w:val="28"/>
          <w:szCs w:val="28"/>
          <w:rtl w:val="0"/>
          <w:lang w:val="en-US"/>
        </w:rPr>
        <w:t>’</w:t>
      </w:r>
      <w:r>
        <w:rPr>
          <w:rStyle w:val="None"/>
          <w:sz w:val="28"/>
          <w:szCs w:val="28"/>
          <w:rtl w:val="0"/>
          <w:lang w:val="en-US"/>
        </w:rPr>
        <w:t xml:space="preserve">, </w:t>
      </w:r>
      <w:r>
        <w:rPr>
          <w:rStyle w:val="None"/>
          <w:i w:val="1"/>
          <w:iCs w:val="1"/>
          <w:sz w:val="28"/>
          <w:szCs w:val="28"/>
          <w:rtl w:val="0"/>
          <w:lang w:val="en-US"/>
        </w:rPr>
        <w:t>Contemporary Literature</w:t>
      </w:r>
      <w:r>
        <w:rPr>
          <w:rStyle w:val="None"/>
          <w:sz w:val="28"/>
          <w:szCs w:val="28"/>
          <w:rtl w:val="0"/>
          <w:lang w:val="en-US"/>
        </w:rPr>
        <w:t xml:space="preserve"> Volume 57, Number 4, (2016) &lt;</w:t>
      </w:r>
      <w:r>
        <w:rPr>
          <w:rStyle w:val="Hyperlink.2"/>
        </w:rPr>
        <w:fldChar w:fldCharType="begin" w:fldLock="0"/>
      </w:r>
      <w:r>
        <w:rPr>
          <w:rStyle w:val="Hyperlink.2"/>
        </w:rPr>
        <w:instrText xml:space="preserve"> HYPERLINK "https://muse.jhu.edu/article/664573"</w:instrText>
      </w:r>
      <w:r>
        <w:rPr>
          <w:rStyle w:val="Hyperlink.2"/>
        </w:rPr>
        <w:fldChar w:fldCharType="separate" w:fldLock="0"/>
      </w:r>
      <w:r>
        <w:rPr>
          <w:rStyle w:val="Hyperlink.2"/>
          <w:rtl w:val="0"/>
          <w:lang w:val="en-US"/>
        </w:rPr>
        <w:t>https://muse.jhu.edu/article/664573</w:t>
      </w:r>
      <w:r>
        <w:rPr/>
        <w:fldChar w:fldCharType="end" w:fldLock="0"/>
      </w:r>
      <w:r>
        <w:rPr>
          <w:rStyle w:val="None"/>
          <w:sz w:val="28"/>
          <w:szCs w:val="28"/>
          <w:rtl w:val="0"/>
          <w:lang w:val="en-US"/>
        </w:rPr>
        <w:t>&gt; [Accessed 4th April 2018] (para. 14 of 39)</w:t>
        <w:tab/>
        <w:tab/>
        <w:tab/>
        <w:tab/>
        <w:tab/>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Conrad Joseph, </w:t>
      </w:r>
      <w:r>
        <w:rPr>
          <w:rStyle w:val="None"/>
          <w:rFonts w:ascii="Helvetica" w:hAnsi="Helvetica"/>
          <w:i w:val="1"/>
          <w:iCs w:val="1"/>
          <w:sz w:val="28"/>
          <w:szCs w:val="28"/>
          <w:rtl w:val="0"/>
          <w:lang w:val="en-US"/>
        </w:rPr>
        <w:t xml:space="preserve">Heart of Darkness </w:t>
      </w:r>
      <w:r>
        <w:rPr>
          <w:rStyle w:val="None"/>
          <w:sz w:val="28"/>
          <w:szCs w:val="28"/>
          <w:rtl w:val="0"/>
          <w:lang w:val="en-US"/>
        </w:rPr>
        <w:t>(Penguin Books 1993)</w:t>
      </w:r>
    </w:p>
    <w:p>
      <w:pPr>
        <w:pStyle w:val="Body A"/>
        <w:spacing w:line="480" w:lineRule="auto"/>
        <w:rPr>
          <w:rStyle w:val="None"/>
          <w:sz w:val="28"/>
          <w:szCs w:val="28"/>
        </w:rPr>
      </w:pPr>
      <w:r>
        <w:rPr>
          <w:rStyle w:val="None"/>
          <w:sz w:val="28"/>
          <w:szCs w:val="28"/>
          <w:rtl w:val="0"/>
          <w:lang w:val="en-US"/>
        </w:rPr>
        <w:t>Dumescu Patricia Dorli,</w:t>
      </w:r>
      <w:r>
        <w:rPr>
          <w:rStyle w:val="None"/>
          <w:sz w:val="28"/>
          <w:szCs w:val="28"/>
          <w:rtl w:val="0"/>
          <w:lang w:val="en-US"/>
        </w:rPr>
        <w:t>’</w:t>
      </w:r>
      <w:r>
        <w:rPr>
          <w:rStyle w:val="None"/>
          <w:sz w:val="28"/>
          <w:szCs w:val="28"/>
          <w:rtl w:val="0"/>
          <w:lang w:val="en-US"/>
        </w:rPr>
        <w:t>Colourful teeth: a new postcolonial reality in Zadie Smith</w:t>
      </w:r>
      <w:r>
        <w:rPr>
          <w:rStyle w:val="None"/>
          <w:sz w:val="28"/>
          <w:szCs w:val="28"/>
          <w:rtl w:val="0"/>
          <w:lang w:val="en-US"/>
        </w:rPr>
        <w:t>’</w:t>
      </w:r>
      <w:r>
        <w:rPr>
          <w:rStyle w:val="None"/>
          <w:sz w:val="28"/>
          <w:szCs w:val="28"/>
          <w:rtl w:val="0"/>
          <w:lang w:val="pt-PT"/>
        </w:rPr>
        <w:t>s novel</w:t>
      </w:r>
      <w:r>
        <w:rPr>
          <w:rStyle w:val="None"/>
          <w:sz w:val="28"/>
          <w:szCs w:val="28"/>
          <w:rtl w:val="0"/>
          <w:lang w:val="en-US"/>
        </w:rPr>
        <w:t xml:space="preserve">’ </w:t>
      </w:r>
      <w:r>
        <w:rPr>
          <w:rStyle w:val="None"/>
          <w:i w:val="1"/>
          <w:iCs w:val="1"/>
          <w:sz w:val="28"/>
          <w:szCs w:val="28"/>
          <w:rtl w:val="0"/>
          <w:lang w:val="en-US"/>
        </w:rPr>
        <w:t>Journal of Romanian Literary Studies</w:t>
      </w:r>
      <w:r>
        <w:rPr>
          <w:rStyle w:val="None"/>
          <w:sz w:val="28"/>
          <w:szCs w:val="28"/>
          <w:rtl w:val="0"/>
          <w:lang w:val="en-US"/>
        </w:rPr>
        <w:t xml:space="preserve"> 10 p.593-599 (2017) &lt;</w:t>
      </w:r>
      <w:r>
        <w:rPr>
          <w:rStyle w:val="Hyperlink.3"/>
          <w:sz w:val="28"/>
          <w:szCs w:val="28"/>
          <w:u w:val="single"/>
          <w:lang w:val="en-US"/>
        </w:rPr>
        <w:fldChar w:fldCharType="begin" w:fldLock="0"/>
      </w:r>
      <w:r>
        <w:rPr>
          <w:rStyle w:val="Hyperlink.3"/>
          <w:sz w:val="28"/>
          <w:szCs w:val="28"/>
          <w:u w:val="single"/>
          <w:lang w:val="en-US"/>
        </w:rPr>
        <w:instrText xml:space="preserve"> HYPERLINK "http://www.diacronia.ro/en/indexing/details/A25695"</w:instrText>
      </w:r>
      <w:r>
        <w:rPr>
          <w:rStyle w:val="Hyperlink.3"/>
          <w:sz w:val="28"/>
          <w:szCs w:val="28"/>
          <w:u w:val="single"/>
          <w:lang w:val="en-US"/>
        </w:rPr>
        <w:fldChar w:fldCharType="separate" w:fldLock="0"/>
      </w:r>
      <w:r>
        <w:rPr>
          <w:rStyle w:val="Hyperlink.3"/>
          <w:sz w:val="28"/>
          <w:szCs w:val="28"/>
          <w:u w:val="single"/>
          <w:rtl w:val="0"/>
          <w:lang w:val="en-US"/>
        </w:rPr>
        <w:t>http://www.diacronia.ro/en/indexing/details/A25695</w:t>
      </w:r>
      <w:r>
        <w:rPr/>
        <w:fldChar w:fldCharType="end" w:fldLock="0"/>
      </w:r>
      <w:r>
        <w:rPr>
          <w:rStyle w:val="None"/>
          <w:sz w:val="28"/>
          <w:szCs w:val="28"/>
          <w:rtl w:val="0"/>
          <w:lang w:val="en-US"/>
        </w:rPr>
        <w:t>&gt; [Accessed 29th March 2018] p.600</w:t>
        <w:tab/>
        <w:tab/>
        <w:tab/>
        <w:tab/>
        <w:tab/>
        <w:tab/>
        <w:tab/>
        <w:tab/>
        <w:tab/>
        <w:tab/>
        <w:tab/>
        <w:tab/>
      </w:r>
    </w:p>
    <w:p>
      <w:pPr>
        <w:pStyle w:val="Body A"/>
        <w:spacing w:line="480" w:lineRule="auto"/>
        <w:rPr>
          <w:rStyle w:val="None"/>
          <w:sz w:val="28"/>
          <w:szCs w:val="28"/>
        </w:rPr>
      </w:pPr>
      <w:r>
        <w:rPr>
          <w:rStyle w:val="None"/>
          <w:sz w:val="28"/>
          <w:szCs w:val="28"/>
          <w:rtl w:val="0"/>
          <w:lang w:val="en-US"/>
        </w:rPr>
        <w:t>Ellam</w:t>
      </w:r>
      <w:r>
        <w:rPr>
          <w:rStyle w:val="None"/>
          <w:sz w:val="28"/>
          <w:szCs w:val="28"/>
          <w:rtl w:val="0"/>
          <w:lang w:val="da-DK"/>
        </w:rPr>
        <w:t xml:space="preserve"> Dr, Julie </w:t>
      </w:r>
      <w:r>
        <w:rPr>
          <w:rStyle w:val="None"/>
          <w:sz w:val="28"/>
          <w:szCs w:val="28"/>
          <w:rtl w:val="0"/>
          <w:lang w:val="en-US"/>
        </w:rPr>
        <w:t xml:space="preserve">and Dr, Guy Woodward, </w:t>
      </w:r>
      <w:r>
        <w:rPr>
          <w:rStyle w:val="None"/>
          <w:sz w:val="28"/>
          <w:szCs w:val="28"/>
          <w:rtl w:val="0"/>
          <w:lang w:val="en-US"/>
        </w:rPr>
        <w:t>‘</w:t>
      </w:r>
      <w:r>
        <w:rPr>
          <w:rStyle w:val="None"/>
          <w:sz w:val="28"/>
          <w:szCs w:val="28"/>
          <w:rtl w:val="0"/>
          <w:lang w:val="en-US"/>
        </w:rPr>
        <w:t>Zadie Smith Biography</w:t>
      </w:r>
      <w:r>
        <w:rPr>
          <w:rStyle w:val="None"/>
          <w:sz w:val="28"/>
          <w:szCs w:val="28"/>
          <w:rtl w:val="0"/>
          <w:lang w:val="en-US"/>
        </w:rPr>
        <w:t>’</w:t>
      </w:r>
      <w:r>
        <w:rPr>
          <w:rStyle w:val="None"/>
          <w:sz w:val="28"/>
          <w:szCs w:val="28"/>
          <w:rtl w:val="0"/>
          <w:lang w:val="en-US"/>
        </w:rPr>
        <w:t>, &lt;</w:t>
      </w:r>
      <w:r>
        <w:rPr>
          <w:rStyle w:val="Hyperlink.3"/>
          <w:sz w:val="28"/>
          <w:szCs w:val="28"/>
          <w:u w:val="single"/>
          <w:lang w:val="en-US"/>
        </w:rPr>
        <w:fldChar w:fldCharType="begin" w:fldLock="0"/>
      </w:r>
      <w:r>
        <w:rPr>
          <w:rStyle w:val="Hyperlink.3"/>
          <w:sz w:val="28"/>
          <w:szCs w:val="28"/>
          <w:u w:val="single"/>
          <w:lang w:val="en-US"/>
        </w:rPr>
        <w:instrText xml:space="preserve"> HYPERLINK "https://literature.britishcouncil.org/writer/zadie-smith"</w:instrText>
      </w:r>
      <w:r>
        <w:rPr>
          <w:rStyle w:val="Hyperlink.3"/>
          <w:sz w:val="28"/>
          <w:szCs w:val="28"/>
          <w:u w:val="single"/>
          <w:lang w:val="en-US"/>
        </w:rPr>
        <w:fldChar w:fldCharType="separate" w:fldLock="0"/>
      </w:r>
      <w:r>
        <w:rPr>
          <w:rStyle w:val="Hyperlink.3"/>
          <w:sz w:val="28"/>
          <w:szCs w:val="28"/>
          <w:u w:val="single"/>
          <w:rtl w:val="0"/>
          <w:lang w:val="en-US"/>
        </w:rPr>
        <w:t>https://literature.britishcouncil.org/writer/zadie-smith</w:t>
      </w:r>
      <w:r>
        <w:rPr/>
        <w:fldChar w:fldCharType="end" w:fldLock="0"/>
      </w:r>
      <w:r>
        <w:rPr>
          <w:rStyle w:val="None"/>
          <w:sz w:val="28"/>
          <w:szCs w:val="28"/>
          <w:rtl w:val="0"/>
          <w:lang w:val="en-US"/>
        </w:rPr>
        <w:t>&gt; [Accessed 28th March 2018] (para.1 of 20).</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Hermans </w:t>
      </w:r>
      <w:r>
        <w:rPr>
          <w:rStyle w:val="None"/>
          <w:sz w:val="28"/>
          <w:szCs w:val="28"/>
          <w:rtl w:val="0"/>
          <w:lang w:val="de-DE"/>
        </w:rPr>
        <w:t>Hubert J. M.</w:t>
      </w:r>
      <w:r>
        <w:rPr>
          <w:rStyle w:val="None"/>
          <w:sz w:val="28"/>
          <w:szCs w:val="28"/>
          <w:rtl w:val="0"/>
          <w:lang w:val="en-US"/>
        </w:rPr>
        <w:t xml:space="preserve">, Giancarlo Dimaggio, </w:t>
      </w:r>
      <w:r>
        <w:rPr>
          <w:rStyle w:val="None"/>
          <w:sz w:val="28"/>
          <w:szCs w:val="28"/>
          <w:rtl w:val="0"/>
          <w:lang w:val="en-US"/>
        </w:rPr>
        <w:t>‘</w:t>
      </w:r>
      <w:r>
        <w:rPr>
          <w:rStyle w:val="None"/>
          <w:sz w:val="28"/>
          <w:szCs w:val="28"/>
          <w:rtl w:val="0"/>
          <w:lang w:val="en-US"/>
        </w:rPr>
        <w:t>Self, Identity, and Globalization in Times of Uncertainty: A Dialogical Analysis</w:t>
      </w:r>
      <w:r>
        <w:rPr>
          <w:rStyle w:val="None"/>
          <w:sz w:val="28"/>
          <w:szCs w:val="28"/>
          <w:rtl w:val="0"/>
          <w:lang w:val="en-US"/>
        </w:rPr>
        <w:t>’</w:t>
      </w:r>
      <w:r>
        <w:rPr>
          <w:rStyle w:val="None"/>
          <w:sz w:val="28"/>
          <w:szCs w:val="28"/>
          <w:rtl w:val="0"/>
          <w:lang w:val="en-US"/>
        </w:rPr>
        <w:t xml:space="preserve">, </w:t>
      </w:r>
      <w:r>
        <w:rPr>
          <w:rStyle w:val="None"/>
          <w:i w:val="1"/>
          <w:iCs w:val="1"/>
          <w:sz w:val="28"/>
          <w:szCs w:val="28"/>
          <w:rtl w:val="0"/>
          <w:lang w:val="en-US"/>
        </w:rPr>
        <w:t>Review of General Psychology</w:t>
      </w:r>
      <w:r>
        <w:rPr>
          <w:rStyle w:val="None"/>
          <w:sz w:val="28"/>
          <w:szCs w:val="28"/>
          <w:rtl w:val="0"/>
          <w:lang w:val="en-US"/>
        </w:rPr>
        <w:t xml:space="preserve"> Vol. 11, No. 1, 31</w:t>
      </w:r>
      <w:r>
        <w:rPr>
          <w:rStyle w:val="None"/>
          <w:sz w:val="28"/>
          <w:szCs w:val="28"/>
          <w:rtl w:val="0"/>
          <w:lang w:val="en-US"/>
        </w:rPr>
        <w:t>–</w:t>
      </w:r>
      <w:r>
        <w:rPr>
          <w:rStyle w:val="None"/>
          <w:sz w:val="28"/>
          <w:szCs w:val="28"/>
          <w:rtl w:val="0"/>
          <w:lang w:val="en-US"/>
        </w:rPr>
        <w:t>61 (2007) &lt;</w:t>
      </w:r>
      <w:r>
        <w:rPr>
          <w:rStyle w:val="Hyperlink.3"/>
          <w:sz w:val="28"/>
          <w:szCs w:val="28"/>
          <w:u w:val="single"/>
          <w:lang w:val="en-US"/>
        </w:rPr>
        <w:fldChar w:fldCharType="begin" w:fldLock="0"/>
      </w:r>
      <w:r>
        <w:rPr>
          <w:rStyle w:val="Hyperlink.3"/>
          <w:sz w:val="28"/>
          <w:szCs w:val="28"/>
          <w:u w:val="single"/>
          <w:lang w:val="en-US"/>
        </w:rPr>
        <w:instrText xml:space="preserve"> HYPERLINK "https://www.taosinstitute.net/Websites/taos/images/AboutHonoraryAssociates/hermans___dimaggio__in_review_of_general_psychology__2007_.pdf"</w:instrText>
      </w:r>
      <w:r>
        <w:rPr>
          <w:rStyle w:val="Hyperlink.3"/>
          <w:sz w:val="28"/>
          <w:szCs w:val="28"/>
          <w:u w:val="single"/>
          <w:lang w:val="en-US"/>
        </w:rPr>
        <w:fldChar w:fldCharType="separate" w:fldLock="0"/>
      </w:r>
      <w:r>
        <w:rPr>
          <w:rStyle w:val="Hyperlink.3"/>
          <w:sz w:val="28"/>
          <w:szCs w:val="28"/>
          <w:u w:val="single"/>
          <w:rtl w:val="0"/>
          <w:lang w:val="en-US"/>
        </w:rPr>
        <w:t>https://www.taosinstitute.net/Websites/taos/images/AboutHonoraryAssociates/hermans dimaggio in review_of_general_psychology__2007_.pdf</w:t>
      </w:r>
      <w:r>
        <w:rPr/>
        <w:fldChar w:fldCharType="end" w:fldLock="0"/>
      </w:r>
      <w:r>
        <w:rPr>
          <w:rStyle w:val="None"/>
          <w:sz w:val="28"/>
          <w:szCs w:val="28"/>
          <w:rtl w:val="0"/>
          <w:lang w:val="en-US"/>
        </w:rPr>
        <w:t>&gt; [Accessed 4th April 2018] (p.31)</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Locke </w:t>
      </w:r>
      <w:r>
        <w:rPr>
          <w:rStyle w:val="None"/>
          <w:sz w:val="28"/>
          <w:szCs w:val="28"/>
          <w:rtl w:val="0"/>
          <w:lang w:val="de-DE"/>
        </w:rPr>
        <w:t>Richard</w:t>
      </w:r>
      <w:r>
        <w:rPr>
          <w:rStyle w:val="None"/>
          <w:sz w:val="28"/>
          <w:szCs w:val="28"/>
          <w:rtl w:val="0"/>
          <w:lang w:val="en-US"/>
        </w:rPr>
        <w:t xml:space="preserve">, </w:t>
      </w:r>
      <w:r>
        <w:rPr>
          <w:rStyle w:val="None"/>
          <w:sz w:val="28"/>
          <w:szCs w:val="28"/>
          <w:rtl w:val="0"/>
          <w:lang w:val="en-US"/>
        </w:rPr>
        <w:t>‘</w:t>
      </w:r>
      <w:r>
        <w:rPr>
          <w:rStyle w:val="None"/>
          <w:sz w:val="28"/>
          <w:szCs w:val="28"/>
          <w:rtl w:val="0"/>
          <w:lang w:val="en-US"/>
        </w:rPr>
        <w:t>One of the Longest, Most Difficult, Most Ambitious Novels in Years</w:t>
      </w:r>
      <w:r>
        <w:rPr>
          <w:rStyle w:val="None"/>
          <w:sz w:val="28"/>
          <w:szCs w:val="28"/>
          <w:rtl w:val="0"/>
          <w:lang w:val="en-US"/>
        </w:rPr>
        <w:t>’</w:t>
      </w:r>
      <w:r>
        <w:rPr>
          <w:rStyle w:val="None"/>
          <w:sz w:val="28"/>
          <w:szCs w:val="28"/>
          <w:rtl w:val="0"/>
          <w:lang w:val="en-US"/>
        </w:rPr>
        <w:t>, &lt;</w:t>
      </w:r>
      <w:r>
        <w:rPr>
          <w:rStyle w:val="Hyperlink.3"/>
          <w:sz w:val="28"/>
          <w:szCs w:val="28"/>
          <w:u w:val="single"/>
          <w:lang w:val="en-US"/>
        </w:rPr>
        <w:fldChar w:fldCharType="begin" w:fldLock="0"/>
      </w:r>
      <w:r>
        <w:rPr>
          <w:rStyle w:val="Hyperlink.3"/>
          <w:sz w:val="28"/>
          <w:szCs w:val="28"/>
          <w:u w:val="single"/>
          <w:lang w:val="en-US"/>
        </w:rPr>
        <w:instrText xml:space="preserve"> HYPERLINK "https://archive.nytimes.com/www.nytimes.com/books/97/05/18/reviews/pynchon-rainbow.html?_r=2"</w:instrText>
      </w:r>
      <w:r>
        <w:rPr>
          <w:rStyle w:val="Hyperlink.3"/>
          <w:sz w:val="28"/>
          <w:szCs w:val="28"/>
          <w:u w:val="single"/>
          <w:lang w:val="en-US"/>
        </w:rPr>
        <w:fldChar w:fldCharType="separate" w:fldLock="0"/>
      </w:r>
      <w:r>
        <w:rPr>
          <w:rStyle w:val="Hyperlink.3"/>
          <w:sz w:val="28"/>
          <w:szCs w:val="28"/>
          <w:u w:val="single"/>
          <w:rtl w:val="0"/>
          <w:lang w:val="en-US"/>
        </w:rPr>
        <w:t>https://archive.nytimes.com/www.nytimes.com/books/97/05/18/reviews/pynchon-rainbow.html?_r=2</w:t>
      </w:r>
      <w:r>
        <w:rPr/>
        <w:fldChar w:fldCharType="end" w:fldLock="0"/>
      </w:r>
      <w:r>
        <w:rPr>
          <w:rStyle w:val="None"/>
          <w:sz w:val="28"/>
          <w:szCs w:val="28"/>
          <w:rtl w:val="0"/>
          <w:lang w:val="en-US"/>
        </w:rPr>
        <w:t>&gt; [Accessed 5th April 2018]</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McMann Mindi, </w:t>
      </w:r>
      <w:r>
        <w:rPr>
          <w:rStyle w:val="None"/>
          <w:sz w:val="28"/>
          <w:szCs w:val="28"/>
          <w:rtl w:val="0"/>
          <w:lang w:val="en-US"/>
        </w:rPr>
        <w:t>‘</w:t>
      </w:r>
      <w:r>
        <w:rPr>
          <w:rStyle w:val="None"/>
          <w:sz w:val="28"/>
          <w:szCs w:val="28"/>
          <w:rtl w:val="0"/>
          <w:lang w:val="en-US"/>
        </w:rPr>
        <w:t>British black box: a return to race and science in Z</w:t>
      </w:r>
      <w:r>
        <w:rPr>
          <w:rStyle w:val="None"/>
          <w:sz w:val="28"/>
          <w:szCs w:val="28"/>
          <w:rtl w:val="0"/>
          <w:lang w:val="es-ES_tradnl"/>
        </w:rPr>
        <w:t xml:space="preserve">adie </w:t>
      </w:r>
      <w:r>
        <w:rPr>
          <w:rStyle w:val="None"/>
          <w:sz w:val="28"/>
          <w:szCs w:val="28"/>
          <w:rtl w:val="0"/>
          <w:lang w:val="en-US"/>
        </w:rPr>
        <w:t xml:space="preserve">Smith's </w:t>
      </w:r>
      <w:r>
        <w:rPr>
          <w:rStyle w:val="None"/>
          <w:i w:val="1"/>
          <w:iCs w:val="1"/>
          <w:sz w:val="28"/>
          <w:szCs w:val="28"/>
          <w:rtl w:val="0"/>
          <w:lang w:val="en-US"/>
        </w:rPr>
        <w:t>White Teeth</w:t>
      </w:r>
      <w:r>
        <w:rPr>
          <w:rStyle w:val="None"/>
          <w:i w:val="1"/>
          <w:iCs w:val="1"/>
          <w:sz w:val="28"/>
          <w:szCs w:val="28"/>
          <w:rtl w:val="0"/>
          <w:lang w:val="en-US"/>
        </w:rPr>
        <w:t xml:space="preserve">’ </w:t>
      </w:r>
      <w:r>
        <w:rPr>
          <w:rStyle w:val="None"/>
          <w:i w:val="1"/>
          <w:iCs w:val="1"/>
          <w:sz w:val="28"/>
          <w:szCs w:val="28"/>
          <w:rtl w:val="0"/>
          <w:lang w:val="de-DE"/>
        </w:rPr>
        <w:t>MFS Modern Fiction Studies</w:t>
      </w:r>
      <w:r>
        <w:rPr>
          <w:rStyle w:val="None"/>
          <w:sz w:val="28"/>
          <w:szCs w:val="28"/>
          <w:rtl w:val="0"/>
          <w:lang w:val="en-US"/>
        </w:rPr>
        <w:t>, Volume 58, number 3, (2012) 616-636, &lt;</w:t>
      </w:r>
      <w:r>
        <w:rPr>
          <w:rStyle w:val="Hyperlink.3"/>
          <w:sz w:val="28"/>
          <w:szCs w:val="28"/>
          <w:u w:val="single"/>
          <w:lang w:val="en-US"/>
        </w:rPr>
        <w:fldChar w:fldCharType="begin" w:fldLock="0"/>
      </w:r>
      <w:r>
        <w:rPr>
          <w:rStyle w:val="Hyperlink.3"/>
          <w:sz w:val="28"/>
          <w:szCs w:val="28"/>
          <w:u w:val="single"/>
          <w:lang w:val="en-US"/>
        </w:rPr>
        <w:instrText xml:space="preserve"> HYPERLINK "https://muse.jhu.edu/article/486399"</w:instrText>
      </w:r>
      <w:r>
        <w:rPr>
          <w:rStyle w:val="Hyperlink.3"/>
          <w:sz w:val="28"/>
          <w:szCs w:val="28"/>
          <w:u w:val="single"/>
          <w:lang w:val="en-US"/>
        </w:rPr>
        <w:fldChar w:fldCharType="separate" w:fldLock="0"/>
      </w:r>
      <w:r>
        <w:rPr>
          <w:rStyle w:val="Hyperlink.3"/>
          <w:sz w:val="28"/>
          <w:szCs w:val="28"/>
          <w:u w:val="single"/>
          <w:rtl w:val="0"/>
          <w:lang w:val="en-US"/>
        </w:rPr>
        <w:t>https://muse.jhu.edu/article/486399</w:t>
      </w:r>
      <w:r>
        <w:rPr/>
        <w:fldChar w:fldCharType="end" w:fldLock="0"/>
      </w:r>
      <w:r>
        <w:rPr>
          <w:rStyle w:val="None"/>
          <w:sz w:val="28"/>
          <w:szCs w:val="28"/>
          <w:rtl w:val="0"/>
          <w:lang w:val="en-US"/>
        </w:rPr>
        <w:t>&gt; [Accessed 28 March 2018] p. 626.</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Moss</w:t>
      </w:r>
      <w:r>
        <w:rPr>
          <w:rStyle w:val="None"/>
          <w:sz w:val="28"/>
          <w:szCs w:val="28"/>
          <w:rtl w:val="0"/>
          <w:lang w:val="da-DK"/>
        </w:rPr>
        <w:t xml:space="preserve"> Laura</w:t>
      </w:r>
      <w:r>
        <w:rPr>
          <w:rStyle w:val="None"/>
          <w:sz w:val="28"/>
          <w:szCs w:val="28"/>
          <w:rtl w:val="0"/>
          <w:lang w:val="en-US"/>
        </w:rPr>
        <w:t xml:space="preserve">, </w:t>
      </w:r>
      <w:r>
        <w:rPr>
          <w:rStyle w:val="None"/>
          <w:sz w:val="28"/>
          <w:szCs w:val="28"/>
          <w:rtl w:val="0"/>
          <w:lang w:val="en-US"/>
        </w:rPr>
        <w:t>‘</w:t>
      </w:r>
      <w:r>
        <w:rPr>
          <w:rStyle w:val="None"/>
          <w:sz w:val="28"/>
          <w:szCs w:val="28"/>
          <w:rtl w:val="0"/>
          <w:lang w:val="en-US"/>
        </w:rPr>
        <w:t xml:space="preserve">The politics of everyday hybridity: Zadie Smith's </w:t>
      </w:r>
      <w:r>
        <w:rPr>
          <w:rStyle w:val="None"/>
          <w:i w:val="1"/>
          <w:iCs w:val="1"/>
          <w:sz w:val="28"/>
          <w:szCs w:val="28"/>
          <w:rtl w:val="0"/>
          <w:lang w:val="en-US"/>
        </w:rPr>
        <w:t>White Teeth</w:t>
      </w:r>
      <w:r>
        <w:rPr>
          <w:rStyle w:val="None"/>
          <w:i w:val="1"/>
          <w:iCs w:val="1"/>
          <w:sz w:val="28"/>
          <w:szCs w:val="28"/>
          <w:rtl w:val="0"/>
          <w:lang w:val="en-US"/>
        </w:rPr>
        <w:t>’</w:t>
      </w:r>
      <w:r>
        <w:rPr>
          <w:rStyle w:val="None"/>
          <w:i w:val="1"/>
          <w:iCs w:val="1"/>
          <w:sz w:val="28"/>
          <w:szCs w:val="28"/>
          <w:rtl w:val="0"/>
          <w:lang w:val="en-US"/>
        </w:rPr>
        <w:t>, &lt;</w:t>
      </w:r>
      <w:r>
        <w:rPr>
          <w:rStyle w:val="Hyperlink.3"/>
          <w:sz w:val="28"/>
          <w:szCs w:val="28"/>
          <w:u w:val="single"/>
          <w:lang w:val="en-US"/>
        </w:rPr>
        <w:fldChar w:fldCharType="begin" w:fldLock="0"/>
      </w:r>
      <w:r>
        <w:rPr>
          <w:rStyle w:val="Hyperlink.3"/>
          <w:sz w:val="28"/>
          <w:szCs w:val="28"/>
          <w:u w:val="single"/>
          <w:lang w:val="en-US"/>
        </w:rPr>
        <w:instrText xml:space="preserve"> HYPERLINK "https://www.tandfonline.com/doi/abs/10.1080/02690050308589837"</w:instrText>
      </w:r>
      <w:r>
        <w:rPr>
          <w:rStyle w:val="Hyperlink.3"/>
          <w:sz w:val="28"/>
          <w:szCs w:val="28"/>
          <w:u w:val="single"/>
          <w:lang w:val="en-US"/>
        </w:rPr>
        <w:fldChar w:fldCharType="separate" w:fldLock="0"/>
      </w:r>
      <w:r>
        <w:rPr>
          <w:rStyle w:val="Hyperlink.3"/>
          <w:sz w:val="28"/>
          <w:szCs w:val="28"/>
          <w:u w:val="single"/>
          <w:rtl w:val="0"/>
          <w:lang w:val="en-US"/>
        </w:rPr>
        <w:t>https://www.tandfonline.com/doi/abs/10.1080/02690050308589837</w:t>
      </w:r>
      <w:r>
        <w:rPr/>
        <w:fldChar w:fldCharType="end" w:fldLock="0"/>
      </w:r>
      <w:r>
        <w:rPr>
          <w:rStyle w:val="None"/>
          <w:sz w:val="28"/>
          <w:szCs w:val="28"/>
          <w:rtl w:val="0"/>
          <w:lang w:val="en-US"/>
        </w:rPr>
        <w:t>&gt; [Accessed 28th March] (para. 1 of 5).</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P</w:t>
      </w:r>
      <w:r>
        <w:rPr>
          <w:rStyle w:val="None"/>
          <w:sz w:val="28"/>
          <w:szCs w:val="28"/>
          <w:rtl w:val="0"/>
          <w:lang w:val="de-DE"/>
        </w:rPr>
        <w:t>owell John A. and Stephen Menendian</w:t>
      </w:r>
      <w:r>
        <w:rPr>
          <w:rStyle w:val="None"/>
          <w:sz w:val="28"/>
          <w:szCs w:val="28"/>
          <w:rtl w:val="0"/>
          <w:lang w:val="en-US"/>
        </w:rPr>
        <w:t xml:space="preserve">, </w:t>
      </w:r>
      <w:r>
        <w:rPr>
          <w:rStyle w:val="None"/>
          <w:sz w:val="28"/>
          <w:szCs w:val="28"/>
          <w:rtl w:val="0"/>
          <w:lang w:val="en-US"/>
        </w:rPr>
        <w:t>‘</w:t>
      </w:r>
      <w:r>
        <w:rPr>
          <w:rStyle w:val="None"/>
          <w:sz w:val="28"/>
          <w:szCs w:val="28"/>
          <w:rtl w:val="0"/>
          <w:lang w:val="en-US"/>
        </w:rPr>
        <w:t>The Problem of Othering: Towards Inclusiveness and Belonging</w:t>
      </w:r>
      <w:r>
        <w:rPr>
          <w:rStyle w:val="None"/>
          <w:sz w:val="28"/>
          <w:szCs w:val="28"/>
          <w:rtl w:val="0"/>
          <w:lang w:val="en-US"/>
        </w:rPr>
        <w:t xml:space="preserve">’ </w:t>
      </w:r>
      <w:r>
        <w:rPr>
          <w:rStyle w:val="None"/>
          <w:sz w:val="28"/>
          <w:szCs w:val="28"/>
          <w:rtl w:val="0"/>
          <w:lang w:val="en-US"/>
        </w:rPr>
        <w:t>&lt;</w:t>
      </w:r>
      <w:r>
        <w:rPr>
          <w:rStyle w:val="Hyperlink.3"/>
          <w:sz w:val="28"/>
          <w:szCs w:val="28"/>
          <w:u w:val="single"/>
          <w:lang w:val="en-US"/>
        </w:rPr>
        <w:fldChar w:fldCharType="begin" w:fldLock="0"/>
      </w:r>
      <w:r>
        <w:rPr>
          <w:rStyle w:val="Hyperlink.3"/>
          <w:sz w:val="28"/>
          <w:szCs w:val="28"/>
          <w:u w:val="single"/>
          <w:lang w:val="en-US"/>
        </w:rPr>
        <w:instrText xml:space="preserve"> HYPERLINK "http://www.otheringandbelonging.org/the-problem-of-othering/"</w:instrText>
      </w:r>
      <w:r>
        <w:rPr>
          <w:rStyle w:val="Hyperlink.3"/>
          <w:sz w:val="28"/>
          <w:szCs w:val="28"/>
          <w:u w:val="single"/>
          <w:lang w:val="en-US"/>
        </w:rPr>
        <w:fldChar w:fldCharType="separate" w:fldLock="0"/>
      </w:r>
      <w:r>
        <w:rPr>
          <w:rStyle w:val="Hyperlink.3"/>
          <w:sz w:val="28"/>
          <w:szCs w:val="28"/>
          <w:u w:val="single"/>
          <w:rtl w:val="0"/>
          <w:lang w:val="en-US"/>
        </w:rPr>
        <w:t>http://www.otheringandbelonging.org/the-problem-of-othering/</w:t>
      </w:r>
      <w:r>
        <w:rPr/>
        <w:fldChar w:fldCharType="end" w:fldLock="0"/>
      </w:r>
      <w:r>
        <w:rPr>
          <w:rStyle w:val="None"/>
          <w:sz w:val="28"/>
          <w:szCs w:val="28"/>
          <w:rtl w:val="0"/>
          <w:lang w:val="en-US"/>
        </w:rPr>
        <w:t>&gt; [Accessed 28 March 2018] (para 7 of 91).</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Sim </w:t>
      </w:r>
      <w:r>
        <w:rPr>
          <w:rStyle w:val="None"/>
          <w:sz w:val="28"/>
          <w:szCs w:val="28"/>
          <w:rtl w:val="0"/>
          <w:lang w:val="es-ES_tradnl"/>
        </w:rPr>
        <w:t>Stuart</w:t>
      </w:r>
      <w:r>
        <w:rPr>
          <w:rStyle w:val="None"/>
          <w:sz w:val="28"/>
          <w:szCs w:val="28"/>
          <w:rtl w:val="0"/>
          <w:lang w:val="en-US"/>
        </w:rPr>
        <w:t xml:space="preserve">, </w:t>
      </w:r>
      <w:r>
        <w:rPr>
          <w:rStyle w:val="None"/>
          <w:i w:val="1"/>
          <w:iCs w:val="1"/>
          <w:sz w:val="28"/>
          <w:szCs w:val="28"/>
          <w:rtl w:val="0"/>
          <w:lang w:val="en-US"/>
        </w:rPr>
        <w:t>The Icon Critical Dictionary of Postmodern thought</w:t>
      </w:r>
      <w:r>
        <w:rPr>
          <w:rStyle w:val="None"/>
          <w:sz w:val="28"/>
          <w:szCs w:val="28"/>
          <w:rtl w:val="0"/>
          <w:lang w:val="en-US"/>
        </w:rPr>
        <w:t>, (Icon Books 1998) p. 261</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Singh Amardeep, </w:t>
      </w:r>
      <w:r>
        <w:rPr>
          <w:rStyle w:val="None"/>
          <w:sz w:val="28"/>
          <w:szCs w:val="28"/>
          <w:rtl w:val="0"/>
          <w:lang w:val="en-US"/>
        </w:rPr>
        <w:t>‘</w:t>
      </w:r>
      <w:r>
        <w:rPr>
          <w:rStyle w:val="None"/>
          <w:sz w:val="28"/>
          <w:szCs w:val="28"/>
          <w:rtl w:val="0"/>
          <w:lang w:val="en-US"/>
        </w:rPr>
        <w:t>Mimicry and Hybridity in Plain English</w:t>
      </w:r>
      <w:r>
        <w:rPr>
          <w:rStyle w:val="None"/>
          <w:sz w:val="28"/>
          <w:szCs w:val="28"/>
          <w:rtl w:val="0"/>
          <w:lang w:val="en-US"/>
        </w:rPr>
        <w:t>’</w:t>
      </w:r>
      <w:r>
        <w:rPr>
          <w:rStyle w:val="None"/>
          <w:sz w:val="28"/>
          <w:szCs w:val="28"/>
          <w:rtl w:val="0"/>
          <w:lang w:val="en-US"/>
        </w:rPr>
        <w:t xml:space="preserve">, &lt;http://www.lehigh.edu/~amsp/2009/05/mimicry-and-hybridity-in-plain-english.html&gt; [Accessed 1 April 2018], para 13 of 38 </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 xml:space="preserve">Smith Zadie, </w:t>
      </w:r>
      <w:r>
        <w:rPr>
          <w:rStyle w:val="None"/>
          <w:i w:val="1"/>
          <w:iCs w:val="1"/>
          <w:sz w:val="28"/>
          <w:szCs w:val="28"/>
          <w:rtl w:val="0"/>
          <w:lang w:val="en-US"/>
        </w:rPr>
        <w:t xml:space="preserve">White Teeth </w:t>
      </w:r>
      <w:r>
        <w:rPr>
          <w:rStyle w:val="None"/>
          <w:sz w:val="28"/>
          <w:szCs w:val="28"/>
          <w:rtl w:val="0"/>
          <w:lang w:val="en-US"/>
        </w:rPr>
        <w:t>(Penguin 1981) p. 242 EPub</w:t>
      </w:r>
    </w:p>
    <w:p>
      <w:pPr>
        <w:pStyle w:val="Body A"/>
        <w:spacing w:line="480" w:lineRule="auto"/>
        <w:rPr>
          <w:sz w:val="28"/>
          <w:szCs w:val="28"/>
        </w:rPr>
      </w:pPr>
    </w:p>
    <w:p>
      <w:pPr>
        <w:pStyle w:val="Body A"/>
        <w:spacing w:line="480" w:lineRule="auto"/>
        <w:rPr>
          <w:rStyle w:val="None"/>
          <w:sz w:val="28"/>
          <w:szCs w:val="28"/>
        </w:rPr>
      </w:pPr>
      <w:r>
        <w:rPr>
          <w:rStyle w:val="None"/>
          <w:sz w:val="28"/>
          <w:szCs w:val="28"/>
          <w:rtl w:val="0"/>
          <w:lang w:val="en-US"/>
        </w:rPr>
        <w:t>Szeman Imre, &lt;http://www.academia.edu/2096595/Globalization in The Johns Hopkins Guide to Literary Theory and Criticism&gt; [Accessed 4 April 2018] (p.458)</w:t>
      </w:r>
    </w:p>
    <w:p>
      <w:pPr>
        <w:pStyle w:val="Body A"/>
        <w:spacing w:line="480" w:lineRule="auto"/>
        <w:rPr>
          <w:sz w:val="28"/>
          <w:szCs w:val="28"/>
        </w:rPr>
      </w:pPr>
    </w:p>
    <w:p>
      <w:pPr>
        <w:pStyle w:val="Body A"/>
        <w:spacing w:line="480" w:lineRule="auto"/>
      </w:pPr>
      <w:r>
        <w:rPr>
          <w:rStyle w:val="None"/>
          <w:sz w:val="28"/>
          <w:szCs w:val="28"/>
          <w:rtl w:val="0"/>
          <w:lang w:val="en-US"/>
        </w:rPr>
        <w:t xml:space="preserve">Tyson Lois, </w:t>
      </w:r>
      <w:r>
        <w:rPr>
          <w:rStyle w:val="None"/>
          <w:i w:val="1"/>
          <w:iCs w:val="1"/>
          <w:sz w:val="28"/>
          <w:szCs w:val="28"/>
          <w:rtl w:val="0"/>
          <w:lang w:val="en-US"/>
        </w:rPr>
        <w:t>Critical Theory Today, A User Friendly Guide</w:t>
      </w:r>
      <w:r>
        <w:rPr>
          <w:rStyle w:val="None"/>
          <w:sz w:val="28"/>
          <w:szCs w:val="28"/>
          <w:rtl w:val="0"/>
          <w:lang w:val="en-US"/>
        </w:rPr>
        <w:t xml:space="preserve">  (Routledge 2006) p.432</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 w:name="Georgia">
    <w:charset w:val="00"/>
    <w:family w:val="roman"/>
    <w:pitch w:val="default"/>
  </w:font>
  <w:font w:name="Helvetica">
    <w:charset w:val="00"/>
    <w:family w:val="roman"/>
    <w:pitch w:val="default"/>
  </w:font>
  <w:font w:name="Lucida Grand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t>24</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sz w:val="28"/>
          <w:szCs w:val="28"/>
          <w:vertAlign w:val="superscript"/>
          <w:lang w:val="en-US"/>
        </w:rPr>
        <w:footnoteRef/>
      </w:r>
      <w:r>
        <w:rPr>
          <w:rFonts w:cs="Arial Unicode MS" w:eastAsia="Arial Unicode MS"/>
          <w:rtl w:val="0"/>
        </w:rPr>
        <w:t xml:space="preserve"> </w:t>
      </w:r>
      <w:r>
        <w:rPr>
          <w:rFonts w:cs="Arial Unicode MS" w:eastAsia="Arial Unicode MS"/>
          <w:rtl w:val="0"/>
          <w:lang w:val="en-US"/>
        </w:rPr>
        <w:t xml:space="preserve">Zadie Smith </w:t>
      </w:r>
      <w:r>
        <w:rPr>
          <w:rFonts w:cs="Arial Unicode MS" w:eastAsia="Arial Unicode MS"/>
          <w:i w:val="1"/>
          <w:iCs w:val="1"/>
          <w:rtl w:val="0"/>
          <w:lang w:val="en-US"/>
        </w:rPr>
        <w:t xml:space="preserve">White Teeth </w:t>
      </w:r>
      <w:r>
        <w:rPr>
          <w:rFonts w:cs="Arial Unicode MS" w:eastAsia="Arial Unicode MS"/>
          <w:rtl w:val="0"/>
          <w:lang w:val="en-US"/>
        </w:rPr>
        <w:t xml:space="preserve">(Penguin 1981) p. 242 EPub </w:t>
      </w:r>
    </w:p>
  </w:footnote>
  <w:footnote w:id="2">
    <w:p>
      <w:pPr>
        <w:pStyle w:val="Footnote"/>
      </w:pPr>
      <w:r>
        <w:rPr>
          <w:sz w:val="28"/>
          <w:szCs w:val="28"/>
          <w:vertAlign w:val="superscript"/>
          <w:lang w:val="en-US"/>
        </w:rPr>
        <w:footnoteRef/>
      </w:r>
      <w:r>
        <w:rPr>
          <w:rFonts w:cs="Arial Unicode MS" w:eastAsia="Arial Unicode MS"/>
          <w:rtl w:val="0"/>
        </w:rPr>
        <w:t xml:space="preserve"> </w:t>
      </w:r>
      <w:r>
        <w:rPr>
          <w:rFonts w:cs="Arial Unicode MS" w:eastAsia="Arial Unicode MS"/>
          <w:rtl w:val="0"/>
          <w:lang w:val="en-US"/>
        </w:rPr>
        <w:t xml:space="preserve">Dr, Julie Ellam and Dr, Guy Woodward, </w:t>
      </w:r>
      <w:r>
        <w:rPr>
          <w:rFonts w:cs="Arial Unicode MS" w:eastAsia="Arial Unicode MS" w:hint="default"/>
          <w:rtl w:val="0"/>
          <w:lang w:val="en-US"/>
        </w:rPr>
        <w:t>‘</w:t>
      </w:r>
      <w:r>
        <w:rPr>
          <w:rFonts w:cs="Arial Unicode MS" w:eastAsia="Arial Unicode MS"/>
          <w:rtl w:val="0"/>
          <w:lang w:val="en-US"/>
        </w:rPr>
        <w:t>Zadie Smith Biography</w:t>
      </w:r>
      <w:r>
        <w:rPr>
          <w:rFonts w:cs="Arial Unicode MS" w:eastAsia="Arial Unicode MS" w:hint="default"/>
          <w:rtl w:val="0"/>
          <w:lang w:val="en-US"/>
        </w:rPr>
        <w:t>’</w:t>
      </w:r>
      <w:r>
        <w:rPr>
          <w:rFonts w:cs="Arial Unicode MS" w:eastAsia="Arial Unicode MS"/>
          <w:rtl w:val="0"/>
          <w:lang w:val="en-US"/>
        </w:rPr>
        <w:t>, &lt;</w:t>
      </w:r>
      <w:r>
        <w:rPr>
          <w:rStyle w:val="Hyperlink.0"/>
        </w:rPr>
        <w:fldChar w:fldCharType="begin" w:fldLock="0"/>
      </w:r>
      <w:r>
        <w:rPr>
          <w:rStyle w:val="Hyperlink.0"/>
        </w:rPr>
        <w:instrText xml:space="preserve"> HYPERLINK "https://literature.britishcouncil.org/writer/zadie-smith"</w:instrText>
      </w:r>
      <w:r>
        <w:rPr>
          <w:rStyle w:val="Hyperlink.0"/>
        </w:rPr>
        <w:fldChar w:fldCharType="separate" w:fldLock="0"/>
      </w:r>
      <w:r>
        <w:rPr>
          <w:rStyle w:val="Hyperlink.0"/>
          <w:rFonts w:cs="Arial Unicode MS" w:eastAsia="Arial Unicode MS"/>
          <w:rtl w:val="0"/>
          <w:lang w:val="en-US"/>
        </w:rPr>
        <w:t>https://literature.britishcouncil.org/writer/zadie-smith</w:t>
      </w:r>
      <w:r>
        <w:rPr/>
        <w:fldChar w:fldCharType="end" w:fldLock="0"/>
      </w:r>
      <w:r>
        <w:rPr>
          <w:rStyle w:val="None"/>
          <w:rFonts w:cs="Arial Unicode MS" w:eastAsia="Arial Unicode MS"/>
          <w:rtl w:val="0"/>
          <w:lang w:val="en-US"/>
        </w:rPr>
        <w:t>&gt; [Accessed 28th March 2018] (para.1 of 20).</w:t>
      </w:r>
    </w:p>
  </w:footnote>
  <w:footnote w:id="3">
    <w:p>
      <w:pPr>
        <w:pStyle w:val="Footnote"/>
      </w:pPr>
      <w:r>
        <w:rPr>
          <w:rStyle w:val="None"/>
          <w:sz w:val="28"/>
          <w:szCs w:val="28"/>
          <w:vertAlign w:val="superscript"/>
          <w:lang w:val="en-US"/>
        </w:rPr>
        <w:footnoteRef/>
      </w:r>
      <w:r>
        <w:rPr>
          <w:rFonts w:cs="Arial Unicode MS" w:eastAsia="Arial Unicode MS"/>
          <w:rtl w:val="0"/>
        </w:rPr>
        <w:t xml:space="preserve"> </w:t>
      </w:r>
      <w:r>
        <w:rPr>
          <w:rStyle w:val="None"/>
          <w:rFonts w:cs="Arial Unicode MS" w:eastAsia="Arial Unicode MS"/>
          <w:rtl w:val="0"/>
          <w:lang w:val="en-US"/>
        </w:rPr>
        <w:t xml:space="preserve">Laura Moss, </w:t>
      </w:r>
      <w:r>
        <w:rPr>
          <w:rStyle w:val="None"/>
          <w:rFonts w:cs="Arial Unicode MS" w:eastAsia="Arial Unicode MS" w:hint="default"/>
          <w:rtl w:val="0"/>
          <w:lang w:val="en-US"/>
        </w:rPr>
        <w:t>‘</w:t>
      </w:r>
      <w:r>
        <w:rPr>
          <w:rStyle w:val="None"/>
          <w:rFonts w:cs="Arial Unicode MS" w:eastAsia="Arial Unicode MS"/>
          <w:rtl w:val="0"/>
          <w:lang w:val="en-US"/>
        </w:rPr>
        <w:t xml:space="preserve">The politics of everyday hybridity: Zadie Smith's </w:t>
      </w:r>
      <w:r>
        <w:rPr>
          <w:rStyle w:val="None"/>
          <w:rFonts w:cs="Arial Unicode MS" w:eastAsia="Arial Unicode MS"/>
          <w:i w:val="1"/>
          <w:iCs w:val="1"/>
          <w:rtl w:val="0"/>
          <w:lang w:val="en-US"/>
        </w:rPr>
        <w:t>White Teeth</w:t>
      </w:r>
      <w:r>
        <w:rPr>
          <w:rStyle w:val="None"/>
          <w:rFonts w:cs="Arial Unicode MS" w:eastAsia="Arial Unicode MS" w:hint="default"/>
          <w:i w:val="1"/>
          <w:iCs w:val="1"/>
          <w:rtl w:val="0"/>
          <w:lang w:val="en-US"/>
        </w:rPr>
        <w:t>’</w:t>
      </w:r>
      <w:r>
        <w:rPr>
          <w:rStyle w:val="None"/>
          <w:rFonts w:cs="Arial Unicode MS" w:eastAsia="Arial Unicode MS"/>
          <w:i w:val="1"/>
          <w:iCs w:val="1"/>
          <w:rtl w:val="0"/>
          <w:lang w:val="en-US"/>
        </w:rPr>
        <w:t>, &lt;</w:t>
      </w:r>
      <w:r>
        <w:rPr>
          <w:rStyle w:val="Hyperlink.0"/>
        </w:rPr>
        <w:fldChar w:fldCharType="begin" w:fldLock="0"/>
      </w:r>
      <w:r>
        <w:rPr>
          <w:rStyle w:val="Hyperlink.0"/>
        </w:rPr>
        <w:instrText xml:space="preserve"> HYPERLINK "https://www.tandfonline.com/doi/abs/10.1080/02690050308589837"</w:instrText>
      </w:r>
      <w:r>
        <w:rPr>
          <w:rStyle w:val="Hyperlink.0"/>
        </w:rPr>
        <w:fldChar w:fldCharType="separate" w:fldLock="0"/>
      </w:r>
      <w:r>
        <w:rPr>
          <w:rStyle w:val="Hyperlink.0"/>
          <w:rFonts w:cs="Arial Unicode MS" w:eastAsia="Arial Unicode MS"/>
          <w:rtl w:val="0"/>
          <w:lang w:val="en-US"/>
        </w:rPr>
        <w:t>https://www.tandfonline.com/doi/abs/10.1080/02690050308589837</w:t>
      </w:r>
      <w:r>
        <w:rPr/>
        <w:fldChar w:fldCharType="end" w:fldLock="0"/>
      </w:r>
      <w:r>
        <w:rPr>
          <w:rStyle w:val="None"/>
          <w:rFonts w:cs="Arial Unicode MS" w:eastAsia="Arial Unicode MS"/>
          <w:rtl w:val="0"/>
          <w:lang w:val="en-US"/>
        </w:rPr>
        <w:t>&gt; [Accessed 28th March] (para. 1 of 5).</w:t>
      </w:r>
    </w:p>
  </w:footnote>
  <w:footnote w:id="4">
    <w:p>
      <w:pPr>
        <w:pStyle w:val="Footnote"/>
      </w:pPr>
      <w:r>
        <w:rPr>
          <w:rStyle w:val="None"/>
          <w:sz w:val="28"/>
          <w:szCs w:val="28"/>
          <w:vertAlign w:val="superscript"/>
          <w:lang w:val="en-US"/>
        </w:rPr>
        <w:footnoteRef/>
      </w:r>
      <w:r>
        <w:rPr>
          <w:rStyle w:val="None"/>
          <w:rFonts w:cs="Arial Unicode MS" w:eastAsia="Arial Unicode MS"/>
          <w:rtl w:val="0"/>
          <w:lang w:val="en-US"/>
        </w:rPr>
        <w:t xml:space="preserve"> </w:t>
      </w:r>
      <w:r>
        <w:rPr>
          <w:rFonts w:cs="Arial Unicode MS" w:eastAsia="Arial Unicode MS"/>
          <w:rtl w:val="0"/>
        </w:rPr>
        <w:t xml:space="preserve">Joseph Conrad </w:t>
      </w:r>
      <w:r>
        <w:rPr>
          <w:rStyle w:val="None"/>
          <w:rFonts w:ascii="Helvetica" w:hAnsi="Helvetica"/>
          <w:i w:val="1"/>
          <w:iCs w:val="1"/>
          <w:rtl w:val="0"/>
          <w:lang w:val="en-US"/>
        </w:rPr>
        <w:t xml:space="preserve">Heart of Darkness </w:t>
      </w:r>
      <w:r>
        <w:rPr>
          <w:rStyle w:val="None"/>
          <w:rFonts w:cs="Arial Unicode MS" w:eastAsia="Arial Unicode MS"/>
          <w:rtl w:val="0"/>
          <w:lang w:val="en-US"/>
        </w:rPr>
        <w:t>(Penguin Books 1993)</w:t>
      </w:r>
    </w:p>
  </w:footnote>
  <w:footnote w:id="5">
    <w:p>
      <w:pPr>
        <w:pStyle w:val="Footnote"/>
      </w:pPr>
      <w:r>
        <w:rPr>
          <w:rStyle w:val="None"/>
          <w:sz w:val="28"/>
          <w:szCs w:val="28"/>
          <w:vertAlign w:val="superscript"/>
          <w:lang w:val="en-US"/>
        </w:rPr>
        <w:footnoteRef/>
      </w:r>
      <w:r>
        <w:rPr>
          <w:rStyle w:val="None"/>
          <w:rFonts w:cs="Arial Unicode MS" w:eastAsia="Arial Unicode MS"/>
          <w:rtl w:val="0"/>
          <w:lang w:val="en-US"/>
        </w:rPr>
        <w:t xml:space="preserve"> </w:t>
      </w:r>
      <w:r>
        <w:rPr>
          <w:rStyle w:val="None"/>
          <w:rFonts w:cs="Arial Unicode MS" w:eastAsia="Arial Unicode MS"/>
          <w:rtl w:val="0"/>
          <w:lang w:val="pt-PT"/>
        </w:rPr>
        <w:t xml:space="preserve">Chinua Achebe </w:t>
      </w:r>
      <w:r>
        <w:rPr>
          <w:rFonts w:cs="Arial Unicode MS" w:eastAsia="Arial Unicode MS" w:hint="default"/>
          <w:rtl w:val="0"/>
        </w:rPr>
        <w:t>‘</w:t>
      </w:r>
      <w:r>
        <w:rPr>
          <w:rStyle w:val="None"/>
          <w:rFonts w:cs="Arial Unicode MS" w:eastAsia="Arial Unicode MS"/>
          <w:rtl w:val="0"/>
          <w:lang w:val="en-US"/>
        </w:rPr>
        <w:t>An Image ofAfrica: Racism in Conrad</w:t>
      </w:r>
      <w:r>
        <w:rPr>
          <w:rFonts w:cs="Arial Unicode MS" w:eastAsia="Arial Unicode MS" w:hint="default"/>
          <w:rtl w:val="0"/>
        </w:rPr>
        <w:t>’</w:t>
      </w:r>
      <w:r>
        <w:rPr>
          <w:rStyle w:val="None"/>
          <w:rFonts w:cs="Arial Unicode MS" w:eastAsia="Arial Unicode MS"/>
          <w:rtl w:val="0"/>
          <w:lang w:val="en-US"/>
        </w:rPr>
        <w:t>s Heart of Darkness</w:t>
      </w:r>
      <w:r>
        <w:rPr>
          <w:rFonts w:cs="Arial Unicode MS" w:eastAsia="Arial Unicode MS" w:hint="default"/>
          <w:rtl w:val="0"/>
        </w:rPr>
        <w:t>’</w:t>
      </w:r>
      <w:r>
        <w:rPr>
          <w:rFonts w:cs="Arial Unicode MS" w:eastAsia="Arial Unicode MS"/>
          <w:rtl w:val="0"/>
        </w:rPr>
        <w:t>,</w:t>
      </w:r>
      <w:r>
        <w:rPr>
          <w:rStyle w:val="None"/>
          <w:rFonts w:ascii="Helvetica" w:hAnsi="Helvetica"/>
          <w:i w:val="1"/>
          <w:iCs w:val="1"/>
          <w:rtl w:val="0"/>
          <w:lang w:val="en-US"/>
        </w:rPr>
        <w:t xml:space="preserve"> The Massachusetts Review</w:t>
      </w:r>
      <w:r>
        <w:rPr>
          <w:rStyle w:val="None"/>
          <w:rFonts w:cs="Arial Unicode MS" w:eastAsia="Arial Unicode MS"/>
          <w:rtl w:val="0"/>
          <w:lang w:val="en-US"/>
        </w:rPr>
        <w:t>, (Spring 2016), Vol. 57 Issue 1, pp.14-27.&lt;http:/  web.b.ebscohost.com.ezproxy.uwtsd.ac.uk/ehost/detail/detailsid=a59af8d3bd25-4e64-95ea-2e8eb1b610a4%40sessionmgr102&amp;vid=0&amp;hid=125&amp;bdata=JnNpdGU9ZWhvc3QtbGl2ZQ%3d%3d#db=aph&amp;AN=114187095&gt;[accessed 28 March 2018</w:t>
      </w:r>
      <w:r>
        <w:rPr>
          <w:rFonts w:cs="Arial Unicode MS" w:eastAsia="Arial Unicode MS"/>
          <w:rtl w:val="0"/>
        </w:rPr>
        <w:t>]</w:t>
      </w:r>
    </w:p>
  </w:footnote>
  <w:footnote w:id="6">
    <w:p>
      <w:pPr>
        <w:pStyle w:val="Footnote"/>
      </w:pPr>
      <w:r>
        <w:rPr>
          <w:rStyle w:val="None"/>
          <w:sz w:val="28"/>
          <w:szCs w:val="28"/>
          <w:vertAlign w:val="superscript"/>
          <w:lang w:val="en-US"/>
        </w:rPr>
        <w:footnoteRef/>
      </w:r>
      <w:r>
        <w:rPr>
          <w:rStyle w:val="None"/>
          <w:rFonts w:cs="Arial Unicode MS" w:eastAsia="Arial Unicode MS"/>
          <w:rtl w:val="0"/>
          <w:lang w:val="en-US"/>
        </w:rPr>
        <w:t xml:space="preserve"> J</w:t>
      </w:r>
      <w:r>
        <w:rPr>
          <w:rStyle w:val="None"/>
          <w:rFonts w:cs="Arial Unicode MS" w:eastAsia="Arial Unicode MS"/>
          <w:rtl w:val="0"/>
          <w:lang w:val="de-DE"/>
        </w:rPr>
        <w:t xml:space="preserve">ohn </w:t>
      </w:r>
      <w:r>
        <w:rPr>
          <w:rStyle w:val="None"/>
          <w:rFonts w:cs="Arial Unicode MS" w:eastAsia="Arial Unicode MS"/>
          <w:rtl w:val="0"/>
          <w:lang w:val="en-US"/>
        </w:rPr>
        <w:t>A</w:t>
      </w:r>
      <w:r>
        <w:rPr>
          <w:rFonts w:cs="Arial Unicode MS" w:eastAsia="Arial Unicode MS"/>
          <w:rtl w:val="0"/>
        </w:rPr>
        <w:t xml:space="preserve">. </w:t>
      </w:r>
      <w:r>
        <w:rPr>
          <w:rStyle w:val="None"/>
          <w:rFonts w:cs="Arial Unicode MS" w:eastAsia="Arial Unicode MS"/>
          <w:rtl w:val="0"/>
          <w:lang w:val="en-US"/>
        </w:rPr>
        <w:t>P</w:t>
      </w:r>
      <w:r>
        <w:rPr>
          <w:rStyle w:val="None"/>
          <w:rFonts w:cs="Arial Unicode MS" w:eastAsia="Arial Unicode MS"/>
          <w:rtl w:val="0"/>
          <w:lang w:val="de-DE"/>
        </w:rPr>
        <w:t>owell and Stephen Menendian</w:t>
      </w:r>
      <w:r>
        <w:rPr>
          <w:rStyle w:val="None"/>
          <w:rFonts w:cs="Arial Unicode MS" w:eastAsia="Arial Unicode MS"/>
          <w:rtl w:val="0"/>
          <w:lang w:val="en-US"/>
        </w:rPr>
        <w:t xml:space="preserve">, </w:t>
      </w:r>
      <w:r>
        <w:rPr>
          <w:rStyle w:val="None"/>
          <w:rFonts w:cs="Arial Unicode MS" w:eastAsia="Arial Unicode MS" w:hint="default"/>
          <w:rtl w:val="0"/>
          <w:lang w:val="en-US"/>
        </w:rPr>
        <w:t>‘</w:t>
      </w:r>
      <w:r>
        <w:rPr>
          <w:rStyle w:val="None"/>
          <w:rFonts w:cs="Arial Unicode MS" w:eastAsia="Arial Unicode MS"/>
          <w:rtl w:val="0"/>
          <w:lang w:val="en-US"/>
        </w:rPr>
        <w:t>The Problem of Othering: Towards Inclusiveness and Belonging</w:t>
      </w:r>
      <w:r>
        <w:rPr>
          <w:rStyle w:val="None"/>
          <w:rFonts w:cs="Arial Unicode MS" w:eastAsia="Arial Unicode MS" w:hint="default"/>
          <w:rtl w:val="0"/>
          <w:lang w:val="en-US"/>
        </w:rPr>
        <w:t xml:space="preserve">’ </w:t>
      </w:r>
      <w:r>
        <w:rPr>
          <w:rStyle w:val="None"/>
          <w:rFonts w:cs="Arial Unicode MS" w:eastAsia="Arial Unicode MS"/>
          <w:rtl w:val="0"/>
          <w:lang w:val="en-US"/>
        </w:rPr>
        <w:t>&lt;</w:t>
      </w:r>
      <w:r>
        <w:rPr>
          <w:rStyle w:val="Hyperlink.0"/>
        </w:rPr>
        <w:fldChar w:fldCharType="begin" w:fldLock="0"/>
      </w:r>
      <w:r>
        <w:rPr>
          <w:rStyle w:val="Hyperlink.0"/>
        </w:rPr>
        <w:instrText xml:space="preserve"> HYPERLINK "http://www.otheringandbelonging.org/the-problem-of-othering/"</w:instrText>
      </w:r>
      <w:r>
        <w:rPr>
          <w:rStyle w:val="Hyperlink.0"/>
        </w:rPr>
        <w:fldChar w:fldCharType="separate" w:fldLock="0"/>
      </w:r>
      <w:r>
        <w:rPr>
          <w:rStyle w:val="Hyperlink.0"/>
          <w:rFonts w:cs="Arial Unicode MS" w:eastAsia="Arial Unicode MS"/>
          <w:rtl w:val="0"/>
          <w:lang w:val="en-US"/>
        </w:rPr>
        <w:t>http://www.otheringandbelonging.org/the-problem-of-othering/</w:t>
      </w:r>
      <w:r>
        <w:rPr/>
        <w:fldChar w:fldCharType="end" w:fldLock="0"/>
      </w:r>
      <w:r>
        <w:rPr>
          <w:rStyle w:val="None"/>
          <w:rFonts w:cs="Arial Unicode MS" w:eastAsia="Arial Unicode MS"/>
          <w:rtl w:val="0"/>
          <w:lang w:val="en-US"/>
        </w:rPr>
        <w:t>&gt; [Accessed 28 March 2018] (para 7 of 91).</w:t>
      </w:r>
    </w:p>
  </w:footnote>
  <w:footnote w:id="7">
    <w:p>
      <w:pPr>
        <w:pStyle w:val="Footnote"/>
      </w:pPr>
      <w:r>
        <w:rPr>
          <w:rStyle w:val="None"/>
          <w:sz w:val="28"/>
          <w:szCs w:val="28"/>
          <w:vertAlign w:val="superscript"/>
          <w:lang w:val="en-US"/>
        </w:rPr>
        <w:footnoteRef/>
      </w:r>
      <w:r>
        <w:rPr>
          <w:rFonts w:cs="Arial Unicode MS" w:eastAsia="Arial Unicode MS"/>
          <w:rtl w:val="0"/>
        </w:rPr>
        <w:t xml:space="preserve"> </w:t>
      </w:r>
      <w:r>
        <w:rPr>
          <w:rStyle w:val="None"/>
          <w:rFonts w:cs="Arial Unicode MS" w:eastAsia="Arial Unicode MS"/>
          <w:rtl w:val="0"/>
          <w:lang w:val="en-US"/>
        </w:rPr>
        <w:t xml:space="preserve">Lois Tyson, </w:t>
      </w:r>
      <w:r>
        <w:rPr>
          <w:rStyle w:val="None"/>
          <w:rFonts w:cs="Arial Unicode MS" w:eastAsia="Arial Unicode MS"/>
          <w:i w:val="1"/>
          <w:iCs w:val="1"/>
          <w:rtl w:val="0"/>
          <w:lang w:val="en-US"/>
        </w:rPr>
        <w:t>Critical Theory Today, A User Friendly Guide</w:t>
      </w:r>
      <w:r>
        <w:rPr>
          <w:rStyle w:val="None"/>
          <w:rFonts w:cs="Arial Unicode MS" w:eastAsia="Arial Unicode MS"/>
          <w:rtl w:val="0"/>
          <w:lang w:val="en-US"/>
        </w:rPr>
        <w:t xml:space="preserve"> (Routledge 2006) p.432.</w:t>
      </w:r>
    </w:p>
  </w:footnote>
  <w:footnote w:id="8">
    <w:p>
      <w:pPr>
        <w:pStyle w:val="Footnote"/>
      </w:pPr>
      <w:r>
        <w:rPr>
          <w:rStyle w:val="None"/>
          <w:sz w:val="28"/>
          <w:szCs w:val="28"/>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Mindi McMann, </w:t>
      </w:r>
      <w:r>
        <w:rPr>
          <w:rStyle w:val="None"/>
          <w:rFonts w:cs="Arial Unicode MS" w:eastAsia="Arial Unicode MS" w:hint="default"/>
          <w:rtl w:val="0"/>
          <w:lang w:val="en-US"/>
        </w:rPr>
        <w:t>‘</w:t>
      </w:r>
      <w:r>
        <w:rPr>
          <w:rStyle w:val="None"/>
          <w:rFonts w:cs="Arial Unicode MS" w:eastAsia="Arial Unicode MS"/>
          <w:rtl w:val="0"/>
          <w:lang w:val="en-US"/>
        </w:rPr>
        <w:t>British black box: a return to race and science in Z</w:t>
      </w:r>
      <w:r>
        <w:rPr>
          <w:rStyle w:val="None"/>
          <w:rFonts w:cs="Arial Unicode MS" w:eastAsia="Arial Unicode MS"/>
          <w:rtl w:val="0"/>
          <w:lang w:val="es-ES_tradnl"/>
        </w:rPr>
        <w:t xml:space="preserve">adie </w:t>
      </w:r>
      <w:r>
        <w:rPr>
          <w:rStyle w:val="None"/>
          <w:rFonts w:cs="Arial Unicode MS" w:eastAsia="Arial Unicode MS"/>
          <w:rtl w:val="0"/>
          <w:lang w:val="en-US"/>
        </w:rPr>
        <w:t xml:space="preserve">Smith's </w:t>
      </w:r>
      <w:r>
        <w:rPr>
          <w:rStyle w:val="None"/>
          <w:rFonts w:cs="Arial Unicode MS" w:eastAsia="Arial Unicode MS"/>
          <w:i w:val="1"/>
          <w:iCs w:val="1"/>
          <w:rtl w:val="0"/>
          <w:lang w:val="en-US"/>
        </w:rPr>
        <w:t>White Teeth</w:t>
      </w:r>
      <w:r>
        <w:rPr>
          <w:rStyle w:val="None"/>
          <w:rFonts w:cs="Arial Unicode MS" w:eastAsia="Arial Unicode MS" w:hint="default"/>
          <w:i w:val="1"/>
          <w:iCs w:val="1"/>
          <w:rtl w:val="0"/>
          <w:lang w:val="en-US"/>
        </w:rPr>
        <w:t xml:space="preserve">’ </w:t>
      </w:r>
      <w:r>
        <w:rPr>
          <w:rStyle w:val="None"/>
          <w:rFonts w:cs="Arial Unicode MS" w:eastAsia="Arial Unicode MS"/>
          <w:i w:val="1"/>
          <w:iCs w:val="1"/>
          <w:rtl w:val="0"/>
          <w:lang w:val="de-DE"/>
        </w:rPr>
        <w:t>MFS Modern Fiction Studies</w:t>
      </w:r>
      <w:r>
        <w:rPr>
          <w:rStyle w:val="None"/>
          <w:rFonts w:cs="Arial Unicode MS" w:eastAsia="Arial Unicode MS"/>
          <w:rtl w:val="0"/>
          <w:lang w:val="en-US"/>
        </w:rPr>
        <w:t>, Volume 58, number 3, (</w:t>
      </w:r>
      <w:r>
        <w:rPr>
          <w:rFonts w:cs="Arial Unicode MS" w:eastAsia="Arial Unicode MS"/>
          <w:rtl w:val="0"/>
        </w:rPr>
        <w:t>2012</w:t>
      </w:r>
      <w:r>
        <w:rPr>
          <w:rStyle w:val="None"/>
          <w:rFonts w:cs="Arial Unicode MS" w:eastAsia="Arial Unicode MS"/>
          <w:rtl w:val="0"/>
          <w:lang w:val="en-US"/>
        </w:rPr>
        <w:t>)</w:t>
      </w:r>
      <w:r>
        <w:rPr>
          <w:rFonts w:cs="Arial Unicode MS" w:eastAsia="Arial Unicode MS"/>
          <w:rtl w:val="0"/>
        </w:rPr>
        <w:t xml:space="preserve"> </w:t>
      </w:r>
      <w:r>
        <w:rPr>
          <w:rStyle w:val="None"/>
          <w:rFonts w:cs="Arial Unicode MS" w:eastAsia="Arial Unicode MS"/>
          <w:rtl w:val="0"/>
          <w:lang w:val="en-US"/>
        </w:rPr>
        <w:t>616-636, &lt;</w:t>
      </w:r>
      <w:r>
        <w:rPr>
          <w:rStyle w:val="Hyperlink.1"/>
        </w:rPr>
        <w:fldChar w:fldCharType="begin" w:fldLock="0"/>
      </w:r>
      <w:r>
        <w:rPr>
          <w:rStyle w:val="Hyperlink.1"/>
        </w:rPr>
        <w:instrText xml:space="preserve"> HYPERLINK "https://muse.jhu.edu/article/486399"</w:instrText>
      </w:r>
      <w:r>
        <w:rPr>
          <w:rStyle w:val="Hyperlink.1"/>
        </w:rPr>
        <w:fldChar w:fldCharType="separate" w:fldLock="0"/>
      </w:r>
      <w:r>
        <w:rPr>
          <w:rStyle w:val="Hyperlink.1"/>
          <w:rFonts w:cs="Arial Unicode MS" w:eastAsia="Arial Unicode MS"/>
          <w:rtl w:val="0"/>
        </w:rPr>
        <w:t>https://muse.jhu.edu/article/486399</w:t>
      </w:r>
      <w:r>
        <w:rPr/>
        <w:fldChar w:fldCharType="end" w:fldLock="0"/>
      </w:r>
      <w:r>
        <w:rPr>
          <w:rStyle w:val="None"/>
          <w:rFonts w:cs="Arial Unicode MS" w:eastAsia="Arial Unicode MS"/>
          <w:rtl w:val="0"/>
          <w:lang w:val="en-US"/>
        </w:rPr>
        <w:t>&gt; [Accessed 28 March 2018] p. 626.</w:t>
      </w:r>
    </w:p>
  </w:footnote>
  <w:footnote w:id="9">
    <w:p>
      <w:pPr>
        <w:pStyle w:val="Footnote"/>
      </w:pPr>
      <w:r>
        <w:rPr>
          <w:rStyle w:val="None"/>
          <w:sz w:val="28"/>
          <w:szCs w:val="28"/>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Homi Bhabha, </w:t>
      </w:r>
      <w:r>
        <w:rPr>
          <w:rStyle w:val="None"/>
          <w:rFonts w:cs="Arial Unicode MS" w:eastAsia="Arial Unicode MS" w:hint="default"/>
          <w:rtl w:val="0"/>
          <w:lang w:val="en-US"/>
        </w:rPr>
        <w:t>‘</w:t>
      </w:r>
      <w:r>
        <w:rPr>
          <w:rStyle w:val="None"/>
          <w:rFonts w:cs="Arial Unicode MS" w:eastAsia="Arial Unicode MS"/>
          <w:rtl w:val="0"/>
          <w:lang w:val="en-US"/>
        </w:rPr>
        <w:t>Of Mimicry and Man: The Ambivalence of Colonial Discourse</w:t>
      </w:r>
      <w:r>
        <w:rPr>
          <w:rStyle w:val="None"/>
          <w:rFonts w:cs="Arial Unicode MS" w:eastAsia="Arial Unicode MS" w:hint="default"/>
          <w:rtl w:val="0"/>
          <w:lang w:val="en-US"/>
        </w:rPr>
        <w:t>’</w:t>
      </w:r>
      <w:r>
        <w:rPr>
          <w:rStyle w:val="None"/>
          <w:rFonts w:cs="Arial Unicode MS" w:eastAsia="Arial Unicode MS"/>
          <w:rtl w:val="0"/>
          <w:lang w:val="en-US"/>
        </w:rPr>
        <w:t>, &lt;http://www.jstor.org.ezproxy.uwtsd.ac.uk/stable/778467?sid=primo&amp;origin=crossref&amp;seq=1#page_scan_tab_contents&gt; [Accessed 29th March]</w:t>
      </w:r>
    </w:p>
  </w:footnote>
  <w:footnote w:id="10">
    <w:p>
      <w:pPr>
        <w:pStyle w:val="Footnote"/>
      </w:pPr>
      <w:r>
        <w:rPr>
          <w:rStyle w:val="None"/>
          <w:sz w:val="28"/>
          <w:szCs w:val="28"/>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Patricia Dorli Dumescu </w:t>
      </w:r>
      <w:r>
        <w:rPr>
          <w:rStyle w:val="None"/>
          <w:rFonts w:cs="Arial Unicode MS" w:eastAsia="Arial Unicode MS" w:hint="default"/>
          <w:rtl w:val="0"/>
          <w:lang w:val="en-US"/>
        </w:rPr>
        <w:t>‘</w:t>
      </w:r>
      <w:r>
        <w:rPr>
          <w:rStyle w:val="None"/>
          <w:rFonts w:cs="Arial Unicode MS" w:eastAsia="Arial Unicode MS"/>
          <w:rtl w:val="0"/>
          <w:lang w:val="en-US"/>
        </w:rPr>
        <w:t>Colourful teeth: a new postcolonial reality in Zadie Smith</w:t>
      </w:r>
      <w:r>
        <w:rPr>
          <w:rFonts w:cs="Arial Unicode MS" w:eastAsia="Arial Unicode MS" w:hint="default"/>
          <w:rtl w:val="0"/>
        </w:rPr>
        <w:t>’</w:t>
      </w:r>
      <w:r>
        <w:rPr>
          <w:rStyle w:val="None"/>
          <w:rFonts w:cs="Arial Unicode MS" w:eastAsia="Arial Unicode MS"/>
          <w:rtl w:val="0"/>
          <w:lang w:val="pt-PT"/>
        </w:rPr>
        <w:t>s novel</w:t>
      </w:r>
      <w:r>
        <w:rPr>
          <w:rStyle w:val="None"/>
          <w:rFonts w:cs="Arial Unicode MS" w:eastAsia="Arial Unicode MS" w:hint="default"/>
          <w:rtl w:val="0"/>
          <w:lang w:val="en-US"/>
        </w:rPr>
        <w:t xml:space="preserve">’ </w:t>
      </w:r>
      <w:r>
        <w:rPr>
          <w:rStyle w:val="None"/>
          <w:rFonts w:cs="Arial Unicode MS" w:eastAsia="Arial Unicode MS"/>
          <w:i w:val="1"/>
          <w:iCs w:val="1"/>
          <w:rtl w:val="0"/>
          <w:lang w:val="en-US"/>
        </w:rPr>
        <w:t>Journal of Romanian Literary Studies</w:t>
      </w:r>
      <w:r>
        <w:rPr>
          <w:rStyle w:val="None"/>
          <w:rFonts w:cs="Arial Unicode MS" w:eastAsia="Arial Unicode MS"/>
          <w:rtl w:val="0"/>
          <w:lang w:val="en-US"/>
        </w:rPr>
        <w:t xml:space="preserve"> 10 p.593-599 (2017) &lt;</w:t>
      </w:r>
      <w:r>
        <w:rPr>
          <w:rStyle w:val="Hyperlink.0"/>
        </w:rPr>
        <w:fldChar w:fldCharType="begin" w:fldLock="0"/>
      </w:r>
      <w:r>
        <w:rPr>
          <w:rStyle w:val="Hyperlink.0"/>
        </w:rPr>
        <w:instrText xml:space="preserve"> HYPERLINK "http://www.diacronia.ro/en/indexing/details/A25695"</w:instrText>
      </w:r>
      <w:r>
        <w:rPr>
          <w:rStyle w:val="Hyperlink.0"/>
        </w:rPr>
        <w:fldChar w:fldCharType="separate" w:fldLock="0"/>
      </w:r>
      <w:r>
        <w:rPr>
          <w:rStyle w:val="Hyperlink.0"/>
          <w:rFonts w:cs="Arial Unicode MS" w:eastAsia="Arial Unicode MS"/>
          <w:rtl w:val="0"/>
          <w:lang w:val="en-US"/>
        </w:rPr>
        <w:t>http://www.diacronia.ro/en/indexing/details/A25695</w:t>
      </w:r>
      <w:r>
        <w:rPr/>
        <w:fldChar w:fldCharType="end" w:fldLock="0"/>
      </w:r>
      <w:r>
        <w:rPr>
          <w:rStyle w:val="None"/>
          <w:rFonts w:cs="Arial Unicode MS" w:eastAsia="Arial Unicode MS"/>
          <w:rtl w:val="0"/>
          <w:lang w:val="en-US"/>
        </w:rPr>
        <w:t>&gt; [Accessed 29th March 2018] p.600</w:t>
      </w:r>
    </w:p>
  </w:footnote>
  <w:footnote w:id="11">
    <w:p>
      <w:pPr>
        <w:pStyle w:val="Footnote"/>
      </w:pPr>
      <w:r>
        <w:rPr>
          <w:rStyle w:val="None"/>
          <w:sz w:val="28"/>
          <w:szCs w:val="28"/>
          <w:vertAlign w:val="superscript"/>
        </w:rPr>
        <w:footnoteRef/>
      </w:r>
      <w:r>
        <w:rPr>
          <w:rStyle w:val="None"/>
          <w:rFonts w:cs="Arial Unicode MS" w:eastAsia="Arial Unicode MS"/>
          <w:rtl w:val="0"/>
          <w:lang w:val="en-US"/>
        </w:rPr>
        <w:t xml:space="preserve"> Amardeep Singh,</w:t>
      </w:r>
      <w:r>
        <w:rPr>
          <w:rFonts w:cs="Arial Unicode MS" w:eastAsia="Arial Unicode MS"/>
          <w:rtl w:val="0"/>
        </w:rPr>
        <w:t xml:space="preserve"> </w:t>
      </w:r>
      <w:r>
        <w:rPr>
          <w:rStyle w:val="None"/>
          <w:rFonts w:cs="Arial Unicode MS" w:eastAsia="Arial Unicode MS" w:hint="default"/>
          <w:rtl w:val="0"/>
          <w:lang w:val="en-US"/>
        </w:rPr>
        <w:t>‘</w:t>
      </w:r>
      <w:r>
        <w:rPr>
          <w:rStyle w:val="None"/>
          <w:rFonts w:cs="Arial Unicode MS" w:eastAsia="Arial Unicode MS"/>
          <w:rtl w:val="0"/>
          <w:lang w:val="en-US"/>
        </w:rPr>
        <w:t>Mimicry and Hybridity in Plain English</w:t>
      </w:r>
      <w:r>
        <w:rPr>
          <w:rStyle w:val="None"/>
          <w:rFonts w:cs="Arial Unicode MS" w:eastAsia="Arial Unicode MS" w:hint="default"/>
          <w:rtl w:val="0"/>
          <w:lang w:val="en-US"/>
        </w:rPr>
        <w:t>’</w:t>
      </w:r>
      <w:r>
        <w:rPr>
          <w:rStyle w:val="None"/>
          <w:rFonts w:cs="Arial Unicode MS" w:eastAsia="Arial Unicode MS"/>
          <w:rtl w:val="0"/>
          <w:lang w:val="en-US"/>
        </w:rPr>
        <w:t>, &lt;</w:t>
      </w:r>
      <w:r>
        <w:rPr>
          <w:rStyle w:val="Hyperlink.0"/>
        </w:rPr>
        <w:fldChar w:fldCharType="begin" w:fldLock="0"/>
      </w:r>
      <w:r>
        <w:rPr>
          <w:rStyle w:val="Hyperlink.0"/>
        </w:rPr>
        <w:instrText xml:space="preserve"> HYPERLINK "http://www.lehigh.edu/~amsp/2009/05/mimicry-and-hybridity-in-plain-english.html"</w:instrText>
      </w:r>
      <w:r>
        <w:rPr>
          <w:rStyle w:val="Hyperlink.0"/>
        </w:rPr>
        <w:fldChar w:fldCharType="separate" w:fldLock="0"/>
      </w:r>
      <w:r>
        <w:rPr>
          <w:rStyle w:val="Hyperlink.0"/>
          <w:rFonts w:cs="Arial Unicode MS" w:eastAsia="Arial Unicode MS"/>
          <w:rtl w:val="0"/>
          <w:lang w:val="en-US"/>
        </w:rPr>
        <w:t>http://www.lehigh.edu/~amsp/2009/05/mimicry-and-hybridity-in-plain-english.html</w:t>
      </w:r>
      <w:r>
        <w:rPr/>
        <w:fldChar w:fldCharType="end" w:fldLock="0"/>
      </w:r>
      <w:r>
        <w:rPr>
          <w:rStyle w:val="None"/>
          <w:rFonts w:cs="Arial Unicode MS" w:eastAsia="Arial Unicode MS"/>
          <w:rtl w:val="0"/>
          <w:lang w:val="en-US"/>
        </w:rPr>
        <w:t xml:space="preserve">&gt; [Accessed 1 April 2018], para 13 of 38 </w:t>
      </w:r>
    </w:p>
  </w:footnote>
  <w:footnote w:id="12">
    <w:p>
      <w:pPr>
        <w:pStyle w:val="Footnote"/>
      </w:pPr>
      <w:r>
        <w:rPr>
          <w:rStyle w:val="None"/>
          <w:sz w:val="28"/>
          <w:szCs w:val="28"/>
          <w:vertAlign w:val="superscript"/>
        </w:rPr>
        <w:footnoteRef/>
      </w:r>
      <w:r>
        <w:rPr>
          <w:rFonts w:cs="Arial Unicode MS" w:eastAsia="Arial Unicode MS"/>
          <w:rtl w:val="0"/>
        </w:rPr>
        <w:t xml:space="preserve"> Imre</w:t>
      </w:r>
      <w:r>
        <w:rPr>
          <w:rStyle w:val="None"/>
          <w:rFonts w:cs="Arial Unicode MS" w:eastAsia="Arial Unicode MS"/>
          <w:rtl w:val="0"/>
          <w:lang w:val="en-US"/>
        </w:rPr>
        <w:t xml:space="preserve"> Szeman&lt;http://www.academia.edu/2096595/Globalization </w:t>
      </w:r>
      <w:r>
        <w:rPr>
          <w:rFonts w:cs="Arial Unicode MS" w:eastAsia="Arial Unicode MS"/>
          <w:rtl w:val="0"/>
        </w:rPr>
        <w:t>in</w:t>
      </w:r>
      <w:r>
        <w:rPr>
          <w:rStyle w:val="None"/>
          <w:rFonts w:cs="Arial Unicode MS" w:eastAsia="Arial Unicode MS"/>
          <w:rtl w:val="0"/>
          <w:lang w:val="en-US"/>
        </w:rPr>
        <w:t xml:space="preserve"> The </w:t>
      </w:r>
      <w:r>
        <w:rPr>
          <w:rStyle w:val="None"/>
          <w:rFonts w:cs="Arial Unicode MS" w:eastAsia="Arial Unicode MS"/>
          <w:rtl w:val="0"/>
          <w:lang w:val="de-DE"/>
        </w:rPr>
        <w:t>Johns</w:t>
      </w:r>
      <w:r>
        <w:rPr>
          <w:rStyle w:val="None"/>
          <w:rFonts w:cs="Arial Unicode MS" w:eastAsia="Arial Unicode MS"/>
          <w:rtl w:val="0"/>
          <w:lang w:val="en-US"/>
        </w:rPr>
        <w:t xml:space="preserve"> </w:t>
      </w:r>
      <w:r>
        <w:rPr>
          <w:rFonts w:cs="Arial Unicode MS" w:eastAsia="Arial Unicode MS"/>
          <w:rtl w:val="0"/>
        </w:rPr>
        <w:t>Hopkins</w:t>
      </w:r>
      <w:r>
        <w:rPr>
          <w:rStyle w:val="None"/>
          <w:rFonts w:cs="Arial Unicode MS" w:eastAsia="Arial Unicode MS"/>
          <w:rtl w:val="0"/>
          <w:lang w:val="en-US"/>
        </w:rPr>
        <w:t xml:space="preserve"> </w:t>
      </w:r>
      <w:r>
        <w:rPr>
          <w:rStyle w:val="None"/>
          <w:rFonts w:cs="Arial Unicode MS" w:eastAsia="Arial Unicode MS"/>
          <w:rtl w:val="0"/>
          <w:lang w:val="nl-NL"/>
        </w:rPr>
        <w:t>Guide</w:t>
      </w:r>
      <w:r>
        <w:rPr>
          <w:rStyle w:val="None"/>
          <w:rFonts w:cs="Arial Unicode MS" w:eastAsia="Arial Unicode MS"/>
          <w:rtl w:val="0"/>
          <w:lang w:val="en-US"/>
        </w:rPr>
        <w:t xml:space="preserve"> </w:t>
      </w:r>
      <w:r>
        <w:rPr>
          <w:rFonts w:cs="Arial Unicode MS" w:eastAsia="Arial Unicode MS"/>
          <w:rtl w:val="0"/>
        </w:rPr>
        <w:t>to</w:t>
      </w:r>
      <w:r>
        <w:rPr>
          <w:rStyle w:val="None"/>
          <w:rFonts w:cs="Arial Unicode MS" w:eastAsia="Arial Unicode MS"/>
          <w:rtl w:val="0"/>
          <w:lang w:val="en-US"/>
        </w:rPr>
        <w:t xml:space="preserve"> Literary </w:t>
      </w:r>
      <w:r>
        <w:rPr>
          <w:rStyle w:val="None"/>
          <w:rFonts w:cs="Arial Unicode MS" w:eastAsia="Arial Unicode MS"/>
          <w:rtl w:val="0"/>
          <w:lang w:val="de-DE"/>
        </w:rPr>
        <w:t>Theory</w:t>
      </w:r>
      <w:r>
        <w:rPr>
          <w:rStyle w:val="None"/>
          <w:rFonts w:cs="Arial Unicode MS" w:eastAsia="Arial Unicode MS"/>
          <w:rtl w:val="0"/>
          <w:lang w:val="en-US"/>
        </w:rPr>
        <w:t xml:space="preserve"> </w:t>
      </w:r>
      <w:r>
        <w:rPr>
          <w:rFonts w:cs="Arial Unicode MS" w:eastAsia="Arial Unicode MS"/>
          <w:rtl w:val="0"/>
        </w:rPr>
        <w:t>and</w:t>
      </w:r>
      <w:r>
        <w:rPr>
          <w:rStyle w:val="None"/>
          <w:rFonts w:cs="Arial Unicode MS" w:eastAsia="Arial Unicode MS"/>
          <w:rtl w:val="0"/>
          <w:lang w:val="en-US"/>
        </w:rPr>
        <w:t xml:space="preserve"> </w:t>
      </w:r>
      <w:r>
        <w:rPr>
          <w:rStyle w:val="None"/>
          <w:rFonts w:cs="Arial Unicode MS" w:eastAsia="Arial Unicode MS"/>
          <w:rtl w:val="0"/>
          <w:lang w:val="it-IT"/>
        </w:rPr>
        <w:t>Criticism</w:t>
      </w:r>
      <w:r>
        <w:rPr>
          <w:rStyle w:val="None"/>
          <w:rFonts w:cs="Arial Unicode MS" w:eastAsia="Arial Unicode MS"/>
          <w:rtl w:val="0"/>
          <w:lang w:val="en-US"/>
        </w:rPr>
        <w:t>&gt; [Accessed 4 April 2018] (p.458)</w:t>
      </w:r>
    </w:p>
  </w:footnote>
  <w:footnote w:id="13">
    <w:p>
      <w:pPr>
        <w:pStyle w:val="Footnote"/>
      </w:pPr>
      <w:r>
        <w:rPr>
          <w:rStyle w:val="None"/>
          <w:sz w:val="28"/>
          <w:szCs w:val="28"/>
          <w:vertAlign w:val="superscript"/>
        </w:rPr>
        <w:footnoteRef/>
      </w:r>
      <w:r>
        <w:rPr>
          <w:rStyle w:val="None"/>
          <w:rFonts w:cs="Arial Unicode MS" w:eastAsia="Arial Unicode MS"/>
          <w:rtl w:val="0"/>
          <w:lang w:val="en-US"/>
        </w:rPr>
        <w:t xml:space="preserve"> Hubert J. M. Hermans, Giancarlo Dimaggio, </w:t>
      </w:r>
      <w:r>
        <w:rPr>
          <w:rStyle w:val="None"/>
          <w:rFonts w:cs="Arial Unicode MS" w:eastAsia="Arial Unicode MS" w:hint="default"/>
          <w:rtl w:val="0"/>
          <w:lang w:val="en-US"/>
        </w:rPr>
        <w:t>‘</w:t>
      </w:r>
      <w:r>
        <w:rPr>
          <w:rStyle w:val="None"/>
          <w:rFonts w:cs="Arial Unicode MS" w:eastAsia="Arial Unicode MS"/>
          <w:rtl w:val="0"/>
          <w:lang w:val="en-US"/>
        </w:rPr>
        <w:t>Self, Identity, and Globalization in Times of Uncertainty: A Dialogical Analysis</w:t>
      </w:r>
      <w:r>
        <w:rPr>
          <w:rStyle w:val="None"/>
          <w:rFonts w:cs="Arial Unicode MS" w:eastAsia="Arial Unicode MS" w:hint="default"/>
          <w:rtl w:val="0"/>
          <w:lang w:val="en-US"/>
        </w:rPr>
        <w:t>’</w:t>
      </w:r>
      <w:r>
        <w:rPr>
          <w:rStyle w:val="None"/>
          <w:rFonts w:cs="Arial Unicode MS" w:eastAsia="Arial Unicode MS"/>
          <w:rtl w:val="0"/>
          <w:lang w:val="en-US"/>
        </w:rPr>
        <w:t>,</w:t>
      </w:r>
      <w:r>
        <w:rPr>
          <w:rFonts w:cs="Arial Unicode MS" w:eastAsia="Arial Unicode MS"/>
          <w:rtl w:val="0"/>
        </w:rPr>
        <w:t xml:space="preserve"> </w:t>
      </w:r>
      <w:r>
        <w:rPr>
          <w:rStyle w:val="None"/>
          <w:rFonts w:cs="Arial Unicode MS" w:eastAsia="Arial Unicode MS"/>
          <w:i w:val="1"/>
          <w:iCs w:val="1"/>
          <w:rtl w:val="0"/>
          <w:lang w:val="en-US"/>
        </w:rPr>
        <w:t>Review of General Psychology</w:t>
      </w:r>
      <w:r>
        <w:rPr>
          <w:rFonts w:cs="Arial Unicode MS" w:eastAsia="Arial Unicode MS"/>
          <w:rtl w:val="0"/>
        </w:rPr>
        <w:t xml:space="preserve"> Vol. 11, No. 1, 31</w:t>
      </w:r>
      <w:r>
        <w:rPr>
          <w:rFonts w:cs="Arial Unicode MS" w:eastAsia="Arial Unicode MS" w:hint="default"/>
          <w:rtl w:val="0"/>
        </w:rPr>
        <w:t>–</w:t>
      </w:r>
      <w:r>
        <w:rPr>
          <w:rFonts w:cs="Arial Unicode MS" w:eastAsia="Arial Unicode MS"/>
          <w:rtl w:val="0"/>
        </w:rPr>
        <w:t>61</w:t>
      </w:r>
      <w:r>
        <w:rPr>
          <w:rStyle w:val="None"/>
          <w:rFonts w:cs="Arial Unicode MS" w:eastAsia="Arial Unicode MS"/>
          <w:rtl w:val="0"/>
          <w:lang w:val="en-US"/>
        </w:rPr>
        <w:t xml:space="preserve"> (</w:t>
      </w:r>
      <w:r>
        <w:rPr>
          <w:rFonts w:cs="Arial Unicode MS" w:eastAsia="Arial Unicode MS"/>
          <w:rtl w:val="0"/>
        </w:rPr>
        <w:t>2007</w:t>
      </w:r>
      <w:r>
        <w:rPr>
          <w:rStyle w:val="None"/>
          <w:rFonts w:cs="Arial Unicode MS" w:eastAsia="Arial Unicode MS"/>
          <w:rtl w:val="0"/>
          <w:lang w:val="en-US"/>
        </w:rPr>
        <w:t>)</w:t>
      </w:r>
      <w:r>
        <w:rPr>
          <w:rFonts w:cs="Arial Unicode MS" w:eastAsia="Arial Unicode MS"/>
          <w:rtl w:val="0"/>
        </w:rPr>
        <w:t xml:space="preserve"> </w:t>
      </w:r>
      <w:r>
        <w:rPr>
          <w:rStyle w:val="None"/>
          <w:rFonts w:cs="Arial Unicode MS" w:eastAsia="Arial Unicode MS"/>
          <w:rtl w:val="0"/>
          <w:lang w:val="en-US"/>
        </w:rPr>
        <w:t>&lt;</w:t>
      </w:r>
      <w:r>
        <w:rPr>
          <w:rStyle w:val="Hyperlink.0"/>
        </w:rPr>
        <w:fldChar w:fldCharType="begin" w:fldLock="0"/>
      </w:r>
      <w:r>
        <w:rPr>
          <w:rStyle w:val="Hyperlink.0"/>
        </w:rPr>
        <w:instrText xml:space="preserve"> HYPERLINK "https://www.taosinstitute.net/Websites/taos/images/AboutHonoraryAssociates/hermans___dimaggio__in_review_of_general_psychology__2007_.pdf"</w:instrText>
      </w:r>
      <w:r>
        <w:rPr>
          <w:rStyle w:val="Hyperlink.0"/>
        </w:rPr>
        <w:fldChar w:fldCharType="separate" w:fldLock="0"/>
      </w:r>
      <w:r>
        <w:rPr>
          <w:rStyle w:val="Hyperlink.0"/>
          <w:rFonts w:cs="Arial Unicode MS" w:eastAsia="Arial Unicode MS"/>
          <w:rtl w:val="0"/>
          <w:lang w:val="en-US"/>
        </w:rPr>
        <w:t>https://www.taosinstitute.net/Websites/taos/images/AboutHonoraryAssociates/hermans dimaggio in review_of_general_psychology__2007_.pdf</w:t>
      </w:r>
      <w:r>
        <w:rPr/>
        <w:fldChar w:fldCharType="end" w:fldLock="0"/>
      </w:r>
      <w:r>
        <w:rPr>
          <w:rStyle w:val="None"/>
          <w:rFonts w:cs="Arial Unicode MS" w:eastAsia="Arial Unicode MS"/>
          <w:rtl w:val="0"/>
          <w:lang w:val="en-US"/>
        </w:rPr>
        <w:t>&gt; [Accessed 4th April 2018] (p.31)</w:t>
      </w:r>
    </w:p>
  </w:footnote>
  <w:footnote w:id="14">
    <w:p>
      <w:pPr>
        <w:pStyle w:val="Footnote"/>
      </w:pPr>
      <w:r>
        <w:rPr>
          <w:rStyle w:val="None"/>
          <w:sz w:val="28"/>
          <w:szCs w:val="28"/>
          <w:vertAlign w:val="superscript"/>
        </w:rPr>
        <w:footnoteRef/>
      </w:r>
      <w:r>
        <w:rPr>
          <w:rStyle w:val="None"/>
          <w:rFonts w:cs="Arial Unicode MS" w:eastAsia="Arial Unicode MS"/>
          <w:rtl w:val="0"/>
          <w:lang w:val="en-US"/>
        </w:rPr>
        <w:t xml:space="preserve"> Benjamin Bergholtz, </w:t>
      </w:r>
      <w:r>
        <w:rPr>
          <w:rStyle w:val="None"/>
          <w:rFonts w:cs="Arial Unicode MS" w:eastAsia="Arial Unicode MS" w:hint="default"/>
          <w:rtl w:val="0"/>
          <w:lang w:val="en-US"/>
        </w:rPr>
        <w:t>’</w:t>
      </w:r>
      <w:r>
        <w:rPr>
          <w:rStyle w:val="None"/>
          <w:rFonts w:cs="Arial Unicode MS" w:eastAsia="Arial Unicode MS"/>
          <w:rtl w:val="0"/>
          <w:lang w:val="en-US"/>
        </w:rPr>
        <w:t>Certainty in Its Purest Form</w:t>
      </w:r>
      <w:r>
        <w:rPr>
          <w:rStyle w:val="None"/>
          <w:rFonts w:cs="Arial Unicode MS" w:eastAsia="Arial Unicode MS" w:hint="default"/>
          <w:rtl w:val="0"/>
          <w:lang w:val="en-US"/>
        </w:rPr>
        <w:t>”</w:t>
      </w:r>
      <w:r>
        <w:rPr>
          <w:rFonts w:cs="Arial Unicode MS" w:eastAsia="Arial Unicode MS"/>
          <w:rtl w:val="0"/>
        </w:rPr>
        <w:t>:</w:t>
      </w:r>
      <w:r>
        <w:rPr>
          <w:rStyle w:val="None"/>
          <w:rFonts w:cs="Arial Unicode MS" w:eastAsia="Arial Unicode MS"/>
          <w:rtl w:val="0"/>
          <w:lang w:val="en-US"/>
        </w:rPr>
        <w:t xml:space="preserve"> Globalization, Fundamentalism, and Narrative in Zadie Smith's White Teeth</w:t>
      </w:r>
      <w:r>
        <w:rPr>
          <w:rStyle w:val="None"/>
          <w:rFonts w:cs="Arial Unicode MS" w:eastAsia="Arial Unicode MS" w:hint="default"/>
          <w:rtl w:val="0"/>
          <w:lang w:val="en-US"/>
        </w:rPr>
        <w:t>’</w:t>
      </w:r>
      <w:r>
        <w:rPr>
          <w:rStyle w:val="None"/>
          <w:rFonts w:cs="Arial Unicode MS" w:eastAsia="Arial Unicode MS"/>
          <w:rtl w:val="0"/>
          <w:lang w:val="en-US"/>
        </w:rPr>
        <w:t xml:space="preserve">, </w:t>
      </w:r>
      <w:r>
        <w:rPr>
          <w:rStyle w:val="None"/>
          <w:rFonts w:cs="Arial Unicode MS" w:eastAsia="Arial Unicode MS"/>
          <w:i w:val="1"/>
          <w:iCs w:val="1"/>
          <w:rtl w:val="0"/>
          <w:lang w:val="en-US"/>
        </w:rPr>
        <w:t>Contemporary Literature</w:t>
      </w:r>
      <w:r>
        <w:rPr>
          <w:rStyle w:val="None"/>
          <w:rFonts w:cs="Arial Unicode MS" w:eastAsia="Arial Unicode MS"/>
          <w:rtl w:val="0"/>
          <w:lang w:val="en-US"/>
        </w:rPr>
        <w:t xml:space="preserve"> Volume 57, Number 4, (2016) &lt;</w:t>
      </w:r>
      <w:r>
        <w:rPr>
          <w:rStyle w:val="Hyperlink.1"/>
        </w:rPr>
        <w:fldChar w:fldCharType="begin" w:fldLock="0"/>
      </w:r>
      <w:r>
        <w:rPr>
          <w:rStyle w:val="Hyperlink.1"/>
        </w:rPr>
        <w:instrText xml:space="preserve"> HYPERLINK "https://muse.jhu.edu/article/664573"</w:instrText>
      </w:r>
      <w:r>
        <w:rPr>
          <w:rStyle w:val="Hyperlink.1"/>
        </w:rPr>
        <w:fldChar w:fldCharType="separate" w:fldLock="0"/>
      </w:r>
      <w:r>
        <w:rPr>
          <w:rStyle w:val="Hyperlink.1"/>
          <w:rFonts w:cs="Arial Unicode MS" w:eastAsia="Arial Unicode MS"/>
          <w:rtl w:val="0"/>
        </w:rPr>
        <w:t>https://muse.jhu.edu/article/664573</w:t>
      </w:r>
      <w:r>
        <w:rPr/>
        <w:fldChar w:fldCharType="end" w:fldLock="0"/>
      </w:r>
      <w:r>
        <w:rPr>
          <w:rStyle w:val="None"/>
          <w:rFonts w:cs="Arial Unicode MS" w:eastAsia="Arial Unicode MS"/>
          <w:rtl w:val="0"/>
          <w:lang w:val="en-US"/>
        </w:rPr>
        <w:t xml:space="preserve">&gt; [Accessed 4th April 2018] (para. 14 of 39) </w:t>
      </w:r>
    </w:p>
  </w:footnote>
  <w:footnote w:id="15">
    <w:p>
      <w:pPr>
        <w:pStyle w:val="Footnote"/>
      </w:pPr>
      <w:r>
        <w:rPr>
          <w:rStyle w:val="None"/>
          <w:sz w:val="28"/>
          <w:szCs w:val="28"/>
          <w:vertAlign w:val="superscript"/>
          <w:lang w:val="en-US"/>
        </w:rPr>
        <w:footnoteRef/>
      </w:r>
      <w:r>
        <w:rPr>
          <w:rStyle w:val="None"/>
          <w:rFonts w:cs="Arial Unicode MS" w:eastAsia="Arial Unicode MS"/>
          <w:rtl w:val="0"/>
          <w:lang w:val="en-US"/>
        </w:rPr>
        <w:t xml:space="preserve">  Gary Aylesworth, </w:t>
      </w:r>
      <w:r>
        <w:rPr>
          <w:rStyle w:val="None"/>
          <w:rFonts w:cs="Arial Unicode MS" w:eastAsia="Arial Unicode MS" w:hint="default"/>
          <w:rtl w:val="0"/>
          <w:lang w:val="en-US"/>
        </w:rPr>
        <w:t>‘</w:t>
      </w:r>
      <w:r>
        <w:rPr>
          <w:rStyle w:val="None"/>
          <w:rFonts w:cs="Arial Unicode MS" w:eastAsia="Arial Unicode MS"/>
          <w:rtl w:val="0"/>
          <w:lang w:val="en-US"/>
        </w:rPr>
        <w:t>Postmodernism</w:t>
      </w:r>
      <w:r>
        <w:rPr>
          <w:rStyle w:val="None"/>
          <w:rFonts w:cs="Arial Unicode MS" w:eastAsia="Arial Unicode MS" w:hint="default"/>
          <w:rtl w:val="0"/>
          <w:lang w:val="en-US"/>
        </w:rPr>
        <w:t xml:space="preserve">’ </w:t>
      </w:r>
      <w:r>
        <w:rPr>
          <w:rStyle w:val="None"/>
          <w:rFonts w:cs="Arial Unicode MS" w:eastAsia="Arial Unicode MS"/>
          <w:rtl w:val="0"/>
          <w:lang w:val="en-US"/>
        </w:rPr>
        <w:t>&lt;</w:t>
      </w:r>
      <w:r>
        <w:rPr>
          <w:rStyle w:val="Hyperlink.0"/>
        </w:rPr>
        <w:fldChar w:fldCharType="begin" w:fldLock="0"/>
      </w:r>
      <w:r>
        <w:rPr>
          <w:rStyle w:val="Hyperlink.0"/>
        </w:rPr>
        <w:instrText xml:space="preserve"> HYPERLINK "https://plato.stanford.edu/entries/postmodernism/"</w:instrText>
      </w:r>
      <w:r>
        <w:rPr>
          <w:rStyle w:val="Hyperlink.0"/>
        </w:rPr>
        <w:fldChar w:fldCharType="separate" w:fldLock="0"/>
      </w:r>
      <w:r>
        <w:rPr>
          <w:rStyle w:val="Hyperlink.0"/>
          <w:rFonts w:cs="Arial Unicode MS" w:eastAsia="Arial Unicode MS"/>
          <w:rtl w:val="0"/>
          <w:lang w:val="en-US"/>
        </w:rPr>
        <w:t>https://plato.stanford.edu/entries/postmodernism/</w:t>
      </w:r>
      <w:r>
        <w:rPr/>
        <w:fldChar w:fldCharType="end" w:fldLock="0"/>
      </w:r>
      <w:r>
        <w:rPr>
          <w:rStyle w:val="None"/>
          <w:rFonts w:cs="Arial Unicode MS" w:eastAsia="Arial Unicode MS"/>
          <w:rtl w:val="0"/>
          <w:lang w:val="en-US"/>
        </w:rPr>
        <w:t>&gt; [Accessed 2 April 2018] (para. 2 of 55)</w:t>
      </w:r>
    </w:p>
  </w:footnote>
  <w:footnote w:id="16">
    <w:p>
      <w:pPr>
        <w:pStyle w:val="Footnote"/>
      </w:pPr>
      <w:r>
        <w:rPr>
          <w:rStyle w:val="None"/>
          <w:sz w:val="28"/>
          <w:szCs w:val="28"/>
          <w:vertAlign w:val="superscript"/>
          <w:lang w:val="en-US"/>
        </w:rPr>
        <w:footnoteRef/>
      </w:r>
      <w:r>
        <w:rPr>
          <w:rFonts w:cs="Arial Unicode MS" w:eastAsia="Arial Unicode MS"/>
          <w:rtl w:val="0"/>
        </w:rPr>
        <w:t xml:space="preserve"> </w:t>
      </w:r>
      <w:r>
        <w:rPr>
          <w:rStyle w:val="None"/>
          <w:rFonts w:cs="Arial Unicode MS" w:eastAsia="Arial Unicode MS"/>
          <w:rtl w:val="0"/>
          <w:lang w:val="en-US"/>
        </w:rPr>
        <w:t xml:space="preserve">Stuart Sim, </w:t>
      </w:r>
      <w:r>
        <w:rPr>
          <w:rStyle w:val="None"/>
          <w:rFonts w:cs="Arial Unicode MS" w:eastAsia="Arial Unicode MS"/>
          <w:i w:val="1"/>
          <w:iCs w:val="1"/>
          <w:rtl w:val="0"/>
          <w:lang w:val="en-US"/>
        </w:rPr>
        <w:t>The Icon Critical Dictionary of Postmodern thought</w:t>
      </w:r>
      <w:r>
        <w:rPr>
          <w:rStyle w:val="None"/>
          <w:rFonts w:cs="Arial Unicode MS" w:eastAsia="Arial Unicode MS"/>
          <w:rtl w:val="0"/>
          <w:lang w:val="en-US"/>
        </w:rPr>
        <w:t>, (Icon Books 1998) p. 261</w:t>
      </w:r>
    </w:p>
  </w:footnote>
  <w:footnote w:id="17">
    <w:p>
      <w:pPr>
        <w:pStyle w:val="Footnote"/>
      </w:pPr>
      <w:r>
        <w:rPr>
          <w:rStyle w:val="None"/>
          <w:i w:val="1"/>
          <w:iCs w:val="1"/>
          <w:sz w:val="28"/>
          <w:szCs w:val="28"/>
          <w:vertAlign w:val="superscript"/>
          <w:lang w:val="en-US"/>
        </w:rPr>
        <w:footnoteRef/>
      </w:r>
      <w:r>
        <w:rPr>
          <w:rStyle w:val="None"/>
          <w:rFonts w:cs="Arial Unicode MS" w:eastAsia="Arial Unicode MS"/>
          <w:rtl w:val="0"/>
          <w:lang w:val="en-US"/>
        </w:rPr>
        <w:t xml:space="preserve"> Richard Locke, </w:t>
      </w:r>
      <w:r>
        <w:rPr>
          <w:rStyle w:val="None"/>
          <w:rFonts w:cs="Arial Unicode MS" w:eastAsia="Arial Unicode MS" w:hint="default"/>
          <w:rtl w:val="0"/>
          <w:lang w:val="en-US"/>
        </w:rPr>
        <w:t>‘</w:t>
      </w:r>
      <w:r>
        <w:rPr>
          <w:rStyle w:val="None"/>
          <w:rFonts w:cs="Arial Unicode MS" w:eastAsia="Arial Unicode MS"/>
          <w:rtl w:val="0"/>
          <w:lang w:val="en-US"/>
        </w:rPr>
        <w:t>One of the Longest, Most Difficult, Most Ambitious Novels in Years</w:t>
      </w:r>
      <w:r>
        <w:rPr>
          <w:rStyle w:val="None"/>
          <w:rFonts w:cs="Arial Unicode MS" w:eastAsia="Arial Unicode MS" w:hint="default"/>
          <w:rtl w:val="0"/>
          <w:lang w:val="en-US"/>
        </w:rPr>
        <w:t>’</w:t>
      </w:r>
      <w:r>
        <w:rPr>
          <w:rStyle w:val="None"/>
          <w:rFonts w:cs="Arial Unicode MS" w:eastAsia="Arial Unicode MS"/>
          <w:rtl w:val="0"/>
          <w:lang w:val="en-US"/>
        </w:rPr>
        <w:t>, &lt;</w:t>
      </w:r>
      <w:r>
        <w:rPr>
          <w:rStyle w:val="Hyperlink.0"/>
        </w:rPr>
        <w:fldChar w:fldCharType="begin" w:fldLock="0"/>
      </w:r>
      <w:r>
        <w:rPr>
          <w:rStyle w:val="Hyperlink.0"/>
        </w:rPr>
        <w:instrText xml:space="preserve"> HYPERLINK "https://archive.nytimes.com/www.nytimes.com/books/97/05/18/reviews/pynchon-rainbow.html?_r=2"</w:instrText>
      </w:r>
      <w:r>
        <w:rPr>
          <w:rStyle w:val="Hyperlink.0"/>
        </w:rPr>
        <w:fldChar w:fldCharType="separate" w:fldLock="0"/>
      </w:r>
      <w:r>
        <w:rPr>
          <w:rStyle w:val="Hyperlink.0"/>
          <w:rFonts w:cs="Arial Unicode MS" w:eastAsia="Arial Unicode MS"/>
          <w:rtl w:val="0"/>
          <w:lang w:val="en-US"/>
        </w:rPr>
        <w:t>https://archive.nytimes.com/www.nytimes.com/books/97/05/18/reviews/pynchon-rainbow.html?_r=2</w:t>
      </w:r>
      <w:r>
        <w:rPr/>
        <w:fldChar w:fldCharType="end" w:fldLock="0"/>
      </w:r>
      <w:r>
        <w:rPr>
          <w:rStyle w:val="None"/>
          <w:rFonts w:cs="Arial Unicode MS" w:eastAsia="Arial Unicode MS"/>
          <w:rtl w:val="0"/>
          <w:lang w:val="en-US"/>
        </w:rPr>
        <w:t>&gt; [Accessed 5th April 2018]</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spacing w:after="240" w:line="480" w:lineRule="atLeast"/>
    </w:pPr>
    <w:r>
      <w:rPr>
        <w:rFonts w:ascii="Times" w:hAnsi="Times"/>
      </w:rPr>
      <w:tab/>
      <w:tab/>
    </w:r>
    <w:r>
      <w:rPr>
        <w:rFonts w:ascii="Times" w:hAnsi="Times"/>
        <w:rtl w:val="0"/>
        <w:lang w:val="en-US"/>
      </w:rPr>
      <w:t>CSEN7021-2-MARGAND</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None">
    <w:name w:val="None"/>
  </w:style>
  <w:style w:type="character" w:styleId="Hyperlink.0">
    <w:name w:val="Hyperlink.0"/>
    <w:basedOn w:val="None"/>
    <w:next w:val="Hyperlink.0"/>
    <w:rPr>
      <w:u w:val="single"/>
      <w:lang w:val="en-US"/>
    </w:rPr>
  </w:style>
  <w:style w:type="character" w:styleId="Hyperlink.1">
    <w:name w:val="Hyperlink.1"/>
    <w:basedOn w:val="None"/>
    <w:next w:val="Hyperlink.1"/>
    <w:rPr>
      <w:u w:val="single"/>
    </w:rPr>
  </w:style>
  <w:style w:type="character" w:styleId="Hyperlink.2">
    <w:name w:val="Hyperlink.2"/>
    <w:basedOn w:val="None"/>
    <w:next w:val="Hyperlink.2"/>
    <w:rPr>
      <w:sz w:val="28"/>
      <w:szCs w:val="28"/>
      <w:u w:val="single"/>
    </w:rPr>
  </w:style>
  <w:style w:type="character" w:styleId="Hyperlink.3">
    <w:name w:val="Hyperlink.3"/>
    <w:basedOn w:val="None"/>
    <w:next w:val="Hyperlink.3"/>
    <w:rPr>
      <w:sz w:val="28"/>
      <w:szCs w:val="28"/>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