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780E5" w14:textId="7E1A092E" w:rsidR="00F74507" w:rsidRPr="00183445" w:rsidRDefault="00D87175">
      <w:pPr>
        <w:spacing w:line="360" w:lineRule="auto"/>
        <w:ind w:firstLine="0"/>
        <w:rPr>
          <w:rFonts w:ascii="Times New Roman" w:eastAsia="Times New Roman" w:hAnsi="Times New Roman" w:cs="Times New Roman"/>
          <w:sz w:val="24"/>
          <w:szCs w:val="24"/>
        </w:rPr>
      </w:pPr>
      <w:r w:rsidRPr="00183445">
        <w:rPr>
          <w:rFonts w:ascii="Times New Roman" w:eastAsia="Times New Roman" w:hAnsi="Times New Roman" w:cs="Times New Roman"/>
          <w:sz w:val="24"/>
          <w:szCs w:val="24"/>
        </w:rPr>
        <w:t>In this assignment</w:t>
      </w:r>
      <w:r w:rsidR="000821AB" w:rsidRPr="00183445">
        <w:rPr>
          <w:rFonts w:ascii="Times New Roman" w:eastAsia="Times New Roman" w:hAnsi="Times New Roman" w:cs="Times New Roman"/>
          <w:sz w:val="24"/>
          <w:szCs w:val="24"/>
        </w:rPr>
        <w:t xml:space="preserve"> has been an investigation</w:t>
      </w:r>
      <w:r w:rsidR="00131F7B">
        <w:rPr>
          <w:rFonts w:ascii="Times New Roman" w:eastAsia="Times New Roman" w:hAnsi="Times New Roman" w:cs="Times New Roman"/>
          <w:sz w:val="24"/>
          <w:szCs w:val="24"/>
        </w:rPr>
        <w:t>,</w:t>
      </w:r>
      <w:r w:rsidR="000821AB" w:rsidRPr="00183445">
        <w:rPr>
          <w:rFonts w:ascii="Times New Roman" w:eastAsia="Times New Roman" w:hAnsi="Times New Roman" w:cs="Times New Roman"/>
          <w:sz w:val="24"/>
          <w:szCs w:val="24"/>
        </w:rPr>
        <w:t xml:space="preserve"> </w:t>
      </w:r>
      <w:r w:rsidR="003F4296" w:rsidRPr="00183445">
        <w:rPr>
          <w:rFonts w:ascii="Times New Roman" w:eastAsia="Times New Roman" w:hAnsi="Times New Roman" w:cs="Times New Roman"/>
          <w:sz w:val="24"/>
          <w:szCs w:val="24"/>
        </w:rPr>
        <w:t xml:space="preserve">that </w:t>
      </w:r>
      <w:r w:rsidRPr="00183445">
        <w:rPr>
          <w:rFonts w:ascii="Times New Roman" w:eastAsia="Times New Roman" w:hAnsi="Times New Roman" w:cs="Times New Roman"/>
          <w:sz w:val="24"/>
          <w:szCs w:val="24"/>
        </w:rPr>
        <w:t>look</w:t>
      </w:r>
      <w:r w:rsidRPr="00183445">
        <w:rPr>
          <w:rFonts w:ascii="Times New Roman" w:eastAsia="Times New Roman" w:hAnsi="Times New Roman" w:cs="Times New Roman"/>
          <w:sz w:val="24"/>
          <w:szCs w:val="24"/>
        </w:rPr>
        <w:t>, consider</w:t>
      </w:r>
      <w:r w:rsidR="00131F7B">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 xml:space="preserve"> reflec</w:t>
      </w:r>
      <w:r w:rsidR="003F4296" w:rsidRPr="00183445">
        <w:rPr>
          <w:rFonts w:ascii="Times New Roman" w:eastAsia="Times New Roman" w:hAnsi="Times New Roman" w:cs="Times New Roman"/>
          <w:sz w:val="24"/>
          <w:szCs w:val="24"/>
        </w:rPr>
        <w:t>t and</w:t>
      </w:r>
      <w:r w:rsidRPr="00183445">
        <w:rPr>
          <w:rFonts w:ascii="Times New Roman" w:eastAsia="Times New Roman" w:hAnsi="Times New Roman" w:cs="Times New Roman"/>
          <w:sz w:val="24"/>
          <w:szCs w:val="24"/>
        </w:rPr>
        <w:t xml:space="preserve"> critique</w:t>
      </w:r>
      <w:r w:rsidR="003F4296" w:rsidRPr="00183445">
        <w:rPr>
          <w:rFonts w:ascii="Times New Roman" w:eastAsia="Times New Roman" w:hAnsi="Times New Roman" w:cs="Times New Roman"/>
          <w:sz w:val="24"/>
          <w:szCs w:val="24"/>
        </w:rPr>
        <w:t>s,</w:t>
      </w:r>
      <w:r w:rsidRPr="00183445">
        <w:rPr>
          <w:rFonts w:ascii="Times New Roman" w:eastAsia="Times New Roman" w:hAnsi="Times New Roman" w:cs="Times New Roman"/>
          <w:sz w:val="24"/>
          <w:szCs w:val="24"/>
        </w:rPr>
        <w:t xml:space="preserve"> whether the community known as Lesbian, Gay, </w:t>
      </w:r>
      <w:r w:rsidR="00131F7B">
        <w:rPr>
          <w:rFonts w:ascii="Times New Roman" w:eastAsia="Times New Roman" w:hAnsi="Times New Roman" w:cs="Times New Roman"/>
          <w:sz w:val="24"/>
          <w:szCs w:val="24"/>
        </w:rPr>
        <w:t>B</w:t>
      </w:r>
      <w:r w:rsidRPr="00183445">
        <w:rPr>
          <w:rFonts w:ascii="Times New Roman" w:eastAsia="Times New Roman" w:hAnsi="Times New Roman" w:cs="Times New Roman"/>
          <w:sz w:val="24"/>
          <w:szCs w:val="24"/>
        </w:rPr>
        <w:t>i-sexual and Trans (LGBT) ‘should’ become part of normal. They want to be identified as different and would like society to accept their uniqueness. It has previously been</w:t>
      </w:r>
      <w:r w:rsidRPr="00183445">
        <w:rPr>
          <w:rFonts w:ascii="Times New Roman" w:eastAsia="Times New Roman" w:hAnsi="Times New Roman" w:cs="Times New Roman"/>
          <w:sz w:val="24"/>
          <w:szCs w:val="24"/>
        </w:rPr>
        <w:t xml:space="preserve"> discussed that gender identity is just a birth assigned sexual functionality</w:t>
      </w:r>
      <w:r w:rsidR="003F4296" w:rsidRPr="00183445">
        <w:rPr>
          <w:rFonts w:ascii="Times New Roman" w:eastAsia="Times New Roman" w:hAnsi="Times New Roman" w:cs="Times New Roman"/>
          <w:sz w:val="24"/>
          <w:szCs w:val="24"/>
        </w:rPr>
        <w:fldChar w:fldCharType="begin"/>
      </w:r>
      <w:r w:rsidR="003F4296" w:rsidRPr="00183445">
        <w:rPr>
          <w:rFonts w:ascii="Times New Roman" w:eastAsia="Times New Roman" w:hAnsi="Times New Roman" w:cs="Times New Roman"/>
          <w:sz w:val="24"/>
          <w:szCs w:val="24"/>
        </w:rPr>
        <w:instrText xml:space="preserve"> ADDIN ZOTERO_ITEM CSL_CITATION {"citationID":"VqXQEZR4","properties":{"formattedCitation":"(Hagel, 2017)","plainCitation":"(Hagel, 2017)","noteIndex":0},"citationItems":[{"id":325,"uris":["http://zotero.org/users/4623355/items/EGJLSU23"],"uri":["http://zotero.org/users/4623355/items/EGJLSU23"],"itemData":{"id":325,"type":"article-journal","title":"Alternative Authenticities: Thinking Transgender Without Essence","container-title":"Theory &amp; Event","page":"599–628","volume":"20","issue":"3","source":"librarycatalogue.uwtsd.ac.uk","abstract":"This paper interprets and theorizes the discourses of authenticity being deployed by transgender kids and seeks to reconfigure their dominant terms for identities and ends that have largely been foreclosed. In articulating their experiences of identity and constraint, transgender children often rely on and produce discourses of authenticity, particularly by appealing to a “true self” differently gendered from the one they had been assigned at birth. I argue that discourses of authenticity might be reconfigured in order to apprehend experiences that are not conventionally regarded as authentic-such as uncertainty, futurity, and plurality. By encouraging the formation of a counter discourse at the adult level, we might alter the discursive conditions in which children navigate gender and disclose new possibilities for subjects struggling with who they are.","ISSN":"1092-311X","shortTitle":"Alternative Authenticities","language":"eng","author":[{"family":"Hagel","given":"Nina"}],"issued":{"date-parts":[["2017",7,1]]}}}],"schema":"https://github.com/citation-style-language/schema/raw/master/csl-citation.json"} </w:instrText>
      </w:r>
      <w:r w:rsidR="003F4296" w:rsidRPr="00183445">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rPr>
        <w:t>(Hagel, 2017)</w:t>
      </w:r>
      <w:r w:rsidR="003F4296" w:rsidRPr="00183445">
        <w:rPr>
          <w:rFonts w:ascii="Times New Roman" w:eastAsia="Times New Roman" w:hAnsi="Times New Roman" w:cs="Times New Roman"/>
          <w:sz w:val="24"/>
          <w:szCs w:val="24"/>
        </w:rPr>
        <w:fldChar w:fldCharType="end"/>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 xml:space="preserve"> Historically, coming out to family, friends, colleagues, could be traumatic for the person leaning towards their discovery, which can happen at any time throughout their live</w:t>
      </w:r>
      <w:r w:rsidRPr="00183445">
        <w:rPr>
          <w:rFonts w:ascii="Times New Roman" w:eastAsia="Times New Roman" w:hAnsi="Times New Roman" w:cs="Times New Roman"/>
          <w:sz w:val="24"/>
          <w:szCs w:val="24"/>
        </w:rPr>
        <w:t>s. Honesty could mean death to some within either military, government, organisations, countries, however, many countries have halted these barbaric actions</w:t>
      </w:r>
      <w:r w:rsidR="005558C6" w:rsidRPr="00183445">
        <w:rPr>
          <w:rFonts w:ascii="Times New Roman" w:eastAsia="Times New Roman" w:hAnsi="Times New Roman" w:cs="Times New Roman"/>
          <w:sz w:val="24"/>
          <w:szCs w:val="24"/>
        </w:rPr>
        <w:t xml:space="preserve"> </w:t>
      </w:r>
      <w:r w:rsidR="005558C6" w:rsidRPr="00183445">
        <w:rPr>
          <w:rFonts w:ascii="Times New Roman" w:eastAsia="Times New Roman" w:hAnsi="Times New Roman" w:cs="Times New Roman"/>
          <w:sz w:val="24"/>
          <w:szCs w:val="24"/>
        </w:rPr>
        <w:fldChar w:fldCharType="begin"/>
      </w:r>
      <w:r w:rsidR="005558C6" w:rsidRPr="00183445">
        <w:rPr>
          <w:rFonts w:ascii="Times New Roman" w:eastAsia="Times New Roman" w:hAnsi="Times New Roman" w:cs="Times New Roman"/>
          <w:sz w:val="24"/>
          <w:szCs w:val="24"/>
        </w:rPr>
        <w:instrText xml:space="preserve"> ADDIN ZOTERO_ITEM CSL_CITATION {"citationID":"88jyMaID","properties":{"formattedCitation":"(Duncan, 2017)","plainCitation":"(Duncan, 2017)","noteIndex":0},"citationItems":[{"id":307,"uris":["http://zotero.org/users/4623355/items/ACFXIA2E"],"uri":["http://zotero.org/users/4623355/items/ACFXIA2E"],"itemData":{"id":307,"type":"article-newspaper","title":"Gay relationships are still criminalised in 72 countries, report finds","container-title":"The Guardian","section":"World news","source":"www.theguardian.com","abstract":"50 years after Britain’s partial decriminalisation of homosexuality, in eight countries it can still result in death penalty","URL":"http://www.theguardian.com/world/2017/jul/27/gay-relationships-still-criminalised-countries-report","ISSN":"0261-3077","language":"en-GB","author":[{"family":"Duncan","given":"Pamela"}],"issued":{"date-parts":[["2017",7,27]]},"accessed":{"date-parts":[["2018",4,30]]}}}],"schema":"https://github.com/citation-style-language/schema/raw/master/csl-citation.json"} </w:instrText>
      </w:r>
      <w:r w:rsidR="005558C6" w:rsidRPr="00183445">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rPr>
        <w:t>(Duncan, 2017)</w:t>
      </w:r>
      <w:r w:rsidR="005558C6" w:rsidRPr="00183445">
        <w:rPr>
          <w:rFonts w:ascii="Times New Roman" w:eastAsia="Times New Roman" w:hAnsi="Times New Roman" w:cs="Times New Roman"/>
          <w:sz w:val="24"/>
          <w:szCs w:val="24"/>
        </w:rPr>
        <w:fldChar w:fldCharType="end"/>
      </w:r>
      <w:r w:rsidRPr="00183445">
        <w:rPr>
          <w:rFonts w:ascii="Times New Roman" w:eastAsia="Times New Roman" w:hAnsi="Times New Roman" w:cs="Times New Roman"/>
          <w:sz w:val="24"/>
          <w:szCs w:val="24"/>
        </w:rPr>
        <w:t>. Unfortunately, there are still some countries that still highjack, or imprison</w:t>
      </w:r>
      <w:r w:rsidRPr="00183445">
        <w:rPr>
          <w:rFonts w:ascii="Times New Roman" w:eastAsia="Times New Roman" w:hAnsi="Times New Roman" w:cs="Times New Roman"/>
          <w:sz w:val="24"/>
          <w:szCs w:val="24"/>
        </w:rPr>
        <w:t xml:space="preserve"> in either the </w:t>
      </w:r>
      <w:r w:rsidRPr="00183445">
        <w:rPr>
          <w:rFonts w:ascii="Times New Roman" w:eastAsia="Times New Roman" w:hAnsi="Times New Roman" w:cs="Times New Roman"/>
          <w:sz w:val="24"/>
          <w:szCs w:val="24"/>
        </w:rPr>
        <w:t>home, prison and /or mental institution</w:t>
      </w:r>
      <w:r w:rsidR="005558C6" w:rsidRPr="00183445">
        <w:rPr>
          <w:rFonts w:ascii="Times New Roman" w:eastAsia="Times New Roman" w:hAnsi="Times New Roman" w:cs="Times New Roman"/>
          <w:sz w:val="24"/>
          <w:szCs w:val="24"/>
        </w:rPr>
        <w:t xml:space="preserve"> </w:t>
      </w:r>
      <w:r w:rsidR="005558C6" w:rsidRPr="00183445">
        <w:rPr>
          <w:rFonts w:ascii="Times New Roman" w:eastAsia="Times New Roman" w:hAnsi="Times New Roman" w:cs="Times New Roman"/>
          <w:sz w:val="24"/>
          <w:szCs w:val="24"/>
        </w:rPr>
        <w:fldChar w:fldCharType="begin"/>
      </w:r>
      <w:r w:rsidR="005558C6" w:rsidRPr="00183445">
        <w:rPr>
          <w:rFonts w:ascii="Times New Roman" w:eastAsia="Times New Roman" w:hAnsi="Times New Roman" w:cs="Times New Roman"/>
          <w:sz w:val="24"/>
          <w:szCs w:val="24"/>
        </w:rPr>
        <w:instrText xml:space="preserve"> ADDIN ZOTERO_ITEM CSL_CITATION {"citationID":"xmUklRwh","properties":{"formattedCitation":"(Duncan, 2017; United States Department of State, 2017)","plainCitation":"(Duncan, 2017; United States Department of State, 2017)","noteIndex":0},"citationItems":[{"id":307,"uris":["http://zotero.org/users/4623355/items/ACFXIA2E"],"uri":["http://zotero.org/users/4623355/items/ACFXIA2E"],"itemData":{"id":307,"type":"article-newspaper","title":"Gay relationships are still criminalised in 72 countries, report finds","container-title":"The Guardian","section":"World news","source":"www.theguardian.com","abstract":"50 years after Britain’s partial decriminalisation of homosexuality, in eight countries it can still result in death penalty","URL":"http://www.theguardian.com/world/2017/jul/27/gay-relationships-still-criminalised-countries-report","ISSN":"0261-3077","language":"en-GB","author":[{"family":"Duncan","given":"Pamela"}],"issued":{"date-parts":[["2017",7,27]]},"accessed":{"date-parts":[["2018",4,30]]}}},{"id":782,"uris":["http://zotero.org/users/4623355/items/9GJQW2XP"],"uri":["http://zotero.org/users/4623355/items/9GJQW2XP"],"itemData":{"id":782,"type":"article-journal","title":"INDIA 2017 HUMAN RIGHTS REPORT","container-title":"Country Reports on Human Rights Practices for 2017","page":"55","source":"Zotero","shortTitle":"Human Rights and Labor","language":"en","author":[{"family":"United States Department of State","given":""}],"issued":{"date-parts":[["2017"]]}}}],"schema":"https://github.com/citation-style-language/schema/raw/master/csl-citation.json"} </w:instrText>
      </w:r>
      <w:r w:rsidR="005558C6" w:rsidRPr="00183445">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rPr>
        <w:t>(Duncan, 2017; United States Department of State, 2017)</w:t>
      </w:r>
      <w:r w:rsidR="005558C6" w:rsidRPr="00183445">
        <w:rPr>
          <w:rFonts w:ascii="Times New Roman" w:eastAsia="Times New Roman" w:hAnsi="Times New Roman" w:cs="Times New Roman"/>
          <w:sz w:val="24"/>
          <w:szCs w:val="24"/>
        </w:rPr>
        <w:fldChar w:fldCharType="end"/>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 xml:space="preserve"> This is known to isolate the victim with no support or access to any legal, empathic organisations, and/or safe places to live their lives as they want.</w:t>
      </w:r>
      <w:r w:rsidR="005558C6" w:rsidRPr="00183445">
        <w:rPr>
          <w:rFonts w:ascii="Times New Roman" w:eastAsia="Times New Roman" w:hAnsi="Times New Roman" w:cs="Times New Roman"/>
          <w:sz w:val="24"/>
          <w:szCs w:val="24"/>
        </w:rPr>
        <w:fldChar w:fldCharType="begin"/>
      </w:r>
      <w:r w:rsidR="005558C6" w:rsidRPr="00183445">
        <w:rPr>
          <w:rFonts w:ascii="Times New Roman" w:eastAsia="Times New Roman" w:hAnsi="Times New Roman" w:cs="Times New Roman"/>
          <w:sz w:val="24"/>
          <w:szCs w:val="24"/>
        </w:rPr>
        <w:instrText xml:space="preserve"> ADDIN ZOTERO_ITEM CSL_CITATION {"citationID":"Obx3V19J","properties":{"formattedCitation":"(United States Department of State, 2017)","plainCitation":"(United States Department of State, 2017)","noteIndex":0},"citationItems":[{"id":782,"uris":["http://zotero.org/users/4623355/items/9GJQW2XP"],"uri":["http://zotero.org/users/4623355/items/9GJQW2XP"],"itemData":{"id":782,"type":"article-journal","title":"INDIA 2017 HUMAN RIGHTS REPORT","container-title":"Country Reports on Human Rights Practices for 2017","page":"55","source":"Zotero","shortTitle":"Human Rights and Labor","language":"en","author":[{"family":"United States Department of State","given":""}],"issued":{"date-parts":[["2017"]]}}}],"schema":"https://github.com/citation-style-language/schema/raw/master/csl-citation.json"} </w:instrText>
      </w:r>
      <w:r w:rsidR="005558C6" w:rsidRPr="00183445">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rPr>
        <w:t>(United States Department of State, 2017)</w:t>
      </w:r>
      <w:r w:rsidR="005558C6" w:rsidRPr="00183445">
        <w:rPr>
          <w:rFonts w:ascii="Times New Roman" w:eastAsia="Times New Roman" w:hAnsi="Times New Roman" w:cs="Times New Roman"/>
          <w:sz w:val="24"/>
          <w:szCs w:val="24"/>
        </w:rPr>
        <w:fldChar w:fldCharType="end"/>
      </w:r>
    </w:p>
    <w:p w14:paraId="2988BC6A" w14:textId="224A78ED" w:rsidR="00F74507" w:rsidRPr="00183445" w:rsidRDefault="00D87175" w:rsidP="005558C6">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Should the gay community become part of ‘normal’ but what i</w:t>
      </w:r>
      <w:r w:rsidRPr="00183445">
        <w:rPr>
          <w:rFonts w:ascii="Times New Roman" w:eastAsia="Times New Roman" w:hAnsi="Times New Roman" w:cs="Times New Roman"/>
          <w:sz w:val="24"/>
          <w:szCs w:val="24"/>
        </w:rPr>
        <w:t>s normal, and there has been a comment that we are all the ‘same’</w:t>
      </w:r>
      <w:r w:rsidRPr="00183445">
        <w:rPr>
          <w:rFonts w:ascii="Times New Roman" w:eastAsia="Times New Roman" w:hAnsi="Times New Roman" w:cs="Times New Roman"/>
          <w:sz w:val="24"/>
          <w:szCs w:val="24"/>
        </w:rPr>
        <w:t xml:space="preserve">.  There is in fact two truths in that statement of ‘same’, in the context of being mammals (humans), and biology having either of the sexual organs or in some cases both organs. However, </w:t>
      </w:r>
      <w:r w:rsidRPr="00183445">
        <w:rPr>
          <w:rFonts w:ascii="Times New Roman" w:eastAsia="Times New Roman" w:hAnsi="Times New Roman" w:cs="Times New Roman"/>
          <w:sz w:val="24"/>
          <w:szCs w:val="24"/>
        </w:rPr>
        <w:t>are we asking this community, whether they can ‘assimilate’ (integrate / conform or embrace) into the norm translation of normal, if we are asking for this, we need to know, what is expected or translation of ‘normal’ within our discourse, if we do not und</w:t>
      </w:r>
      <w:r w:rsidRPr="00183445">
        <w:rPr>
          <w:rFonts w:ascii="Times New Roman" w:eastAsia="Times New Roman" w:hAnsi="Times New Roman" w:cs="Times New Roman"/>
          <w:sz w:val="24"/>
          <w:szCs w:val="24"/>
        </w:rPr>
        <w:t>erstand that, why are we asking anyone to comply</w:t>
      </w:r>
      <w:r w:rsidR="00CA6212"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 xml:space="preserve"> Barriers are formed</w:t>
      </w:r>
      <w:bookmarkStart w:id="0" w:name="_GoBack"/>
      <w:bookmarkEnd w:id="0"/>
      <w:r w:rsidRPr="00183445">
        <w:rPr>
          <w:rFonts w:ascii="Times New Roman" w:eastAsia="Times New Roman" w:hAnsi="Times New Roman" w:cs="Times New Roman"/>
          <w:sz w:val="24"/>
          <w:szCs w:val="24"/>
        </w:rPr>
        <w:t xml:space="preserve"> from society, historical, traditions, cultures, beliefs of religion. customs etc</w:t>
      </w:r>
      <w:r w:rsidR="00F75D24" w:rsidRPr="00183445">
        <w:rPr>
          <w:rFonts w:ascii="Times New Roman" w:eastAsia="Times New Roman" w:hAnsi="Times New Roman" w:cs="Times New Roman"/>
          <w:sz w:val="24"/>
          <w:szCs w:val="24"/>
        </w:rPr>
        <w:t xml:space="preserve"> </w:t>
      </w:r>
      <w:r w:rsidR="00CA6212" w:rsidRPr="00183445">
        <w:rPr>
          <w:rFonts w:ascii="Times New Roman" w:eastAsia="Times New Roman" w:hAnsi="Times New Roman" w:cs="Times New Roman"/>
          <w:sz w:val="24"/>
          <w:szCs w:val="24"/>
        </w:rPr>
        <w:fldChar w:fldCharType="begin"/>
      </w:r>
      <w:r w:rsidR="00F75D24" w:rsidRPr="00183445">
        <w:rPr>
          <w:rFonts w:ascii="Times New Roman" w:eastAsia="Times New Roman" w:hAnsi="Times New Roman" w:cs="Times New Roman"/>
          <w:sz w:val="24"/>
          <w:szCs w:val="24"/>
        </w:rPr>
        <w:instrText xml:space="preserve"> ADDIN ZOTERO_ITEM CSL_CITATION {"citationID":"lByFKcf2","properties":{"formattedCitation":"(Alegr\\uc0\\u237{}a et al., 2003, 2003; Alsop et al., 2002; Avenue et al., 2018; Daley and MacDonnell, 2011; United States Department of State, 2017)","plainCitation":"(Alegría et al., 2003, 2003; Alsop et al., 2002; Avenue et al., 2018; Daley and MacDonnell, 2011; United States Department of State, 2017)","noteIndex":0},"citationItems":[{"id":267,"uris":["http://zotero.org/users/4623355/items/469STZ7A"],"uri":["http://zotero.org/users/4623355/items/469STZ7A"],"itemData":{"id":267,"type":"article-journal","title":"The Role Of Public Policies In Reducing Mental Health Status Disparities For People Of Color","container-title":"Health Affairs","page":"51-64","volume":"22","issue":"5","source":"Crossref","DOI":"10.1377/hlthaff.22.5.51","ISSN":"0278-2715, 1544-5208","language":"en","author":[{"family":"Alegría","given":"Margarita"},{"family":"Pérez","given":"Debra Joy"},{"family":"Williams","given":"Sandra"}],"issued":{"date-parts":[["2003",9]]}}},{"id":267,"uris":["http://zotero.org/users/4623355/items/469STZ7A"],"uri":["http://zotero.org/users/4623355/items/469STZ7A"],"itemData":{"id":267,"type":"article-journal","title":"The Role Of Public Policies In Reducing Mental Health Status Disparities For People Of Color","container-title":"Health Affairs","page":"51-64","volume":"22","issue":"5","source":"Crossref","DOI":"10.1377/hlthaff.22.5.51","ISSN":"0278-2715, 1544-5208","language":"en","author":[{"family":"Alegría","given":"Margarita"},{"family":"Pérez","given":"Debra Joy"},{"family":"Williams","given":"Sandra"}],"issued":{"date-parts":[["2003",9]]}}},{"id":297,"uris":["http://zotero.org/users/4623355/items/NH2GPAT2"],"uri":["http://zotero.org/users/4623355/items/NH2GPAT2"],"itemData":{"id":297,"type":"book","title":"Theorizing Gender: An Introduction","publisher":"Polity Press","publisher-place":"Malden, MA","number-of-pages":"292","source":"Amazon","event-place":"Malden, MA","abstract":"This accessible text aims to give a theoretical overview of approaches to gender. The book discusses the major theories concerned with the ways in which we ′become engendered′, and explains and evaluates naturalist, psychoanalytic, materialist and post–structuralist accounts.    Tensions between these different approaches are acknowledged , but stark polarities are resisted. Throughout the book it is recognized that becoming gendered implicates and is implicated by other aspects of social becoming. The work of Judith Butler is discussed in detail and its importance and limitations spelt out in key chapters on sexuality, the body, transgendering and political agency. Debates between ′queer′ approaches to gender and those prioritizing sexual difference are also brought to the fore.    Theorizing Gender aims to provide a framework for weaving together what are often viewed as opposing directions of thought. Students and researchers in sociology, philosophy and gender studies, and all those with an interest in gender will find it an invaluable resource.","ISBN":"978-0-7456-1944-6","shortTitle":"Theorizing Gender","language":"English","author":[{"family":"Alsop","given":"Rachel"},{"family":"Fitzsimons","given":"Annette"},{"family":"Lennon","given":"Kathleen"}],"issued":{"date-parts":[["2002",12,7]]}}},{"id":244,"uris":["http://zotero.org/users/4623355/items/978QEJIF"],"uri":["http://zotero.org/users/4623355/items/978QEJIF"],"itemData":{"id":244,"type":"webpage","title":"“All We Want is Equality” | Religious Exemptions and Discrimination against LGBT People in the United States","container-title":"Human Rights Watch","abstract":"This report documents how recent laws carve out space to discriminate against LGBT people in adoption and foster care, health care, and access to some goods and services. These laws fail to balance moral and religious objections to LGBT relationships and identities with the rights of LGBT people themselves, Human Rights Watch found. The findings illustrate that these exemptions encourage discriminatory refusals, discourage LGBT people from seeking out services, and harm people’s dignity.","URL":"https://www.hrw.org/report/2018/02/19/all-we-want-equality/religious-exemptions-and-discrimination-against-lgbt-people","language":"en","author":[{"family":"Avenue","given":"Human Rights Watch | 350 Fifth"},{"family":"York","given":"34th Floor | New"},{"family":"1.212.290.4700","given":"NY 10118-3299 USA |","non-dropping-particle":"t"}],"issued":{"date-parts":[["2018",2,19]]},"accessed":{"date-parts":[["2018",10,20]]}}},{"id":98,"uris":["http://zotero.org/users/4623355/items/NECKJ2LK"],"uri":["http://zotero.org/users/4623355/items/NECKJ2LK"],"itemData":{"id":98,"type":"article-journal","title":"Gender, sexuality and the discursive representation of access and equity in health services literature: implications for LGBT communities","container-title":"International Journal for Equity in Health","page":"40","volume":"10","issue":"1","source":"BioMed Central","abstract":"This article considers how health services access and equity documents represent the problem of access to health services and what the effects of that representation might be for lesbian, gay, bisexual and transgender (LGBT) communities. We conducted a critical discourse analysis on selected access and equity documents using a gender-based diversity framework as determined by two objectives: 1) to identify dominant and counter discourses in health services access and equity literature; and 2) to develop understanding of how particular discourses impact the inclusion, or not, of LGBT communities in health services access and equity frameworks.The analysis was conducted in response to public health and clinical research that has documented barriers to health services access for LGBT communities including institutionalized heterosexism, biphobia, and transphobia, invisibility and lack of health provider knowledge and comfort. The analysis was also conducted as the first step of exploring LGBT access issues in home care services for LGBT populations in Ontario, Canada.","DOI":"10.1186/1475-9276-10-40","ISSN":"1475-9276","shortTitle":"Gender, sexuality and the discursive representation of access and equity in health services literature","journalAbbreviation":"International Journal for Equity in Health","author":[{"family":"Daley","given":"Andrea E."},{"family":"MacDonnell","given":"Judith A."}],"issued":{"date-parts":[["2011",9,29]]}}},{"id":782,"uris":["http://zotero.org/users/4623355/items/9GJQW2XP"],"uri":["http://zotero.org/users/4623355/items/9GJQW2XP"],"itemData":{"id":782,"type":"article-journal","title":"INDIA 2017 HUMAN RIGHTS REPORT","container-title":"Country Reports on Human Rights Practices for 2017","page":"55","source":"Zotero","shortTitle":"Human Rights and Labor","language":"en","author":[{"family":"United States Department of State","given":""}],"issued":{"date-parts":[["2017"]]}}}],"schema":"https://github.com/citation-style-language/schema/raw/master/csl-citation.json"} </w:instrText>
      </w:r>
      <w:r w:rsidR="00CA6212" w:rsidRPr="00183445">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szCs w:val="24"/>
        </w:rPr>
        <w:t>(Alegría et al., 2003, 2003; Alsop et al., 2002; Avenue et al., 2018; Daley and MacDonnell, 2011; United States Department of State, 2017)</w:t>
      </w:r>
      <w:r w:rsidR="00CA6212" w:rsidRPr="00183445">
        <w:rPr>
          <w:rFonts w:ascii="Times New Roman" w:eastAsia="Times New Roman" w:hAnsi="Times New Roman" w:cs="Times New Roman"/>
          <w:sz w:val="24"/>
          <w:szCs w:val="24"/>
        </w:rPr>
        <w:fldChar w:fldCharType="end"/>
      </w:r>
      <w:r w:rsidRPr="00183445">
        <w:rPr>
          <w:rFonts w:ascii="Times New Roman" w:eastAsia="Times New Roman" w:hAnsi="Times New Roman" w:cs="Times New Roman"/>
          <w:sz w:val="24"/>
          <w:szCs w:val="24"/>
        </w:rPr>
        <w:t>.</w:t>
      </w:r>
    </w:p>
    <w:p w14:paraId="7DB105A5" w14:textId="6B6F06FC" w:rsidR="00F74507" w:rsidRPr="00183445" w:rsidRDefault="00D87175" w:rsidP="00F75D24">
      <w:pPr>
        <w:spacing w:line="360" w:lineRule="auto"/>
        <w:rPr>
          <w:rFonts w:ascii="Times New Roman" w:hAnsi="Times New Roman" w:cs="Times New Roman"/>
          <w:sz w:val="24"/>
          <w:szCs w:val="24"/>
        </w:rPr>
      </w:pPr>
      <w:bookmarkStart w:id="1" w:name="_gjdgxs" w:colFirst="0" w:colLast="0"/>
      <w:bookmarkEnd w:id="1"/>
      <w:r w:rsidRPr="00183445">
        <w:rPr>
          <w:rFonts w:ascii="Times New Roman" w:eastAsia="Times New Roman" w:hAnsi="Times New Roman" w:cs="Times New Roman"/>
          <w:sz w:val="24"/>
          <w:szCs w:val="24"/>
        </w:rPr>
        <w:t>One country that seem the most intolerant of difference is India, their human rights issues includ</w:t>
      </w:r>
      <w:r w:rsidRPr="00183445">
        <w:rPr>
          <w:rFonts w:ascii="Times New Roman" w:eastAsia="Times New Roman" w:hAnsi="Times New Roman" w:cs="Times New Roman"/>
          <w:sz w:val="24"/>
          <w:szCs w:val="24"/>
        </w:rPr>
        <w:t>e abuses within the civil bodies, i.e. Police and Security forces, they are known to carry out extrajudicial killings, torture, detention, rape, lengthy pretrial detention and prison conditions that are arbitrary in relation</w:t>
      </w:r>
      <w:r w:rsidRPr="00183445">
        <w:rPr>
          <w:rFonts w:ascii="Times New Roman" w:eastAsia="Times New Roman" w:hAnsi="Times New Roman" w:cs="Times New Roman"/>
          <w:sz w:val="24"/>
          <w:szCs w:val="24"/>
        </w:rPr>
        <w:t xml:space="preserve"> to arrest and detention. Wides</w:t>
      </w:r>
      <w:r w:rsidRPr="00183445">
        <w:rPr>
          <w:rFonts w:ascii="Times New Roman" w:eastAsia="Times New Roman" w:hAnsi="Times New Roman" w:cs="Times New Roman"/>
          <w:sz w:val="24"/>
          <w:szCs w:val="24"/>
        </w:rPr>
        <w:t>pread corruption, imprisonment of political prisoners, harassment and censorship without any government intervention. Furthermore, there are a vast amount of Honor{sic} killings, dowry-related deaths, domestic violence and rape, that lack</w:t>
      </w:r>
      <w:r w:rsidRPr="00183445">
        <w:rPr>
          <w:rFonts w:ascii="Times New Roman" w:eastAsia="Times New Roman" w:hAnsi="Times New Roman" w:cs="Times New Roman"/>
          <w:sz w:val="24"/>
          <w:szCs w:val="24"/>
        </w:rPr>
        <w:t xml:space="preserve"> creditable inv</w:t>
      </w:r>
      <w:r w:rsidRPr="00183445">
        <w:rPr>
          <w:rFonts w:ascii="Times New Roman" w:eastAsia="Times New Roman" w:hAnsi="Times New Roman" w:cs="Times New Roman"/>
          <w:sz w:val="24"/>
          <w:szCs w:val="24"/>
        </w:rPr>
        <w:t>estigations or accountability by society and/or authorities allows this intoleran</w:t>
      </w:r>
      <w:r w:rsidR="00225268">
        <w:rPr>
          <w:rFonts w:ascii="Times New Roman" w:eastAsia="Times New Roman" w:hAnsi="Times New Roman" w:cs="Times New Roman"/>
          <w:sz w:val="24"/>
          <w:szCs w:val="24"/>
        </w:rPr>
        <w:t>ce</w:t>
      </w:r>
      <w:r w:rsidRPr="00183445">
        <w:rPr>
          <w:rFonts w:ascii="Times New Roman" w:eastAsia="Times New Roman" w:hAnsi="Times New Roman" w:cs="Times New Roman"/>
          <w:sz w:val="24"/>
          <w:szCs w:val="24"/>
        </w:rPr>
        <w:t xml:space="preserve"> to continu</w:t>
      </w:r>
      <w:r w:rsidR="008A7B3F">
        <w:rPr>
          <w:rFonts w:ascii="Times New Roman" w:eastAsia="Times New Roman" w:hAnsi="Times New Roman" w:cs="Times New Roman"/>
          <w:sz w:val="24"/>
          <w:szCs w:val="24"/>
        </w:rPr>
        <w:t>e</w:t>
      </w:r>
      <w:r w:rsidRPr="00183445">
        <w:rPr>
          <w:rFonts w:ascii="Times New Roman" w:eastAsia="Times New Roman" w:hAnsi="Times New Roman" w:cs="Times New Roman"/>
          <w:sz w:val="24"/>
          <w:szCs w:val="24"/>
        </w:rPr>
        <w:t xml:space="preserve"> unabated.</w:t>
      </w:r>
      <w:r w:rsidRPr="00183445">
        <w:rPr>
          <w:rFonts w:ascii="Times New Roman" w:eastAsia="Times New Roman" w:hAnsi="Times New Roman" w:cs="Times New Roman"/>
          <w:sz w:val="24"/>
          <w:szCs w:val="24"/>
        </w:rPr>
        <w:t xml:space="preserve"> However, one remaining area that has the biggest impact on sexual orientation, is sexual harassment, against females and male with discrimination a</w:t>
      </w:r>
      <w:r w:rsidRPr="00183445">
        <w:rPr>
          <w:rFonts w:ascii="Times New Roman" w:eastAsia="Times New Roman" w:hAnsi="Times New Roman" w:cs="Times New Roman"/>
          <w:sz w:val="24"/>
          <w:szCs w:val="24"/>
        </w:rPr>
        <w:t xml:space="preserve">nd violence grounded on affiliation to religious, </w:t>
      </w:r>
      <w:r w:rsidRPr="00183445">
        <w:rPr>
          <w:rFonts w:ascii="Times New Roman" w:eastAsia="Times New Roman" w:hAnsi="Times New Roman" w:cs="Times New Roman"/>
          <w:sz w:val="24"/>
          <w:szCs w:val="24"/>
        </w:rPr>
        <w:lastRenderedPageBreak/>
        <w:t>sexual orientation, stays unaccountable</w:t>
      </w:r>
      <w:r w:rsidR="00F75D24"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0"/>
          <w:szCs w:val="20"/>
        </w:rPr>
        <w:t>INDIA 2017 HUMAN RIGHTS REPORT</w:t>
      </w:r>
      <w:r w:rsidRPr="00183445">
        <w:rPr>
          <w:rFonts w:ascii="Times New Roman" w:eastAsia="Times New Roman" w:hAnsi="Times New Roman" w:cs="Times New Roman"/>
          <w:sz w:val="20"/>
          <w:szCs w:val="20"/>
        </w:rPr>
        <w:t>,</w:t>
      </w:r>
      <w:r w:rsidRPr="00183445">
        <w:rPr>
          <w:rFonts w:ascii="Times New Roman" w:eastAsia="Times New Roman" w:hAnsi="Times New Roman" w:cs="Times New Roman"/>
          <w:sz w:val="24"/>
          <w:szCs w:val="24"/>
        </w:rPr>
        <w:t>” 2017, p. 10)</w:t>
      </w:r>
      <w:r w:rsidR="00F75D24" w:rsidRPr="00183445">
        <w:rPr>
          <w:rFonts w:ascii="Times New Roman" w:eastAsia="Times New Roman" w:hAnsi="Times New Roman" w:cs="Times New Roman"/>
          <w:sz w:val="24"/>
          <w:szCs w:val="24"/>
        </w:rPr>
        <w:fldChar w:fldCharType="begin"/>
      </w:r>
      <w:r w:rsidR="00DF3701" w:rsidRPr="00183445">
        <w:rPr>
          <w:rFonts w:ascii="Times New Roman" w:eastAsia="Times New Roman" w:hAnsi="Times New Roman" w:cs="Times New Roman"/>
          <w:sz w:val="24"/>
          <w:szCs w:val="24"/>
        </w:rPr>
        <w:instrText xml:space="preserve"> ADDIN ZOTERO_ITEM CSL_CITATION {"citationID":"mpkhHGg3","properties":{"formattedCitation":"(Blackmore, 2006; Grusky, 2018; Holgate et al., 2012; McCormick, 2016; Moleiro and Pinto, 2015; Santos et al., 2018; Waites, 2009)","plainCitation":"(Blackmore, 2006; Grusky, 2018; Holgate et al., 2012; McCormick, 2016; Moleiro and Pinto, 2015; Santos et al., 2018; Waites, 2009)","dontUpdate":true,"noteIndex":0},"citationItems":[{"id":123,"uris":["http://zotero.org/users/4623355/items/ZB8Z8M2U"],"uri":["http://zotero.org/users/4623355/items/ZB8Z8M2U"],"itemData":{"id":123,"type":"article-journal","title":"Deconstructing Diversity Discourses in the Field of Educational Management and Leadership","container-title":"Educational Management Administration &amp; Leadership","page":"181-199","volume":"34","issue":"2","source":"Crossref","abstract":"Discourses of diversity have supplanted those of equal opportunity or social justice in many Western democratic societies. While the notion of diversity is seemingly empowering through its recognition of cultural, religious, racial and gender difference within nation states, the emergence of this discourse during the 1990s has been in the context of neoliberal managerialist discourses that assume social action is fully explicable through theories of maximizing self interest. Thus notions of diversity, while originating in collective demands of social movements of feminism, anti racism and multiculturalism of the 1970s and 1980s, have in recent times privileged learning and leadership as an individual accomplishment and not a collective practice. Thus the dominant discourse of diversity is more in alignment with the deregulatory aspects of the increasingly managerial and market orientation of schooling, decentring earlier discourses of more transformatory notions premised upon reducing inequality and discrimination and developing ‘inclusivity’ in and through schooling. This paper provides a contextual and conceptual framework through which to explore the intersections and divergences of discourses of diversity in schools and their practical application","DOI":"10.1177/1741143206062492","ISSN":"1741-1432, 1741-1440","language":"en","author":[{"family":"Blackmore","given":"Jill"}],"issued":{"date-parts":[["2006",4]]}}},{"id":225,"uris":["http://zotero.org/users/4623355/items/DMZG2EEZ"],"uri":["http://zotero.org/users/4623355/items/DMZG2EEZ"],"itemData":{"id":225,"type":"book","title":"Social Stratification: Class, Race, and Gender in Sociological Perspective","publisher":"Routledge","number-of-pages":"1259","source":"Google Books","abstract":"With income inequality on the rise and the ongoing economic downturn, the causes, consequences, and politics of inequality are undergoing a fundamental transformation. Updated and highly accessible, the fourth edition of Social Stratification provides refreshing take on existing theories, incorporates the latest data, and lends new perspectives to classic debates. The fourth edition includes fifty new or updated readings and a new streamlined organization that allows the evolution of stratification scholarship to unfold in a systematic fashion. The new readings cover the latest research on economic inequality, including the social construction of racial categories, the new immigrant economy, new forms of segregation and neighborhood inequality, the uneven and stalled gender revolution, the role of new educational forms and institutions in generating both equality and inequality, and the extent of anti-gay discrimination in the labor market. The result is a comprehensive, interdisciplinary, and methodologically diverse text appropriate for sophisticated undergraduate and graduate courses on poverty, inequality, social stratification, social problems, the labor market, social class, social mobility, and race and ethnicity.","ISBN":"978-0-429-97427-4","note":"Google-Books-ID: 5UdaDwAAQBAJ","shortTitle":"Social Stratification","language":"en","author":[{"family":"Grusky","given":"David B."}],"issued":{"date-parts":[["2018",5,4]]}}},{"id":114,"uris":["http://zotero.org/users/4623355/items/G23Z3CUQ"],"uri":["http://zotero.org/users/4623355/items/G23Z3CUQ"],"itemData":{"id":114,"type":"article-journal","title":"Equality and diversity in employment relations: do we practise what we preach?","container-title":"Equality, Diversity and Inclusion: An International Journal","page":"323-339","volume":"31","issue":"4","source":"Crossref","abstract":"Purpose - The pursuit of equality and valuing of diversity are central tenets of much organisational thinking and public policy development. However, in this current age of austerity we are witnessing a number of existing and proposed \"fairness initiatives\" feeling the sharp blade of a cost-cutting axe. This paper is a reflexive response that aims to examine a piece of action research in the field of industrial relations. It aims to take the professional UK association, the British Universities Industrial Relations Association (BUIRA), as a case study and consider how issues of equality and diversity have been viewed by the organisation both in theory and practice. Using a framework which acknowledges the need for multiple levels of analysis (macro, meso and micro) and which argues for an intersectional approach, the paper seeks to detail the measures adopted by BUIRA so as to augment its organisational responsiveness to various equality and diversity concerns. It also provides an insight into how the authors, as equality and diversity academics, reflected on the process of creating policy through their own research activities. A further aim of the paper is to highlight the scope and character of equality and diversity initiatives undertaken by BUIRA, and to discuss some of their implications for its membership - both now and in the future. Design/methodology/approach - What began as a simple policy piece of research developed into a multi-method, quantitative and qualitative, action-based project. It also became a reflexive study of how and by what methods research is conducted. A quantitative and qualitative survey of BUIRA members was followed with interviews with past-presidents of the organisation. Historical data in the form of a comprehensive 2010 retrospective on BUIRA were also consulted. Findings - The authors' empirical material was analysed with reference to a theoretical framework that acknowledges the importance of intersectionality at all levels of analysis. The study's findings are discussed in relation to macro, meso and micro influences and reference is made to how these three levels intersect in examining views and perceptions in relation to equality and diversity within BUIRA. The main findings are that while BUIRA as an association has acted to combat perceptions that it is dominated by older White men who prioritise traditional elements of industrial relations (IR), this view still persists for some of the membership. The membership survey indicated that it was female, younger or less established academics in particular who held this view, suggesting that in challenging inequalities within the IR academic community BUIRA may still have a way to go. Practical implications - A key implication is that representative organisations such as professional associations need to consider equality and diversity aspects that reflect the membership they serve. This has been acknowledged as fundamental in both workplaces and trade unions and now requires similar commitment from professional associations. Of course, the scope and character of initiatives are also context-sensitive, as reflected by non-linear progress in equality initiatives undertaken by these and other organisations. Originality/value - The research offers an analysis of equality and diversity within a professional association which is an under researched area.","DOI":"10.1108/02610151211223021","ISSN":"2040-7149","shortTitle":"Equality and diversity in employment relations","language":"en","editor":[{"family":"Brook","given":"Paul"}],"author":[{"family":"Holgate","given":"Jane"},{"family":"Abbott","given":"Sue"},{"family":"Kamenou","given":"Nicolina"},{"family":"Kinge","given":"Josie"},{"family":"Parker","given":"Jane"},{"family":"Sayce","given":"Susan"},{"family":"Sinclair","given":"Jacqueline"},{"family":"Williams","given":"Laura"}],"issued":{"date-parts":[["2012",4,27]]}}},{"id":152,"uris":["http://zotero.org/users/4623355/items/5MIEI88Y"],"uri":["http://zotero.org/users/4623355/items/5MIEI88Y"],"itemData":{"id":152,"type":"book","title":"Why Europe matters for Britain: the case for remaining in","publisher":"Palgrave Macmillan","publisher-place":"London ; New York, NY","edition":"Referendum edition","source":"Library of Congress ISBN","event-place":"London ; New York, NY","ISBN":"978-1-137-57682-8","call-number":"JN30 .M383 2016","shortTitle":"Why Europe matters for Britain","author":[{"family":"McCormick","given":"John"}],"issued":{"date-parts":[["2016"]]}}},{"id":111,"uris":["http://zotero.org/users/4623355/items/XAJFPRIU"],"uri":["http://zotero.org/users/4623355/items/XAJFPRIU"],"itemData":{"id":111,"type":"article-journal","title":"Sexual orientation and gender identity: review of concepts, controversies and their relation to psychopathology classification systems","container-title":"Frontiers in Psychology","volume":"6","source":"Crossref","abstract":"Numerous controversies and debates have taken place throughout the history of psychopathology (and its main classification systems) with regards to sexual orientation and gender identity. These are still reflected on present reformulations of gender dysphoria in both the Diagnostic and Statistical Manual and the International Classification of Diseases, and in more or less subtle micro-aggressions experienced by lesbian, gay, bisexual and trans patients in mental health care. The present paper critically reviews this history and current controversies. It reveals that this deeply complex field contributes (i) to the reflection on the very concept of mental illness; (ii) to the focus on subjective distress and person-centered experience of psychopathology; and (iii) to the recognition of stigma and discrimination as significant intervening variables. Finally, it argues that sexual orientation and gender identity have been viewed, in the history of the field of psychopathology, between two poles: gender transgression and gender variance/fluidity.\n\nNumerous controversies and debates have taken place throughout the history of psychopathology and mental health care with regards to lesbian, gay, bisexual and transgender (LGBT) people. The present paper aims to review relevant concepts in this literature, its historical and current controversies, and their relation to the main psychopathology classification systems.","URL":"http://journal.frontiersin.org/article/10.3389/fpsyg.2015.01511","DOI":"10.3389/fpsyg.2015.01511","ISSN":"1664-1078","shortTitle":"Sexual orientation and gender identity","author":[{"family":"Moleiro","given":"Carla"},{"family":"Pinto","given":"Nuno"}],"issued":{"date-parts":[["2015",10,1]]},"accessed":{"date-parts":[["2018",10,4]]}}},{"id":124,"uris":["http://zotero.org/users/4623355/items/89H825WV"],"uri":["http://zotero.org/users/4623355/items/89H825WV"],"itemData":{"id":124,"type":"article-journal","title":"From Liberal Acceptance to Intolerance: Discourses on Sexual Diversity in Schools by Portuguese Young People","container-title":"JSSE - Journal of Social Science Education, 1-2018 School Democracy and Increased Student Diversity","source":"DataCite","abstract":"Purpose: This article explores different strands of educational discourse about sexual diversity in Portuguese schools, from the students’ perspectives.\n\nMethod: The methodological approach consisted in conducting focus groups discussions: 36 with 232 young students (H = 106, M = 126) in 12 public secondary schools.\n\nFindings: Students reveal a polyphony of discourses that gravitate between liberal acceptance, conditional acceptance and intolerance.\n\nResearch implications: Attention is drawn not only to discriminatory processes that question school as a democratic place for LGBT youth, but also to the gap between what is legally decreed and a lack of know-how in the approach to sexual diversity in school.","URL":"http://www.jsse.org/index.php/jsse/article/view/1655/1736","DOI":"10.4119/unibi/jsse-v17-i1-1655","shortTitle":"From Liberal Acceptance to Intolerance","language":"en","author":[{"family":"Santos","given":"Hugo M"},{"family":"Silva","given":"Sofia Marques Da"},{"family":"Menezes","given":"Isabel"}],"issued":{"date-parts":[["2018",3,25]]},"accessed":{"date-parts":[["2018",10,4]]}}},{"id":126,"uris":["http://zotero.org/users/4623355/items/GF2SCYQC"],"uri":["http://zotero.org/users/4623355/items/GF2SCYQC"],"itemData":{"id":126,"type":"article-journal","title":"Critique of ‘sexual orientation’ and ‘gender identity’ in human rights discourse: global queer politics beyond the Yogyakarta Principles","container-title":"Contemporary Politics","page":"137-156","volume":"15","issue":"1","source":"Crossref","abstract":"Numerous controversies and debates have taken place throughout the history of psychopathology (and its main classification systems) with regards to sexual orientation and gender identity. These are still reflected on present reformulations of gender dysphoria in both the Diagnostic and Statistical Manual and the International Classification of Diseases, and in more or less subtle micro-aggressions experienced by lesbian, gay, bisexual and trans patients in mental health care. The present paper critically reviews this history and current controversies. It reveals that this deeply complex field contributes (i) to the reflection on the very concept of mental illness; (ii) to the focus on subjective distress and person-centered experience of psychopathology; and (iii) to the recognition of stigma and discrimination as significant intervening variables. Finally, it argues that sexual orientation and gender identity have been viewed, in the history of the field of psychopathology, between two poles: gender transgression and gender variance/fluidity","DOI":"10.1080/13569770802709604","ISSN":"1356-9775, 1469-3631","shortTitle":"Critique of ‘sexual orientation’ and ‘gender identity’ in human rights discourse","language":"en","author":[{"family":"Waites","given":"Matthew"}],"issued":{"date-parts":[["2009",3]]}}}],"schema":"https://github.com/citation-style-language/schema/raw/master/csl-citation.json"} </w:instrText>
      </w:r>
      <w:r w:rsidR="00F75D24" w:rsidRPr="00183445">
        <w:rPr>
          <w:rFonts w:ascii="Times New Roman" w:eastAsia="Times New Roman" w:hAnsi="Times New Roman" w:cs="Times New Roman"/>
          <w:sz w:val="24"/>
          <w:szCs w:val="24"/>
        </w:rPr>
        <w:fldChar w:fldCharType="separate"/>
      </w:r>
      <w:r w:rsidR="002A4452" w:rsidRPr="00183445">
        <w:rPr>
          <w:rFonts w:ascii="Times New Roman" w:hAnsi="Times New Roman" w:cs="Times New Roman"/>
          <w:sz w:val="24"/>
          <w:szCs w:val="24"/>
        </w:rPr>
        <w:t>(Blackmore, 2006, pp. 181–199; Grusky, 2018; Holgate et al., 2012, pp. 323–339; McCormick, 2016; Moleiro and Pinto, 2015; Santos et al., 2018; Waites, 2009)</w:t>
      </w:r>
      <w:r w:rsidR="00F75D24" w:rsidRPr="00183445">
        <w:rPr>
          <w:rFonts w:ascii="Times New Roman" w:eastAsia="Times New Roman" w:hAnsi="Times New Roman" w:cs="Times New Roman"/>
          <w:sz w:val="24"/>
          <w:szCs w:val="24"/>
        </w:rPr>
        <w:fldChar w:fldCharType="end"/>
      </w:r>
      <w:r w:rsidR="00F75D24"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w:t>
      </w:r>
    </w:p>
    <w:p w14:paraId="0B3294AA" w14:textId="5037B2CC" w:rsidR="00F74507" w:rsidRPr="00183445" w:rsidRDefault="00D87175" w:rsidP="00F75D24">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In the West, the</w:t>
      </w:r>
      <w:r w:rsidRPr="00183445">
        <w:rPr>
          <w:rFonts w:ascii="Times New Roman" w:eastAsia="Times New Roman" w:hAnsi="Times New Roman" w:cs="Times New Roman"/>
          <w:sz w:val="24"/>
          <w:szCs w:val="24"/>
        </w:rPr>
        <w:t xml:space="preserve"> concept of identity and the relationship</w:t>
      </w:r>
      <w:r w:rsidRPr="00183445">
        <w:rPr>
          <w:rFonts w:ascii="Times New Roman" w:eastAsia="Times New Roman" w:hAnsi="Times New Roman" w:cs="Times New Roman"/>
          <w:sz w:val="24"/>
          <w:szCs w:val="24"/>
        </w:rPr>
        <w:t xml:space="preserve"> is</w:t>
      </w:r>
      <w:r w:rsidRPr="00183445">
        <w:rPr>
          <w:rFonts w:ascii="Times New Roman" w:eastAsia="Times New Roman" w:hAnsi="Times New Roman" w:cs="Times New Roman"/>
          <w:sz w:val="24"/>
          <w:szCs w:val="24"/>
        </w:rPr>
        <w:t xml:space="preserve"> the freedom </w:t>
      </w:r>
      <w:r w:rsidRPr="00183445">
        <w:rPr>
          <w:rFonts w:ascii="Times New Roman" w:eastAsia="Times New Roman" w:hAnsi="Times New Roman" w:cs="Times New Roman"/>
          <w:sz w:val="24"/>
          <w:szCs w:val="24"/>
        </w:rPr>
        <w:t xml:space="preserve">to choose who you are and what your relationship with society is. </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The gay communities prefer to be viewed and treated as different</w:t>
      </w:r>
      <w:r w:rsidRPr="00183445">
        <w:rPr>
          <w:rFonts w:ascii="Times New Roman" w:eastAsia="Times New Roman" w:hAnsi="Times New Roman" w:cs="Times New Roman"/>
          <w:sz w:val="24"/>
          <w:szCs w:val="24"/>
        </w:rPr>
        <w:t>, but the question in this study is should/could the ‘gay’, within communities, become part of ‘normal or what is to be ‘no</w:t>
      </w:r>
      <w:r w:rsidRPr="00183445">
        <w:rPr>
          <w:rFonts w:ascii="Times New Roman" w:eastAsia="Times New Roman" w:hAnsi="Times New Roman" w:cs="Times New Roman"/>
          <w:sz w:val="24"/>
          <w:szCs w:val="24"/>
        </w:rPr>
        <w:t>rmal’</w:t>
      </w:r>
      <w:r w:rsidR="00CF1967" w:rsidRPr="00183445">
        <w:rPr>
          <w:rFonts w:ascii="Times New Roman" w:eastAsia="Times New Roman" w:hAnsi="Times New Roman" w:cs="Times New Roman"/>
          <w:sz w:val="24"/>
          <w:szCs w:val="24"/>
        </w:rPr>
        <w:fldChar w:fldCharType="begin"/>
      </w:r>
      <w:r w:rsidR="00CF1967" w:rsidRPr="00183445">
        <w:rPr>
          <w:rFonts w:ascii="Times New Roman" w:eastAsia="Times New Roman" w:hAnsi="Times New Roman" w:cs="Times New Roman"/>
          <w:sz w:val="24"/>
          <w:szCs w:val="24"/>
        </w:rPr>
        <w:instrText xml:space="preserve"> ADDIN ZOTERO_ITEM CSL_CITATION {"citationID":"hvvtEITm","properties":{"formattedCitation":"(Foucault, 2008, p. 317; Hays, 2011, pp. 332\\uc0\\u8211{}338; Haywood and Ghaill, 1995, pp. 221\\uc0\\u8211{}236; Jackson, 2011, pp. 75\\uc0\\u8211{}84; Roberts and Soederberg, 2012, pp. 949\\uc0\\u8211{}968)","plainCitation":"(Foucault, 2008, p. 317; Hays, 2011, pp. 332–338; Haywood and Ghaill, 1995, pp. 221–236; Jackson, 2011, pp. 75–84; Roberts and Soederberg, 2012, pp. 949–968)","noteIndex":0},"citationItems":[{"id":266,"uris":["http://zotero.org/users/4623355/items/TZ8UZKDC"],"uri":["http://zotero.org/users/4623355/items/TZ8UZKDC"],"itemData":{"id":266,"type":"chapter","title":"The Discourse on Language","container-title":"Truth","publisher":"Wiley-Blackwell","page":"315-335","source":"Wiley Online Library","abstract":"This chapter contains section titled: From “Truth and Power”","URL":"https://onlinelibrary.wiley.com/doi/abs/10.1002/9780470776407.ch20","ISBN":"978-0-470-77640-7","note":"DOI: 10.1002/9780470776407.ch20","language":"en","author":[{"family":"Foucault","given":"Michel"}],"issued":{"date-parts":[["2008"]]},"accessed":{"date-parts":[["2018",10,12]]}},"locator":"317"},{"id":333,"uris":["http://zotero.org/users/4623355/items/LM393D7U"],"uri":["http://zotero.org/users/4623355/items/LM393D7U"],"itemData":{"id":333,"type":"article-journal","title":"Addressing the Complexities of Culture and Gender in Counseling","container-title":"Journal of Counseling &amp; Development","page":"332-338","volume":"74","issue":"4","source":"onlinelibrary.wiley.com (Atypon)","abstract":"The purpose of this article is to describe a model for organizing and systematically considering 9 complex and overlapping cultural influences that counselors need to be addressing in their work: Age and generational influences, Disability, Religion, Ethnicity, Social status, Sexual orientation, Indigenous heritage, National origin, and Gender (which together form the slightly misspelled acronym ADRESSING). The ADRESSING model is particularly useful in helping counselors and educators to (a) examine their own biases and areas of inexperience regarding minority cultures and (b) consider the salience of multiple cultural influences and identities with their clients.","DOI":"10.1002/j.1556-6676.1996.tb01876.x","ISSN":"0748-9633","journalAbbreviation":"Journal of Counseling &amp; Development","author":[{"family":"Hays","given":"Pamela"}],"issued":{"date-parts":[["2011",12,23]]}},"locator":"332-338"},{"id":86,"uris":["http://zotero.org/users/4623355/items/BHM4TBLJ"],"uri":["http://zotero.org/users/4623355/items/BHM4TBLJ"],"itemData":{"id":86,"type":"article-journal","title":"The Sexual Politics of the Curriculum: contesting values","container-title":"International Studies in Sociology of Education","page":"221-236","volume":"5","issue":"2","source":"Taylor and Francis+NEJM","abstract":"This paper arises out of our current work investigating the construction of male and female students’ sexual/gender relations within school arenas. A main concern is to explore recent empirical and theoretical work on sexuality, in an attempt to critique the New Right moralism with its own contradictory form of pluralism. At the same time a critical examination of the sexual politics of the curriculum may serve to rethink the underlying values of the old dichotomies around liberal and radical modes of progressive education with reference to curriculum change. Key areas of debate include the contextualisation of sex/sexuality within schools, sexual harassment, the normalisation of heterosexualities and sex/sexuality education. We have found it useful to hold onto the tension between materialist, deconstructionist and psychoanalytic accounts of the formation of sexual subjectivities, without attempting to resolve the contradictions between them.","DOI":"10.1080/0962021950050206","ISSN":"0962-0214","shortTitle":"The Sexual Politics of the Curriculum","author":[{"family":"Haywood","given":"Chris"},{"family":"Ghaill","given":"Máirtín Mac An"}],"issued":{"date-parts":[["1995",1,1]]}},"locator":"221-236"},{"id":105,"uris":["http://zotero.org/users/4623355/items/8JV2NM74"],"uri":["http://zotero.org/users/4623355/items/8JV2NM74"],"itemData":{"id":105,"type":"article-journal","title":"A conversation with Fiona Bartels</w:instrText>
      </w:r>
      <w:r w:rsidR="00CF1967" w:rsidRPr="00183445">
        <w:rPr>
          <w:rFonts w:ascii="Cambria Math" w:eastAsia="Times New Roman" w:hAnsi="Cambria Math" w:cs="Cambria Math"/>
          <w:sz w:val="24"/>
          <w:szCs w:val="24"/>
        </w:rPr>
        <w:instrText>‐</w:instrText>
      </w:r>
      <w:r w:rsidR="00CF1967" w:rsidRPr="00183445">
        <w:rPr>
          <w:rFonts w:ascii="Times New Roman" w:eastAsia="Times New Roman" w:hAnsi="Times New Roman" w:cs="Times New Roman"/>
          <w:sz w:val="24"/>
          <w:szCs w:val="24"/>
        </w:rPr>
        <w:instrText>Ellis: About her background, her work on equality and diversity in the global environment, and her thoughts on future developments in the field","container-title":"Equality, Diversity and Inclusion: An International Journal","page":"75-84","volume":"30","issue":"1","source":"Crossref","abstract":"Dr Fiona Bartels</w:instrText>
      </w:r>
      <w:r w:rsidR="00CF1967" w:rsidRPr="00183445">
        <w:rPr>
          <w:rFonts w:ascii="Cambria Math" w:eastAsia="Times New Roman" w:hAnsi="Cambria Math" w:cs="Cambria Math"/>
          <w:sz w:val="24"/>
          <w:szCs w:val="24"/>
        </w:rPr>
        <w:instrText>‐</w:instrText>
      </w:r>
      <w:r w:rsidR="00CF1967" w:rsidRPr="00183445">
        <w:rPr>
          <w:rFonts w:ascii="Times New Roman" w:eastAsia="Times New Roman" w:hAnsi="Times New Roman" w:cs="Times New Roman"/>
          <w:sz w:val="24"/>
          <w:szCs w:val="24"/>
        </w:rPr>
        <w:instrText>Ellis is the Head of Equality and Diversity in the British Council. She has been instrumental in developing expertise in the organisation to implement the equality and diversity policy and strategy globally. The purpose of this paper is to explore, through an interview with Fiona, her background in social work and in higher education and how this has led her to this work and how she implements an equality and diversity strategy globally.","DOI":"10.1108/02610151111110081","ISSN":"2040-7149","shortTitle":"A conversation with Fiona Bartels</w:instrText>
      </w:r>
      <w:r w:rsidR="00CF1967" w:rsidRPr="00183445">
        <w:rPr>
          <w:rFonts w:ascii="Cambria Math" w:eastAsia="Times New Roman" w:hAnsi="Cambria Math" w:cs="Cambria Math"/>
          <w:sz w:val="24"/>
          <w:szCs w:val="24"/>
        </w:rPr>
        <w:instrText>‐</w:instrText>
      </w:r>
      <w:r w:rsidR="00CF1967" w:rsidRPr="00183445">
        <w:rPr>
          <w:rFonts w:ascii="Times New Roman" w:eastAsia="Times New Roman" w:hAnsi="Times New Roman" w:cs="Times New Roman"/>
          <w:sz w:val="24"/>
          <w:szCs w:val="24"/>
        </w:rPr>
        <w:instrText xml:space="preserve">Ellis","language":"en","author":[{"family":"Jackson","given":"June"}],"issued":{"date-parts":[["2011",1,4]]}},"locator":"75-84"},{"id":100,"uris":["http://zotero.org/users/4623355/items/MGZVCMXJ"],"uri":["http://zotero.org/users/4623355/items/MGZVCMXJ"],"itemData":{"id":100,"type":"article-journal","title":"Gender Equality as &lt;i&gt;Smart Economics&lt;/i&gt; ? A critique of the 2012 &lt;i&gt;World Development Report&lt;/i&gt;","container-title":"Third World Quarterly","page":"949-968","volume":"33","issue":"5","source":"Crossref","abstract":"Business now plays an increasingly prominent role in development. While the implicit links between private actors and international development institutions have been widely debated, the explicit role of financial corporations in shaping official development policy has been less well documented. We employ a feminist Marxian analysis to examine the material and discursive landscape of the 2012 World Development Report: Gender Equality and Development. Its exclusive focus on gender equality as ‘smart economics’, and the central role accorded to leading financial corporations like Goldman Sachs in the formulation of the key World Bank recommendations enable us to explore the changing landscape of the neoliberal corporatisation of development. We argue, first, that the apolitical and ahistorical representation of gender and gender equality in the wdr serves to normalise spaces of informality and insecurity, thereby expunging neoliberal-led capitalist relations of exploitation and domination, which characterise the social context in which many women in the global South live. Second, the wdr represents the interest of corporations in transforming the formerly excluded segments of the South (women) into consumers and entrepreneurs. The wdr thus represents an attempt by the World Bank and its ‘partners’ to deepen and consolidate the fundamental values and tenets of capitalist interests","DOI":"10.1080/01436597.2012.677310","ISSN":"0143-6597, 1360-2241","shortTitle":"Gender Equality as &lt;i&gt;Smart Economics&lt;/i&gt; ?","language":"en","author":[{"family":"Roberts","given":"Adrienne"},{"family":"Soederberg","given":"Susanne"}],"issued":{"date-parts":[["2012",6]]}},"locator":"949-968"}],"schema":"https://github.com/citation-style-language/schema/raw/master/csl-citation.json"} </w:instrText>
      </w:r>
      <w:r w:rsidR="00CF1967" w:rsidRPr="00183445">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szCs w:val="24"/>
        </w:rPr>
        <w:t>(Foucault, 2008, p. 317; Hays, 2011, pp. 332–338; Haywood and Ghaill, 1995, pp. 221–236; Jackson, 2011, pp. 75–84; Roberts and Soederberg, 2012, pp. 949–968)</w:t>
      </w:r>
      <w:r w:rsidR="00CF1967" w:rsidRPr="00183445">
        <w:rPr>
          <w:rFonts w:ascii="Times New Roman" w:eastAsia="Times New Roman" w:hAnsi="Times New Roman" w:cs="Times New Roman"/>
          <w:sz w:val="24"/>
          <w:szCs w:val="24"/>
        </w:rPr>
        <w:fldChar w:fldCharType="end"/>
      </w:r>
      <w:r w:rsidR="002A4452"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 xml:space="preserve"> </w:t>
      </w:r>
    </w:p>
    <w:p w14:paraId="75C678DA" w14:textId="29086138" w:rsidR="00F74507" w:rsidRPr="00183445" w:rsidRDefault="00D87175">
      <w:pPr>
        <w:spacing w:line="360" w:lineRule="auto"/>
        <w:ind w:firstLine="0"/>
        <w:rPr>
          <w:rFonts w:ascii="Times New Roman" w:hAnsi="Times New Roman" w:cs="Times New Roman"/>
          <w:sz w:val="24"/>
          <w:szCs w:val="24"/>
        </w:rPr>
      </w:pPr>
      <w:r w:rsidRPr="00183445">
        <w:rPr>
          <w:rFonts w:ascii="Times New Roman" w:eastAsia="Times New Roman" w:hAnsi="Times New Roman" w:cs="Times New Roman"/>
          <w:sz w:val="24"/>
          <w:szCs w:val="24"/>
        </w:rPr>
        <w:t>The concepts of gender identity</w:t>
      </w:r>
      <w:r w:rsidR="00CF1967" w:rsidRPr="00183445">
        <w:rPr>
          <w:rFonts w:ascii="Times New Roman" w:eastAsia="Times New Roman" w:hAnsi="Times New Roman" w:cs="Times New Roman"/>
          <w:sz w:val="24"/>
          <w:szCs w:val="24"/>
        </w:rPr>
        <w:t xml:space="preserve"> are</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 xml:space="preserve">characteristically considered as a contradiction with no options </w:t>
      </w:r>
      <w:r w:rsidRPr="00183445">
        <w:rPr>
          <w:rFonts w:ascii="Times New Roman" w:eastAsia="Times New Roman" w:hAnsi="Times New Roman" w:cs="Times New Roman"/>
          <w:sz w:val="24"/>
          <w:szCs w:val="24"/>
        </w:rPr>
        <w:t>for genderless identities, with degrees of masculine and feminine. It has been merely a biological sex that is measured, and this practice is a proxy for gender is thought to be sound but for many, it is not. There is an argument that more research is requ</w:t>
      </w:r>
      <w:r w:rsidRPr="00183445">
        <w:rPr>
          <w:rFonts w:ascii="Times New Roman" w:eastAsia="Times New Roman" w:hAnsi="Times New Roman" w:cs="Times New Roman"/>
          <w:sz w:val="24"/>
          <w:szCs w:val="24"/>
        </w:rPr>
        <w:t>ired</w:t>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 xml:space="preserve"> to ascertain how to measure ‘gender’ in the future</w:t>
      </w:r>
      <w:r w:rsidR="002A4452" w:rsidRPr="00183445">
        <w:rPr>
          <w:rFonts w:ascii="Times New Roman" w:eastAsia="Times New Roman" w:hAnsi="Times New Roman" w:cs="Times New Roman"/>
          <w:sz w:val="24"/>
          <w:szCs w:val="24"/>
        </w:rPr>
        <w:t xml:space="preserve"> </w:t>
      </w:r>
      <w:r w:rsidR="00DF3701" w:rsidRPr="00183445">
        <w:rPr>
          <w:rFonts w:ascii="Times New Roman" w:eastAsia="Times New Roman" w:hAnsi="Times New Roman" w:cs="Times New Roman"/>
          <w:sz w:val="24"/>
          <w:szCs w:val="24"/>
        </w:rPr>
        <w:fldChar w:fldCharType="begin"/>
      </w:r>
      <w:r w:rsidR="00DF3701" w:rsidRPr="00183445">
        <w:rPr>
          <w:rFonts w:ascii="Times New Roman" w:eastAsia="Times New Roman" w:hAnsi="Times New Roman" w:cs="Times New Roman"/>
          <w:sz w:val="24"/>
          <w:szCs w:val="24"/>
        </w:rPr>
        <w:instrText xml:space="preserve"> ADDIN ZOTERO_ITEM CSL_CITATION {"citationID":"Io1igSOf","properties":{"formattedCitation":"(Holgate et al., 2012, pp. 323\\uc0\\u8211{}339; Parker et al., 2017, pp. 106\\uc0\\u8211{}113; Townsley, 2003, pp. 617\\uc0\\u8211{}639; Zhang and Goldberg, 2014, pp. 494\\uc0\\u8211{}509)","plainCitation":"(Holgate et al., 2012, pp. 323–339; Parker et al., 2017, pp. 106–113; Townsley, 2003, pp. 617–639; Zhang and Goldberg, 2014, pp. 494–509)","noteIndex":0},"citationItems":[{"id":114,"uris":["http://zotero.org/users/4623355/items/G23Z3CUQ"],"uri":["http://zotero.org/users/4623355/items/G23Z3CUQ"],"itemData":{"id":114,"type":"article-journal","title":"Equality and diversity in employment relations: do we practise what we preach?","container-title":"Equality, Diversity and Inclusion: An International Journal","page":"323-339","volume":"31","issue":"4","source":"Crossref","abstract":"Purpose - The pursuit of equality and valuing of diversity are central tenets of much organisational thinking and public policy development. However, in this current age of austerity we are witnessing a number of existing and proposed \"fairness initiatives\" feeling the sharp blade of a cost-cutting axe. This paper is a reflexive response that aims to examine a piece of action research in the field of industrial relations. It aims to take the professional UK association, the British Universities Industrial Relations Association (BUIRA), as a case study and consider how issues of equality and diversity have been viewed by the organisation both in theory and practice. Using a framework which acknowledges the need for multiple levels of analysis (macro, meso and micro) and which argues for an intersectional approach, the paper seeks to detail the measures adopted by BUIRA so as to augment its organisational responsiveness to various equality and diversity concerns. It also provides an insight into how the authors, as equality and diversity academics, reflected on the process of creating policy through their own research activities. A further aim of the paper is to highlight the scope and character of equality and diversity initiatives undertaken by BUIRA, and to discuss some of their implications for its membership - both now and in the future. Design/methodology/approach - What began as a simple policy piece of research developed into a multi-method, quantitative and qualitative, action-based project. It also became a reflexive study of how and by what methods research is conducted. A quantitative and qualitative survey of BUIRA members was followed with interviews with past-presidents of the organisation. Historical data in the form of a comprehensive 2010 retrospective on BUIRA were also consulted. Findings - The authors' empirical material was analysed with reference to a theoretical framework that acknowledges the importance of intersectionality at all levels of analysis. The study's findings are discussed in relation to macro, meso and micro influences and reference is made to how these three levels intersect in examining views and perceptions in relation to equality and diversity within BUIRA. The main findings are that while BUIRA as an association has acted to combat perceptions that it is dominated by older White men who prioritise traditional elements of industrial relations (IR), this view still persists for some of the membership. The membership survey indicated that it was female, younger or less established academics in particular who held this view, suggesting that in challenging inequalities within the IR academic community BUIRA may still have a way to go. Practical implications - A key implication is that representative organisations such as professional associations need to consider equality and diversity aspects that reflect the membership they serve. This has been acknowledged as fundamental in both workplaces and trade unions and now requires similar commitment from professional associations. Of course, the scope and character of initiatives are also context-sensitive, as reflected by non-linear progress in equality initiatives undertaken by these and other organisations. Originality/value - The research offers an analysis of equality and diversity within a professional association which is an under researched area.","DOI":"10.1108/02610151211223021","ISSN":"2040-7149","shortTitle":"Equality and diversity in employment relations","language":"en","editor":[{"family":"Brook","given":"Paul"}],"author":[{"family":"Holgate","given":"Jane"},{"family":"Abbott","given":"Sue"},{"family":"Kamenou","given":"Nicolina"},{"family":"Kinge","given":"Josie"},{"family":"Parker","given":"Jane"},{"family":"Sayce","given":"Susan"},{"family":"Sinclair","given":"Jacqueline"},{"family":"Williams","given":"Laura"}],"issued":{"date-parts":[["2012",4,27]]}},"locator":"323-339"},{"id":327,"uris":["http://zotero.org/users/4623355/items/LGXTAP9D"],"uri":["http://zotero.org/users/4623355/items/LGXTAP9D"],"itemData":{"id":327,"type":"article-journal","title":"A visual analysis of gender bias in contemporary anatomy textbooks","container-title":"Social Science &amp; Medicine","page":"106–113","volume":"180","source":"librarycatalogue.uwtsd.ac.uk","abstract":"Empirical research has linked gender bias in medical education with negative attitudes and behaviors in healthcare providers. Yet it has been more than 20 years since research has considered the degree to which women and men are equally represented in anatomy textbooks. Furthermore, previous research has not explored beyond quantity of representation to also examine visual gender stereotypes and, in light of theoretical advancements in the area of intersectional research, the relationship between representations of gender and representations of ethnicity, body type, health, and age. This study aimed to determine the existence and representation of gender bias in the major anatomy textbooks used at Australian Medical Schools. A systematic visual content analysis was conducted on 6044 images in which sex/gender could be identified, sourced from 17 major anatomy textbooks published from 2008 to 2013. Further content analysis was performed on the 521 narrative images, which represent an unfolding story, found within the same textbooks. Results indicate that the representation of gender in images from anatomy textbooks remain predominantly male except within sex-specific sections. Further, other forms of bias were found to exist in: the visualization of stereotypical gendered emotions, roles and settings; the lack of ethnic, age, and body type diversity; and in the almost complete adherence to a sex/gender binary. Despite increased attention to gender issues in medicine, the visual representation of gender in medical curricula continues to be biased. The biased construction of gender in anatomy textbooks designed for medical education provides future healthcare providers with inadequate and unrealistic information about patients. •Images from anatomy textbooks are mostly male except in sex-specific sections.•Stereotypical gendered emotions, roles and settings are also visualized.•There is a lack of visual ethnic, age, body type and sex/gender diversity.","DOI":"10.1016/j.socscimed.2017.03.032","ISSN":"0277-9536","language":"eng","author":[{"family":"Parker","given":"Rhiannon"},{"family":"Larkin","given":"Theresa"},{"family":"Cockburn","given":"Jon"}],"issued":{"date-parts":[["2017"]]}},"locator":"106-113"},{"id":102,"uris":["http://zotero.org/users/4623355/items/32HA2DRV"],"uri":["http://zotero.org/users/4623355/items/32HA2DRV"],"itemData":{"id":102,"type":"article-journal","title":"Review Article: Looking Back, Looking Forward. Mapping the Gendered Theories, Voices, and Politics of Organization","container-title":"Organization","page":"617-639","volume":"10","issue":"3","source":"Crossref","abstract":"Ten years ago, in the inaugural issue of Organization, Kathy Ferguson (1994) called for more theories, voices, and politics in organization studies. This article examines how these meta-theoretical threads, or what some call \"contradictions\" (Hearn, 1996) in gendered organization studies and \"riddles\" (Ferguson, 1993) in feminist theory, enable and/or constrain Ferguson's (1994) plea. Indeed, this review is not only about ascertaining the degree to which Ferguson's (1994) call has been heeded, but also the extent to which research has made connections with relevant global issues and praxis. While the gender as body count analyses have sought to integrate women and women's voices in order to challenge extant power relations, other analyses question the fruitfulness of adding-women-and-stirring alone. The gender as power relations perspective deconstructs the discursive relations that establish positions of sexual difference, thereby challenging the unitary categories of \"woman\" (Butler and Scott, 1992; Canning, 1994) and \"man.\"","DOI":"10.1177/13505084030103020","ISSN":"1350-5084, 1461-7323","shortTitle":"Review Article","language":"en","author":[{"family":"Townsley","given":"Nikki C."}],"issued":{"date-parts":[["2003",8]]}},"locator":"617-639"},{"id":72,"uris":["http://zotero.org/users/4623355/items/NQ9QGSBN"],"uri":["http://zotero.org/users/4623355/items/NQ9QGSBN"],"itemData":{"id":72,"type":"article-journal","title":"Sensitivity-to-diversity: a moderator of diversity – affective outcomes relationships","container-title":"Equality, Diversity and Inclusion: An International Journal; Birmingham","page":"494-509","volume":"33","issue":"6","source":"ProQuest","abstract":"Purpose\n– The purpose of this paper is to develop two new constructs – sensitivity to gender and race/ethnicity diversity – and examined how differences in these constructs moderate the diversity – affective outcomes relationships.\n– A sample of 250 full-time employees completed an online survey on their sensitivity, workgroup diversity, and affective reactions toward their workgroups.\n– The paper performed a construct validation of the new sensitivity to diversity measures and found that they were conceptually distinct from two existing diversity perceptual constructs – gender identity salience and pro-diversity belief. Furthermore, the authors found that the moderating effect of sensitivity to gender diversity on the relationship between gender diversity and perceived cohesiveness and workgroup commitment was stronger for women than for men. The authors also found that the moderating role of sensitivity to race/ethnicity diversity on the relationship between race/ethnicity diversity and workgroup commitment and satisfaction with coworkers varied by race/ethnicity.\n– Although common method variance can be a problem, diagnostic tests indicated that it had minimal influence on the results.\n– Organizations need to understand how individual differences among employees, especially among female and racial/ethnic minority employees, affect their responses to workgroup diversity and diversity initiatives.\n– Prior research on diversity has generally not examined individual differences in the propensity to notice differences. This study contributes to the literature by examining the moderating roles of such important individual characteristics on the relationship between diversity and affective outcomes.","DOI":"http://dx.doi.org/10.1108/EDI-05-2013-0028","ISSN":"20407149","shortTitle":"Sensitivity-to-diversity","language":"English","author":[{"family":"Zhang","given":"Lu"},{"family":"Goldberg","given":"Caren"}],"issued":{"date-parts":[["2014"]]}},"locator":"494-509"}],"schema":"https://github.com/citation-style-language/schema/raw/master/csl-citation.json"} </w:instrText>
      </w:r>
      <w:r w:rsidR="00DF3701" w:rsidRPr="00183445">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szCs w:val="24"/>
        </w:rPr>
        <w:t>(Holgate et al., 2012, pp. 323–339; Parker et al., 2017, pp. 106–113; Townsley, 2003, pp. 617–639; Zhang and Goldberg, 2014, pp. 494–509)</w:t>
      </w:r>
      <w:r w:rsidR="00DF3701" w:rsidRPr="00183445">
        <w:rPr>
          <w:rFonts w:ascii="Times New Roman" w:eastAsia="Times New Roman" w:hAnsi="Times New Roman" w:cs="Times New Roman"/>
          <w:sz w:val="24"/>
          <w:szCs w:val="24"/>
        </w:rPr>
        <w:fldChar w:fldCharType="end"/>
      </w:r>
      <w:r w:rsidR="002A4452" w:rsidRPr="00183445">
        <w:rPr>
          <w:rFonts w:ascii="Times New Roman" w:eastAsia="Times New Roman" w:hAnsi="Times New Roman" w:cs="Times New Roman"/>
          <w:sz w:val="24"/>
          <w:szCs w:val="24"/>
        </w:rPr>
        <w:t xml:space="preserve"> </w:t>
      </w:r>
    </w:p>
    <w:p w14:paraId="5A17432C" w14:textId="35D38B42" w:rsidR="00F74507" w:rsidRPr="00183445" w:rsidRDefault="00D87175" w:rsidP="002A4452">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However</w:t>
      </w:r>
      <w:r w:rsidRPr="00183445">
        <w:rPr>
          <w:rFonts w:ascii="Times New Roman" w:eastAsia="Times New Roman" w:hAnsi="Times New Roman" w:cs="Times New Roman"/>
          <w:sz w:val="24"/>
          <w:szCs w:val="24"/>
        </w:rPr>
        <w:t>, Judith Howard (2000) research reviewed the social psychological foundations of identity accentuating ‘</w:t>
      </w:r>
      <w:r w:rsidRPr="00183445">
        <w:rPr>
          <w:rFonts w:ascii="Times New Roman" w:eastAsia="Times New Roman" w:hAnsi="Times New Roman" w:cs="Times New Roman"/>
          <w:i/>
          <w:sz w:val="24"/>
          <w:szCs w:val="24"/>
        </w:rPr>
        <w:t>social cognitive and symbolic interactionist perspectives and research</w:t>
      </w:r>
      <w:r w:rsidRPr="00183445">
        <w:rPr>
          <w:rFonts w:ascii="Times New Roman" w:eastAsia="Times New Roman" w:hAnsi="Times New Roman" w:cs="Times New Roman"/>
          <w:sz w:val="24"/>
          <w:szCs w:val="24"/>
        </w:rPr>
        <w:t>’ with the efference on the key themes of current research on ‘</w:t>
      </w:r>
      <w:r w:rsidRPr="00183445">
        <w:rPr>
          <w:rFonts w:ascii="Times New Roman" w:eastAsia="Times New Roman" w:hAnsi="Times New Roman" w:cs="Times New Roman"/>
          <w:i/>
          <w:sz w:val="24"/>
          <w:szCs w:val="24"/>
        </w:rPr>
        <w:t>identity</w:t>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i/>
          <w:sz w:val="24"/>
          <w:szCs w:val="24"/>
        </w:rPr>
        <w:t>social psy</w:t>
      </w:r>
      <w:r w:rsidRPr="00183445">
        <w:rPr>
          <w:rFonts w:ascii="Times New Roman" w:eastAsia="Times New Roman" w:hAnsi="Times New Roman" w:cs="Times New Roman"/>
          <w:i/>
          <w:sz w:val="24"/>
          <w:szCs w:val="24"/>
        </w:rPr>
        <w:t xml:space="preserve">chological, sociological and interdisciplinary’ </w:t>
      </w:r>
      <w:r w:rsidRPr="00183445">
        <w:rPr>
          <w:rFonts w:ascii="Times New Roman" w:eastAsia="Times New Roman" w:hAnsi="Times New Roman" w:cs="Times New Roman"/>
          <w:sz w:val="24"/>
          <w:szCs w:val="24"/>
        </w:rPr>
        <w:t xml:space="preserve">she highlighted the social construct of identity, particularly based on age, class, (dis)ability, ethnicity, gender, race and sexuality, separately and their intersection. Judith </w:t>
      </w:r>
      <w:r w:rsidRPr="00183445">
        <w:rPr>
          <w:rFonts w:ascii="Times New Roman" w:eastAsia="Times New Roman" w:hAnsi="Times New Roman" w:cs="Times New Roman"/>
          <w:sz w:val="24"/>
          <w:szCs w:val="24"/>
        </w:rPr>
        <w:t xml:space="preserve">continues with </w:t>
      </w:r>
      <w:r w:rsidRPr="00183445">
        <w:rPr>
          <w:rFonts w:ascii="Times New Roman" w:eastAsia="Times New Roman" w:hAnsi="Times New Roman" w:cs="Times New Roman"/>
          <w:sz w:val="24"/>
          <w:szCs w:val="24"/>
        </w:rPr>
        <w:t>the</w:t>
      </w:r>
      <w:r w:rsidRPr="00183445">
        <w:rPr>
          <w:rFonts w:ascii="Times New Roman" w:eastAsia="Times New Roman" w:hAnsi="Times New Roman" w:cs="Times New Roman"/>
          <w:sz w:val="24"/>
          <w:szCs w:val="24"/>
        </w:rPr>
        <w:t xml:space="preserve"> struggles that have immerged over identities, created by social inequalities, social movement, and nationalisms. </w:t>
      </w:r>
    </w:p>
    <w:p w14:paraId="4978D21D" w14:textId="7E908AFD" w:rsidR="00F74507" w:rsidRPr="00183445" w:rsidRDefault="00D87175" w:rsidP="00225268">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Her work continues to</w:t>
      </w:r>
      <w:r w:rsidRPr="00183445">
        <w:rPr>
          <w:rFonts w:ascii="Times New Roman" w:eastAsia="Times New Roman" w:hAnsi="Times New Roman" w:cs="Times New Roman"/>
          <w:sz w:val="24"/>
          <w:szCs w:val="24"/>
        </w:rPr>
        <w:t xml:space="preserve"> discuss postmodern concept, that identifies it as ‘</w:t>
      </w:r>
      <w:r w:rsidRPr="00183445">
        <w:rPr>
          <w:rFonts w:ascii="Times New Roman" w:eastAsia="Times New Roman" w:hAnsi="Times New Roman" w:cs="Times New Roman"/>
          <w:i/>
          <w:sz w:val="24"/>
          <w:szCs w:val="24"/>
        </w:rPr>
        <w:t>fluid, multidimensional and personalised social constr</w:t>
      </w:r>
      <w:r w:rsidRPr="00183445">
        <w:rPr>
          <w:rFonts w:ascii="Times New Roman" w:eastAsia="Times New Roman" w:hAnsi="Times New Roman" w:cs="Times New Roman"/>
          <w:i/>
          <w:sz w:val="24"/>
          <w:szCs w:val="24"/>
        </w:rPr>
        <w:t>uctions that reflect sociohistorical contexts, approaches</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i/>
          <w:sz w:val="24"/>
          <w:szCs w:val="24"/>
        </w:rPr>
        <w:t xml:space="preserve">remarkably consistent with recent empirical social psychological research’ </w:t>
      </w:r>
      <w:r w:rsidRPr="00183445">
        <w:rPr>
          <w:rFonts w:ascii="Times New Roman" w:eastAsia="Times New Roman" w:hAnsi="Times New Roman" w:cs="Times New Roman"/>
          <w:sz w:val="24"/>
          <w:szCs w:val="24"/>
        </w:rPr>
        <w:t>This bring together everyday lives that have structure</w:t>
      </w:r>
      <w:r w:rsidRPr="00183445">
        <w:rPr>
          <w:rFonts w:ascii="Times New Roman" w:eastAsia="Times New Roman" w:hAnsi="Times New Roman" w:cs="Times New Roman"/>
          <w:i/>
          <w:sz w:val="24"/>
          <w:szCs w:val="24"/>
        </w:rPr>
        <w:t xml:space="preserve"> </w:t>
      </w:r>
      <w:r w:rsidRPr="00183445">
        <w:rPr>
          <w:rFonts w:ascii="Times New Roman" w:eastAsia="Times New Roman" w:hAnsi="Times New Roman" w:cs="Times New Roman"/>
          <w:sz w:val="24"/>
          <w:szCs w:val="24"/>
        </w:rPr>
        <w:t xml:space="preserve">and reality and sociocultural </w:t>
      </w:r>
      <w:r w:rsidRPr="00183445">
        <w:rPr>
          <w:rFonts w:ascii="Times New Roman" w:eastAsia="Times New Roman" w:hAnsi="Times New Roman" w:cs="Times New Roman"/>
          <w:sz w:val="24"/>
          <w:szCs w:val="24"/>
        </w:rPr>
        <w:t>that are</w:t>
      </w:r>
      <w:r w:rsidRPr="00183445">
        <w:rPr>
          <w:rFonts w:ascii="Times New Roman" w:eastAsia="Times New Roman" w:hAnsi="Times New Roman" w:cs="Times New Roman"/>
          <w:sz w:val="24"/>
          <w:szCs w:val="24"/>
        </w:rPr>
        <w:t xml:space="preserve"> lived.</w:t>
      </w:r>
    </w:p>
    <w:p w14:paraId="10764BFD" w14:textId="03D30C36" w:rsidR="00F74507" w:rsidRPr="00183445" w:rsidRDefault="00D87175" w:rsidP="00183445">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Model</w:t>
      </w:r>
      <w:r w:rsidR="00225268">
        <w:rPr>
          <w:rFonts w:ascii="Times New Roman" w:eastAsia="Times New Roman" w:hAnsi="Times New Roman" w:cs="Times New Roman"/>
          <w:sz w:val="24"/>
          <w:szCs w:val="24"/>
        </w:rPr>
        <w:t>s</w:t>
      </w:r>
      <w:r w:rsidRPr="00183445">
        <w:rPr>
          <w:rFonts w:ascii="Times New Roman" w:eastAsia="Times New Roman" w:hAnsi="Times New Roman" w:cs="Times New Roman"/>
          <w:sz w:val="24"/>
          <w:szCs w:val="24"/>
        </w:rPr>
        <w:t xml:space="preserve"> of ident</w:t>
      </w:r>
      <w:r w:rsidRPr="00183445">
        <w:rPr>
          <w:rFonts w:ascii="Times New Roman" w:eastAsia="Times New Roman" w:hAnsi="Times New Roman" w:cs="Times New Roman"/>
          <w:sz w:val="24"/>
          <w:szCs w:val="24"/>
        </w:rPr>
        <w:t>ity challenge the connection between ‘</w:t>
      </w:r>
      <w:r w:rsidRPr="00183445">
        <w:rPr>
          <w:rFonts w:ascii="Times New Roman" w:eastAsia="Times New Roman" w:hAnsi="Times New Roman" w:cs="Times New Roman"/>
          <w:i/>
          <w:sz w:val="24"/>
          <w:szCs w:val="24"/>
        </w:rPr>
        <w:t>divergent perspective’</w:t>
      </w:r>
      <w:r w:rsidRPr="00183445">
        <w:rPr>
          <w:rFonts w:ascii="Times New Roman" w:eastAsia="Times New Roman" w:hAnsi="Times New Roman" w:cs="Times New Roman"/>
          <w:sz w:val="24"/>
          <w:szCs w:val="24"/>
        </w:rPr>
        <w:t xml:space="preserve"> and ‘</w:t>
      </w:r>
      <w:r w:rsidRPr="00183445">
        <w:rPr>
          <w:rFonts w:ascii="Times New Roman" w:eastAsia="Times New Roman" w:hAnsi="Times New Roman" w:cs="Times New Roman"/>
          <w:i/>
          <w:sz w:val="24"/>
          <w:szCs w:val="24"/>
        </w:rPr>
        <w:t xml:space="preserve">apparent dichotomies’ </w:t>
      </w:r>
      <w:r w:rsidRPr="00183445">
        <w:rPr>
          <w:rFonts w:ascii="Times New Roman" w:eastAsia="Times New Roman" w:hAnsi="Times New Roman" w:cs="Times New Roman"/>
          <w:sz w:val="24"/>
          <w:szCs w:val="24"/>
        </w:rPr>
        <w:t>such as conscious or unconscious, social-collective or personal</w:t>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 xml:space="preserve"> which allows </w:t>
      </w:r>
      <w:r w:rsidRPr="00183445">
        <w:rPr>
          <w:rFonts w:ascii="Times New Roman" w:eastAsia="Times New Roman" w:hAnsi="Times New Roman" w:cs="Times New Roman"/>
          <w:sz w:val="24"/>
          <w:szCs w:val="24"/>
        </w:rPr>
        <w:t xml:space="preserve">the </w:t>
      </w:r>
      <w:r w:rsidRPr="00183445">
        <w:rPr>
          <w:rFonts w:ascii="Times New Roman" w:eastAsia="Times New Roman" w:hAnsi="Times New Roman" w:cs="Times New Roman"/>
          <w:sz w:val="24"/>
          <w:szCs w:val="24"/>
        </w:rPr>
        <w:t>search of questions in research that allows ‘</w:t>
      </w:r>
      <w:r w:rsidRPr="00183445">
        <w:rPr>
          <w:rFonts w:ascii="Times New Roman" w:eastAsia="Times New Roman" w:hAnsi="Times New Roman" w:cs="Times New Roman"/>
          <w:i/>
          <w:sz w:val="24"/>
          <w:szCs w:val="24"/>
        </w:rPr>
        <w:t>integrative’</w:t>
      </w:r>
      <w:r w:rsidRPr="00183445">
        <w:rPr>
          <w:rFonts w:ascii="Times New Roman" w:eastAsia="Times New Roman" w:hAnsi="Times New Roman" w:cs="Times New Roman"/>
          <w:sz w:val="24"/>
          <w:szCs w:val="24"/>
        </w:rPr>
        <w:t xml:space="preserve"> replies</w:t>
      </w:r>
      <w:r w:rsidRPr="00183445">
        <w:rPr>
          <w:rFonts w:ascii="Times New Roman" w:eastAsia="Times New Roman" w:hAnsi="Times New Roman" w:cs="Times New Roman"/>
          <w:i/>
          <w:sz w:val="24"/>
          <w:szCs w:val="24"/>
        </w:rPr>
        <w:t>.</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Moreover, contextu</w:t>
      </w:r>
      <w:r w:rsidRPr="00183445">
        <w:rPr>
          <w:rFonts w:ascii="Times New Roman" w:eastAsia="Times New Roman" w:hAnsi="Times New Roman" w:cs="Times New Roman"/>
          <w:sz w:val="24"/>
          <w:szCs w:val="24"/>
        </w:rPr>
        <w:t xml:space="preserve">al social role can be used in analysis and the conceptualises role identity Dynamic Systems Model of Role Identity (DSMRI). Complex Dynamic System (CDS) grounds the </w:t>
      </w:r>
      <w:r w:rsidRPr="00183445">
        <w:rPr>
          <w:rFonts w:ascii="Times New Roman" w:eastAsia="Times New Roman" w:hAnsi="Times New Roman" w:cs="Times New Roman"/>
          <w:sz w:val="24"/>
          <w:szCs w:val="24"/>
        </w:rPr>
        <w:lastRenderedPageBreak/>
        <w:t>action that includes person’s ontological and epistemological goals, beliefs and purpose, s</w:t>
      </w:r>
      <w:r w:rsidRPr="00183445">
        <w:rPr>
          <w:rFonts w:ascii="Times New Roman" w:eastAsia="Times New Roman" w:hAnsi="Times New Roman" w:cs="Times New Roman"/>
          <w:sz w:val="24"/>
          <w:szCs w:val="24"/>
        </w:rPr>
        <w:t>elf-definitions and self-perceptions and observes the actions in the role.</w:t>
      </w:r>
    </w:p>
    <w:p w14:paraId="368579B7" w14:textId="52882DC3" w:rsidR="00F74507" w:rsidRPr="00183445" w:rsidRDefault="00D87175" w:rsidP="00183445">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Interdependent is conceptualised in the system components and the development of identity is known as nonlinear, contextualised, emergent and continuous and has influences both in or out of the system.</w:t>
      </w:r>
      <w:r w:rsidRPr="00183445">
        <w:rPr>
          <w:rFonts w:ascii="Times New Roman" w:eastAsia="Times New Roman" w:hAnsi="Times New Roman" w:cs="Times New Roman"/>
          <w:color w:val="FF0000"/>
          <w:sz w:val="24"/>
          <w:szCs w:val="24"/>
        </w:rPr>
        <w:t xml:space="preserve">  </w:t>
      </w:r>
      <w:r w:rsidRPr="00183445">
        <w:rPr>
          <w:rFonts w:ascii="Times New Roman" w:eastAsia="Times New Roman" w:hAnsi="Times New Roman" w:cs="Times New Roman"/>
          <w:sz w:val="24"/>
          <w:szCs w:val="24"/>
        </w:rPr>
        <w:t>One of the elements within the multilevel</w:t>
      </w:r>
      <w:r w:rsidR="00FD3647"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hierarchy,</w:t>
      </w:r>
      <w:r w:rsidRPr="00183445">
        <w:rPr>
          <w:rFonts w:ascii="Times New Roman" w:eastAsia="Times New Roman" w:hAnsi="Times New Roman" w:cs="Times New Roman"/>
          <w:sz w:val="24"/>
          <w:szCs w:val="24"/>
        </w:rPr>
        <w:t xml:space="preserve"> </w:t>
      </w:r>
      <w:r w:rsidR="00183445" w:rsidRPr="00183445">
        <w:rPr>
          <w:rFonts w:ascii="Times New Roman" w:eastAsia="Times New Roman" w:hAnsi="Times New Roman" w:cs="Times New Roman"/>
          <w:sz w:val="24"/>
          <w:szCs w:val="24"/>
        </w:rPr>
        <w:t>of the</w:t>
      </w:r>
      <w:r w:rsidRPr="00183445">
        <w:rPr>
          <w:rFonts w:ascii="Times New Roman" w:eastAsia="Times New Roman" w:hAnsi="Times New Roman" w:cs="Times New Roman"/>
          <w:sz w:val="24"/>
          <w:szCs w:val="24"/>
        </w:rPr>
        <w:t xml:space="preserve"> role </w:t>
      </w:r>
      <w:r w:rsidR="00183445" w:rsidRPr="00183445">
        <w:rPr>
          <w:rFonts w:ascii="Times New Roman" w:eastAsia="Times New Roman" w:hAnsi="Times New Roman" w:cs="Times New Roman"/>
          <w:sz w:val="24"/>
          <w:szCs w:val="24"/>
        </w:rPr>
        <w:t xml:space="preserve">of </w:t>
      </w:r>
      <w:r w:rsidRPr="00183445">
        <w:rPr>
          <w:rFonts w:ascii="Times New Roman" w:eastAsia="Times New Roman" w:hAnsi="Times New Roman" w:cs="Times New Roman"/>
          <w:sz w:val="24"/>
          <w:szCs w:val="24"/>
        </w:rPr>
        <w:t>identity, used as person’s psychosocial identity, and these are used as tool</w:t>
      </w:r>
      <w:r w:rsidR="00225268">
        <w:rPr>
          <w:rFonts w:ascii="Times New Roman" w:eastAsia="Times New Roman" w:hAnsi="Times New Roman" w:cs="Times New Roman"/>
          <w:sz w:val="24"/>
          <w:szCs w:val="24"/>
        </w:rPr>
        <w:t>s</w:t>
      </w:r>
      <w:r w:rsidRPr="00183445">
        <w:rPr>
          <w:rFonts w:ascii="Times New Roman" w:eastAsia="Times New Roman" w:hAnsi="Times New Roman" w:cs="Times New Roman"/>
          <w:sz w:val="24"/>
          <w:szCs w:val="24"/>
        </w:rPr>
        <w:t xml:space="preserve"> of analysis within a CDS of multiple roles. The ‘</w:t>
      </w:r>
      <w:r w:rsidRPr="00183445">
        <w:rPr>
          <w:rFonts w:ascii="Times New Roman" w:eastAsia="Times New Roman" w:hAnsi="Times New Roman" w:cs="Times New Roman"/>
          <w:i/>
          <w:sz w:val="24"/>
          <w:szCs w:val="24"/>
        </w:rPr>
        <w:t>intra- and interpersonal process</w:t>
      </w:r>
      <w:r w:rsidRPr="00183445">
        <w:rPr>
          <w:rFonts w:ascii="Times New Roman" w:eastAsia="Times New Roman" w:hAnsi="Times New Roman" w:cs="Times New Roman"/>
          <w:sz w:val="24"/>
          <w:szCs w:val="24"/>
        </w:rPr>
        <w:t>’ used within role identities, has been developed through the formation and restrictio</w:t>
      </w:r>
      <w:r w:rsidRPr="00183445">
        <w:rPr>
          <w:rFonts w:ascii="Times New Roman" w:eastAsia="Times New Roman" w:hAnsi="Times New Roman" w:cs="Times New Roman"/>
          <w:sz w:val="24"/>
          <w:szCs w:val="24"/>
        </w:rPr>
        <w:t xml:space="preserve">n of identity, that are based on the contexts of sociocognitive and cultural methods. The framework established with DSMRI, hypothesise and inspects the nature of identity, this provides </w:t>
      </w:r>
      <w:r w:rsidRPr="00183445">
        <w:rPr>
          <w:rFonts w:ascii="Times New Roman" w:eastAsia="Times New Roman" w:hAnsi="Times New Roman" w:cs="Times New Roman"/>
          <w:sz w:val="24"/>
          <w:szCs w:val="24"/>
        </w:rPr>
        <w:t>connection between psychological and development of identity, whi</w:t>
      </w:r>
      <w:r w:rsidRPr="00183445">
        <w:rPr>
          <w:rFonts w:ascii="Times New Roman" w:eastAsia="Times New Roman" w:hAnsi="Times New Roman" w:cs="Times New Roman"/>
          <w:sz w:val="24"/>
          <w:szCs w:val="24"/>
        </w:rPr>
        <w:t xml:space="preserve">ch can function as separate analysis units over various stages and contexts development of the use of quantitative and qualitative methodologies (Howard, 2000, p. 367; Kaplan and Garner, 2017, p. 2038). </w:t>
      </w:r>
    </w:p>
    <w:p w14:paraId="399B3CBE" w14:textId="20FAC6FD" w:rsidR="00F74507" w:rsidRPr="00183445" w:rsidRDefault="00D87175">
      <w:pPr>
        <w:spacing w:line="360" w:lineRule="auto"/>
        <w:ind w:firstLine="0"/>
        <w:rPr>
          <w:rFonts w:ascii="Times New Roman" w:hAnsi="Times New Roman" w:cs="Times New Roman"/>
          <w:sz w:val="24"/>
          <w:szCs w:val="24"/>
        </w:rPr>
      </w:pPr>
      <w:r w:rsidRPr="00183445">
        <w:rPr>
          <w:rFonts w:ascii="Times New Roman" w:eastAsia="Times New Roman" w:hAnsi="Times New Roman" w:cs="Times New Roman"/>
          <w:sz w:val="24"/>
          <w:szCs w:val="24"/>
        </w:rPr>
        <w:tab/>
        <w:t>Throughout history of psychopathology (main classif</w:t>
      </w:r>
      <w:r w:rsidRPr="00183445">
        <w:rPr>
          <w:rFonts w:ascii="Times New Roman" w:eastAsia="Times New Roman" w:hAnsi="Times New Roman" w:cs="Times New Roman"/>
          <w:sz w:val="24"/>
          <w:szCs w:val="24"/>
        </w:rPr>
        <w:t>ication systems) numerous debates and controversies have taken place about gender identity and sexual orientation. It discusses and reflects on ‘</w:t>
      </w:r>
      <w:r w:rsidRPr="00183445">
        <w:rPr>
          <w:rFonts w:ascii="Times New Roman" w:eastAsia="Times New Roman" w:hAnsi="Times New Roman" w:cs="Times New Roman"/>
          <w:i/>
          <w:sz w:val="24"/>
          <w:szCs w:val="24"/>
        </w:rPr>
        <w:t>reformulations of gender dysphoria</w:t>
      </w:r>
      <w:r w:rsidRPr="00183445">
        <w:rPr>
          <w:rFonts w:ascii="Times New Roman" w:eastAsia="Times New Roman" w:hAnsi="Times New Roman" w:cs="Times New Roman"/>
          <w:sz w:val="24"/>
          <w:szCs w:val="24"/>
        </w:rPr>
        <w:t>’ in two main publication</w:t>
      </w:r>
      <w:r w:rsidR="00225268">
        <w:rPr>
          <w:rFonts w:ascii="Times New Roman" w:eastAsia="Times New Roman" w:hAnsi="Times New Roman" w:cs="Times New Roman"/>
          <w:sz w:val="24"/>
          <w:szCs w:val="24"/>
        </w:rPr>
        <w:t>s</w:t>
      </w:r>
      <w:r w:rsidRPr="00183445">
        <w:rPr>
          <w:rFonts w:ascii="Times New Roman" w:eastAsia="Times New Roman" w:hAnsi="Times New Roman" w:cs="Times New Roman"/>
          <w:sz w:val="24"/>
          <w:szCs w:val="24"/>
        </w:rPr>
        <w:t xml:space="preserve"> International Classification of Diseases, (Russo, 2</w:t>
      </w:r>
      <w:r w:rsidRPr="00183445">
        <w:rPr>
          <w:rFonts w:ascii="Times New Roman" w:eastAsia="Times New Roman" w:hAnsi="Times New Roman" w:cs="Times New Roman"/>
          <w:sz w:val="24"/>
          <w:szCs w:val="24"/>
        </w:rPr>
        <w:t>017) and the Diagnostic and Statistical Manual (DSM V) (American Psychiatric Association, 2000). To critique current controversies and historical concepts is to look at the psychopathology classification systems. Within, mental health care patients still e</w:t>
      </w:r>
      <w:r w:rsidRPr="00183445">
        <w:rPr>
          <w:rFonts w:ascii="Times New Roman" w:eastAsia="Times New Roman" w:hAnsi="Times New Roman" w:cs="Times New Roman"/>
          <w:sz w:val="24"/>
          <w:szCs w:val="24"/>
        </w:rPr>
        <w:t xml:space="preserve">xperience ‘micro-aggressions’ by gay, bisexual, lesbian and trans. They both look at the complex field of the mental health concept and the associated illness, looking on the distress and person-centred of psychopathology. In addition, they state that the </w:t>
      </w:r>
      <w:r w:rsidRPr="00183445">
        <w:rPr>
          <w:rFonts w:ascii="Times New Roman" w:eastAsia="Times New Roman" w:hAnsi="Times New Roman" w:cs="Times New Roman"/>
          <w:sz w:val="24"/>
          <w:szCs w:val="24"/>
        </w:rPr>
        <w:t>significant intervening variables of stigmatisation and discrimination, they go on to argue that gender identity and sexual orientation viewed historically as a field of psychopathology, ‘gender, variance/fluidity and transgression. These same conversation</w:t>
      </w:r>
      <w:r w:rsidR="00225268">
        <w:rPr>
          <w:rFonts w:ascii="Times New Roman" w:eastAsia="Times New Roman" w:hAnsi="Times New Roman" w:cs="Times New Roman"/>
          <w:sz w:val="24"/>
          <w:szCs w:val="24"/>
        </w:rPr>
        <w:t>s</w:t>
      </w:r>
      <w:r w:rsidRPr="00183445">
        <w:rPr>
          <w:rFonts w:ascii="Times New Roman" w:eastAsia="Times New Roman" w:hAnsi="Times New Roman" w:cs="Times New Roman"/>
          <w:sz w:val="24"/>
          <w:szCs w:val="24"/>
        </w:rPr>
        <w:t xml:space="preserve"> and debates historically of mental health and psychopathology care with regards to lesbian, bisexual, gay, and transgender (LBGT) humans</w:t>
      </w:r>
      <w:r w:rsidRPr="00183445">
        <w:rPr>
          <w:rFonts w:ascii="Times New Roman" w:eastAsia="Times New Roman" w:hAnsi="Times New Roman" w:cs="Times New Roman"/>
          <w:sz w:val="24"/>
          <w:szCs w:val="24"/>
        </w:rPr>
        <w:t xml:space="preserve"> (Moleiro and Pinto, 2015; Waites, 2009. p 137)</w:t>
      </w:r>
      <w:r w:rsidRPr="00183445">
        <w:rPr>
          <w:rFonts w:ascii="Times New Roman" w:eastAsia="Times New Roman" w:hAnsi="Times New Roman" w:cs="Times New Roman"/>
          <w:sz w:val="24"/>
          <w:szCs w:val="24"/>
        </w:rPr>
        <w:t>.</w:t>
      </w:r>
    </w:p>
    <w:p w14:paraId="13762802" w14:textId="258B553B" w:rsidR="00F74507" w:rsidRPr="00183445" w:rsidRDefault="00D87175">
      <w:pPr>
        <w:spacing w:line="360" w:lineRule="auto"/>
        <w:ind w:firstLine="0"/>
        <w:rPr>
          <w:rFonts w:ascii="Times New Roman" w:hAnsi="Times New Roman" w:cs="Times New Roman"/>
          <w:sz w:val="24"/>
          <w:szCs w:val="24"/>
        </w:rPr>
      </w:pPr>
      <w:r w:rsidRPr="00183445">
        <w:rPr>
          <w:rFonts w:ascii="Times New Roman" w:eastAsia="Times New Roman" w:hAnsi="Times New Roman" w:cs="Times New Roman"/>
          <w:sz w:val="24"/>
          <w:szCs w:val="24"/>
        </w:rPr>
        <w:t>The concepts</w:t>
      </w:r>
      <w:r w:rsidR="00440405" w:rsidRPr="00183445">
        <w:rPr>
          <w:rFonts w:ascii="Times New Roman" w:eastAsia="Times New Roman" w:hAnsi="Times New Roman" w:cs="Times New Roman"/>
          <w:sz w:val="24"/>
          <w:szCs w:val="24"/>
        </w:rPr>
        <w:t xml:space="preserve"> (notions)</w:t>
      </w:r>
      <w:r w:rsidRPr="00183445">
        <w:rPr>
          <w:rFonts w:ascii="Times New Roman" w:eastAsia="Times New Roman" w:hAnsi="Times New Roman" w:cs="Times New Roman"/>
          <w:sz w:val="24"/>
          <w:szCs w:val="24"/>
        </w:rPr>
        <w:t xml:space="preserve"> that are being used to contest global human rights disco</w:t>
      </w:r>
      <w:r w:rsidRPr="00183445">
        <w:rPr>
          <w:rFonts w:ascii="Times New Roman" w:eastAsia="Times New Roman" w:hAnsi="Times New Roman" w:cs="Times New Roman"/>
          <w:sz w:val="24"/>
          <w:szCs w:val="24"/>
        </w:rPr>
        <w:t xml:space="preserve">urses the human rights  networks,  by the international lesbian, gay, bisexual and transgender (LGBT) activist network is ‘sexual orientation’ and ‘gender identity’ and Waites (2009) </w:t>
      </w:r>
      <w:r w:rsidR="00440405"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critiqu</w:t>
      </w:r>
      <w:r w:rsidR="00440405" w:rsidRPr="00183445">
        <w:rPr>
          <w:rFonts w:ascii="Times New Roman" w:eastAsia="Times New Roman" w:hAnsi="Times New Roman" w:cs="Times New Roman"/>
          <w:sz w:val="24"/>
          <w:szCs w:val="24"/>
        </w:rPr>
        <w:t xml:space="preserve">ing  </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lastRenderedPageBreak/>
        <w:t>the declaration of Montreal (2006) and the Yogyakarta Principles</w:t>
      </w:r>
      <w:r w:rsidRPr="00183445">
        <w:rPr>
          <w:rFonts w:ascii="Times New Roman" w:eastAsia="Times New Roman" w:hAnsi="Times New Roman" w:cs="Times New Roman"/>
          <w:sz w:val="24"/>
          <w:szCs w:val="24"/>
        </w:rPr>
        <w:t xml:space="preserve"> (2007) in the context of human rights discourse: global queer politics.</w:t>
      </w:r>
    </w:p>
    <w:p w14:paraId="37CD680E" w14:textId="576E34C7" w:rsidR="00F74507" w:rsidRPr="00183445" w:rsidRDefault="00225268">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Queer and social theory</w:t>
      </w:r>
      <w:r w:rsidR="00D87175" w:rsidRPr="00183445">
        <w:rPr>
          <w:rFonts w:ascii="Times New Roman" w:eastAsia="Times New Roman" w:hAnsi="Times New Roman" w:cs="Times New Roman"/>
          <w:sz w:val="24"/>
          <w:szCs w:val="24"/>
        </w:rPr>
        <w:t xml:space="preserve"> inform</w:t>
      </w:r>
      <w:r w:rsidR="00966862">
        <w:rPr>
          <w:rFonts w:ascii="Times New Roman" w:eastAsia="Times New Roman" w:hAnsi="Times New Roman" w:cs="Times New Roman"/>
          <w:sz w:val="24"/>
          <w:szCs w:val="24"/>
        </w:rPr>
        <w:t>s</w:t>
      </w:r>
      <w:r w:rsidR="00D87175" w:rsidRPr="00183445">
        <w:rPr>
          <w:rFonts w:ascii="Times New Roman" w:eastAsia="Times New Roman" w:hAnsi="Times New Roman" w:cs="Times New Roman"/>
          <w:sz w:val="24"/>
          <w:szCs w:val="24"/>
        </w:rPr>
        <w:t xml:space="preserve"> theoretical analysis are the key concepts in the debates in human rights discourses in relation to the United Nations. International governmental and non-governmental organisations (NGOs) activist</w:t>
      </w:r>
      <w:r>
        <w:rPr>
          <w:rFonts w:ascii="Times New Roman" w:eastAsia="Times New Roman" w:hAnsi="Times New Roman" w:cs="Times New Roman"/>
          <w:sz w:val="24"/>
          <w:szCs w:val="24"/>
        </w:rPr>
        <w:t>s</w:t>
      </w:r>
      <w:r w:rsidR="00D87175" w:rsidRPr="00183445">
        <w:rPr>
          <w:rFonts w:ascii="Times New Roman" w:eastAsia="Times New Roman" w:hAnsi="Times New Roman" w:cs="Times New Roman"/>
          <w:sz w:val="24"/>
          <w:szCs w:val="24"/>
        </w:rPr>
        <w:t xml:space="preserve"> and academics look at the re</w:t>
      </w:r>
      <w:r w:rsidR="00D87175" w:rsidRPr="00183445">
        <w:rPr>
          <w:rFonts w:ascii="Times New Roman" w:eastAsia="Times New Roman" w:hAnsi="Times New Roman" w:cs="Times New Roman"/>
          <w:sz w:val="24"/>
          <w:szCs w:val="24"/>
        </w:rPr>
        <w:t>lationship between the discourses to investigate and determine</w:t>
      </w:r>
      <w:r>
        <w:rPr>
          <w:rFonts w:ascii="Times New Roman" w:eastAsia="Times New Roman" w:hAnsi="Times New Roman" w:cs="Times New Roman"/>
          <w:sz w:val="24"/>
          <w:szCs w:val="24"/>
        </w:rPr>
        <w:t xml:space="preserve"> </w:t>
      </w:r>
      <w:r w:rsidR="00D87175" w:rsidRPr="00183445">
        <w:rPr>
          <w:rFonts w:ascii="Times New Roman" w:eastAsia="Times New Roman" w:hAnsi="Times New Roman" w:cs="Times New Roman"/>
          <w:sz w:val="24"/>
          <w:szCs w:val="24"/>
        </w:rPr>
        <w:t>the conceptions of identity and subjectivity operating.</w:t>
      </w:r>
      <w:r w:rsidR="00D87175" w:rsidRPr="00183445">
        <w:rPr>
          <w:rFonts w:ascii="Times New Roman" w:eastAsia="Times New Roman" w:hAnsi="Times New Roman" w:cs="Times New Roman"/>
          <w:sz w:val="24"/>
          <w:szCs w:val="24"/>
        </w:rPr>
        <w:t xml:space="preserve"> </w:t>
      </w:r>
      <w:r w:rsidR="00D87175" w:rsidRPr="00183445">
        <w:rPr>
          <w:rFonts w:ascii="Times New Roman" w:eastAsia="Times New Roman" w:hAnsi="Times New Roman" w:cs="Times New Roman"/>
          <w:sz w:val="24"/>
          <w:szCs w:val="24"/>
        </w:rPr>
        <w:t xml:space="preserve">Heterosexual matrix refers to Judith Butler’s writings </w:t>
      </w:r>
      <w:r w:rsidR="00440405" w:rsidRPr="00183445">
        <w:rPr>
          <w:rFonts w:ascii="Times New Roman" w:eastAsia="Times New Roman" w:hAnsi="Times New Roman" w:cs="Times New Roman"/>
          <w:sz w:val="24"/>
          <w:szCs w:val="24"/>
        </w:rPr>
        <w:fldChar w:fldCharType="begin"/>
      </w:r>
      <w:r w:rsidR="00440405" w:rsidRPr="00183445">
        <w:rPr>
          <w:rFonts w:ascii="Times New Roman" w:eastAsia="Times New Roman" w:hAnsi="Times New Roman" w:cs="Times New Roman"/>
          <w:sz w:val="24"/>
          <w:szCs w:val="24"/>
        </w:rPr>
        <w:instrText xml:space="preserve"> ADDIN ZOTERO_ITEM CSL_CITATION {"citationID":"LEDRTF0l","properties":{"formattedCitation":"(Butler, 1999)","plainCitation":"(Butler, 1999)","noteIndex":0},"citationItems":[{"id":70,"uris":["http://zotero.org/users/4623355/items/DQP92U7W"],"uri":["http://zotero.org/users/4623355/items/DQP92U7W"],"itemData":{"id":70,"type":"article-journal","title":"Feminism and the Subversion of Identity","container-title":"New York","page":"17","source":"Zotero","language":"en","author":[{"family":"Butler","given":"Judith"}],"issued":{"date-parts":[["1999"]]}}}],"schema":"https://github.com/citation-style-language/schema/raw/master/csl-citation.json"} </w:instrText>
      </w:r>
      <w:r w:rsidR="00440405" w:rsidRPr="00183445">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rPr>
        <w:t>(Butler, 1999)</w:t>
      </w:r>
      <w:r w:rsidR="00440405" w:rsidRPr="00183445">
        <w:rPr>
          <w:rFonts w:ascii="Times New Roman" w:eastAsia="Times New Roman" w:hAnsi="Times New Roman" w:cs="Times New Roman"/>
          <w:sz w:val="24"/>
          <w:szCs w:val="24"/>
        </w:rPr>
        <w:fldChar w:fldCharType="end"/>
      </w:r>
      <w:r w:rsidR="00D87175" w:rsidRPr="00183445">
        <w:rPr>
          <w:rFonts w:ascii="Times New Roman" w:eastAsia="Times New Roman" w:hAnsi="Times New Roman" w:cs="Times New Roman"/>
          <w:sz w:val="24"/>
          <w:szCs w:val="24"/>
        </w:rPr>
        <w:t xml:space="preserve">that by proposing that ‘sexual orientation’ and ‘gender identity’ entry could be interpreted as ‘installing a distinctive gender and sexual matrix and clarifies that ‘sexual </w:t>
      </w:r>
      <w:r w:rsidR="00D87175" w:rsidRPr="00183445">
        <w:rPr>
          <w:rFonts w:ascii="Times New Roman" w:eastAsia="Times New Roman" w:hAnsi="Times New Roman" w:cs="Times New Roman"/>
          <w:sz w:val="24"/>
          <w:szCs w:val="24"/>
        </w:rPr>
        <w:t>orientation’ and ‘gender identity’ in the Yogyakarta Principles simplifies ‘conte</w:t>
      </w:r>
      <w:r w:rsidR="00D87175" w:rsidRPr="00183445">
        <w:rPr>
          <w:rFonts w:ascii="Times New Roman" w:eastAsia="Times New Roman" w:hAnsi="Times New Roman" w:cs="Times New Roman"/>
          <w:sz w:val="24"/>
          <w:szCs w:val="24"/>
        </w:rPr>
        <w:t>station’ of these concepts. An argument that these could be ‘systematically contest’ these concepts' central meanings</w:t>
      </w:r>
      <w:r w:rsidR="00D87175" w:rsidRPr="00183445">
        <w:rPr>
          <w:rFonts w:ascii="Times New Roman" w:eastAsia="Times New Roman" w:hAnsi="Times New Roman" w:cs="Times New Roman"/>
          <w:sz w:val="24"/>
          <w:szCs w:val="24"/>
        </w:rPr>
        <w:t xml:space="preserve"> (Bittner and Goodyear-Grant, 2017; Howard, 2000; Kaplan and Garner, 2017; Matzner, 2015; Waites, 2009, </w:t>
      </w:r>
      <w:r w:rsidR="00D87175" w:rsidRPr="00183445">
        <w:rPr>
          <w:rFonts w:ascii="Times New Roman" w:eastAsia="Times New Roman" w:hAnsi="Times New Roman" w:cs="Times New Roman"/>
          <w:sz w:val="24"/>
          <w:szCs w:val="24"/>
        </w:rPr>
        <w:t>Zhang and Goldberg, 2014)</w:t>
      </w:r>
      <w:r w:rsidR="00D87175" w:rsidRPr="00183445">
        <w:rPr>
          <w:rFonts w:ascii="Times New Roman" w:eastAsia="Times New Roman" w:hAnsi="Times New Roman" w:cs="Times New Roman"/>
          <w:sz w:val="24"/>
          <w:szCs w:val="24"/>
        </w:rPr>
        <w:t>.</w:t>
      </w:r>
    </w:p>
    <w:p w14:paraId="7F1F5126" w14:textId="0DB0CDC3" w:rsidR="00F74507" w:rsidRPr="00183445" w:rsidRDefault="00D87175">
      <w:pPr>
        <w:spacing w:line="360" w:lineRule="auto"/>
        <w:rPr>
          <w:rFonts w:ascii="Times New Roman" w:eastAsia="Times New Roman" w:hAnsi="Times New Roman" w:cs="Times New Roman"/>
          <w:sz w:val="24"/>
          <w:szCs w:val="24"/>
        </w:rPr>
      </w:pPr>
      <w:r w:rsidRPr="00183445">
        <w:rPr>
          <w:rFonts w:ascii="Times New Roman" w:eastAsia="Times New Roman" w:hAnsi="Times New Roman" w:cs="Times New Roman"/>
          <w:sz w:val="24"/>
          <w:szCs w:val="24"/>
        </w:rPr>
        <w:t>Intersectionality is defined as a concept of identity and the relationship be</w:t>
      </w:r>
      <w:r w:rsidRPr="00183445">
        <w:rPr>
          <w:rFonts w:ascii="Times New Roman" w:eastAsia="Times New Roman" w:hAnsi="Times New Roman" w:cs="Times New Roman"/>
          <w:sz w:val="24"/>
          <w:szCs w:val="24"/>
        </w:rPr>
        <w:t>tween self and society and human rights. It inspects the specific ways that racism and sexual orientation etc p</w:t>
      </w:r>
      <w:r w:rsidR="00AA3728">
        <w:rPr>
          <w:rFonts w:ascii="Times New Roman" w:eastAsia="Times New Roman" w:hAnsi="Times New Roman" w:cs="Times New Roman"/>
          <w:sz w:val="24"/>
          <w:szCs w:val="24"/>
        </w:rPr>
        <w:t>l</w:t>
      </w:r>
      <w:r w:rsidRPr="00183445">
        <w:rPr>
          <w:rFonts w:ascii="Times New Roman" w:eastAsia="Times New Roman" w:hAnsi="Times New Roman" w:cs="Times New Roman"/>
          <w:sz w:val="24"/>
          <w:szCs w:val="24"/>
        </w:rPr>
        <w:t>ays out politically. There are disadvantages,</w:t>
      </w:r>
      <w:r w:rsidR="00440405" w:rsidRPr="00183445">
        <w:rPr>
          <w:rFonts w:ascii="Times New Roman" w:eastAsia="Times New Roman" w:hAnsi="Times New Roman" w:cs="Times New Roman"/>
          <w:sz w:val="24"/>
          <w:szCs w:val="24"/>
        </w:rPr>
        <w:t xml:space="preserve"> these are</w:t>
      </w:r>
      <w:r w:rsidRPr="00183445">
        <w:rPr>
          <w:rFonts w:ascii="Times New Roman" w:eastAsia="Times New Roman" w:hAnsi="Times New Roman" w:cs="Times New Roman"/>
          <w:sz w:val="24"/>
          <w:szCs w:val="24"/>
        </w:rPr>
        <w:t xml:space="preserve"> categorised as race, sexuality, culture, education, age, ability, language, ethnicity, ge</w:t>
      </w:r>
      <w:r w:rsidRPr="00183445">
        <w:rPr>
          <w:rFonts w:ascii="Times New Roman" w:eastAsia="Times New Roman" w:hAnsi="Times New Roman" w:cs="Times New Roman"/>
          <w:sz w:val="24"/>
          <w:szCs w:val="24"/>
        </w:rPr>
        <w:t>nder and it translates to an individual</w:t>
      </w:r>
      <w:r w:rsidRPr="00183445">
        <w:rPr>
          <w:rFonts w:ascii="Times New Roman" w:eastAsia="Times New Roman" w:hAnsi="Times New Roman" w:cs="Times New Roman"/>
          <w:sz w:val="24"/>
          <w:szCs w:val="24"/>
        </w:rPr>
        <w:t xml:space="preserve"> </w:t>
      </w:r>
      <w:r w:rsidR="00966862">
        <w:rPr>
          <w:rFonts w:ascii="Times New Roman" w:eastAsia="Times New Roman" w:hAnsi="Times New Roman" w:cs="Times New Roman"/>
          <w:sz w:val="24"/>
          <w:szCs w:val="24"/>
        </w:rPr>
        <w:t xml:space="preserve">who </w:t>
      </w:r>
      <w:r w:rsidRPr="00183445">
        <w:rPr>
          <w:rFonts w:ascii="Times New Roman" w:eastAsia="Times New Roman" w:hAnsi="Times New Roman" w:cs="Times New Roman"/>
          <w:sz w:val="24"/>
          <w:szCs w:val="24"/>
        </w:rPr>
        <w:t>occupies</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more than one category. Parts of society w</w:t>
      </w:r>
      <w:r w:rsidR="00AA3728">
        <w:rPr>
          <w:rFonts w:ascii="Times New Roman" w:eastAsia="Times New Roman" w:hAnsi="Times New Roman" w:cs="Times New Roman"/>
          <w:sz w:val="24"/>
          <w:szCs w:val="24"/>
        </w:rPr>
        <w:t>h</w:t>
      </w:r>
      <w:r w:rsidRPr="00183445">
        <w:rPr>
          <w:rFonts w:ascii="Times New Roman" w:eastAsia="Times New Roman" w:hAnsi="Times New Roman" w:cs="Times New Roman"/>
          <w:sz w:val="24"/>
          <w:szCs w:val="24"/>
        </w:rPr>
        <w:t>ere these individuals operate, within this intersection, are sites of oppression</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(Holgate et al., 2012, p. 325; Siim, 2013, p. 657)</w:t>
      </w:r>
      <w:r w:rsidRPr="00183445">
        <w:rPr>
          <w:rFonts w:ascii="Times New Roman" w:eastAsia="Times New Roman" w:hAnsi="Times New Roman" w:cs="Times New Roman"/>
          <w:sz w:val="24"/>
          <w:szCs w:val="24"/>
        </w:rPr>
        <w:t xml:space="preserve">. </w:t>
      </w:r>
    </w:p>
    <w:p w14:paraId="6F7928BF" w14:textId="5F599A16" w:rsidR="00F74507" w:rsidRPr="00183445" w:rsidRDefault="00D87175">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A well reported country</w:t>
      </w:r>
      <w:r w:rsidR="00966862">
        <w:rPr>
          <w:rFonts w:ascii="Times New Roman" w:eastAsia="Times New Roman" w:hAnsi="Times New Roman" w:cs="Times New Roman"/>
          <w:sz w:val="24"/>
          <w:szCs w:val="24"/>
        </w:rPr>
        <w:t xml:space="preserve"> where exp</w:t>
      </w:r>
      <w:r w:rsidRPr="00183445">
        <w:rPr>
          <w:rFonts w:ascii="Times New Roman" w:eastAsia="Times New Roman" w:hAnsi="Times New Roman" w:cs="Times New Roman"/>
          <w:sz w:val="24"/>
          <w:szCs w:val="24"/>
        </w:rPr>
        <w:t>ression, acceptance and expectation of addressing the fight for ‘normal’, would be (LGBT) movement was Brazil, they addressed the intersectional and identity and it was th</w:t>
      </w:r>
      <w:r w:rsidRPr="00183445">
        <w:rPr>
          <w:rFonts w:ascii="Times New Roman" w:eastAsia="Times New Roman" w:hAnsi="Times New Roman" w:cs="Times New Roman"/>
          <w:sz w:val="24"/>
          <w:szCs w:val="24"/>
        </w:rPr>
        <w:t>e concept of diversity</w:t>
      </w:r>
      <w:r w:rsidRPr="00183445">
        <w:rPr>
          <w:rFonts w:ascii="Times New Roman" w:eastAsia="Times New Roman" w:hAnsi="Times New Roman" w:cs="Times New Roman"/>
          <w:sz w:val="24"/>
          <w:szCs w:val="24"/>
        </w:rPr>
        <w:t xml:space="preserve"> in the adaptation of the</w:t>
      </w:r>
      <w:r w:rsidRPr="00183445">
        <w:rPr>
          <w:rFonts w:ascii="Times New Roman" w:eastAsia="Times New Roman" w:hAnsi="Times New Roman" w:cs="Times New Roman"/>
          <w:sz w:val="24"/>
          <w:szCs w:val="24"/>
        </w:rPr>
        <w:t xml:space="preserve"> research</w:t>
      </w:r>
      <w:r w:rsidRPr="00183445">
        <w:rPr>
          <w:rFonts w:ascii="Times New Roman" w:eastAsia="Times New Roman" w:hAnsi="Times New Roman" w:cs="Times New Roman"/>
          <w:sz w:val="24"/>
          <w:szCs w:val="24"/>
        </w:rPr>
        <w:t xml:space="preserve"> by Vianna  (2012-2015), </w:t>
      </w:r>
      <w:r w:rsidRPr="00183445">
        <w:rPr>
          <w:rFonts w:ascii="Times New Roman" w:eastAsia="Times New Roman" w:hAnsi="Times New Roman" w:cs="Times New Roman"/>
          <w:sz w:val="24"/>
          <w:szCs w:val="24"/>
        </w:rPr>
        <w:t xml:space="preserve">who </w:t>
      </w:r>
      <w:r w:rsidRPr="00183445">
        <w:rPr>
          <w:rFonts w:ascii="Times New Roman" w:eastAsia="Times New Roman" w:hAnsi="Times New Roman" w:cs="Times New Roman"/>
          <w:sz w:val="24"/>
          <w:szCs w:val="24"/>
        </w:rPr>
        <w:t xml:space="preserve">appraised the Ministry of Education (ME) (Brazil), policies and practices of diversity, </w:t>
      </w:r>
      <w:r w:rsidRPr="00183445">
        <w:rPr>
          <w:rFonts w:ascii="Times New Roman" w:eastAsia="Times New Roman" w:hAnsi="Times New Roman" w:cs="Times New Roman"/>
          <w:sz w:val="24"/>
          <w:szCs w:val="24"/>
        </w:rPr>
        <w:t xml:space="preserve">and noted </w:t>
      </w:r>
      <w:r w:rsidRPr="00183445">
        <w:rPr>
          <w:rFonts w:ascii="Times New Roman" w:eastAsia="Times New Roman" w:hAnsi="Times New Roman" w:cs="Times New Roman"/>
          <w:sz w:val="24"/>
          <w:szCs w:val="24"/>
        </w:rPr>
        <w:t>that there were many obstacles, which made it  fragile, because the very inclusi</w:t>
      </w:r>
      <w:r w:rsidR="00966862">
        <w:rPr>
          <w:rFonts w:ascii="Times New Roman" w:eastAsia="Times New Roman" w:hAnsi="Times New Roman" w:cs="Times New Roman"/>
          <w:sz w:val="24"/>
          <w:szCs w:val="24"/>
        </w:rPr>
        <w:t>ve</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 xml:space="preserve">nature </w:t>
      </w:r>
      <w:r w:rsidRPr="00183445">
        <w:rPr>
          <w:rFonts w:ascii="Times New Roman" w:eastAsia="Times New Roman" w:hAnsi="Times New Roman" w:cs="Times New Roman"/>
          <w:sz w:val="24"/>
          <w:szCs w:val="24"/>
        </w:rPr>
        <w:t xml:space="preserve">of the term homosexuality as a </w:t>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right</w:t>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w:t>
      </w:r>
      <w:r w:rsidRPr="00183445">
        <w:rPr>
          <w:rFonts w:ascii="Times New Roman" w:eastAsia="Times New Roman" w:hAnsi="Times New Roman" w:cs="Times New Roman"/>
          <w:sz w:val="24"/>
          <w:szCs w:val="24"/>
        </w:rPr>
        <w:t xml:space="preserve"> it is disputed and resistance to the use of that definition in its priorities and agendas (Vianna, 2015, p. 791). The movements attempt to ‘appropriate the discourse’, in the ‘identity’ of homosexuals which should have an expectation that they should be t</w:t>
      </w:r>
      <w:r w:rsidRPr="00183445">
        <w:rPr>
          <w:rFonts w:ascii="Times New Roman" w:eastAsia="Times New Roman" w:hAnsi="Times New Roman" w:cs="Times New Roman"/>
          <w:sz w:val="24"/>
          <w:szCs w:val="24"/>
        </w:rPr>
        <w:t>reated as ‘normal’.  However, this identification collectively was still segregated both in the school and</w:t>
      </w:r>
      <w:r w:rsidRPr="00183445">
        <w:rPr>
          <w:rFonts w:ascii="Times New Roman" w:eastAsia="Times New Roman" w:hAnsi="Times New Roman" w:cs="Times New Roman"/>
          <w:sz w:val="24"/>
          <w:szCs w:val="24"/>
        </w:rPr>
        <w:t xml:space="preserve"> society. Educational policies could not actualise that recognition. Themes in the creation of public policies ha</w:t>
      </w:r>
      <w:r w:rsidRPr="00183445">
        <w:rPr>
          <w:rFonts w:ascii="Times New Roman" w:eastAsia="Times New Roman" w:hAnsi="Times New Roman" w:cs="Times New Roman"/>
          <w:sz w:val="24"/>
          <w:szCs w:val="24"/>
        </w:rPr>
        <w:t>ve</w:t>
      </w:r>
      <w:r w:rsidRPr="00183445">
        <w:rPr>
          <w:rFonts w:ascii="Times New Roman" w:eastAsia="Times New Roman" w:hAnsi="Times New Roman" w:cs="Times New Roman"/>
          <w:sz w:val="24"/>
          <w:szCs w:val="24"/>
        </w:rPr>
        <w:t xml:space="preserve"> limitations, in that education</w:t>
      </w:r>
      <w:r w:rsidRPr="00183445">
        <w:rPr>
          <w:rFonts w:ascii="Times New Roman" w:eastAsia="Times New Roman" w:hAnsi="Times New Roman" w:cs="Times New Roman"/>
          <w:sz w:val="24"/>
          <w:szCs w:val="24"/>
        </w:rPr>
        <w:t xml:space="preserve">al </w:t>
      </w:r>
      <w:r w:rsidR="00966862" w:rsidRPr="00183445">
        <w:rPr>
          <w:rFonts w:ascii="Times New Roman" w:eastAsia="Times New Roman" w:hAnsi="Times New Roman" w:cs="Times New Roman"/>
          <w:sz w:val="24"/>
          <w:szCs w:val="24"/>
        </w:rPr>
        <w:t>produc</w:t>
      </w:r>
      <w:r w:rsidR="00966862">
        <w:rPr>
          <w:rFonts w:ascii="Times New Roman" w:eastAsia="Times New Roman" w:hAnsi="Times New Roman" w:cs="Times New Roman"/>
          <w:sz w:val="24"/>
          <w:szCs w:val="24"/>
        </w:rPr>
        <w:t>es</w:t>
      </w:r>
      <w:r w:rsidRPr="00183445">
        <w:rPr>
          <w:rFonts w:ascii="Times New Roman" w:eastAsia="Times New Roman" w:hAnsi="Times New Roman" w:cs="Times New Roman"/>
          <w:sz w:val="24"/>
          <w:szCs w:val="24"/>
        </w:rPr>
        <w:t xml:space="preserve"> from the centre, and then </w:t>
      </w:r>
      <w:r w:rsidRPr="00183445">
        <w:rPr>
          <w:rFonts w:ascii="Times New Roman" w:eastAsia="Times New Roman" w:hAnsi="Times New Roman" w:cs="Times New Roman"/>
          <w:sz w:val="24"/>
          <w:szCs w:val="24"/>
        </w:rPr>
        <w:t>i</w:t>
      </w:r>
      <w:r w:rsidR="00966862">
        <w:rPr>
          <w:rFonts w:ascii="Times New Roman" w:eastAsia="Times New Roman" w:hAnsi="Times New Roman" w:cs="Times New Roman"/>
          <w:sz w:val="24"/>
          <w:szCs w:val="24"/>
        </w:rPr>
        <w:t>s</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 xml:space="preserve">reallocated to education </w:t>
      </w:r>
      <w:r w:rsidRPr="00183445">
        <w:rPr>
          <w:rFonts w:ascii="Times New Roman" w:eastAsia="Times New Roman" w:hAnsi="Times New Roman" w:cs="Times New Roman"/>
          <w:sz w:val="24"/>
          <w:szCs w:val="24"/>
        </w:rPr>
        <w:lastRenderedPageBreak/>
        <w:t>establishments. Th</w:t>
      </w:r>
      <w:r w:rsidRPr="00183445">
        <w:rPr>
          <w:rFonts w:ascii="Times New Roman" w:eastAsia="Times New Roman" w:hAnsi="Times New Roman" w:cs="Times New Roman"/>
          <w:sz w:val="24"/>
          <w:szCs w:val="24"/>
        </w:rPr>
        <w:t>is</w:t>
      </w:r>
      <w:r w:rsidRPr="00183445">
        <w:rPr>
          <w:rFonts w:ascii="Times New Roman" w:eastAsia="Times New Roman" w:hAnsi="Times New Roman" w:cs="Times New Roman"/>
          <w:sz w:val="24"/>
          <w:szCs w:val="24"/>
        </w:rPr>
        <w:t xml:space="preserve"> incorporat</w:t>
      </w:r>
      <w:r w:rsidRPr="00183445">
        <w:rPr>
          <w:rFonts w:ascii="Times New Roman" w:eastAsia="Times New Roman" w:hAnsi="Times New Roman" w:cs="Times New Roman"/>
          <w:sz w:val="24"/>
          <w:szCs w:val="24"/>
        </w:rPr>
        <w:t>ed</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these new practices i</w:t>
      </w:r>
      <w:r w:rsidRPr="00183445">
        <w:rPr>
          <w:rFonts w:ascii="Times New Roman" w:eastAsia="Times New Roman" w:hAnsi="Times New Roman" w:cs="Times New Roman"/>
          <w:sz w:val="24"/>
          <w:szCs w:val="24"/>
        </w:rPr>
        <w:t>n</w:t>
      </w:r>
      <w:r w:rsidRPr="00183445">
        <w:rPr>
          <w:rFonts w:ascii="Times New Roman" w:eastAsia="Times New Roman" w:hAnsi="Times New Roman" w:cs="Times New Roman"/>
          <w:sz w:val="24"/>
          <w:szCs w:val="24"/>
        </w:rPr>
        <w:t>to</w:t>
      </w:r>
      <w:r w:rsidRPr="00183445">
        <w:rPr>
          <w:rFonts w:ascii="Times New Roman" w:eastAsia="Times New Roman" w:hAnsi="Times New Roman" w:cs="Times New Roman"/>
          <w:sz w:val="24"/>
          <w:szCs w:val="24"/>
        </w:rPr>
        <w:t xml:space="preserve"> education establishments</w:t>
      </w:r>
      <w:r w:rsidRPr="00183445">
        <w:rPr>
          <w:rFonts w:ascii="Times New Roman" w:eastAsia="Times New Roman" w:hAnsi="Times New Roman" w:cs="Times New Roman"/>
          <w:sz w:val="24"/>
          <w:szCs w:val="24"/>
        </w:rPr>
        <w:t xml:space="preserve">, but they </w:t>
      </w:r>
      <w:r w:rsidRPr="00183445">
        <w:rPr>
          <w:rFonts w:ascii="Times New Roman" w:eastAsia="Times New Roman" w:hAnsi="Times New Roman" w:cs="Times New Roman"/>
          <w:sz w:val="24"/>
          <w:szCs w:val="24"/>
        </w:rPr>
        <w:t>were complex as they involved interpretations, meanings, ideas and experiences</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sz w:val="24"/>
          <w:szCs w:val="24"/>
        </w:rPr>
        <w:t xml:space="preserve">by the different </w:t>
      </w:r>
      <w:r w:rsidR="00AA3728" w:rsidRPr="00183445">
        <w:rPr>
          <w:rFonts w:ascii="Times New Roman" w:eastAsia="Times New Roman" w:hAnsi="Times New Roman" w:cs="Times New Roman"/>
          <w:sz w:val="24"/>
          <w:szCs w:val="24"/>
        </w:rPr>
        <w:t>party’s</w:t>
      </w:r>
      <w:r w:rsidRPr="00183445">
        <w:rPr>
          <w:rFonts w:ascii="Times New Roman" w:eastAsia="Times New Roman" w:hAnsi="Times New Roman" w:cs="Times New Roman"/>
          <w:sz w:val="24"/>
          <w:szCs w:val="24"/>
        </w:rPr>
        <w:t xml:space="preserve"> interpretation and utilisation. </w:t>
      </w:r>
      <w:r w:rsidRPr="00183445">
        <w:rPr>
          <w:rFonts w:ascii="Times New Roman" w:eastAsia="Times New Roman" w:hAnsi="Times New Roman" w:cs="Times New Roman"/>
          <w:sz w:val="24"/>
          <w:szCs w:val="24"/>
        </w:rPr>
        <w:t xml:space="preserve"> Publication and education programmes generated by the São Paulo State Secretariat for Education and </w:t>
      </w:r>
      <w:r w:rsidRPr="00183445">
        <w:rPr>
          <w:rFonts w:ascii="Times New Roman" w:eastAsia="Times New Roman" w:hAnsi="Times New Roman" w:cs="Times New Roman"/>
          <w:sz w:val="24"/>
          <w:szCs w:val="24"/>
        </w:rPr>
        <w:t>the São Paulo Municipal Secretariat for Education could not guarantee questions were approache</w:t>
      </w:r>
      <w:r w:rsidRPr="00183445">
        <w:rPr>
          <w:rFonts w:ascii="Times New Roman" w:eastAsia="Times New Roman" w:hAnsi="Times New Roman" w:cs="Times New Roman"/>
          <w:sz w:val="24"/>
          <w:szCs w:val="24"/>
        </w:rPr>
        <w:t>d in the fashion that the government expected, within establishments, so therefore it was deemed as not up to the government standards</w:t>
      </w:r>
      <w:r w:rsidR="00AA3728">
        <w:rPr>
          <w:rFonts w:ascii="Times New Roman" w:eastAsia="Times New Roman" w:hAnsi="Times New Roman" w:cs="Times New Roman"/>
          <w:sz w:val="24"/>
          <w:szCs w:val="24"/>
        </w:rPr>
        <w:t xml:space="preserve"> </w:t>
      </w:r>
      <w:r w:rsidR="00AA3728">
        <w:rPr>
          <w:rFonts w:ascii="Times New Roman" w:eastAsia="Times New Roman" w:hAnsi="Times New Roman" w:cs="Times New Roman"/>
          <w:sz w:val="24"/>
          <w:szCs w:val="24"/>
        </w:rPr>
        <w:fldChar w:fldCharType="begin"/>
      </w:r>
      <w:r w:rsidR="00AA3728">
        <w:rPr>
          <w:rFonts w:ascii="Times New Roman" w:eastAsia="Times New Roman" w:hAnsi="Times New Roman" w:cs="Times New Roman"/>
          <w:sz w:val="24"/>
          <w:szCs w:val="24"/>
        </w:rPr>
        <w:instrText xml:space="preserve"> ADDIN ZOTERO_ITEM CSL_CITATION {"citationID":"eaWMpq03","properties":{"formattedCitation":"(Vianna, 2015, pp. 719\\uc0\\u8211{}886)","plainCitation":"(Vianna, 2015, pp. 719–886)","noteIndex":0},"citationItems":[{"id":89,"uris":["http://zotero.org/users/4623355/items/HPANCSSJ"],"uri":["http://zotero.org/users/4623355/items/HPANCSSJ"],"itemData":{"id":89,"type":"article-journal","title":"O movimento LGBT e as políticas de educação de gênero e diversidade sexual: perdas, ganhos e desafios","container-title":"Educação e Pesquisa","page":"791-806","volume":"41","issue":"3","source":"Crossref","abstract":"This article explores the relation between the State and social movements in the production of public education policies focused on gender and sexual diversity. This reflection takes as its main sources two recent investigations dedicated to understanding the introduction of gender and sexual diversity into public education policies in Brazil during the Luiz Inácio Lula da Silva government: one livre-docência thesis (VIANNA, 2011) and another work that investigated how the curriculum policies were understood, appropriated and implemented by public school teachers in the state of São Paulo (VIANNA, 2012). The purpose of this article is to look at the production of these policies from the viewpoint of the tensions present in the dialogue between the Lula government and the social demands made by the LGBT (Lesbian, Gay, Bisexual, and Transgender) movement to reduce inequality and to construct social rights. By discussing gains, losses and future challenges, the text highlights the contradictions found in the processes of interlocution between the government and the LGBT movement. When the government introduces gender and sexual diversity demands in education, it seems to be willing to give value to the theme without considering the power relations that determine the traditional parameters supporting gender relations and teaching identities in daily school life.","DOI":"10.1590/s1517-97022015031914","ISSN":"1517-9702","shortTitle":"O movimento LGBT e as políticas de educação de gênero e diversidade sexual","language":"en","author":[{"family":"Vianna","given":"Cláudia Pereira"}],"issued":{"date-parts":[["2015",9]]}},"locator":"719- 886"}],"schema":"https://github.com/citation-style-language/schema/raw/master/csl-citation.json"} </w:instrText>
      </w:r>
      <w:r w:rsidR="00AA3728">
        <w:rPr>
          <w:rFonts w:ascii="Times New Roman" w:eastAsia="Times New Roman" w:hAnsi="Times New Roman" w:cs="Times New Roman"/>
          <w:sz w:val="24"/>
          <w:szCs w:val="24"/>
        </w:rPr>
        <w:fldChar w:fldCharType="separate"/>
      </w:r>
      <w:r w:rsidR="00D95A2D" w:rsidRPr="00D95A2D">
        <w:rPr>
          <w:rFonts w:ascii="Times New Roman" w:hAnsi="Times New Roman" w:cs="Times New Roman"/>
          <w:sz w:val="24"/>
          <w:szCs w:val="24"/>
        </w:rPr>
        <w:t>(Vianna, 2015, pp. 719–886)</w:t>
      </w:r>
      <w:r w:rsidR="00AA3728">
        <w:rPr>
          <w:rFonts w:ascii="Times New Roman" w:eastAsia="Times New Roman" w:hAnsi="Times New Roman" w:cs="Times New Roman"/>
          <w:sz w:val="24"/>
          <w:szCs w:val="24"/>
        </w:rPr>
        <w:fldChar w:fldCharType="end"/>
      </w:r>
      <w:r w:rsidRPr="00183445">
        <w:rPr>
          <w:rFonts w:ascii="Times New Roman" w:eastAsia="Times New Roman" w:hAnsi="Times New Roman" w:cs="Times New Roman"/>
          <w:sz w:val="24"/>
          <w:szCs w:val="24"/>
        </w:rPr>
        <w:t xml:space="preserve">.  </w:t>
      </w:r>
    </w:p>
    <w:p w14:paraId="161D10AA" w14:textId="41ABCB24" w:rsidR="00F74507" w:rsidRPr="00183445" w:rsidRDefault="00D87175">
      <w:pPr>
        <w:spacing w:line="360" w:lineRule="auto"/>
        <w:rPr>
          <w:rFonts w:ascii="Times New Roman" w:hAnsi="Times New Roman" w:cs="Times New Roman"/>
          <w:sz w:val="24"/>
          <w:szCs w:val="24"/>
        </w:rPr>
      </w:pPr>
      <w:r w:rsidRPr="00183445">
        <w:rPr>
          <w:rFonts w:ascii="Times New Roman" w:eastAsia="Times New Roman" w:hAnsi="Times New Roman" w:cs="Times New Roman"/>
          <w:sz w:val="24"/>
          <w:szCs w:val="24"/>
        </w:rPr>
        <w:t>The Secretariat for Education, the Education Directorship of the mid-West region of the state system of the city of Sã</w:t>
      </w:r>
      <w:r w:rsidRPr="00183445">
        <w:rPr>
          <w:rFonts w:ascii="Times New Roman" w:eastAsia="Times New Roman" w:hAnsi="Times New Roman" w:cs="Times New Roman"/>
          <w:sz w:val="24"/>
          <w:szCs w:val="24"/>
        </w:rPr>
        <w:t>o Paulo had the responsibility to coordinate</w:t>
      </w:r>
      <w:r w:rsidRPr="00183445">
        <w:rPr>
          <w:rFonts w:ascii="Times New Roman" w:eastAsia="Times New Roman" w:hAnsi="Times New Roman" w:cs="Times New Roman"/>
          <w:sz w:val="24"/>
          <w:szCs w:val="24"/>
        </w:rPr>
        <w:t xml:space="preserve"> this programme and</w:t>
      </w:r>
      <w:r w:rsidRPr="00183445">
        <w:rPr>
          <w:rFonts w:ascii="Times New Roman" w:eastAsia="Times New Roman" w:hAnsi="Times New Roman" w:cs="Times New Roman"/>
          <w:sz w:val="24"/>
          <w:szCs w:val="24"/>
        </w:rPr>
        <w:t xml:space="preserve"> c</w:t>
      </w:r>
      <w:r w:rsidRPr="00183445">
        <w:rPr>
          <w:rFonts w:ascii="Times New Roman" w:eastAsia="Times New Roman" w:hAnsi="Times New Roman" w:cs="Times New Roman"/>
          <w:sz w:val="24"/>
          <w:szCs w:val="24"/>
        </w:rPr>
        <w:t xml:space="preserve">ourses offered in 2006-7 by non-profit, non-governmental organisations: Citizenship, Pride, Respect, Solidarity and Love (CORSA) and ECOS- Communication in </w:t>
      </w:r>
      <w:r w:rsidRPr="00183445">
        <w:rPr>
          <w:rFonts w:ascii="Times New Roman" w:eastAsia="Times New Roman" w:hAnsi="Times New Roman" w:cs="Times New Roman"/>
          <w:sz w:val="24"/>
          <w:szCs w:val="24"/>
        </w:rPr>
        <w:t xml:space="preserve"> s</w:t>
      </w:r>
      <w:r w:rsidRPr="00183445">
        <w:rPr>
          <w:rFonts w:ascii="Times New Roman" w:eastAsia="Times New Roman" w:hAnsi="Times New Roman" w:cs="Times New Roman"/>
          <w:sz w:val="24"/>
          <w:szCs w:val="24"/>
        </w:rPr>
        <w:t>exuality, have an extensive r</w:t>
      </w:r>
      <w:r w:rsidRPr="00183445">
        <w:rPr>
          <w:rFonts w:ascii="Times New Roman" w:eastAsia="Times New Roman" w:hAnsi="Times New Roman" w:cs="Times New Roman"/>
          <w:sz w:val="24"/>
          <w:szCs w:val="24"/>
        </w:rPr>
        <w:t xml:space="preserve">ecord of providing projects in the theme of </w:t>
      </w:r>
      <w:r w:rsidRPr="00183445">
        <w:rPr>
          <w:rFonts w:ascii="Times New Roman" w:eastAsia="Times New Roman" w:hAnsi="Times New Roman" w:cs="Times New Roman"/>
          <w:sz w:val="24"/>
          <w:szCs w:val="24"/>
        </w:rPr>
        <w:t>d</w:t>
      </w:r>
      <w:r w:rsidRPr="00183445">
        <w:rPr>
          <w:rFonts w:ascii="Times New Roman" w:eastAsia="Times New Roman" w:hAnsi="Times New Roman" w:cs="Times New Roman"/>
          <w:sz w:val="24"/>
          <w:szCs w:val="24"/>
        </w:rPr>
        <w:t xml:space="preserve">iversity and sexuality and gender. The new course was </w:t>
      </w:r>
      <w:r w:rsidRPr="00183445">
        <w:rPr>
          <w:rFonts w:ascii="Times New Roman" w:eastAsia="Times New Roman" w:hAnsi="Times New Roman" w:cs="Times New Roman"/>
          <w:sz w:val="24"/>
          <w:szCs w:val="24"/>
        </w:rPr>
        <w:t>named</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i/>
          <w:sz w:val="24"/>
          <w:szCs w:val="24"/>
        </w:rPr>
        <w:t>Living</w:t>
      </w:r>
      <w:r w:rsidRPr="00183445">
        <w:rPr>
          <w:rFonts w:ascii="Times New Roman" w:eastAsia="Times New Roman" w:hAnsi="Times New Roman" w:cs="Times New Roman"/>
          <w:sz w:val="24"/>
          <w:szCs w:val="24"/>
        </w:rPr>
        <w:t xml:space="preserve"> </w:t>
      </w:r>
      <w:r w:rsidRPr="00183445">
        <w:rPr>
          <w:rFonts w:ascii="Times New Roman" w:eastAsia="Times New Roman" w:hAnsi="Times New Roman" w:cs="Times New Roman"/>
          <w:i/>
          <w:color w:val="000000"/>
          <w:sz w:val="24"/>
          <w:szCs w:val="24"/>
        </w:rPr>
        <w:t>with sexual diversity at school</w:t>
      </w:r>
      <w:r w:rsidRPr="00183445">
        <w:rPr>
          <w:rFonts w:ascii="Times New Roman" w:hAnsi="Times New Roman" w:cs="Times New Roman"/>
          <w:color w:val="000000"/>
          <w:sz w:val="24"/>
          <w:szCs w:val="24"/>
        </w:rPr>
        <w:t xml:space="preserve">’. </w:t>
      </w:r>
      <w:r w:rsidRPr="00183445">
        <w:rPr>
          <w:rFonts w:ascii="Times New Roman" w:eastAsia="Times New Roman" w:hAnsi="Times New Roman" w:cs="Times New Roman"/>
          <w:sz w:val="24"/>
          <w:szCs w:val="24"/>
        </w:rPr>
        <w:t xml:space="preserve"> </w:t>
      </w:r>
    </w:p>
    <w:p w14:paraId="7415052C" w14:textId="0FE53D22" w:rsidR="00F74507" w:rsidRPr="00183445" w:rsidRDefault="00D87175">
      <w:pPr>
        <w:pBdr>
          <w:top w:val="nil"/>
          <w:left w:val="nil"/>
          <w:bottom w:val="nil"/>
          <w:right w:val="nil"/>
          <w:between w:val="nil"/>
        </w:pBdr>
        <w:spacing w:after="0" w:line="360" w:lineRule="auto"/>
        <w:rPr>
          <w:rFonts w:ascii="Times New Roman" w:eastAsia="RotisSerif" w:hAnsi="Times New Roman" w:cs="Times New Roman"/>
          <w:sz w:val="24"/>
          <w:szCs w:val="24"/>
        </w:rPr>
      </w:pPr>
      <w:r w:rsidRPr="00183445">
        <w:rPr>
          <w:rFonts w:ascii="Times New Roman" w:eastAsia="Times New Roman" w:hAnsi="Times New Roman" w:cs="Times New Roman"/>
          <w:color w:val="000000"/>
          <w:sz w:val="24"/>
          <w:szCs w:val="24"/>
        </w:rPr>
        <w:t xml:space="preserve">Social demands made by LGBT (Lesbian, Gay, Bisexual, and Transgender) </w:t>
      </w:r>
      <w:r w:rsidRPr="00183445">
        <w:rPr>
          <w:rFonts w:ascii="Times New Roman" w:eastAsia="Times New Roman" w:hAnsi="Times New Roman" w:cs="Times New Roman"/>
          <w:color w:val="000000"/>
          <w:sz w:val="24"/>
          <w:szCs w:val="24"/>
        </w:rPr>
        <w:t xml:space="preserve">was </w:t>
      </w:r>
      <w:r w:rsidRPr="00183445">
        <w:rPr>
          <w:rFonts w:ascii="Times New Roman" w:eastAsia="Times New Roman" w:hAnsi="Times New Roman" w:cs="Times New Roman"/>
          <w:color w:val="000000"/>
          <w:sz w:val="24"/>
          <w:szCs w:val="24"/>
        </w:rPr>
        <w:t xml:space="preserve">about the policies that brought tensions between LGBT and the </w:t>
      </w:r>
      <w:r w:rsidRPr="00183445">
        <w:rPr>
          <w:rFonts w:ascii="Times New Roman" w:eastAsia="Times New Roman" w:hAnsi="Times New Roman" w:cs="Times New Roman"/>
          <w:color w:val="000000"/>
          <w:sz w:val="24"/>
          <w:szCs w:val="24"/>
        </w:rPr>
        <w:t xml:space="preserve">Lula government from the </w:t>
      </w:r>
      <w:r w:rsidRPr="00183445">
        <w:rPr>
          <w:rFonts w:ascii="Times New Roman" w:eastAsia="Times New Roman" w:hAnsi="Times New Roman" w:cs="Times New Roman"/>
          <w:color w:val="000000"/>
          <w:sz w:val="24"/>
          <w:szCs w:val="24"/>
        </w:rPr>
        <w:t xml:space="preserve">context </w:t>
      </w:r>
      <w:r w:rsidRPr="00183445">
        <w:rPr>
          <w:rFonts w:ascii="Times New Roman" w:eastAsia="Times New Roman" w:hAnsi="Times New Roman" w:cs="Times New Roman"/>
          <w:color w:val="000000"/>
          <w:sz w:val="24"/>
          <w:szCs w:val="24"/>
        </w:rPr>
        <w:t xml:space="preserve">of </w:t>
      </w:r>
      <w:r w:rsidRPr="00183445">
        <w:rPr>
          <w:rFonts w:ascii="Times New Roman" w:eastAsia="Times New Roman" w:hAnsi="Times New Roman" w:cs="Times New Roman"/>
          <w:color w:val="000000"/>
          <w:sz w:val="24"/>
          <w:szCs w:val="24"/>
        </w:rPr>
        <w:t>the reduction of inequality and to construct social right</w:t>
      </w:r>
      <w:r w:rsidRPr="00183445">
        <w:rPr>
          <w:rFonts w:ascii="Times New Roman" w:eastAsia="Times New Roman" w:hAnsi="Times New Roman" w:cs="Times New Roman"/>
          <w:color w:val="000000"/>
          <w:sz w:val="24"/>
          <w:szCs w:val="24"/>
        </w:rPr>
        <w:t>s (Vianna, 2015, p. 791). Moreover, the discussions about the gains losses and future challenges uncovered the contradictions    in the ‘processes of interlocution’ between both parties (Gov</w:t>
      </w:r>
      <w:r w:rsidRPr="00183445">
        <w:rPr>
          <w:rFonts w:ascii="Times New Roman" w:eastAsia="Times New Roman" w:hAnsi="Times New Roman" w:cs="Times New Roman"/>
          <w:color w:val="000000"/>
          <w:sz w:val="24"/>
          <w:szCs w:val="24"/>
        </w:rPr>
        <w:t>ernment and</w:t>
      </w:r>
      <w:r w:rsidRPr="00183445">
        <w:rPr>
          <w:rFonts w:ascii="Times New Roman" w:eastAsia="Times New Roman" w:hAnsi="Times New Roman" w:cs="Times New Roman"/>
          <w:color w:val="000000"/>
          <w:sz w:val="24"/>
          <w:szCs w:val="24"/>
        </w:rPr>
        <w:t xml:space="preserve"> LBGT). When the government demanded the introduction </w:t>
      </w:r>
      <w:r w:rsidR="00966862">
        <w:rPr>
          <w:rFonts w:ascii="Times New Roman" w:eastAsia="Times New Roman" w:hAnsi="Times New Roman" w:cs="Times New Roman"/>
          <w:color w:val="000000"/>
          <w:sz w:val="24"/>
          <w:szCs w:val="24"/>
        </w:rPr>
        <w:t xml:space="preserve">of </w:t>
      </w:r>
      <w:r w:rsidRPr="00183445">
        <w:rPr>
          <w:rFonts w:ascii="Times New Roman" w:eastAsia="Times New Roman" w:hAnsi="Times New Roman" w:cs="Times New Roman"/>
          <w:color w:val="000000"/>
          <w:sz w:val="24"/>
          <w:szCs w:val="24"/>
        </w:rPr>
        <w:t>sexual orientation in</w:t>
      </w:r>
      <w:r w:rsidRPr="00183445">
        <w:rPr>
          <w:rFonts w:ascii="Times New Roman" w:eastAsia="Times New Roman" w:hAnsi="Times New Roman" w:cs="Times New Roman"/>
          <w:color w:val="000000"/>
          <w:sz w:val="24"/>
          <w:szCs w:val="24"/>
        </w:rPr>
        <w:t xml:space="preserve"> education </w:t>
      </w:r>
      <w:r w:rsidRPr="00183445">
        <w:rPr>
          <w:rFonts w:ascii="Times New Roman" w:eastAsia="Times New Roman" w:hAnsi="Times New Roman" w:cs="Times New Roman"/>
          <w:color w:val="000000"/>
          <w:sz w:val="24"/>
          <w:szCs w:val="24"/>
        </w:rPr>
        <w:t>and the creation of</w:t>
      </w:r>
      <w:r w:rsidRPr="00183445">
        <w:rPr>
          <w:rFonts w:ascii="Times New Roman" w:eastAsia="Times New Roman" w:hAnsi="Times New Roman" w:cs="Times New Roman"/>
          <w:color w:val="000000"/>
          <w:sz w:val="24"/>
          <w:szCs w:val="24"/>
        </w:rPr>
        <w:t xml:space="preserve"> gender and sexual diversity policy, it willingly gave value to the theme but gave no consideration of the power relations that control the traditional parameters that support</w:t>
      </w:r>
      <w:r w:rsidRPr="00183445">
        <w:rPr>
          <w:rFonts w:ascii="Times New Roman" w:eastAsia="Times New Roman" w:hAnsi="Times New Roman" w:cs="Times New Roman"/>
          <w:color w:val="000000"/>
          <w:sz w:val="24"/>
          <w:szCs w:val="24"/>
        </w:rPr>
        <w:t>ed</w:t>
      </w:r>
      <w:r w:rsidRPr="00183445">
        <w:rPr>
          <w:rFonts w:ascii="Times New Roman" w:eastAsia="Times New Roman" w:hAnsi="Times New Roman" w:cs="Times New Roman"/>
          <w:color w:val="000000"/>
          <w:sz w:val="24"/>
          <w:szCs w:val="24"/>
        </w:rPr>
        <w:t xml:space="preserve"> teaching identities </w:t>
      </w:r>
      <w:r w:rsidRPr="00183445">
        <w:rPr>
          <w:rFonts w:ascii="Times New Roman" w:eastAsia="Times New Roman" w:hAnsi="Times New Roman" w:cs="Times New Roman"/>
          <w:color w:val="000000"/>
          <w:sz w:val="24"/>
          <w:szCs w:val="24"/>
        </w:rPr>
        <w:t xml:space="preserve">and gender relations in the daily school life (Vianna, 2015, p. 801). </w:t>
      </w:r>
    </w:p>
    <w:p w14:paraId="65746AC2" w14:textId="77777777" w:rsidR="00F74507" w:rsidRPr="00183445" w:rsidRDefault="00F74507">
      <w:pPr>
        <w:pBdr>
          <w:top w:val="nil"/>
          <w:left w:val="nil"/>
          <w:bottom w:val="nil"/>
          <w:right w:val="nil"/>
          <w:between w:val="nil"/>
        </w:pBdr>
        <w:spacing w:after="0" w:line="360" w:lineRule="auto"/>
        <w:rPr>
          <w:rFonts w:ascii="Times New Roman" w:eastAsia="RotisSerif" w:hAnsi="Times New Roman" w:cs="Times New Roman"/>
          <w:sz w:val="24"/>
          <w:szCs w:val="24"/>
        </w:rPr>
      </w:pPr>
    </w:p>
    <w:p w14:paraId="3E308565" w14:textId="787540C3" w:rsidR="00F74507" w:rsidRPr="00183445" w:rsidRDefault="00D87175">
      <w:pPr>
        <w:pBdr>
          <w:top w:val="nil"/>
          <w:left w:val="nil"/>
          <w:bottom w:val="nil"/>
          <w:right w:val="nil"/>
          <w:between w:val="nil"/>
        </w:pBdr>
        <w:spacing w:after="0" w:line="360" w:lineRule="auto"/>
        <w:rPr>
          <w:rFonts w:ascii="Times New Roman" w:eastAsia="RotisSerif" w:hAnsi="Times New Roman" w:cs="Times New Roman"/>
          <w:sz w:val="24"/>
          <w:szCs w:val="24"/>
        </w:rPr>
      </w:pPr>
      <w:r w:rsidRPr="00183445">
        <w:rPr>
          <w:rFonts w:ascii="Times New Roman" w:eastAsia="Times New Roman" w:hAnsi="Times New Roman" w:cs="Times New Roman"/>
          <w:color w:val="000000"/>
          <w:sz w:val="24"/>
          <w:szCs w:val="24"/>
        </w:rPr>
        <w:t>Vianna, interviewed teachers and identified difficulties to develop these policies as one was the ‘defense {sic}’ of the ‘private character</w:t>
      </w:r>
      <w:r w:rsidRPr="00183445">
        <w:rPr>
          <w:rFonts w:ascii="Times New Roman" w:eastAsia="Times New Roman" w:hAnsi="Times New Roman" w:cs="Times New Roman"/>
          <w:color w:val="000000"/>
          <w:sz w:val="24"/>
          <w:szCs w:val="24"/>
        </w:rPr>
        <w:t>’</w:t>
      </w:r>
      <w:r w:rsidRPr="00183445">
        <w:rPr>
          <w:rFonts w:ascii="Times New Roman" w:eastAsia="Times New Roman" w:hAnsi="Times New Roman" w:cs="Times New Roman"/>
          <w:color w:val="000000"/>
          <w:sz w:val="24"/>
          <w:szCs w:val="24"/>
        </w:rPr>
        <w:t xml:space="preserve"> (Greene et al., 2015; Vianna, 2015, p. 803;</w:t>
      </w:r>
      <w:r w:rsidRPr="00183445">
        <w:rPr>
          <w:rFonts w:ascii="Times New Roman" w:eastAsia="Times New Roman" w:hAnsi="Times New Roman" w:cs="Times New Roman"/>
          <w:color w:val="000000"/>
          <w:sz w:val="24"/>
          <w:szCs w:val="24"/>
        </w:rPr>
        <w:t xml:space="preserve"> Zhang and Goldberg, 2014) of sexuality’</w:t>
      </w:r>
      <w:r w:rsidRPr="00183445">
        <w:rPr>
          <w:rFonts w:ascii="Times New Roman" w:eastAsia="Times New Roman" w:hAnsi="Times New Roman" w:cs="Times New Roman"/>
          <w:color w:val="000000"/>
          <w:sz w:val="24"/>
          <w:szCs w:val="24"/>
        </w:rPr>
        <w:t xml:space="preserve"> and its limitations within  a school context</w:t>
      </w:r>
      <w:r w:rsidRPr="00183445">
        <w:rPr>
          <w:rFonts w:ascii="Times New Roman" w:eastAsia="RotisSerif" w:hAnsi="Times New Roman" w:cs="Times New Roman"/>
          <w:color w:val="FF0000"/>
          <w:sz w:val="24"/>
          <w:szCs w:val="24"/>
        </w:rPr>
        <w:t xml:space="preserve">  </w:t>
      </w:r>
      <w:r w:rsidRPr="00183445">
        <w:rPr>
          <w:rFonts w:ascii="Times New Roman" w:eastAsia="Times New Roman" w:hAnsi="Times New Roman" w:cs="Times New Roman"/>
          <w:color w:val="000000"/>
          <w:sz w:val="24"/>
          <w:szCs w:val="24"/>
        </w:rPr>
        <w:t>in the control of the behaviour of students, for example, forbidding dating  within school premises</w:t>
      </w:r>
      <w:r w:rsidRPr="00183445">
        <w:rPr>
          <w:rFonts w:ascii="Times New Roman" w:eastAsia="RotisSerif" w:hAnsi="Times New Roman" w:cs="Times New Roman"/>
          <w:color w:val="000000"/>
          <w:sz w:val="24"/>
          <w:szCs w:val="24"/>
        </w:rPr>
        <w:t xml:space="preserve"> </w:t>
      </w:r>
      <w:r w:rsidRPr="00183445">
        <w:rPr>
          <w:rFonts w:ascii="Times New Roman" w:eastAsia="RotisSerif" w:hAnsi="Times New Roman" w:cs="Times New Roman"/>
          <w:color w:val="FF0000"/>
          <w:sz w:val="24"/>
          <w:szCs w:val="24"/>
        </w:rPr>
        <w:t xml:space="preserve">. </w:t>
      </w:r>
      <w:r w:rsidRPr="00183445">
        <w:rPr>
          <w:rFonts w:ascii="Times New Roman" w:eastAsia="Times New Roman" w:hAnsi="Times New Roman" w:cs="Times New Roman"/>
          <w:color w:val="000000"/>
          <w:sz w:val="24"/>
          <w:szCs w:val="24"/>
        </w:rPr>
        <w:t>The whole series</w:t>
      </w:r>
      <w:r w:rsidRPr="00183445">
        <w:rPr>
          <w:rFonts w:ascii="Times New Roman" w:eastAsia="RotisSerif" w:hAnsi="Times New Roman" w:cs="Times New Roman"/>
          <w:color w:val="FF0000"/>
          <w:sz w:val="24"/>
          <w:szCs w:val="24"/>
        </w:rPr>
        <w:t xml:space="preserve"> </w:t>
      </w:r>
      <w:r w:rsidRPr="00183445">
        <w:rPr>
          <w:rFonts w:ascii="Times New Roman" w:eastAsia="Times New Roman" w:hAnsi="Times New Roman" w:cs="Times New Roman"/>
          <w:color w:val="000000"/>
          <w:sz w:val="24"/>
          <w:szCs w:val="24"/>
        </w:rPr>
        <w:t>of prejudices with religion, homophobia create a devastating tension, which is a direct contradiction between information gathered in the course and the values crystallised in to a long process of gender socialization. It was concluded that the school</w:t>
      </w:r>
      <w:r w:rsidR="00AA3728">
        <w:rPr>
          <w:rFonts w:ascii="Times New Roman" w:eastAsia="Times New Roman" w:hAnsi="Times New Roman" w:cs="Times New Roman"/>
          <w:color w:val="000000"/>
          <w:sz w:val="24"/>
          <w:szCs w:val="24"/>
        </w:rPr>
        <w:t>s</w:t>
      </w:r>
      <w:r w:rsidRPr="00183445">
        <w:rPr>
          <w:rFonts w:ascii="Times New Roman" w:eastAsia="Times New Roman" w:hAnsi="Times New Roman" w:cs="Times New Roman"/>
          <w:color w:val="000000"/>
          <w:sz w:val="24"/>
          <w:szCs w:val="24"/>
        </w:rPr>
        <w:t xml:space="preserve"> </w:t>
      </w:r>
      <w:r w:rsidRPr="00183445">
        <w:rPr>
          <w:rFonts w:ascii="Times New Roman" w:eastAsia="Times New Roman" w:hAnsi="Times New Roman" w:cs="Times New Roman"/>
          <w:color w:val="000000"/>
          <w:sz w:val="24"/>
          <w:szCs w:val="24"/>
        </w:rPr>
        <w:t>have</w:t>
      </w:r>
      <w:r w:rsidRPr="00183445">
        <w:rPr>
          <w:rFonts w:ascii="Times New Roman" w:eastAsia="Times New Roman" w:hAnsi="Times New Roman" w:cs="Times New Roman"/>
          <w:color w:val="000000"/>
          <w:sz w:val="24"/>
          <w:szCs w:val="24"/>
        </w:rPr>
        <w:t xml:space="preserve"> </w:t>
      </w:r>
      <w:r w:rsidRPr="00183445">
        <w:rPr>
          <w:rFonts w:ascii="Times New Roman" w:eastAsia="Times New Roman" w:hAnsi="Times New Roman" w:cs="Times New Roman"/>
          <w:color w:val="000000"/>
          <w:sz w:val="24"/>
          <w:szCs w:val="24"/>
        </w:rPr>
        <w:t>change</w:t>
      </w:r>
      <w:r w:rsidRPr="00183445">
        <w:rPr>
          <w:rFonts w:ascii="Times New Roman" w:eastAsia="Times New Roman" w:hAnsi="Times New Roman" w:cs="Times New Roman"/>
          <w:color w:val="000000"/>
          <w:sz w:val="24"/>
          <w:szCs w:val="24"/>
        </w:rPr>
        <w:t xml:space="preserve">d </w:t>
      </w:r>
      <w:r w:rsidRPr="00183445">
        <w:rPr>
          <w:rFonts w:ascii="Times New Roman" w:eastAsia="Times New Roman" w:hAnsi="Times New Roman" w:cs="Times New Roman"/>
          <w:color w:val="000000"/>
          <w:sz w:val="24"/>
          <w:szCs w:val="24"/>
        </w:rPr>
        <w:t>very little</w:t>
      </w:r>
      <w:r w:rsidRPr="00183445">
        <w:rPr>
          <w:rFonts w:ascii="Times New Roman" w:eastAsia="Times New Roman" w:hAnsi="Times New Roman" w:cs="Times New Roman"/>
          <w:color w:val="000000"/>
          <w:sz w:val="24"/>
          <w:szCs w:val="24"/>
        </w:rPr>
        <w:t xml:space="preserve"> or nothing</w:t>
      </w:r>
      <w:r w:rsidRPr="00183445">
        <w:rPr>
          <w:rFonts w:ascii="Times New Roman" w:eastAsia="Times New Roman" w:hAnsi="Times New Roman" w:cs="Times New Roman"/>
          <w:color w:val="000000"/>
          <w:sz w:val="24"/>
          <w:szCs w:val="24"/>
        </w:rPr>
        <w:t>,</w:t>
      </w:r>
      <w:r w:rsidRPr="00183445">
        <w:rPr>
          <w:rFonts w:ascii="Times New Roman" w:eastAsia="Times New Roman" w:hAnsi="Times New Roman" w:cs="Times New Roman"/>
          <w:color w:val="000000"/>
          <w:sz w:val="24"/>
          <w:szCs w:val="24"/>
        </w:rPr>
        <w:t xml:space="preserve"> when face</w:t>
      </w:r>
      <w:r w:rsidRPr="00183445">
        <w:rPr>
          <w:rFonts w:ascii="Times New Roman" w:eastAsia="Times New Roman" w:hAnsi="Times New Roman" w:cs="Times New Roman"/>
          <w:color w:val="000000"/>
          <w:sz w:val="24"/>
          <w:szCs w:val="24"/>
        </w:rPr>
        <w:t>d</w:t>
      </w:r>
      <w:r w:rsidRPr="00183445">
        <w:rPr>
          <w:rFonts w:ascii="Times New Roman" w:eastAsia="Times New Roman" w:hAnsi="Times New Roman" w:cs="Times New Roman"/>
          <w:color w:val="000000"/>
          <w:sz w:val="24"/>
          <w:szCs w:val="24"/>
        </w:rPr>
        <w:t xml:space="preserve"> with the facts</w:t>
      </w:r>
      <w:r w:rsidRPr="00183445">
        <w:rPr>
          <w:rFonts w:ascii="Times New Roman" w:eastAsia="Times New Roman" w:hAnsi="Times New Roman" w:cs="Times New Roman"/>
          <w:color w:val="000000"/>
          <w:sz w:val="24"/>
          <w:szCs w:val="24"/>
        </w:rPr>
        <w:t>,</w:t>
      </w:r>
      <w:r w:rsidRPr="00183445">
        <w:rPr>
          <w:rFonts w:ascii="Times New Roman" w:eastAsia="Times New Roman" w:hAnsi="Times New Roman" w:cs="Times New Roman"/>
          <w:color w:val="000000"/>
          <w:sz w:val="24"/>
          <w:szCs w:val="24"/>
        </w:rPr>
        <w:t xml:space="preserve"> that the contents examined in </w:t>
      </w:r>
      <w:r w:rsidRPr="00183445">
        <w:rPr>
          <w:rFonts w:ascii="Times New Roman" w:eastAsia="Times New Roman" w:hAnsi="Times New Roman" w:cs="Times New Roman"/>
          <w:color w:val="000000"/>
          <w:sz w:val="24"/>
          <w:szCs w:val="24"/>
        </w:rPr>
        <w:t xml:space="preserve">the </w:t>
      </w:r>
      <w:r w:rsidRPr="00183445">
        <w:rPr>
          <w:rFonts w:ascii="Times New Roman" w:eastAsia="Times New Roman" w:hAnsi="Times New Roman" w:cs="Times New Roman"/>
          <w:color w:val="000000"/>
          <w:sz w:val="24"/>
          <w:szCs w:val="24"/>
        </w:rPr>
        <w:t>education course</w:t>
      </w:r>
      <w:r w:rsidRPr="00183445">
        <w:rPr>
          <w:rFonts w:ascii="Times New Roman" w:eastAsia="Times New Roman" w:hAnsi="Times New Roman" w:cs="Times New Roman"/>
          <w:color w:val="000000"/>
          <w:sz w:val="24"/>
          <w:szCs w:val="24"/>
        </w:rPr>
        <w:t>s</w:t>
      </w:r>
      <w:r w:rsidRPr="00183445">
        <w:rPr>
          <w:rFonts w:ascii="Times New Roman" w:eastAsia="Times New Roman" w:hAnsi="Times New Roman" w:cs="Times New Roman"/>
          <w:color w:val="000000"/>
          <w:sz w:val="24"/>
          <w:szCs w:val="24"/>
        </w:rPr>
        <w:t xml:space="preserve"> turn</w:t>
      </w:r>
      <w:r w:rsidRPr="00183445">
        <w:rPr>
          <w:rFonts w:ascii="Times New Roman" w:eastAsia="Times New Roman" w:hAnsi="Times New Roman" w:cs="Times New Roman"/>
          <w:color w:val="000000"/>
          <w:sz w:val="24"/>
          <w:szCs w:val="24"/>
        </w:rPr>
        <w:t>ed</w:t>
      </w:r>
      <w:r w:rsidRPr="00183445">
        <w:rPr>
          <w:rFonts w:ascii="Times New Roman" w:eastAsia="Times New Roman" w:hAnsi="Times New Roman" w:cs="Times New Roman"/>
          <w:color w:val="000000"/>
          <w:sz w:val="24"/>
          <w:szCs w:val="24"/>
        </w:rPr>
        <w:t xml:space="preserve"> out to be insufficient to change gender relations and the ‘conceptions of sexuality’ experienced by young</w:t>
      </w:r>
      <w:r w:rsidR="00AA3728">
        <w:rPr>
          <w:rFonts w:ascii="Times New Roman" w:eastAsia="Times New Roman" w:hAnsi="Times New Roman" w:cs="Times New Roman"/>
          <w:color w:val="000000"/>
          <w:sz w:val="24"/>
          <w:szCs w:val="24"/>
        </w:rPr>
        <w:t>st</w:t>
      </w:r>
      <w:r w:rsidRPr="00183445">
        <w:rPr>
          <w:rFonts w:ascii="Times New Roman" w:eastAsia="Times New Roman" w:hAnsi="Times New Roman" w:cs="Times New Roman"/>
          <w:color w:val="000000"/>
          <w:sz w:val="24"/>
          <w:szCs w:val="24"/>
        </w:rPr>
        <w:t xml:space="preserve">ers with in/out </w:t>
      </w:r>
      <w:r w:rsidRPr="00183445">
        <w:rPr>
          <w:rFonts w:ascii="Times New Roman" w:eastAsia="Times New Roman" w:hAnsi="Times New Roman" w:cs="Times New Roman"/>
          <w:color w:val="000000"/>
          <w:sz w:val="24"/>
          <w:szCs w:val="24"/>
        </w:rPr>
        <w:t xml:space="preserve">of school. In addition, </w:t>
      </w:r>
      <w:r w:rsidRPr="00183445">
        <w:rPr>
          <w:rFonts w:ascii="Times New Roman" w:eastAsia="Times New Roman" w:hAnsi="Times New Roman" w:cs="Times New Roman"/>
          <w:color w:val="000000"/>
          <w:sz w:val="24"/>
          <w:szCs w:val="24"/>
        </w:rPr>
        <w:lastRenderedPageBreak/>
        <w:t xml:space="preserve">teachers noted that </w:t>
      </w:r>
      <w:r w:rsidRPr="00183445">
        <w:rPr>
          <w:rFonts w:ascii="Times New Roman" w:eastAsia="Times New Roman" w:hAnsi="Times New Roman" w:cs="Times New Roman"/>
          <w:color w:val="000000"/>
          <w:sz w:val="24"/>
          <w:szCs w:val="24"/>
        </w:rPr>
        <w:t>it ‘could’</w:t>
      </w:r>
      <w:r w:rsidRPr="00183445">
        <w:rPr>
          <w:rFonts w:ascii="Times New Roman" w:eastAsia="Times New Roman" w:hAnsi="Times New Roman" w:cs="Times New Roman"/>
          <w:color w:val="000000"/>
          <w:sz w:val="24"/>
          <w:szCs w:val="24"/>
        </w:rPr>
        <w:t xml:space="preserve"> expand</w:t>
      </w:r>
      <w:r w:rsidRPr="00183445">
        <w:rPr>
          <w:rFonts w:ascii="Times New Roman" w:eastAsia="Times New Roman" w:hAnsi="Times New Roman" w:cs="Times New Roman"/>
          <w:color w:val="000000"/>
          <w:sz w:val="24"/>
          <w:szCs w:val="24"/>
        </w:rPr>
        <w:t xml:space="preserve"> their knowledge but does not change their position in respect to the</w:t>
      </w:r>
      <w:r w:rsidRPr="00183445">
        <w:rPr>
          <w:rFonts w:ascii="Times New Roman" w:eastAsia="Times New Roman" w:hAnsi="Times New Roman" w:cs="Times New Roman"/>
          <w:color w:val="000000"/>
          <w:sz w:val="24"/>
          <w:szCs w:val="24"/>
        </w:rPr>
        <w:t xml:space="preserve"> policies</w:t>
      </w:r>
      <w:r w:rsidRPr="00183445">
        <w:rPr>
          <w:rFonts w:ascii="Times New Roman" w:eastAsia="Times New Roman" w:hAnsi="Times New Roman" w:cs="Times New Roman"/>
          <w:color w:val="000000"/>
          <w:sz w:val="24"/>
          <w:szCs w:val="24"/>
        </w:rPr>
        <w:t xml:space="preserve"> values </w:t>
      </w:r>
      <w:r w:rsidRPr="00183445">
        <w:rPr>
          <w:rFonts w:ascii="Times New Roman" w:eastAsia="RotisSerif" w:hAnsi="Times New Roman" w:cs="Times New Roman"/>
          <w:color w:val="000000"/>
          <w:sz w:val="24"/>
          <w:szCs w:val="24"/>
        </w:rPr>
        <w:t>(Santos et al., 2018; Vianna, 2015, p. 792)</w:t>
      </w:r>
      <w:r w:rsidRPr="00183445">
        <w:rPr>
          <w:rFonts w:ascii="Times New Roman" w:eastAsia="Times New Roman" w:hAnsi="Times New Roman" w:cs="Times New Roman"/>
          <w:color w:val="000000"/>
          <w:sz w:val="24"/>
          <w:szCs w:val="24"/>
        </w:rPr>
        <w:t xml:space="preserve">.  </w:t>
      </w:r>
    </w:p>
    <w:p w14:paraId="667A4343" w14:textId="77777777" w:rsidR="00F74507" w:rsidRPr="00183445" w:rsidRDefault="00F74507">
      <w:pPr>
        <w:pBdr>
          <w:top w:val="nil"/>
          <w:left w:val="nil"/>
          <w:bottom w:val="nil"/>
          <w:right w:val="nil"/>
          <w:between w:val="nil"/>
        </w:pBdr>
        <w:spacing w:after="0" w:line="360" w:lineRule="auto"/>
        <w:rPr>
          <w:rFonts w:ascii="Times New Roman" w:eastAsia="RotisSerif" w:hAnsi="Times New Roman" w:cs="Times New Roman"/>
          <w:sz w:val="24"/>
          <w:szCs w:val="24"/>
        </w:rPr>
      </w:pPr>
    </w:p>
    <w:p w14:paraId="7B735DCB" w14:textId="23909058" w:rsidR="00F74507" w:rsidRPr="00183445" w:rsidRDefault="00D87175">
      <w:pPr>
        <w:pBdr>
          <w:top w:val="nil"/>
          <w:left w:val="nil"/>
          <w:bottom w:val="nil"/>
          <w:right w:val="nil"/>
          <w:between w:val="nil"/>
        </w:pBdr>
        <w:spacing w:after="0" w:line="360" w:lineRule="auto"/>
        <w:ind w:firstLine="0"/>
        <w:rPr>
          <w:rFonts w:ascii="Times New Roman" w:eastAsia="RotisSerif" w:hAnsi="Times New Roman" w:cs="Times New Roman"/>
          <w:sz w:val="24"/>
          <w:szCs w:val="24"/>
        </w:rPr>
      </w:pPr>
      <w:r w:rsidRPr="00183445">
        <w:rPr>
          <w:rFonts w:ascii="Times New Roman" w:eastAsia="Times New Roman" w:hAnsi="Times New Roman" w:cs="Times New Roman"/>
          <w:color w:val="000000"/>
          <w:sz w:val="24"/>
          <w:szCs w:val="24"/>
        </w:rPr>
        <w:t xml:space="preserve"> </w:t>
      </w:r>
      <w:r w:rsidRPr="00183445">
        <w:rPr>
          <w:rFonts w:ascii="Times New Roman" w:eastAsia="Times New Roman" w:hAnsi="Times New Roman" w:cs="Times New Roman"/>
          <w:color w:val="000000"/>
          <w:sz w:val="24"/>
          <w:szCs w:val="24"/>
        </w:rPr>
        <w:tab/>
      </w:r>
      <w:r w:rsidRPr="00183445">
        <w:rPr>
          <w:rFonts w:ascii="Times New Roman" w:eastAsia="Times New Roman" w:hAnsi="Times New Roman" w:cs="Times New Roman"/>
          <w:color w:val="000000"/>
          <w:sz w:val="24"/>
          <w:szCs w:val="24"/>
        </w:rPr>
        <w:t xml:space="preserve"> Becoming aware of the increased knowledge o</w:t>
      </w:r>
      <w:r w:rsidRPr="00183445">
        <w:rPr>
          <w:rFonts w:ascii="Times New Roman" w:eastAsia="Times New Roman" w:hAnsi="Times New Roman" w:cs="Times New Roman"/>
          <w:color w:val="000000"/>
          <w:sz w:val="24"/>
          <w:szCs w:val="24"/>
        </w:rPr>
        <w:t>f sexuality allows prejudices supporting their ideas of ‘infantile and juvenile sexuality’ and teenage pregnancy and homosexuality, would not be enough to ‘guarantee’ the transformation of the educative practice</w:t>
      </w:r>
      <w:r w:rsidR="003D3AC1" w:rsidRPr="00183445">
        <w:rPr>
          <w:rFonts w:ascii="Times New Roman" w:eastAsia="Times New Roman" w:hAnsi="Times New Roman" w:cs="Times New Roman"/>
          <w:color w:val="000000"/>
          <w:sz w:val="24"/>
          <w:szCs w:val="24"/>
        </w:rPr>
        <w:t xml:space="preserve"> </w:t>
      </w:r>
      <w:r w:rsidRPr="00183445">
        <w:rPr>
          <w:rFonts w:ascii="Times New Roman" w:eastAsia="RotisSerif" w:hAnsi="Times New Roman" w:cs="Times New Roman"/>
          <w:color w:val="000000"/>
          <w:sz w:val="24"/>
          <w:szCs w:val="24"/>
        </w:rPr>
        <w:t>(Vianna, 2015)</w:t>
      </w:r>
      <w:r w:rsidRPr="00183445">
        <w:rPr>
          <w:rFonts w:ascii="Times New Roman" w:eastAsia="Times New Roman" w:hAnsi="Times New Roman" w:cs="Times New Roman"/>
          <w:color w:val="000000"/>
          <w:sz w:val="24"/>
          <w:szCs w:val="24"/>
        </w:rPr>
        <w:t>.</w:t>
      </w:r>
    </w:p>
    <w:p w14:paraId="13E229A3" w14:textId="77777777" w:rsidR="00F74507" w:rsidRPr="00183445" w:rsidRDefault="00F74507">
      <w:pPr>
        <w:pBdr>
          <w:top w:val="nil"/>
          <w:left w:val="nil"/>
          <w:bottom w:val="nil"/>
          <w:right w:val="nil"/>
          <w:between w:val="nil"/>
        </w:pBdr>
        <w:spacing w:after="0" w:line="360" w:lineRule="auto"/>
        <w:rPr>
          <w:rFonts w:ascii="Times New Roman" w:eastAsia="Times New Roman" w:hAnsi="Times New Roman" w:cs="Times New Roman"/>
          <w:sz w:val="24"/>
          <w:szCs w:val="24"/>
        </w:rPr>
      </w:pPr>
    </w:p>
    <w:p w14:paraId="284C112E" w14:textId="136B1054" w:rsidR="00F74507" w:rsidRPr="00183445" w:rsidRDefault="00D87175">
      <w:pPr>
        <w:pBdr>
          <w:top w:val="nil"/>
          <w:left w:val="nil"/>
          <w:bottom w:val="nil"/>
          <w:right w:val="nil"/>
          <w:between w:val="nil"/>
        </w:pBdr>
        <w:spacing w:after="0" w:line="360" w:lineRule="auto"/>
        <w:rPr>
          <w:rFonts w:ascii="Times New Roman" w:eastAsia="Times New Roman" w:hAnsi="Times New Roman" w:cs="Times New Roman"/>
          <w:sz w:val="24"/>
          <w:szCs w:val="24"/>
        </w:rPr>
      </w:pPr>
      <w:r w:rsidRPr="00183445">
        <w:rPr>
          <w:rFonts w:ascii="Times New Roman" w:hAnsi="Times New Roman" w:cs="Times New Roman"/>
          <w:sz w:val="24"/>
          <w:szCs w:val="24"/>
        </w:rPr>
        <w:t xml:space="preserve">However, in May 2011, the </w:t>
      </w:r>
      <w:r w:rsidRPr="00183445">
        <w:rPr>
          <w:rFonts w:ascii="Times New Roman" w:hAnsi="Times New Roman" w:cs="Times New Roman"/>
          <w:sz w:val="24"/>
          <w:szCs w:val="24"/>
        </w:rPr>
        <w:t>‘</w:t>
      </w:r>
      <w:r w:rsidRPr="00183445">
        <w:rPr>
          <w:rFonts w:ascii="Times New Roman" w:hAnsi="Times New Roman" w:cs="Times New Roman"/>
          <w:sz w:val="24"/>
          <w:szCs w:val="24"/>
        </w:rPr>
        <w:t>School without Homophobia Project</w:t>
      </w:r>
      <w:r w:rsidRPr="00183445">
        <w:rPr>
          <w:rFonts w:ascii="Times New Roman" w:hAnsi="Times New Roman" w:cs="Times New Roman"/>
          <w:sz w:val="24"/>
          <w:szCs w:val="24"/>
        </w:rPr>
        <w:t>’</w:t>
      </w:r>
      <w:r w:rsidRPr="00183445">
        <w:rPr>
          <w:rFonts w:ascii="Times New Roman" w:hAnsi="Times New Roman" w:cs="Times New Roman"/>
          <w:sz w:val="24"/>
          <w:szCs w:val="24"/>
        </w:rPr>
        <w:t xml:space="preserve">, in </w:t>
      </w:r>
      <w:r w:rsidRPr="00183445">
        <w:rPr>
          <w:rFonts w:ascii="Times New Roman" w:hAnsi="Times New Roman" w:cs="Times New Roman"/>
          <w:sz w:val="24"/>
          <w:szCs w:val="24"/>
        </w:rPr>
        <w:t xml:space="preserve">Brazil </w:t>
      </w:r>
      <w:r w:rsidRPr="00183445">
        <w:rPr>
          <w:rFonts w:ascii="Times New Roman" w:hAnsi="Times New Roman" w:cs="Times New Roman"/>
          <w:sz w:val="24"/>
          <w:szCs w:val="24"/>
        </w:rPr>
        <w:t xml:space="preserve">was, after action from the religious pressure groups in the National Congress, </w:t>
      </w:r>
      <w:r w:rsidRPr="00183445">
        <w:rPr>
          <w:rFonts w:ascii="Times New Roman" w:hAnsi="Times New Roman" w:cs="Times New Roman"/>
          <w:sz w:val="24"/>
          <w:szCs w:val="24"/>
        </w:rPr>
        <w:t xml:space="preserve">allowed </w:t>
      </w:r>
      <w:r w:rsidRPr="00183445">
        <w:rPr>
          <w:rFonts w:ascii="Times New Roman" w:hAnsi="Times New Roman" w:cs="Times New Roman"/>
          <w:sz w:val="24"/>
          <w:szCs w:val="24"/>
        </w:rPr>
        <w:t xml:space="preserve">President Dilma Rousseff </w:t>
      </w:r>
      <w:r w:rsidRPr="00183445">
        <w:rPr>
          <w:rFonts w:ascii="Times New Roman" w:hAnsi="Times New Roman" w:cs="Times New Roman"/>
          <w:sz w:val="24"/>
          <w:szCs w:val="24"/>
        </w:rPr>
        <w:t xml:space="preserve">to </w:t>
      </w:r>
      <w:r w:rsidRPr="00183445">
        <w:rPr>
          <w:rFonts w:ascii="Times New Roman" w:hAnsi="Times New Roman" w:cs="Times New Roman"/>
          <w:sz w:val="24"/>
          <w:szCs w:val="24"/>
        </w:rPr>
        <w:t>veto</w:t>
      </w:r>
      <w:r w:rsidRPr="00183445">
        <w:rPr>
          <w:rFonts w:ascii="Times New Roman" w:hAnsi="Times New Roman" w:cs="Times New Roman"/>
          <w:sz w:val="24"/>
          <w:szCs w:val="24"/>
        </w:rPr>
        <w:t xml:space="preserve"> the material</w:t>
      </w:r>
      <w:r w:rsidRPr="00183445">
        <w:rPr>
          <w:rFonts w:ascii="Times New Roman" w:hAnsi="Times New Roman" w:cs="Times New Roman"/>
          <w:sz w:val="24"/>
          <w:szCs w:val="24"/>
        </w:rPr>
        <w:t xml:space="preserve">. Given </w:t>
      </w:r>
      <w:r w:rsidRPr="00183445">
        <w:rPr>
          <w:rFonts w:ascii="Times New Roman" w:hAnsi="Times New Roman" w:cs="Times New Roman"/>
          <w:sz w:val="24"/>
          <w:szCs w:val="24"/>
        </w:rPr>
        <w:t xml:space="preserve">this situation the human rights element effects choice when encountering </w:t>
      </w:r>
      <w:r w:rsidR="00966862" w:rsidRPr="00183445">
        <w:rPr>
          <w:rFonts w:ascii="Times New Roman" w:hAnsi="Times New Roman" w:cs="Times New Roman"/>
          <w:sz w:val="24"/>
          <w:szCs w:val="24"/>
        </w:rPr>
        <w:t>d</w:t>
      </w:r>
      <w:r w:rsidR="00966862">
        <w:rPr>
          <w:rFonts w:ascii="Times New Roman" w:hAnsi="Times New Roman" w:cs="Times New Roman"/>
          <w:sz w:val="24"/>
          <w:szCs w:val="24"/>
        </w:rPr>
        <w:t>i</w:t>
      </w:r>
      <w:r w:rsidR="00966862" w:rsidRPr="00183445">
        <w:rPr>
          <w:rFonts w:ascii="Times New Roman" w:hAnsi="Times New Roman" w:cs="Times New Roman"/>
          <w:sz w:val="24"/>
          <w:szCs w:val="24"/>
        </w:rPr>
        <w:t>ct</w:t>
      </w:r>
      <w:r w:rsidR="00966862">
        <w:rPr>
          <w:rFonts w:ascii="Times New Roman" w:hAnsi="Times New Roman" w:cs="Times New Roman"/>
          <w:sz w:val="24"/>
          <w:szCs w:val="24"/>
        </w:rPr>
        <w:t xml:space="preserve">atorship </w:t>
      </w:r>
      <w:r w:rsidRPr="00183445">
        <w:rPr>
          <w:rFonts w:ascii="Times New Roman" w:hAnsi="Times New Roman" w:cs="Times New Roman"/>
          <w:sz w:val="24"/>
          <w:szCs w:val="24"/>
        </w:rPr>
        <w:t>or non-effective governments</w:t>
      </w:r>
      <w:r w:rsidRPr="00183445">
        <w:rPr>
          <w:rFonts w:ascii="Times New Roman" w:eastAsia="Times New Roman" w:hAnsi="Times New Roman" w:cs="Times New Roman"/>
          <w:sz w:val="24"/>
          <w:szCs w:val="24"/>
        </w:rPr>
        <w:t xml:space="preserve"> (McGoldrick, 2016, p. 7; Rees, 2010, pp. 5–22)</w:t>
      </w:r>
    </w:p>
    <w:p w14:paraId="093BCDBB" w14:textId="77777777" w:rsidR="00F74507" w:rsidRPr="00183445" w:rsidRDefault="00F74507">
      <w:pPr>
        <w:pBdr>
          <w:top w:val="nil"/>
          <w:left w:val="nil"/>
          <w:bottom w:val="nil"/>
          <w:right w:val="nil"/>
          <w:between w:val="nil"/>
        </w:pBdr>
        <w:spacing w:after="0" w:line="360" w:lineRule="auto"/>
        <w:rPr>
          <w:rFonts w:ascii="Times New Roman" w:eastAsia="Times New Roman" w:hAnsi="Times New Roman" w:cs="Times New Roman"/>
          <w:sz w:val="24"/>
          <w:szCs w:val="24"/>
        </w:rPr>
      </w:pPr>
    </w:p>
    <w:p w14:paraId="5650455D" w14:textId="7FF81B29" w:rsidR="00F74507" w:rsidRPr="00183445" w:rsidRDefault="00D87175">
      <w:pPr>
        <w:pBdr>
          <w:top w:val="nil"/>
          <w:left w:val="nil"/>
          <w:bottom w:val="nil"/>
          <w:right w:val="nil"/>
          <w:between w:val="nil"/>
        </w:pBdr>
        <w:spacing w:after="0" w:line="360" w:lineRule="auto"/>
        <w:rPr>
          <w:rFonts w:ascii="Times New Roman" w:eastAsia="Times New Roman" w:hAnsi="Times New Roman" w:cs="Times New Roman"/>
          <w:sz w:val="24"/>
          <w:szCs w:val="24"/>
        </w:rPr>
      </w:pPr>
      <w:r w:rsidRPr="00183445">
        <w:rPr>
          <w:rFonts w:ascii="Times New Roman" w:eastAsia="RotisSerif" w:hAnsi="Times New Roman" w:cs="Times New Roman"/>
          <w:color w:val="000000"/>
          <w:sz w:val="24"/>
          <w:szCs w:val="24"/>
        </w:rPr>
        <w:t xml:space="preserve"> </w:t>
      </w:r>
      <w:r w:rsidR="00FE51E4">
        <w:rPr>
          <w:rFonts w:ascii="Times New Roman" w:eastAsia="RotisSerif" w:hAnsi="Times New Roman" w:cs="Times New Roman"/>
          <w:color w:val="000000"/>
          <w:sz w:val="24"/>
          <w:szCs w:val="24"/>
        </w:rPr>
        <w:t>Finally, j</w:t>
      </w:r>
      <w:r w:rsidRPr="00183445">
        <w:rPr>
          <w:rFonts w:ascii="Times New Roman" w:eastAsia="RotisSerif" w:hAnsi="Times New Roman" w:cs="Times New Roman"/>
          <w:color w:val="000000"/>
          <w:sz w:val="24"/>
          <w:szCs w:val="24"/>
        </w:rPr>
        <w:t xml:space="preserve">ust the acceptance of your own sexuality, identity, orientation is only </w:t>
      </w:r>
      <w:r w:rsidRPr="00183445">
        <w:rPr>
          <w:rFonts w:ascii="Times New Roman" w:eastAsia="RotisSerif" w:hAnsi="Times New Roman" w:cs="Times New Roman"/>
          <w:color w:val="000000"/>
          <w:sz w:val="24"/>
          <w:szCs w:val="24"/>
        </w:rPr>
        <w:t>permitted by human rights and the democratise and un-democratic regimes values, cultures and beliefs  that allow this right, so unive</w:t>
      </w:r>
      <w:r w:rsidRPr="00183445">
        <w:rPr>
          <w:rFonts w:ascii="Times New Roman" w:eastAsia="RotisSerif" w:hAnsi="Times New Roman" w:cs="Times New Roman"/>
          <w:color w:val="000000"/>
          <w:sz w:val="24"/>
          <w:szCs w:val="24"/>
        </w:rPr>
        <w:t>rsal acceptance  is just a matter of where in the world you were born, when you were born, in which era and the belie</w:t>
      </w:r>
      <w:r w:rsidR="00AA3728">
        <w:rPr>
          <w:rFonts w:ascii="Times New Roman" w:eastAsia="RotisSerif" w:hAnsi="Times New Roman" w:cs="Times New Roman"/>
          <w:color w:val="000000"/>
          <w:sz w:val="24"/>
          <w:szCs w:val="24"/>
        </w:rPr>
        <w:t>f</w:t>
      </w:r>
      <w:r w:rsidRPr="00183445">
        <w:rPr>
          <w:rFonts w:ascii="Times New Roman" w:eastAsia="RotisSerif" w:hAnsi="Times New Roman" w:cs="Times New Roman"/>
          <w:color w:val="000000"/>
          <w:sz w:val="24"/>
          <w:szCs w:val="24"/>
        </w:rPr>
        <w:t xml:space="preserve"> at that time and what the cultural values your community un-holds at that time. This statement answers the </w:t>
      </w:r>
      <w:r w:rsidR="00966862">
        <w:rPr>
          <w:rFonts w:ascii="Times New Roman" w:eastAsia="RotisSerif" w:hAnsi="Times New Roman" w:cs="Times New Roman"/>
          <w:color w:val="000000"/>
          <w:sz w:val="24"/>
          <w:szCs w:val="24"/>
        </w:rPr>
        <w:t xml:space="preserve">question </w:t>
      </w:r>
      <w:r w:rsidRPr="00183445">
        <w:rPr>
          <w:rFonts w:ascii="Times New Roman" w:eastAsia="RotisSerif" w:hAnsi="Times New Roman" w:cs="Times New Roman"/>
          <w:color w:val="000000"/>
          <w:sz w:val="24"/>
          <w:szCs w:val="24"/>
        </w:rPr>
        <w:t>of acceptance of integration</w:t>
      </w:r>
      <w:r w:rsidRPr="00183445">
        <w:rPr>
          <w:rFonts w:ascii="Times New Roman" w:eastAsia="RotisSerif" w:hAnsi="Times New Roman" w:cs="Times New Roman"/>
          <w:color w:val="000000"/>
          <w:sz w:val="24"/>
          <w:szCs w:val="24"/>
        </w:rPr>
        <w:t xml:space="preserve"> into ‘normal’ or the continuation of ‘different’ which is not problematic with the LGBT </w:t>
      </w:r>
      <w:r w:rsidR="003D3AC1" w:rsidRPr="00183445">
        <w:rPr>
          <w:rFonts w:ascii="Times New Roman" w:eastAsia="RotisSerif" w:hAnsi="Times New Roman" w:cs="Times New Roman"/>
          <w:color w:val="000000"/>
          <w:sz w:val="24"/>
          <w:szCs w:val="24"/>
        </w:rPr>
        <w:t>community (</w:t>
      </w:r>
      <w:r w:rsidRPr="00183445">
        <w:rPr>
          <w:rFonts w:ascii="Times New Roman" w:eastAsia="RotisSerif" w:hAnsi="Times New Roman" w:cs="Times New Roman"/>
          <w:color w:val="000000"/>
          <w:sz w:val="24"/>
          <w:szCs w:val="24"/>
        </w:rPr>
        <w:t>McGoldrick, 2016)</w:t>
      </w:r>
    </w:p>
    <w:p w14:paraId="6081F718" w14:textId="77777777" w:rsidR="00F74507" w:rsidRPr="00183445" w:rsidRDefault="00F74507">
      <w:pPr>
        <w:pBdr>
          <w:top w:val="nil"/>
          <w:left w:val="nil"/>
          <w:bottom w:val="nil"/>
          <w:right w:val="nil"/>
          <w:between w:val="nil"/>
        </w:pBdr>
        <w:spacing w:after="0" w:line="360" w:lineRule="auto"/>
        <w:rPr>
          <w:rFonts w:ascii="Times New Roman" w:eastAsia="Times New Roman" w:hAnsi="Times New Roman" w:cs="Times New Roman"/>
          <w:sz w:val="24"/>
          <w:szCs w:val="24"/>
        </w:rPr>
      </w:pPr>
    </w:p>
    <w:p w14:paraId="74F14CA6" w14:textId="399BD26A" w:rsidR="00F74507" w:rsidRDefault="00D87175">
      <w:pPr>
        <w:pBdr>
          <w:top w:val="nil"/>
          <w:left w:val="nil"/>
          <w:bottom w:val="nil"/>
          <w:right w:val="nil"/>
          <w:between w:val="nil"/>
        </w:pBdr>
        <w:spacing w:after="0" w:line="360" w:lineRule="auto"/>
        <w:rPr>
          <w:rFonts w:ascii="Times New Roman" w:eastAsia="RotisSerif" w:hAnsi="Times New Roman" w:cs="Times New Roman"/>
          <w:color w:val="000000"/>
          <w:sz w:val="24"/>
          <w:szCs w:val="24"/>
        </w:rPr>
      </w:pPr>
      <w:r w:rsidRPr="00183445">
        <w:rPr>
          <w:rFonts w:ascii="Times New Roman" w:eastAsia="RotisSerif" w:hAnsi="Times New Roman" w:cs="Times New Roman"/>
          <w:color w:val="000000"/>
          <w:sz w:val="24"/>
          <w:szCs w:val="24"/>
        </w:rPr>
        <w:t>Political and legal opposition is widespread geographically in the argument that distinguishes, sexual orientation and discrimination clai</w:t>
      </w:r>
      <w:r w:rsidRPr="00183445">
        <w:rPr>
          <w:rFonts w:ascii="Times New Roman" w:eastAsia="RotisSerif" w:hAnsi="Times New Roman" w:cs="Times New Roman"/>
          <w:color w:val="000000"/>
          <w:sz w:val="24"/>
          <w:szCs w:val="24"/>
        </w:rPr>
        <w:t>ms, on the ground</w:t>
      </w:r>
      <w:r w:rsidR="00966862">
        <w:rPr>
          <w:rFonts w:ascii="Times New Roman" w:eastAsia="RotisSerif" w:hAnsi="Times New Roman" w:cs="Times New Roman"/>
          <w:color w:val="000000"/>
          <w:sz w:val="24"/>
          <w:szCs w:val="24"/>
        </w:rPr>
        <w:t>s</w:t>
      </w:r>
      <w:r w:rsidRPr="00183445">
        <w:rPr>
          <w:rFonts w:ascii="Times New Roman" w:eastAsia="RotisSerif" w:hAnsi="Times New Roman" w:cs="Times New Roman"/>
          <w:color w:val="000000"/>
          <w:sz w:val="24"/>
          <w:szCs w:val="24"/>
        </w:rPr>
        <w:t xml:space="preserve"> of sexual orientation and is ‘one of the great, neglected human rights challenges of our time’ according to the United Nation Secretary-General Ban Kimoon, while accepting that many States and their populations do not see that as an issue</w:t>
      </w:r>
      <w:r w:rsidRPr="00183445">
        <w:rPr>
          <w:rFonts w:ascii="Times New Roman" w:eastAsia="RotisSerif" w:hAnsi="Times New Roman" w:cs="Times New Roman"/>
          <w:color w:val="000000"/>
          <w:sz w:val="24"/>
          <w:szCs w:val="24"/>
        </w:rPr>
        <w:t>. As the issue is viewed as a low priority eve</w:t>
      </w:r>
      <w:r w:rsidR="00AA3728">
        <w:rPr>
          <w:rFonts w:ascii="Times New Roman" w:eastAsia="RotisSerif" w:hAnsi="Times New Roman" w:cs="Times New Roman"/>
          <w:color w:val="000000"/>
          <w:sz w:val="24"/>
          <w:szCs w:val="24"/>
        </w:rPr>
        <w:t>n</w:t>
      </w:r>
      <w:r w:rsidRPr="00183445">
        <w:rPr>
          <w:rFonts w:ascii="Times New Roman" w:eastAsia="RotisSerif" w:hAnsi="Times New Roman" w:cs="Times New Roman"/>
          <w:color w:val="000000"/>
          <w:sz w:val="24"/>
          <w:szCs w:val="24"/>
        </w:rPr>
        <w:t xml:space="preserve"> when there is more acceptanc</w:t>
      </w:r>
      <w:r w:rsidR="00AA3728">
        <w:rPr>
          <w:rFonts w:ascii="Times New Roman" w:eastAsia="RotisSerif" w:hAnsi="Times New Roman" w:cs="Times New Roman"/>
          <w:color w:val="000000"/>
          <w:sz w:val="24"/>
          <w:szCs w:val="24"/>
        </w:rPr>
        <w:t>e</w:t>
      </w:r>
      <w:r w:rsidRPr="00183445">
        <w:rPr>
          <w:rFonts w:ascii="Times New Roman" w:eastAsia="RotisSerif" w:hAnsi="Times New Roman" w:cs="Times New Roman"/>
          <w:color w:val="000000"/>
          <w:sz w:val="24"/>
          <w:szCs w:val="24"/>
        </w:rPr>
        <w:t xml:space="preserve"> of the issue.</w:t>
      </w:r>
    </w:p>
    <w:p w14:paraId="29E401B4" w14:textId="77777777" w:rsidR="00794250" w:rsidRPr="00183445" w:rsidRDefault="00794250">
      <w:pPr>
        <w:pBdr>
          <w:top w:val="nil"/>
          <w:left w:val="nil"/>
          <w:bottom w:val="nil"/>
          <w:right w:val="nil"/>
          <w:between w:val="nil"/>
        </w:pBdr>
        <w:spacing w:after="0" w:line="360" w:lineRule="auto"/>
        <w:rPr>
          <w:rFonts w:ascii="Times New Roman" w:eastAsia="Times New Roman" w:hAnsi="Times New Roman" w:cs="Times New Roman"/>
          <w:sz w:val="24"/>
          <w:szCs w:val="24"/>
        </w:rPr>
      </w:pPr>
    </w:p>
    <w:p w14:paraId="01EE3403" w14:textId="657663F2" w:rsidR="007E660C" w:rsidRPr="00183445" w:rsidRDefault="00D87175" w:rsidP="003D3AC1">
      <w:pPr>
        <w:pBdr>
          <w:top w:val="nil"/>
          <w:left w:val="nil"/>
          <w:bottom w:val="nil"/>
          <w:right w:val="nil"/>
          <w:between w:val="nil"/>
        </w:pBdr>
        <w:spacing w:after="0" w:line="360" w:lineRule="auto"/>
        <w:rPr>
          <w:rFonts w:ascii="Times New Roman" w:eastAsia="Arial" w:hAnsi="Times New Roman" w:cs="Times New Roman"/>
          <w:color w:val="000000"/>
          <w:sz w:val="24"/>
          <w:szCs w:val="24"/>
        </w:rPr>
      </w:pPr>
      <w:r w:rsidRPr="00183445">
        <w:rPr>
          <w:rFonts w:ascii="Times New Roman" w:eastAsia="Arial" w:hAnsi="Times New Roman" w:cs="Times New Roman"/>
          <w:sz w:val="24"/>
          <w:szCs w:val="24"/>
        </w:rPr>
        <w:t>There is also a recognition that the legal debates will continue even through existing treaty prohibitions and continue</w:t>
      </w:r>
      <w:r w:rsidR="00AA3728">
        <w:rPr>
          <w:rFonts w:ascii="Times New Roman" w:eastAsia="Arial" w:hAnsi="Times New Roman" w:cs="Times New Roman"/>
          <w:sz w:val="24"/>
          <w:szCs w:val="24"/>
        </w:rPr>
        <w:t>d</w:t>
      </w:r>
      <w:r w:rsidRPr="00183445">
        <w:rPr>
          <w:rFonts w:ascii="Times New Roman" w:eastAsia="Arial" w:hAnsi="Times New Roman" w:cs="Times New Roman"/>
          <w:sz w:val="24"/>
          <w:szCs w:val="24"/>
        </w:rPr>
        <w:t xml:space="preserve"> opposition from a significant body of the S</w:t>
      </w:r>
      <w:r w:rsidRPr="00183445">
        <w:rPr>
          <w:rFonts w:ascii="Times New Roman" w:eastAsia="Arial" w:hAnsi="Times New Roman" w:cs="Times New Roman"/>
          <w:sz w:val="24"/>
          <w:szCs w:val="24"/>
        </w:rPr>
        <w:t>tates, so he goes on to ask ‘what is the way forward? Section 7, strategic and policy responses will influence the overall picture whether international, national or regional which can be complex and/or contested. However, time, assisted by the younger per</w:t>
      </w:r>
      <w:r w:rsidRPr="00183445">
        <w:rPr>
          <w:rFonts w:ascii="Times New Roman" w:eastAsia="Arial" w:hAnsi="Times New Roman" w:cs="Times New Roman"/>
          <w:sz w:val="24"/>
          <w:szCs w:val="24"/>
        </w:rPr>
        <w:t xml:space="preserve">sons tolerance with this issue and </w:t>
      </w:r>
      <w:r w:rsidRPr="00183445">
        <w:rPr>
          <w:rFonts w:ascii="Times New Roman" w:eastAsia="Arial" w:hAnsi="Times New Roman" w:cs="Times New Roman"/>
          <w:sz w:val="24"/>
          <w:szCs w:val="24"/>
        </w:rPr>
        <w:t xml:space="preserve">the </w:t>
      </w:r>
      <w:r w:rsidRPr="00183445">
        <w:rPr>
          <w:rFonts w:ascii="Times New Roman" w:eastAsia="Arial" w:hAnsi="Times New Roman" w:cs="Times New Roman"/>
          <w:sz w:val="24"/>
          <w:szCs w:val="24"/>
        </w:rPr>
        <w:lastRenderedPageBreak/>
        <w:t xml:space="preserve">‘ubiquitous’ character of the internet and social media </w:t>
      </w:r>
      <w:r w:rsidRPr="00183445">
        <w:rPr>
          <w:rFonts w:ascii="Times New Roman" w:eastAsia="Arial" w:hAnsi="Times New Roman" w:cs="Times New Roman"/>
          <w:color w:val="000000"/>
          <w:sz w:val="24"/>
          <w:szCs w:val="24"/>
        </w:rPr>
        <w:t>allow for a great</w:t>
      </w:r>
      <w:r w:rsidR="000D51E8">
        <w:rPr>
          <w:rFonts w:ascii="Times New Roman" w:eastAsia="Arial" w:hAnsi="Times New Roman" w:cs="Times New Roman"/>
          <w:color w:val="000000"/>
          <w:sz w:val="24"/>
          <w:szCs w:val="24"/>
        </w:rPr>
        <w:t>er</w:t>
      </w:r>
      <w:r w:rsidRPr="00183445">
        <w:rPr>
          <w:rFonts w:ascii="Times New Roman" w:eastAsia="Arial" w:hAnsi="Times New Roman" w:cs="Times New Roman"/>
          <w:color w:val="000000"/>
          <w:sz w:val="24"/>
          <w:szCs w:val="24"/>
        </w:rPr>
        <w:t xml:space="preserve"> acceptance and understanding as they </w:t>
      </w:r>
      <w:r w:rsidR="003B677E" w:rsidRPr="00183445">
        <w:rPr>
          <w:rFonts w:ascii="Times New Roman" w:eastAsia="Arial" w:hAnsi="Times New Roman" w:cs="Times New Roman"/>
          <w:color w:val="000000"/>
          <w:sz w:val="24"/>
          <w:szCs w:val="24"/>
        </w:rPr>
        <w:t>be involved</w:t>
      </w:r>
      <w:r w:rsidRPr="00183445">
        <w:rPr>
          <w:rFonts w:ascii="Times New Roman" w:eastAsia="Arial" w:hAnsi="Times New Roman" w:cs="Times New Roman"/>
          <w:color w:val="000000"/>
          <w:sz w:val="24"/>
          <w:szCs w:val="24"/>
        </w:rPr>
        <w:t xml:space="preserve"> with other grounds of non-discrimination such as disability, sex and race but this may n</w:t>
      </w:r>
      <w:r w:rsidRPr="00183445">
        <w:rPr>
          <w:rFonts w:ascii="Times New Roman" w:eastAsia="Arial" w:hAnsi="Times New Roman" w:cs="Times New Roman"/>
          <w:color w:val="000000"/>
          <w:sz w:val="24"/>
          <w:szCs w:val="24"/>
        </w:rPr>
        <w:t>ot be inevitable. The situation of repression, exclusion and violence is increasing</w:t>
      </w:r>
      <w:r w:rsidR="007E660C" w:rsidRPr="00183445">
        <w:rPr>
          <w:rFonts w:ascii="Times New Roman" w:eastAsia="Arial" w:hAnsi="Times New Roman" w:cs="Times New Roman"/>
          <w:color w:val="000000"/>
          <w:sz w:val="24"/>
          <w:szCs w:val="24"/>
        </w:rPr>
        <w:t xml:space="preserve"> </w:t>
      </w:r>
      <w:r w:rsidR="00183445" w:rsidRPr="00183445">
        <w:rPr>
          <w:rFonts w:ascii="Times New Roman" w:eastAsia="Arial" w:hAnsi="Times New Roman" w:cs="Times New Roman"/>
          <w:color w:val="000000"/>
          <w:sz w:val="24"/>
          <w:szCs w:val="24"/>
        </w:rPr>
        <w:fldChar w:fldCharType="begin"/>
      </w:r>
      <w:r w:rsidR="00183445" w:rsidRPr="00183445">
        <w:rPr>
          <w:rFonts w:ascii="Times New Roman" w:eastAsia="Arial" w:hAnsi="Times New Roman" w:cs="Times New Roman"/>
          <w:color w:val="000000"/>
          <w:sz w:val="24"/>
          <w:szCs w:val="24"/>
        </w:rPr>
        <w:instrText xml:space="preserve"> ADDIN ZOTERO_ITEM CSL_CITATION {"citationID":"GuUIG1vL","properties":{"formattedCitation":"(McGoldrick, 2016, pp. 613\\uc0\\u8211{}668)","plainCitation":"(McGoldrick, 2016, pp. 613–668)","noteIndex":0},"citationItems":[{"id":125,"uris":["http://zotero.org/users/4623355/items/QJRZ3PYJ"],"uri":["http://zotero.org/users/4623355/items/QJRZ3PYJ"],"itemData":{"id":125,"type":"article-journal","title":"The Development and Status of Sexual Orientation Discrimination under International Human Rights Law","container-title":"Human Rights Law Review","page":"613-668","volume":"16","issue":"4","source":"Crossref","abstract":"This article assesses the development, status and recognition of a prohibition on sexual orientation discrimination as a matter of international human rights law.1 Supporters of the prohibition on such discrimination have sought to subsume it within established human rights—such as non-discrimination, privacy, family, expression and association—and within established human rights procedures and institutions.2 Opponents of the prohibition have, to various degrees, rejected these arguments. They see the prohibition as a ‘new’ additional right to which they have not and are not going to consent.3 Approached from a positivist perspective, State practice appears to reveal fundamental divisions on this issue. It is submitted that the variations in State practice are such that there is no credible argument for such an existing prohibition as a matter of general or universal customary international law. There is either no customary rule or there are a very large number of persistent objectors.4 There is stronger evidence for regional customs, for example in Western Europe. However, as we shall see, within any wider European region there are significant dissenters.\nThe focus in this article is on whether there are any treaty-based obligations that support the prohibition on sexual orientation discrimination as an existing right. It considers how the interpretation and application of that right by various human rights bodies has accommodated the significant legislative and judicial practice from States—including many which are parties to the relevant treaties—and strong public opposition in many States, particularly linked to tradition, culture, religiosity and relative poverty, that is clearly inconsistent with such an interpretation and application. The widespread and significant opposition from States to this normative rise of the prohibition of sexual orientation discrimination has created a situation in which there is a very serious tension between what is asserted to be clear international human rights law and what are the practices of a large number of States from all regions of the world and marked regional differences. States have not made reservations to any prohibition on sexual orientation discrimination, presumably because they considered that the relevant treaties imposed no such obligation in the first place.5 Thus a ‘living instrument’ approach to the interpretation of international human rights law has the effect of placing them in violation, regardless of any original meaning. Having examined the national, regional and international human rights jurisprudence on sexual orientation discrimination, the article considers the possible ways forward in policy terms, given the continued opposition from a significant body of States. More specifically, it discusses the most appropriate legal and strategic responses at national, regional and international levels to manage or bridge the divisions between States on the issue.\nThe issues considered in this article are of enormous legal, practical and human significance. The fundamental legal and practical issues in play relate to the interpretation of human rights treaties in terms of authority to interpret, the scope of obligations, methodology, consent, the relevance or otherwise of State consensus and applicability or otherwise of a margin of appreciation. As for the human cost, in 2013 United Nations (UN) Secretary-General Ban Ki-moon stated that discrimination on grounds of sexual orientation was ‘one of the great, neglected human rights challenges of our time’.6 Report after report on sexual orientation issues, from all regions of the world, has evidenced violence, repression, exclusion and stigmatization against individuals on the basis of their sexual orientation, commonly grounded in discrimination.7\nFollowing this introduction, Section 2 examines the rise of sexual orientation discrimination within international human rights law. Section 3 examines developments within the UN human rights systems, whilst Section 4 examines developments in the regional human rights systems. In Section 5 consideration is given to support for and opposition to sexual orientation discrimination as a human rights issue at the national level. The evidence relates to a series of critical thematic areas—criminalization of homosexual activities and the introduction of homophobic hate crimes, the express prohibition of discrimination on grounds of sexual orientation, Gay Pride marches and homosexual propaganda laws, and persecution on grounds of sexual orientation in the context of asylum and refugees. In Sections 2–5 the predominant focus is on international, regional and national jurisprudence and legislative developments. Reference is also made to significant political, institutional and policy developments as well as intergovernmental organizations and civil society initiatives. Obviously many of these developments are interrelated. Causal links between them need to be evaluated to provide the appropriate contextualization of the issues discussed.8 Section 6 considers the consequences of the contested status of sexual orientation discrimination as an international human rights law issue. Section 7 sets out the possible legal and strategic responses to manage or bridge the divisions between States on the issue. Finally, Section 8 offers some concluding observations given the current lack of consensus.","DOI":"10.1093/hrlr/ngw030","ISSN":"1461-7781, 1744-1021","language":"en","author":[{"family":"McGoldrick","given":"Dominic"}],"issued":{"date-parts":[["2016",12]]}},"locator":"613-668"}],"schema":"https://github.com/citation-style-language/schema/raw/master/csl-citation.json"} </w:instrText>
      </w:r>
      <w:r w:rsidR="00183445" w:rsidRPr="00183445">
        <w:rPr>
          <w:rFonts w:ascii="Times New Roman" w:eastAsia="Arial" w:hAnsi="Times New Roman" w:cs="Times New Roman"/>
          <w:color w:val="000000"/>
          <w:sz w:val="24"/>
          <w:szCs w:val="24"/>
        </w:rPr>
        <w:fldChar w:fldCharType="separate"/>
      </w:r>
      <w:r w:rsidR="00D95A2D" w:rsidRPr="00D95A2D">
        <w:rPr>
          <w:rFonts w:ascii="Times New Roman" w:hAnsi="Times New Roman" w:cs="Times New Roman"/>
          <w:sz w:val="24"/>
          <w:szCs w:val="24"/>
        </w:rPr>
        <w:t>(McGoldrick, 2016, pp. 613–668)</w:t>
      </w:r>
      <w:r w:rsidR="00183445" w:rsidRPr="00183445">
        <w:rPr>
          <w:rFonts w:ascii="Times New Roman" w:eastAsia="Arial" w:hAnsi="Times New Roman" w:cs="Times New Roman"/>
          <w:color w:val="000000"/>
          <w:sz w:val="24"/>
          <w:szCs w:val="24"/>
        </w:rPr>
        <w:fldChar w:fldCharType="end"/>
      </w:r>
    </w:p>
    <w:p w14:paraId="681682F3" w14:textId="0A127A65" w:rsidR="00F74507" w:rsidRPr="00183445" w:rsidRDefault="00D87175" w:rsidP="003D3AC1">
      <w:pPr>
        <w:pBdr>
          <w:top w:val="nil"/>
          <w:left w:val="nil"/>
          <w:bottom w:val="nil"/>
          <w:right w:val="nil"/>
          <w:between w:val="nil"/>
        </w:pBdr>
        <w:spacing w:after="0" w:line="360" w:lineRule="auto"/>
        <w:rPr>
          <w:rFonts w:ascii="Times New Roman" w:eastAsia="Times New Roman" w:hAnsi="Times New Roman" w:cs="Times New Roman"/>
          <w:sz w:val="24"/>
          <w:szCs w:val="24"/>
        </w:rPr>
      </w:pPr>
      <w:r w:rsidRPr="00183445">
        <w:rPr>
          <w:rFonts w:ascii="Times New Roman" w:eastAsia="Arial" w:hAnsi="Times New Roman" w:cs="Times New Roman"/>
          <w:color w:val="000000"/>
          <w:sz w:val="24"/>
          <w:szCs w:val="24"/>
        </w:rPr>
        <w:t xml:space="preserve"> </w:t>
      </w:r>
    </w:p>
    <w:p w14:paraId="2410BB6A" w14:textId="62517FCC" w:rsidR="00F74507" w:rsidRDefault="00966862" w:rsidP="00183445">
      <w:pPr>
        <w:pBdr>
          <w:top w:val="nil"/>
          <w:left w:val="nil"/>
          <w:bottom w:val="nil"/>
          <w:right w:val="nil"/>
          <w:between w:val="nil"/>
        </w:pBdr>
        <w:spacing w:after="0" w:line="360" w:lineRule="auto"/>
        <w:rPr>
          <w:rFonts w:ascii="Times New Roman" w:eastAsia="Arial" w:hAnsi="Times New Roman" w:cs="Times New Roman"/>
          <w:sz w:val="24"/>
          <w:szCs w:val="24"/>
        </w:rPr>
      </w:pPr>
      <w:r>
        <w:rPr>
          <w:rFonts w:ascii="Times New Roman" w:eastAsia="Arial" w:hAnsi="Times New Roman" w:cs="Times New Roman"/>
          <w:sz w:val="24"/>
          <w:szCs w:val="24"/>
        </w:rPr>
        <w:t>Many research</w:t>
      </w:r>
      <w:r w:rsidR="00D87175" w:rsidRPr="00183445">
        <w:rPr>
          <w:rFonts w:ascii="Times New Roman" w:eastAsia="Arial" w:hAnsi="Times New Roman" w:cs="Times New Roman"/>
          <w:sz w:val="24"/>
          <w:szCs w:val="24"/>
        </w:rPr>
        <w:t xml:space="preserve"> on sexual orientation issues from around the world </w:t>
      </w:r>
      <w:r>
        <w:rPr>
          <w:rFonts w:ascii="Times New Roman" w:eastAsia="Arial" w:hAnsi="Times New Roman" w:cs="Times New Roman"/>
          <w:sz w:val="24"/>
          <w:szCs w:val="24"/>
        </w:rPr>
        <w:t xml:space="preserve">where </w:t>
      </w:r>
      <w:r w:rsidR="00D87175" w:rsidRPr="00183445">
        <w:rPr>
          <w:rFonts w:ascii="Times New Roman" w:eastAsia="Arial" w:hAnsi="Times New Roman" w:cs="Times New Roman"/>
          <w:sz w:val="24"/>
          <w:szCs w:val="24"/>
        </w:rPr>
        <w:t>they are relevant in the terms of aggravation and motivation and it is known that violation of human rights in every event, The United Nations states the following ‘ LGBT p</w:t>
      </w:r>
      <w:r w:rsidR="00D87175" w:rsidRPr="00183445">
        <w:rPr>
          <w:rFonts w:ascii="Times New Roman" w:eastAsia="Arial" w:hAnsi="Times New Roman" w:cs="Times New Roman"/>
          <w:sz w:val="24"/>
          <w:szCs w:val="24"/>
        </w:rPr>
        <w:t>ersons have human rights irrespective of the status of their right to be free from sexual orientation discrimination’</w:t>
      </w:r>
      <w:r w:rsidR="00D87175" w:rsidRPr="00183445">
        <w:rPr>
          <w:rFonts w:ascii="Times New Roman" w:eastAsia="Times New Roman" w:hAnsi="Times New Roman" w:cs="Times New Roman"/>
          <w:sz w:val="24"/>
          <w:szCs w:val="24"/>
        </w:rPr>
        <w:t>(Mahtab et al., 2016, 2016; McGoldrick, 2016, pp. 613–668; Sandikci and Ger, 2010)</w:t>
      </w:r>
      <w:r w:rsidR="00D87175" w:rsidRPr="00183445">
        <w:rPr>
          <w:rFonts w:ascii="Times New Roman" w:eastAsia="Arial" w:hAnsi="Times New Roman" w:cs="Times New Roman"/>
          <w:sz w:val="24"/>
          <w:szCs w:val="24"/>
        </w:rPr>
        <w:t xml:space="preserve">.  </w:t>
      </w:r>
    </w:p>
    <w:p w14:paraId="5BC98527" w14:textId="4E0663D6" w:rsidR="00CF45C6" w:rsidRPr="00DD3F5D" w:rsidRDefault="00966862" w:rsidP="00183445">
      <w:pPr>
        <w:pBdr>
          <w:top w:val="nil"/>
          <w:left w:val="nil"/>
          <w:bottom w:val="nil"/>
          <w:right w:val="nil"/>
          <w:between w:val="nil"/>
        </w:pBdr>
        <w:spacing w:after="0"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On the BBC1 News channel on 4th </w:t>
      </w:r>
      <w:r w:rsidR="00CF45C6" w:rsidRPr="00DD3F5D">
        <w:rPr>
          <w:rFonts w:ascii="Times New Roman" w:eastAsia="Arial" w:hAnsi="Times New Roman" w:cs="Times New Roman"/>
          <w:sz w:val="24"/>
          <w:szCs w:val="24"/>
        </w:rPr>
        <w:t>January 2019</w:t>
      </w:r>
      <w:r w:rsidR="00DD3F5D">
        <w:rPr>
          <w:rFonts w:ascii="Times New Roman" w:eastAsia="Arial" w:hAnsi="Times New Roman" w:cs="Times New Roman"/>
          <w:sz w:val="24"/>
          <w:szCs w:val="24"/>
        </w:rPr>
        <w:t>,</w:t>
      </w:r>
      <w:r w:rsidR="00CF45C6" w:rsidRPr="00DD3F5D">
        <w:rPr>
          <w:rFonts w:ascii="Times New Roman" w:eastAsia="Arial" w:hAnsi="Times New Roman" w:cs="Times New Roman"/>
          <w:sz w:val="24"/>
          <w:szCs w:val="24"/>
        </w:rPr>
        <w:t xml:space="preserve"> </w:t>
      </w:r>
      <w:r w:rsidR="00CE65D5">
        <w:rPr>
          <w:rFonts w:ascii="Times New Roman" w:eastAsia="Arial" w:hAnsi="Times New Roman" w:cs="Times New Roman"/>
          <w:sz w:val="24"/>
          <w:szCs w:val="24"/>
        </w:rPr>
        <w:t xml:space="preserve">aired the speech that voiced the views of </w:t>
      </w:r>
      <w:r w:rsidR="00CF45C6" w:rsidRPr="00DD3F5D">
        <w:rPr>
          <w:rFonts w:ascii="Times New Roman" w:eastAsia="Arial" w:hAnsi="Times New Roman" w:cs="Times New Roman"/>
          <w:sz w:val="24"/>
          <w:szCs w:val="24"/>
        </w:rPr>
        <w:t xml:space="preserve">Jair Bolsonaro </w:t>
      </w:r>
      <w:r w:rsidR="00CE65D5">
        <w:rPr>
          <w:rFonts w:ascii="Times New Roman" w:eastAsia="Arial" w:hAnsi="Times New Roman" w:cs="Times New Roman"/>
          <w:sz w:val="24"/>
          <w:szCs w:val="24"/>
        </w:rPr>
        <w:t>who is</w:t>
      </w:r>
      <w:r w:rsidR="00CF45C6" w:rsidRPr="00DD3F5D">
        <w:rPr>
          <w:rFonts w:ascii="Times New Roman" w:eastAsia="Arial" w:hAnsi="Times New Roman" w:cs="Times New Roman"/>
          <w:sz w:val="24"/>
          <w:szCs w:val="24"/>
        </w:rPr>
        <w:t xml:space="preserve"> the new incoming President in Brazil</w:t>
      </w:r>
      <w:r w:rsidR="00DD3F5D">
        <w:rPr>
          <w:rFonts w:ascii="Times New Roman" w:eastAsia="Arial" w:hAnsi="Times New Roman" w:cs="Times New Roman"/>
          <w:sz w:val="24"/>
          <w:szCs w:val="24"/>
        </w:rPr>
        <w:t>,</w:t>
      </w:r>
      <w:r w:rsidR="00CF45C6" w:rsidRPr="00DD3F5D">
        <w:rPr>
          <w:rFonts w:ascii="Times New Roman" w:eastAsia="Arial" w:hAnsi="Times New Roman" w:cs="Times New Roman"/>
          <w:sz w:val="24"/>
          <w:szCs w:val="24"/>
        </w:rPr>
        <w:t xml:space="preserve"> </w:t>
      </w:r>
      <w:r w:rsidR="00CE65D5">
        <w:rPr>
          <w:rFonts w:ascii="Times New Roman" w:eastAsia="Arial" w:hAnsi="Times New Roman" w:cs="Times New Roman"/>
          <w:sz w:val="24"/>
          <w:szCs w:val="24"/>
        </w:rPr>
        <w:t xml:space="preserve">the most distressing was in his </w:t>
      </w:r>
      <w:r w:rsidR="00CF45C6" w:rsidRPr="00DD3F5D">
        <w:rPr>
          <w:rFonts w:ascii="Times New Roman" w:eastAsia="Arial" w:hAnsi="Times New Roman" w:cs="Times New Roman"/>
          <w:sz w:val="24"/>
          <w:szCs w:val="24"/>
        </w:rPr>
        <w:t>main speech</w:t>
      </w:r>
      <w:r w:rsidR="00CE65D5">
        <w:rPr>
          <w:rFonts w:ascii="Times New Roman" w:eastAsia="Arial" w:hAnsi="Times New Roman" w:cs="Times New Roman"/>
          <w:sz w:val="24"/>
          <w:szCs w:val="24"/>
        </w:rPr>
        <w:t xml:space="preserve"> on</w:t>
      </w:r>
      <w:r w:rsidR="00CF45C6" w:rsidRPr="00DD3F5D">
        <w:rPr>
          <w:rFonts w:ascii="Times New Roman" w:eastAsia="Arial" w:hAnsi="Times New Roman" w:cs="Times New Roman"/>
          <w:sz w:val="24"/>
          <w:szCs w:val="24"/>
        </w:rPr>
        <w:t xml:space="preserve"> his view of </w:t>
      </w:r>
      <w:r w:rsidR="00DD3F5D" w:rsidRPr="00DD3F5D">
        <w:rPr>
          <w:rFonts w:ascii="Times New Roman" w:eastAsia="Arial" w:hAnsi="Times New Roman" w:cs="Times New Roman"/>
          <w:sz w:val="24"/>
          <w:szCs w:val="24"/>
        </w:rPr>
        <w:t>homosexuality, his</w:t>
      </w:r>
      <w:r w:rsidR="00CF45C6" w:rsidRPr="00DD3F5D">
        <w:rPr>
          <w:rFonts w:ascii="Times New Roman" w:eastAsia="Arial" w:hAnsi="Times New Roman" w:cs="Times New Roman"/>
          <w:sz w:val="24"/>
          <w:szCs w:val="24"/>
        </w:rPr>
        <w:t xml:space="preserve"> unequivocal views are that he believes  drug use, is attributed to homosexuality, he compared marriage of same-sex marriage to </w:t>
      </w:r>
      <w:r w:rsidR="00DD3F5D" w:rsidRPr="00DD3F5D">
        <w:rPr>
          <w:rFonts w:ascii="Times New Roman" w:eastAsia="Arial" w:hAnsi="Times New Roman" w:cs="Times New Roman"/>
          <w:sz w:val="24"/>
          <w:szCs w:val="24"/>
        </w:rPr>
        <w:t>paedophilia</w:t>
      </w:r>
      <w:r w:rsidR="00CF45C6" w:rsidRPr="00DD3F5D">
        <w:rPr>
          <w:rFonts w:ascii="Times New Roman" w:eastAsia="Arial" w:hAnsi="Times New Roman" w:cs="Times New Roman"/>
          <w:sz w:val="24"/>
          <w:szCs w:val="24"/>
        </w:rPr>
        <w:t xml:space="preserve"> and he </w:t>
      </w:r>
      <w:r w:rsidR="00CE65D5">
        <w:rPr>
          <w:rFonts w:ascii="Times New Roman" w:eastAsia="Arial" w:hAnsi="Times New Roman" w:cs="Times New Roman"/>
          <w:sz w:val="24"/>
          <w:szCs w:val="24"/>
        </w:rPr>
        <w:t>demanded</w:t>
      </w:r>
      <w:r w:rsidR="00CF45C6" w:rsidRPr="00DD3F5D">
        <w:rPr>
          <w:rFonts w:ascii="Times New Roman" w:eastAsia="Arial" w:hAnsi="Times New Roman" w:cs="Times New Roman"/>
          <w:sz w:val="24"/>
          <w:szCs w:val="24"/>
        </w:rPr>
        <w:t xml:space="preserve"> that parents can beat </w:t>
      </w:r>
      <w:r w:rsidR="00DD3F5D">
        <w:rPr>
          <w:rFonts w:ascii="Times New Roman" w:eastAsia="Arial" w:hAnsi="Times New Roman" w:cs="Times New Roman"/>
          <w:sz w:val="24"/>
          <w:szCs w:val="24"/>
        </w:rPr>
        <w:t>‘</w:t>
      </w:r>
      <w:r w:rsidR="00CF45C6" w:rsidRPr="00DD3F5D">
        <w:rPr>
          <w:rFonts w:ascii="Times New Roman" w:eastAsia="Arial" w:hAnsi="Times New Roman" w:cs="Times New Roman"/>
          <w:sz w:val="24"/>
          <w:szCs w:val="24"/>
        </w:rPr>
        <w:t>being gay</w:t>
      </w:r>
      <w:r w:rsidR="00DD3F5D">
        <w:rPr>
          <w:rFonts w:ascii="Times New Roman" w:eastAsia="Arial" w:hAnsi="Times New Roman" w:cs="Times New Roman"/>
          <w:sz w:val="24"/>
          <w:szCs w:val="24"/>
        </w:rPr>
        <w:t>’</w:t>
      </w:r>
      <w:r w:rsidR="00CF45C6" w:rsidRPr="00DD3F5D">
        <w:rPr>
          <w:rFonts w:ascii="Times New Roman" w:eastAsia="Arial" w:hAnsi="Times New Roman" w:cs="Times New Roman"/>
          <w:sz w:val="24"/>
          <w:szCs w:val="24"/>
        </w:rPr>
        <w:t xml:space="preserve"> out of the children</w:t>
      </w:r>
      <w:r w:rsidR="00CE65D5">
        <w:rPr>
          <w:rFonts w:ascii="Times New Roman" w:eastAsia="Arial" w:hAnsi="Times New Roman" w:cs="Times New Roman"/>
          <w:sz w:val="24"/>
          <w:szCs w:val="24"/>
        </w:rPr>
        <w:t>. F</w:t>
      </w:r>
      <w:r w:rsidR="00CF45C6" w:rsidRPr="00DD3F5D">
        <w:rPr>
          <w:rFonts w:ascii="Times New Roman" w:eastAsia="Arial" w:hAnsi="Times New Roman" w:cs="Times New Roman"/>
          <w:sz w:val="24"/>
          <w:szCs w:val="24"/>
        </w:rPr>
        <w:t>urth</w:t>
      </w:r>
      <w:r w:rsidR="00DD3F5D" w:rsidRPr="00DD3F5D">
        <w:rPr>
          <w:rFonts w:ascii="Times New Roman" w:eastAsia="Arial" w:hAnsi="Times New Roman" w:cs="Times New Roman"/>
          <w:sz w:val="24"/>
          <w:szCs w:val="24"/>
        </w:rPr>
        <w:t>er</w:t>
      </w:r>
      <w:r w:rsidR="00CF45C6" w:rsidRPr="00DD3F5D">
        <w:rPr>
          <w:rFonts w:ascii="Times New Roman" w:eastAsia="Arial" w:hAnsi="Times New Roman" w:cs="Times New Roman"/>
          <w:sz w:val="24"/>
          <w:szCs w:val="24"/>
        </w:rPr>
        <w:t>more</w:t>
      </w:r>
      <w:r w:rsidR="00CE65D5">
        <w:rPr>
          <w:rFonts w:ascii="Times New Roman" w:eastAsia="Arial" w:hAnsi="Times New Roman" w:cs="Times New Roman"/>
          <w:sz w:val="24"/>
          <w:szCs w:val="24"/>
        </w:rPr>
        <w:t>,</w:t>
      </w:r>
      <w:r w:rsidR="00CF45C6" w:rsidRPr="00DD3F5D">
        <w:rPr>
          <w:rFonts w:ascii="Times New Roman" w:eastAsia="Arial" w:hAnsi="Times New Roman" w:cs="Times New Roman"/>
          <w:sz w:val="24"/>
          <w:szCs w:val="24"/>
        </w:rPr>
        <w:t xml:space="preserve"> he stated the he would prefer his son</w:t>
      </w:r>
      <w:r w:rsidR="00CE65D5">
        <w:rPr>
          <w:rFonts w:ascii="Times New Roman" w:eastAsia="Arial" w:hAnsi="Times New Roman" w:cs="Times New Roman"/>
          <w:sz w:val="24"/>
          <w:szCs w:val="24"/>
        </w:rPr>
        <w:t>,</w:t>
      </w:r>
      <w:r w:rsidR="00CF45C6" w:rsidRPr="00DD3F5D">
        <w:rPr>
          <w:rFonts w:ascii="Times New Roman" w:eastAsia="Arial" w:hAnsi="Times New Roman" w:cs="Times New Roman"/>
          <w:sz w:val="24"/>
          <w:szCs w:val="24"/>
        </w:rPr>
        <w:t xml:space="preserve"> if gay</w:t>
      </w:r>
      <w:r w:rsidR="00CE65D5">
        <w:rPr>
          <w:rFonts w:ascii="Times New Roman" w:eastAsia="Arial" w:hAnsi="Times New Roman" w:cs="Times New Roman"/>
          <w:sz w:val="24"/>
          <w:szCs w:val="24"/>
        </w:rPr>
        <w:t>,</w:t>
      </w:r>
      <w:r w:rsidR="00CF45C6" w:rsidRPr="00DD3F5D">
        <w:rPr>
          <w:rFonts w:ascii="Times New Roman" w:eastAsia="Arial" w:hAnsi="Times New Roman" w:cs="Times New Roman"/>
          <w:sz w:val="24"/>
          <w:szCs w:val="24"/>
        </w:rPr>
        <w:t xml:space="preserve"> to dead in a car accident</w:t>
      </w:r>
      <w:r w:rsidR="00DD3F5D" w:rsidRPr="00DD3F5D">
        <w:rPr>
          <w:rFonts w:ascii="Times New Roman" w:eastAsia="Arial" w:hAnsi="Times New Roman" w:cs="Times New Roman"/>
          <w:sz w:val="24"/>
          <w:szCs w:val="24"/>
        </w:rPr>
        <w:t xml:space="preserve">. In 2013 he admitted that he is homophobic, and he was proud of that! So how would that </w:t>
      </w:r>
      <w:r w:rsidR="00DD3F5D">
        <w:rPr>
          <w:rFonts w:ascii="Times New Roman" w:eastAsia="Arial" w:hAnsi="Times New Roman" w:cs="Times New Roman"/>
          <w:sz w:val="24"/>
          <w:szCs w:val="24"/>
        </w:rPr>
        <w:t xml:space="preserve">help even acceptance let alone ‘normal’ with </w:t>
      </w:r>
      <w:r w:rsidR="00CE65D5">
        <w:rPr>
          <w:rFonts w:ascii="Times New Roman" w:eastAsia="Arial" w:hAnsi="Times New Roman" w:cs="Times New Roman"/>
          <w:sz w:val="24"/>
          <w:szCs w:val="24"/>
        </w:rPr>
        <w:t xml:space="preserve">these </w:t>
      </w:r>
      <w:r w:rsidR="00DD3F5D">
        <w:rPr>
          <w:rFonts w:ascii="Times New Roman" w:eastAsia="Arial" w:hAnsi="Times New Roman" w:cs="Times New Roman"/>
          <w:sz w:val="24"/>
          <w:szCs w:val="24"/>
        </w:rPr>
        <w:t>bigot</w:t>
      </w:r>
      <w:r w:rsidR="00CE65D5">
        <w:rPr>
          <w:rFonts w:ascii="Times New Roman" w:eastAsia="Arial" w:hAnsi="Times New Roman" w:cs="Times New Roman"/>
          <w:sz w:val="24"/>
          <w:szCs w:val="24"/>
        </w:rPr>
        <w:t>ed</w:t>
      </w:r>
      <w:r w:rsidR="00DD3F5D">
        <w:rPr>
          <w:rFonts w:ascii="Times New Roman" w:eastAsia="Arial" w:hAnsi="Times New Roman" w:cs="Times New Roman"/>
          <w:sz w:val="24"/>
          <w:szCs w:val="24"/>
        </w:rPr>
        <w:t xml:space="preserve"> </w:t>
      </w:r>
      <w:r w:rsidR="00CE65D5">
        <w:rPr>
          <w:rFonts w:ascii="Times New Roman" w:eastAsia="Arial" w:hAnsi="Times New Roman" w:cs="Times New Roman"/>
          <w:sz w:val="24"/>
          <w:szCs w:val="24"/>
        </w:rPr>
        <w:t xml:space="preserve">ministers </w:t>
      </w:r>
      <w:r w:rsidR="00DD3F5D">
        <w:rPr>
          <w:rFonts w:ascii="Times New Roman" w:eastAsia="Arial" w:hAnsi="Times New Roman" w:cs="Times New Roman"/>
          <w:sz w:val="24"/>
          <w:szCs w:val="24"/>
        </w:rPr>
        <w:t>leading countries.</w:t>
      </w:r>
    </w:p>
    <w:p w14:paraId="5D0DFAB1" w14:textId="77777777" w:rsidR="00FE51E4" w:rsidRDefault="00FE51E4" w:rsidP="00183445">
      <w:pPr>
        <w:pBdr>
          <w:top w:val="nil"/>
          <w:left w:val="nil"/>
          <w:bottom w:val="nil"/>
          <w:right w:val="nil"/>
          <w:between w:val="nil"/>
        </w:pBdr>
        <w:spacing w:after="0" w:line="360" w:lineRule="auto"/>
        <w:rPr>
          <w:rFonts w:ascii="Times New Roman" w:eastAsia="Arial" w:hAnsi="Times New Roman" w:cs="Times New Roman"/>
          <w:sz w:val="24"/>
          <w:szCs w:val="24"/>
        </w:rPr>
      </w:pPr>
    </w:p>
    <w:p w14:paraId="3A8BB289" w14:textId="1C4D064B" w:rsidR="00D97920" w:rsidRDefault="00D97920" w:rsidP="00183445">
      <w:pPr>
        <w:pBdr>
          <w:top w:val="nil"/>
          <w:left w:val="nil"/>
          <w:bottom w:val="nil"/>
          <w:right w:val="nil"/>
          <w:between w:val="nil"/>
        </w:pBdr>
        <w:spacing w:after="0" w:line="360" w:lineRule="auto"/>
        <w:rPr>
          <w:rFonts w:ascii="Times New Roman" w:hAnsi="Times New Roman" w:cs="Times New Roman"/>
          <w:sz w:val="24"/>
          <w:szCs w:val="24"/>
        </w:rPr>
      </w:pPr>
    </w:p>
    <w:p w14:paraId="51F71A86" w14:textId="21D59527" w:rsidR="00D97920" w:rsidRDefault="00D97920" w:rsidP="00183445">
      <w:pPr>
        <w:pBdr>
          <w:top w:val="nil"/>
          <w:left w:val="nil"/>
          <w:bottom w:val="nil"/>
          <w:right w:val="nil"/>
          <w:between w:val="nil"/>
        </w:pBdr>
        <w:spacing w:after="0" w:line="360" w:lineRule="auto"/>
        <w:rPr>
          <w:rFonts w:ascii="Times New Roman" w:hAnsi="Times New Roman" w:cs="Times New Roman"/>
          <w:sz w:val="24"/>
          <w:szCs w:val="24"/>
        </w:rPr>
      </w:pPr>
    </w:p>
    <w:p w14:paraId="19C7C29A" w14:textId="1F8141B9" w:rsidR="00D95A2D" w:rsidRDefault="00D95A2D" w:rsidP="00183445">
      <w:pPr>
        <w:pBdr>
          <w:top w:val="nil"/>
          <w:left w:val="nil"/>
          <w:bottom w:val="nil"/>
          <w:right w:val="nil"/>
          <w:between w:val="nil"/>
        </w:pBdr>
        <w:spacing w:after="0" w:line="360" w:lineRule="auto"/>
        <w:rPr>
          <w:rFonts w:ascii="Times New Roman" w:hAnsi="Times New Roman" w:cs="Times New Roman"/>
          <w:sz w:val="24"/>
          <w:szCs w:val="24"/>
        </w:rPr>
      </w:pPr>
    </w:p>
    <w:p w14:paraId="3CC31D64" w14:textId="30275F50" w:rsidR="00D95A2D" w:rsidRPr="00FE51E4" w:rsidRDefault="00D95A2D" w:rsidP="00D95A2D">
      <w:pPr>
        <w:pBdr>
          <w:top w:val="nil"/>
          <w:left w:val="nil"/>
          <w:bottom w:val="nil"/>
          <w:right w:val="nil"/>
          <w:between w:val="nil"/>
        </w:pBdr>
        <w:spacing w:after="0" w:line="360" w:lineRule="auto"/>
        <w:ind w:firstLine="0"/>
        <w:rPr>
          <w:rFonts w:ascii="Times New Roman" w:hAnsi="Times New Roman" w:cs="Times New Roman"/>
          <w:b/>
          <w:sz w:val="28"/>
          <w:szCs w:val="28"/>
          <w:u w:val="single"/>
        </w:rPr>
      </w:pPr>
      <w:r w:rsidRPr="00FE51E4">
        <w:rPr>
          <w:rFonts w:ascii="Times New Roman" w:hAnsi="Times New Roman" w:cs="Times New Roman"/>
          <w:b/>
          <w:sz w:val="28"/>
          <w:szCs w:val="28"/>
          <w:u w:val="single"/>
        </w:rPr>
        <w:t>References</w:t>
      </w:r>
    </w:p>
    <w:p w14:paraId="163596A7" w14:textId="1DD27283" w:rsidR="00D95A2D" w:rsidRPr="00D95A2D" w:rsidRDefault="00D97920" w:rsidP="00FE51E4">
      <w:pPr>
        <w:pStyle w:val="Bibliography"/>
        <w:spacing w:after="120"/>
      </w:pPr>
      <w:r>
        <w:fldChar w:fldCharType="begin"/>
      </w:r>
      <w:r w:rsidR="00D95A2D">
        <w:instrText xml:space="preserve"> ADDIN ZOTERO_BIBL {"uncited":[],"omitted":[],"custom":[]} CSL_BIBLIOGRAPHY </w:instrText>
      </w:r>
      <w:r>
        <w:fldChar w:fldCharType="separate"/>
      </w:r>
      <w:r w:rsidR="00D95A2D" w:rsidRPr="00D95A2D">
        <w:rPr>
          <w:rFonts w:ascii="Times New Roman" w:hAnsi="Times New Roman" w:cs="Times New Roman"/>
          <w:sz w:val="24"/>
        </w:rPr>
        <w:t xml:space="preserve">Alegría, M., Pérez, D.J., Williams, S., 2003. The Role </w:t>
      </w:r>
      <w:proofErr w:type="gramStart"/>
      <w:r w:rsidR="00D95A2D" w:rsidRPr="00D95A2D">
        <w:rPr>
          <w:rFonts w:ascii="Times New Roman" w:hAnsi="Times New Roman" w:cs="Times New Roman"/>
          <w:sz w:val="24"/>
        </w:rPr>
        <w:t>Of</w:t>
      </w:r>
      <w:proofErr w:type="gramEnd"/>
      <w:r w:rsidR="00D95A2D" w:rsidRPr="00D95A2D">
        <w:rPr>
          <w:rFonts w:ascii="Times New Roman" w:hAnsi="Times New Roman" w:cs="Times New Roman"/>
          <w:sz w:val="24"/>
        </w:rPr>
        <w:t xml:space="preserve"> Public Policies In Reducing Mental Health Status Disparities For People Of </w:t>
      </w:r>
      <w:proofErr w:type="spellStart"/>
      <w:r w:rsidR="00D95A2D" w:rsidRPr="00D95A2D">
        <w:rPr>
          <w:rFonts w:ascii="Times New Roman" w:hAnsi="Times New Roman" w:cs="Times New Roman"/>
          <w:sz w:val="24"/>
        </w:rPr>
        <w:t>Color</w:t>
      </w:r>
      <w:proofErr w:type="spellEnd"/>
      <w:r w:rsidR="00D95A2D" w:rsidRPr="00D95A2D">
        <w:rPr>
          <w:rFonts w:ascii="Times New Roman" w:hAnsi="Times New Roman" w:cs="Times New Roman"/>
          <w:sz w:val="24"/>
        </w:rPr>
        <w:t>. Health Affairs 22, 51–64. https://doi.org/10.1377/hlthaff.22.5.51</w:t>
      </w:r>
    </w:p>
    <w:p w14:paraId="458A0664" w14:textId="2D7FDCBD" w:rsidR="00D95A2D" w:rsidRPr="00D95A2D" w:rsidRDefault="00D95A2D" w:rsidP="00FE51E4">
      <w:pPr>
        <w:pStyle w:val="Bibliography"/>
        <w:spacing w:after="120"/>
      </w:pPr>
      <w:r w:rsidRPr="00D95A2D">
        <w:rPr>
          <w:rFonts w:ascii="Times New Roman" w:hAnsi="Times New Roman" w:cs="Times New Roman"/>
          <w:sz w:val="24"/>
        </w:rPr>
        <w:t>Alsop, R., Fitzsimons, A., Lennon, K., 2002. Theorizing Gender: An Introduction. Polity Press, Malden, MA.</w:t>
      </w:r>
    </w:p>
    <w:p w14:paraId="0CEF37C2" w14:textId="1D440DA3" w:rsidR="00D95A2D" w:rsidRPr="00D95A2D" w:rsidRDefault="00D95A2D" w:rsidP="00FE51E4">
      <w:pPr>
        <w:pStyle w:val="Bibliography"/>
        <w:spacing w:after="120"/>
      </w:pPr>
      <w:r w:rsidRPr="00D95A2D">
        <w:rPr>
          <w:rFonts w:ascii="Times New Roman" w:hAnsi="Times New Roman" w:cs="Times New Roman"/>
          <w:sz w:val="24"/>
        </w:rPr>
        <w:t>Avenue, H.R.W.| 350 F., York, 34th Floor | New, t 1.212.290.4700, N. 10118-3299 U.|, 2018. “All We Want is Equality” | Religious Exemptions and Discrimination against LGBT People in the United States [WWW Document]. Human Rights Watch. URL https://www.hrw.org/report/2018/02/19/all-we-want-equality/religious-exemptions-and-discrimination-against-lgbt-people (accessed 10.20.18).</w:t>
      </w:r>
    </w:p>
    <w:p w14:paraId="5130DAC8" w14:textId="56CBEAEC" w:rsidR="00FE51E4" w:rsidRPr="00FE51E4" w:rsidRDefault="00D95A2D" w:rsidP="00FE51E4">
      <w:pPr>
        <w:pStyle w:val="Bibliography"/>
        <w:spacing w:after="120"/>
      </w:pPr>
      <w:r w:rsidRPr="00D95A2D">
        <w:rPr>
          <w:rFonts w:ascii="Times New Roman" w:hAnsi="Times New Roman" w:cs="Times New Roman"/>
          <w:sz w:val="24"/>
        </w:rPr>
        <w:t>Blackmore, J., 2006. Deconstructing Diversity Discourses in the Field of Educational Management and Leadership. Educational Management Administration &amp; Leadership 34, 181–199. https://doi.org/10.1177/1741143206062492</w:t>
      </w:r>
    </w:p>
    <w:p w14:paraId="1666A220" w14:textId="729A2034" w:rsidR="00FE51E4" w:rsidRDefault="00D95A2D" w:rsidP="00FE51E4">
      <w:pPr>
        <w:pStyle w:val="Bibliography"/>
        <w:spacing w:after="120"/>
        <w:rPr>
          <w:rFonts w:ascii="Times New Roman" w:hAnsi="Times New Roman" w:cs="Times New Roman"/>
          <w:sz w:val="24"/>
        </w:rPr>
      </w:pPr>
      <w:r w:rsidRPr="00D95A2D">
        <w:rPr>
          <w:rFonts w:ascii="Times New Roman" w:hAnsi="Times New Roman" w:cs="Times New Roman"/>
          <w:sz w:val="24"/>
        </w:rPr>
        <w:lastRenderedPageBreak/>
        <w:t>Butler, J., 1999. Feminism and the Subversion of Identity. New York 17.</w:t>
      </w:r>
    </w:p>
    <w:p w14:paraId="74B9CB4B" w14:textId="68004F3A" w:rsidR="00D95A2D" w:rsidRPr="00D95A2D" w:rsidRDefault="00D95A2D" w:rsidP="00FE51E4">
      <w:pPr>
        <w:pStyle w:val="Bibliography"/>
        <w:spacing w:after="120"/>
      </w:pPr>
      <w:r w:rsidRPr="00D95A2D">
        <w:rPr>
          <w:rFonts w:ascii="Times New Roman" w:hAnsi="Times New Roman" w:cs="Times New Roman"/>
          <w:sz w:val="24"/>
        </w:rPr>
        <w:t>Daley, A.E., MacDonnell, J.A., 2011. Gender, sexuality and the discursive representation of access and equity in health services literature: implications for LGBT communities. International Journal for Equity in Health 10, 40. https://doi.org/10.1186/1475-9276-10-40</w:t>
      </w:r>
    </w:p>
    <w:p w14:paraId="514F3E62" w14:textId="6EEC48B2" w:rsidR="00D95A2D" w:rsidRPr="00D95A2D" w:rsidRDefault="00D95A2D" w:rsidP="00FE51E4">
      <w:pPr>
        <w:pStyle w:val="Bibliography"/>
        <w:spacing w:after="120"/>
      </w:pPr>
      <w:r w:rsidRPr="00D95A2D">
        <w:rPr>
          <w:rFonts w:ascii="Times New Roman" w:hAnsi="Times New Roman" w:cs="Times New Roman"/>
          <w:sz w:val="24"/>
        </w:rPr>
        <w:t>Duncan, P., 2017. Gay relationships are still criminalised in 72 countries, report finds. The Guardian.</w:t>
      </w:r>
    </w:p>
    <w:p w14:paraId="3BC52C7F" w14:textId="77777777" w:rsidR="00D95A2D" w:rsidRPr="00D95A2D" w:rsidRDefault="00D95A2D" w:rsidP="00FE51E4">
      <w:pPr>
        <w:pStyle w:val="Bibliography"/>
        <w:spacing w:after="120"/>
        <w:rPr>
          <w:rFonts w:ascii="Times New Roman" w:hAnsi="Times New Roman" w:cs="Times New Roman"/>
          <w:sz w:val="24"/>
        </w:rPr>
      </w:pPr>
      <w:r w:rsidRPr="00D95A2D">
        <w:rPr>
          <w:rFonts w:ascii="Times New Roman" w:hAnsi="Times New Roman" w:cs="Times New Roman"/>
          <w:sz w:val="24"/>
        </w:rPr>
        <w:t>Foucault, M., 2008. The Discourse on Language, in: Truth. Wiley-Blackwell, pp. 315–335. https://doi.org/10.1002/9780470776407.ch20</w:t>
      </w:r>
    </w:p>
    <w:p w14:paraId="1648EA44" w14:textId="68191BF4" w:rsidR="00D95A2D" w:rsidRDefault="00D95A2D" w:rsidP="00FE51E4">
      <w:pPr>
        <w:pStyle w:val="Bibliography"/>
        <w:spacing w:after="120"/>
        <w:rPr>
          <w:rFonts w:ascii="Times New Roman" w:hAnsi="Times New Roman" w:cs="Times New Roman"/>
          <w:sz w:val="24"/>
        </w:rPr>
      </w:pPr>
      <w:r w:rsidRPr="00D95A2D">
        <w:rPr>
          <w:rFonts w:ascii="Times New Roman" w:hAnsi="Times New Roman" w:cs="Times New Roman"/>
          <w:sz w:val="24"/>
        </w:rPr>
        <w:t>Grusky, D.B., 2018. Social Stratification: Class, Race, and Gender in Sociological Perspective. Routledge.</w:t>
      </w:r>
    </w:p>
    <w:p w14:paraId="26523E21" w14:textId="77777777" w:rsidR="00D95A2D" w:rsidRPr="00D95A2D" w:rsidRDefault="00D95A2D" w:rsidP="00FE51E4">
      <w:pPr>
        <w:spacing w:after="120" w:line="240" w:lineRule="auto"/>
      </w:pPr>
    </w:p>
    <w:p w14:paraId="1FA622AC" w14:textId="79ADD2B1" w:rsidR="00D95A2D" w:rsidRPr="00D95A2D" w:rsidRDefault="00D95A2D" w:rsidP="00FE51E4">
      <w:pPr>
        <w:pStyle w:val="Bibliography"/>
        <w:spacing w:after="120"/>
      </w:pPr>
      <w:r w:rsidRPr="00D95A2D">
        <w:rPr>
          <w:rFonts w:ascii="Times New Roman" w:hAnsi="Times New Roman" w:cs="Times New Roman"/>
          <w:sz w:val="24"/>
        </w:rPr>
        <w:t>Hagel, N., 2017. Alternative Authenticities: Thinking Transgender Without Essence. Theory &amp; Event 20, 599–628.</w:t>
      </w:r>
    </w:p>
    <w:p w14:paraId="2F835A3F" w14:textId="1C78BE39" w:rsidR="00D95A2D" w:rsidRPr="00D95A2D" w:rsidRDefault="00D95A2D" w:rsidP="00FE51E4">
      <w:pPr>
        <w:pStyle w:val="Bibliography"/>
        <w:spacing w:after="120"/>
      </w:pPr>
      <w:r w:rsidRPr="00D95A2D">
        <w:rPr>
          <w:rFonts w:ascii="Times New Roman" w:hAnsi="Times New Roman" w:cs="Times New Roman"/>
          <w:sz w:val="24"/>
        </w:rPr>
        <w:t xml:space="preserve">Hays, P., 2011. Addressing the Complexities of Culture and Gender in </w:t>
      </w:r>
      <w:proofErr w:type="spellStart"/>
      <w:r w:rsidRPr="00D95A2D">
        <w:rPr>
          <w:rFonts w:ascii="Times New Roman" w:hAnsi="Times New Roman" w:cs="Times New Roman"/>
          <w:sz w:val="24"/>
        </w:rPr>
        <w:t>Counseling</w:t>
      </w:r>
      <w:proofErr w:type="spellEnd"/>
      <w:r w:rsidRPr="00D95A2D">
        <w:rPr>
          <w:rFonts w:ascii="Times New Roman" w:hAnsi="Times New Roman" w:cs="Times New Roman"/>
          <w:sz w:val="24"/>
        </w:rPr>
        <w:t xml:space="preserve">. Journal of </w:t>
      </w:r>
      <w:proofErr w:type="spellStart"/>
      <w:r w:rsidRPr="00D95A2D">
        <w:rPr>
          <w:rFonts w:ascii="Times New Roman" w:hAnsi="Times New Roman" w:cs="Times New Roman"/>
          <w:sz w:val="24"/>
        </w:rPr>
        <w:t>Counseling</w:t>
      </w:r>
      <w:proofErr w:type="spellEnd"/>
      <w:r w:rsidRPr="00D95A2D">
        <w:rPr>
          <w:rFonts w:ascii="Times New Roman" w:hAnsi="Times New Roman" w:cs="Times New Roman"/>
          <w:sz w:val="24"/>
        </w:rPr>
        <w:t xml:space="preserve"> &amp; Development 74, 332–338. https://doi.org/10.1002/j.1556-6676.1996.tb01876.x</w:t>
      </w:r>
    </w:p>
    <w:p w14:paraId="2D670D8A" w14:textId="5F26562A" w:rsidR="00D95A2D" w:rsidRPr="00D95A2D" w:rsidRDefault="00D95A2D" w:rsidP="00FE51E4">
      <w:pPr>
        <w:pStyle w:val="Bibliography"/>
        <w:spacing w:after="120"/>
      </w:pPr>
      <w:r w:rsidRPr="00D95A2D">
        <w:rPr>
          <w:rFonts w:ascii="Times New Roman" w:hAnsi="Times New Roman" w:cs="Times New Roman"/>
          <w:sz w:val="24"/>
        </w:rPr>
        <w:t xml:space="preserve">Haywood, C., </w:t>
      </w:r>
      <w:proofErr w:type="spellStart"/>
      <w:r w:rsidRPr="00D95A2D">
        <w:rPr>
          <w:rFonts w:ascii="Times New Roman" w:hAnsi="Times New Roman" w:cs="Times New Roman"/>
          <w:sz w:val="24"/>
        </w:rPr>
        <w:t>Ghaill</w:t>
      </w:r>
      <w:proofErr w:type="spellEnd"/>
      <w:r w:rsidRPr="00D95A2D">
        <w:rPr>
          <w:rFonts w:ascii="Times New Roman" w:hAnsi="Times New Roman" w:cs="Times New Roman"/>
          <w:sz w:val="24"/>
        </w:rPr>
        <w:t>, M.M.A., 1995. The Sexual Politics of the Curriculum: contesting values. International Studies in Sociology of Education 5, 221–236. https://doi.org/10.1080/0962021950050206</w:t>
      </w:r>
    </w:p>
    <w:p w14:paraId="5B2F01AF" w14:textId="5CC471B5" w:rsidR="00D95A2D" w:rsidRPr="00D95A2D" w:rsidRDefault="00D95A2D" w:rsidP="00FE51E4">
      <w:pPr>
        <w:pStyle w:val="Bibliography"/>
        <w:spacing w:after="120"/>
      </w:pPr>
      <w:r w:rsidRPr="00D95A2D">
        <w:rPr>
          <w:rFonts w:ascii="Times New Roman" w:hAnsi="Times New Roman" w:cs="Times New Roman"/>
          <w:sz w:val="24"/>
        </w:rPr>
        <w:t>Holgate, J., Abbott, S., Kamenou, N., Kinge, J., Parker, J., Sayce, S., Sinclair, J., Williams, L., 2012. Equality and diversity in employment relations: do we practise what we preach? Equality, Diversity and Inclusion: An International Journal 31, 323–339. https://doi.org/10.1108/02610151211223021</w:t>
      </w:r>
    </w:p>
    <w:p w14:paraId="50EA96FD" w14:textId="774B0E88" w:rsidR="00D95A2D" w:rsidRPr="00D95A2D" w:rsidRDefault="00D95A2D" w:rsidP="00FE51E4">
      <w:pPr>
        <w:pStyle w:val="Bibliography"/>
        <w:spacing w:after="120"/>
      </w:pPr>
      <w:r w:rsidRPr="00D95A2D">
        <w:rPr>
          <w:rFonts w:ascii="Times New Roman" w:hAnsi="Times New Roman" w:cs="Times New Roman"/>
          <w:sz w:val="24"/>
        </w:rPr>
        <w:t>Jackson, J., 2011. A conversation with Fiona Bartels</w:t>
      </w:r>
      <w:r w:rsidRPr="00D95A2D">
        <w:rPr>
          <w:rFonts w:ascii="Cambria Math" w:hAnsi="Cambria Math" w:cs="Cambria Math"/>
          <w:sz w:val="24"/>
        </w:rPr>
        <w:t>‐</w:t>
      </w:r>
      <w:r w:rsidRPr="00D95A2D">
        <w:rPr>
          <w:rFonts w:ascii="Times New Roman" w:hAnsi="Times New Roman" w:cs="Times New Roman"/>
          <w:sz w:val="24"/>
        </w:rPr>
        <w:t>Ellis: About her background, her work on equality and diversity in the global environment, and her thoughts on future developments in the field. Equality, Diversity and Inclusion: An International Journal 30, 75–84. https://doi.org/10.1108/02610151111110081</w:t>
      </w:r>
    </w:p>
    <w:p w14:paraId="28A8325B" w14:textId="1579792F" w:rsidR="00D95A2D" w:rsidRPr="00D95A2D" w:rsidRDefault="00D95A2D" w:rsidP="00FE51E4">
      <w:pPr>
        <w:pStyle w:val="Bibliography"/>
        <w:spacing w:after="120"/>
      </w:pPr>
      <w:r w:rsidRPr="00D95A2D">
        <w:rPr>
          <w:rFonts w:ascii="Times New Roman" w:hAnsi="Times New Roman" w:cs="Times New Roman"/>
          <w:sz w:val="24"/>
        </w:rPr>
        <w:t xml:space="preserve">McCormick, J., 2016. Why Europe matters for Britain: the case for remaining in, Referendum edition. ed. Palgrave Macmillan, </w:t>
      </w:r>
      <w:proofErr w:type="gramStart"/>
      <w:r w:rsidRPr="00D95A2D">
        <w:rPr>
          <w:rFonts w:ascii="Times New Roman" w:hAnsi="Times New Roman" w:cs="Times New Roman"/>
          <w:sz w:val="24"/>
        </w:rPr>
        <w:t>London ;</w:t>
      </w:r>
      <w:proofErr w:type="gramEnd"/>
      <w:r w:rsidRPr="00D95A2D">
        <w:rPr>
          <w:rFonts w:ascii="Times New Roman" w:hAnsi="Times New Roman" w:cs="Times New Roman"/>
          <w:sz w:val="24"/>
        </w:rPr>
        <w:t xml:space="preserve"> New York, NY.</w:t>
      </w:r>
    </w:p>
    <w:p w14:paraId="44FC8798" w14:textId="702ACAA0" w:rsidR="00D95A2D" w:rsidRPr="00D95A2D" w:rsidRDefault="00D95A2D" w:rsidP="00FE51E4">
      <w:pPr>
        <w:pStyle w:val="Bibliography"/>
        <w:spacing w:after="120"/>
      </w:pPr>
      <w:r w:rsidRPr="00D95A2D">
        <w:rPr>
          <w:rFonts w:ascii="Times New Roman" w:hAnsi="Times New Roman" w:cs="Times New Roman"/>
          <w:sz w:val="24"/>
        </w:rPr>
        <w:t>McGoldrick, D., 2016. The Development and Status of Sexual Orientation Discrimination under International Human Rights Law. Human Rights Law Review 16, 613–668. https://doi.org/10.1093/hrlr/ngw030</w:t>
      </w:r>
    </w:p>
    <w:p w14:paraId="14C90243" w14:textId="34AC5210" w:rsidR="00D95A2D" w:rsidRPr="00D95A2D" w:rsidRDefault="00D95A2D" w:rsidP="00FE51E4">
      <w:pPr>
        <w:pStyle w:val="Bibliography"/>
        <w:spacing w:after="120"/>
      </w:pPr>
      <w:r w:rsidRPr="00D95A2D">
        <w:rPr>
          <w:rFonts w:ascii="Times New Roman" w:hAnsi="Times New Roman" w:cs="Times New Roman"/>
          <w:sz w:val="24"/>
        </w:rPr>
        <w:t>Moleiro, C., Pinto, N., 2015. Sexual orientation and gender identity: review of concepts, controversies and their relation to psychopathology classification systems. Frontiers in Psychology 6. https://doi.org/10.3389/fpsyg.2015.01511</w:t>
      </w:r>
    </w:p>
    <w:p w14:paraId="0895A0EE" w14:textId="51D5060E" w:rsidR="00D95A2D" w:rsidRPr="00D95A2D" w:rsidRDefault="00D95A2D" w:rsidP="00FE51E4">
      <w:pPr>
        <w:pStyle w:val="Bibliography"/>
        <w:spacing w:after="120"/>
      </w:pPr>
      <w:r w:rsidRPr="00D95A2D">
        <w:rPr>
          <w:rFonts w:ascii="Times New Roman" w:hAnsi="Times New Roman" w:cs="Times New Roman"/>
          <w:sz w:val="24"/>
        </w:rPr>
        <w:t>Parker, R., Larkin, T., Cockburn, J., 2017. A visual analysis of gender bias in contemporary anatomy textbooks. Social Science &amp; Medicine 180, 106–113. https://doi.org/10.1016/j.socscimed.2017.03.032</w:t>
      </w:r>
    </w:p>
    <w:p w14:paraId="3DB83708" w14:textId="7456238B" w:rsidR="00D95A2D" w:rsidRPr="00D95A2D" w:rsidRDefault="00D95A2D" w:rsidP="00FE51E4">
      <w:pPr>
        <w:pStyle w:val="Bibliography"/>
        <w:spacing w:after="120"/>
      </w:pPr>
      <w:r w:rsidRPr="00D95A2D">
        <w:rPr>
          <w:rFonts w:ascii="Times New Roman" w:hAnsi="Times New Roman" w:cs="Times New Roman"/>
          <w:sz w:val="24"/>
        </w:rPr>
        <w:t xml:space="preserve">Roberts, A., </w:t>
      </w:r>
      <w:proofErr w:type="spellStart"/>
      <w:r w:rsidRPr="00D95A2D">
        <w:rPr>
          <w:rFonts w:ascii="Times New Roman" w:hAnsi="Times New Roman" w:cs="Times New Roman"/>
          <w:sz w:val="24"/>
        </w:rPr>
        <w:t>Soederberg</w:t>
      </w:r>
      <w:proofErr w:type="spellEnd"/>
      <w:r w:rsidRPr="00D95A2D">
        <w:rPr>
          <w:rFonts w:ascii="Times New Roman" w:hAnsi="Times New Roman" w:cs="Times New Roman"/>
          <w:sz w:val="24"/>
        </w:rPr>
        <w:t xml:space="preserve">, S., 2012. Gender Equality as </w:t>
      </w:r>
      <w:r w:rsidRPr="00D95A2D">
        <w:rPr>
          <w:rFonts w:ascii="Times New Roman" w:hAnsi="Times New Roman" w:cs="Times New Roman"/>
          <w:i/>
          <w:iCs/>
          <w:sz w:val="24"/>
        </w:rPr>
        <w:t xml:space="preserve">Smart </w:t>
      </w:r>
      <w:proofErr w:type="gramStart"/>
      <w:r w:rsidRPr="00D95A2D">
        <w:rPr>
          <w:rFonts w:ascii="Times New Roman" w:hAnsi="Times New Roman" w:cs="Times New Roman"/>
          <w:i/>
          <w:iCs/>
          <w:sz w:val="24"/>
        </w:rPr>
        <w:t>Economics</w:t>
      </w:r>
      <w:r w:rsidRPr="00D95A2D">
        <w:rPr>
          <w:rFonts w:ascii="Times New Roman" w:hAnsi="Times New Roman" w:cs="Times New Roman"/>
          <w:sz w:val="24"/>
        </w:rPr>
        <w:t> ?</w:t>
      </w:r>
      <w:proofErr w:type="gramEnd"/>
      <w:r w:rsidRPr="00D95A2D">
        <w:rPr>
          <w:rFonts w:ascii="Times New Roman" w:hAnsi="Times New Roman" w:cs="Times New Roman"/>
          <w:sz w:val="24"/>
        </w:rPr>
        <w:t xml:space="preserve"> A critique of the 2012 </w:t>
      </w:r>
      <w:r w:rsidRPr="00D95A2D">
        <w:rPr>
          <w:rFonts w:ascii="Times New Roman" w:hAnsi="Times New Roman" w:cs="Times New Roman"/>
          <w:i/>
          <w:iCs/>
          <w:sz w:val="24"/>
        </w:rPr>
        <w:t>World Development Report</w:t>
      </w:r>
      <w:r w:rsidRPr="00D95A2D">
        <w:rPr>
          <w:rFonts w:ascii="Times New Roman" w:hAnsi="Times New Roman" w:cs="Times New Roman"/>
          <w:sz w:val="24"/>
        </w:rPr>
        <w:t>. Third World Quarterly 33, 949–968. https://doi.org/10.1080/01436597.2012.677310</w:t>
      </w:r>
    </w:p>
    <w:p w14:paraId="05F368EC" w14:textId="279E913F" w:rsidR="00D95A2D" w:rsidRPr="00D95A2D" w:rsidRDefault="00D95A2D" w:rsidP="00FE51E4">
      <w:pPr>
        <w:pStyle w:val="Bibliography"/>
        <w:spacing w:after="120"/>
      </w:pPr>
      <w:r w:rsidRPr="00D95A2D">
        <w:rPr>
          <w:rFonts w:ascii="Times New Roman" w:hAnsi="Times New Roman" w:cs="Times New Roman"/>
          <w:sz w:val="24"/>
        </w:rPr>
        <w:lastRenderedPageBreak/>
        <w:t>Santos, H.M., Silva, S.M.D., Menezes, I., 2018. From Liberal Acceptance to Intolerance: Discourses on Sexual Diversity in Schools by Portuguese Young People. JSSE - Journal of Social Science Education, 1-2018 School Democracy and Increased Student Diversity. https://doi.org/10.4119/unibi/jsse-v17-i1-1655</w:t>
      </w:r>
    </w:p>
    <w:p w14:paraId="1679F858" w14:textId="0936DA35" w:rsidR="00D95A2D" w:rsidRPr="00D95A2D" w:rsidRDefault="00D95A2D" w:rsidP="00FE51E4">
      <w:pPr>
        <w:pStyle w:val="Bibliography"/>
        <w:spacing w:after="120"/>
      </w:pPr>
      <w:r w:rsidRPr="00D95A2D">
        <w:rPr>
          <w:rFonts w:ascii="Times New Roman" w:hAnsi="Times New Roman" w:cs="Times New Roman"/>
          <w:sz w:val="24"/>
        </w:rPr>
        <w:t>Townsley, N.C., 2003. Review Article: Looking Back, Looking Forward. Mapping the Gendered Theories, Voices, and Politics of Organization. Organization 10, 617–639. https://doi.org/10.1177/13505084030103020</w:t>
      </w:r>
    </w:p>
    <w:p w14:paraId="055812FC" w14:textId="644866FD" w:rsidR="00D95A2D" w:rsidRPr="00D95A2D" w:rsidRDefault="00D95A2D" w:rsidP="00FE51E4">
      <w:pPr>
        <w:pStyle w:val="Bibliography"/>
        <w:spacing w:after="120"/>
      </w:pPr>
      <w:r w:rsidRPr="00D95A2D">
        <w:rPr>
          <w:rFonts w:ascii="Times New Roman" w:hAnsi="Times New Roman" w:cs="Times New Roman"/>
          <w:sz w:val="24"/>
        </w:rPr>
        <w:t>United States Department of State, 2017. INDIA 2017 HUMAN RIGHTS REPORT. Country Reports on Human Rights Practices for 2017 55</w:t>
      </w:r>
    </w:p>
    <w:p w14:paraId="1992A74E" w14:textId="1EDD10C3" w:rsidR="00D95A2D" w:rsidRDefault="00D95A2D" w:rsidP="00FE51E4">
      <w:pPr>
        <w:pStyle w:val="Bibliography"/>
        <w:spacing w:after="120"/>
        <w:rPr>
          <w:rFonts w:ascii="Times New Roman" w:hAnsi="Times New Roman" w:cs="Times New Roman"/>
          <w:sz w:val="24"/>
        </w:rPr>
      </w:pPr>
      <w:r w:rsidRPr="00D95A2D">
        <w:rPr>
          <w:rFonts w:ascii="Times New Roman" w:hAnsi="Times New Roman" w:cs="Times New Roman"/>
          <w:sz w:val="24"/>
        </w:rPr>
        <w:t>Vianna, C.P., 2015. O movimento LGBT e as políticas de educação de gênero e diversidade sexual: perdas, ganhos e desafios. Educação e Pesquisa 41, 791–806. https://doi.org/10.1590/s1517-97022015031914</w:t>
      </w:r>
    </w:p>
    <w:p w14:paraId="21D8B9B2" w14:textId="77777777" w:rsidR="00D95A2D" w:rsidRPr="00D95A2D" w:rsidRDefault="00D95A2D" w:rsidP="00FE51E4">
      <w:pPr>
        <w:spacing w:after="120" w:line="240" w:lineRule="auto"/>
      </w:pPr>
    </w:p>
    <w:p w14:paraId="6DD6BB4C" w14:textId="48A3F258" w:rsidR="00D95A2D" w:rsidRPr="00D95A2D" w:rsidRDefault="00D95A2D" w:rsidP="00FE51E4">
      <w:pPr>
        <w:pStyle w:val="Bibliography"/>
        <w:spacing w:after="120"/>
      </w:pPr>
      <w:r w:rsidRPr="00D95A2D">
        <w:rPr>
          <w:rFonts w:ascii="Times New Roman" w:hAnsi="Times New Roman" w:cs="Times New Roman"/>
          <w:sz w:val="24"/>
        </w:rPr>
        <w:t>Waites, M., 2009. Critique of ‘sexual orientation’ and ‘gender identity’ in human rights discourse: global queer politics beyond the Yogyakarta Principles. Contemporary Politics 15, 137–156. https://doi.org/10.1080/13569770802709604</w:t>
      </w:r>
    </w:p>
    <w:p w14:paraId="655CECC4" w14:textId="3D19CCE0" w:rsidR="00F74507" w:rsidRPr="00183445" w:rsidRDefault="00D95A2D" w:rsidP="00FE51E4">
      <w:pPr>
        <w:pStyle w:val="Bibliography"/>
        <w:spacing w:after="120"/>
        <w:rPr>
          <w:rFonts w:ascii="Times New Roman" w:eastAsia="Times New Roman" w:hAnsi="Times New Roman" w:cs="Times New Roman"/>
          <w:color w:val="000000"/>
          <w:sz w:val="24"/>
          <w:szCs w:val="24"/>
        </w:rPr>
      </w:pPr>
      <w:r w:rsidRPr="00D95A2D">
        <w:rPr>
          <w:rFonts w:ascii="Times New Roman" w:hAnsi="Times New Roman" w:cs="Times New Roman"/>
          <w:sz w:val="24"/>
        </w:rPr>
        <w:t>Zhang, L., Goldberg, C., 2014. Sensitivity-to-diversity: a moderator of diversity – affective outcomes relationships. Equality, Diversity and Inclusion: An International Journal; Birmingham 33, 494–509. http://dx.doi.org/10.1108/EDI-05-2013-0028</w:t>
      </w:r>
      <w:r>
        <w:rPr>
          <w:rFonts w:ascii="Times New Roman" w:hAnsi="Times New Roman" w:cs="Times New Roman"/>
          <w:sz w:val="24"/>
        </w:rPr>
        <w:t xml:space="preserve"> </w:t>
      </w:r>
      <w:r w:rsidR="00D97920">
        <w:rPr>
          <w:rFonts w:ascii="Times New Roman" w:hAnsi="Times New Roman" w:cs="Times New Roman"/>
          <w:sz w:val="24"/>
          <w:szCs w:val="24"/>
        </w:rPr>
        <w:fldChar w:fldCharType="end"/>
      </w:r>
    </w:p>
    <w:p w14:paraId="38F402AE" w14:textId="77777777" w:rsidR="00F74507" w:rsidRPr="00183445" w:rsidRDefault="00F74507">
      <w:pPr>
        <w:pBdr>
          <w:top w:val="nil"/>
          <w:left w:val="nil"/>
          <w:bottom w:val="nil"/>
          <w:right w:val="nil"/>
          <w:between w:val="nil"/>
        </w:pBdr>
        <w:spacing w:after="0" w:line="240" w:lineRule="auto"/>
        <w:ind w:firstLine="0"/>
        <w:jc w:val="left"/>
        <w:rPr>
          <w:rFonts w:ascii="Times New Roman" w:eastAsia="Times New Roman" w:hAnsi="Times New Roman" w:cs="Times New Roman"/>
          <w:color w:val="000000"/>
          <w:sz w:val="24"/>
          <w:szCs w:val="24"/>
        </w:rPr>
      </w:pPr>
    </w:p>
    <w:p w14:paraId="0417A122" w14:textId="77777777" w:rsidR="00F74507" w:rsidRPr="00183445" w:rsidRDefault="00F74507">
      <w:pPr>
        <w:pBdr>
          <w:top w:val="nil"/>
          <w:left w:val="nil"/>
          <w:bottom w:val="nil"/>
          <w:right w:val="nil"/>
          <w:between w:val="nil"/>
        </w:pBdr>
        <w:spacing w:after="0" w:line="240" w:lineRule="auto"/>
        <w:ind w:firstLine="0"/>
        <w:jc w:val="left"/>
        <w:rPr>
          <w:rFonts w:ascii="Times New Roman" w:eastAsia="Times New Roman" w:hAnsi="Times New Roman" w:cs="Times New Roman"/>
          <w:color w:val="000000"/>
          <w:sz w:val="24"/>
          <w:szCs w:val="24"/>
        </w:rPr>
      </w:pPr>
    </w:p>
    <w:p w14:paraId="198D599D" w14:textId="77777777" w:rsidR="00F74507" w:rsidRPr="00183445" w:rsidRDefault="00F74507">
      <w:pPr>
        <w:pBdr>
          <w:top w:val="nil"/>
          <w:left w:val="nil"/>
          <w:bottom w:val="nil"/>
          <w:right w:val="nil"/>
          <w:between w:val="nil"/>
        </w:pBdr>
        <w:spacing w:after="0" w:line="240" w:lineRule="auto"/>
        <w:ind w:firstLine="0"/>
        <w:jc w:val="left"/>
        <w:rPr>
          <w:rFonts w:ascii="Times New Roman" w:eastAsia="Times New Roman" w:hAnsi="Times New Roman" w:cs="Times New Roman"/>
          <w:color w:val="000000"/>
          <w:sz w:val="24"/>
          <w:szCs w:val="24"/>
        </w:rPr>
      </w:pPr>
    </w:p>
    <w:p w14:paraId="0B010E26" w14:textId="6F7B028C" w:rsidR="00F74507" w:rsidRDefault="00F74507">
      <w:pPr>
        <w:spacing w:line="360" w:lineRule="auto"/>
        <w:jc w:val="left"/>
        <w:rPr>
          <w:rFonts w:ascii="Times New Roman" w:eastAsia="Times New Roman" w:hAnsi="Times New Roman" w:cs="Times New Roman"/>
          <w:color w:val="000000"/>
          <w:sz w:val="28"/>
          <w:szCs w:val="28"/>
        </w:rPr>
      </w:pPr>
    </w:p>
    <w:p w14:paraId="5D1D98AA" w14:textId="77777777" w:rsidR="00D97920" w:rsidRDefault="00D97920">
      <w:pPr>
        <w:spacing w:line="360" w:lineRule="auto"/>
        <w:jc w:val="left"/>
        <w:rPr>
          <w:rFonts w:ascii="Times New Roman" w:eastAsia="Times New Roman" w:hAnsi="Times New Roman" w:cs="Times New Roman"/>
          <w:sz w:val="24"/>
          <w:szCs w:val="24"/>
        </w:rPr>
      </w:pPr>
    </w:p>
    <w:sectPr w:rsidR="00D97920">
      <w:headerReference w:type="default" r:id="rId6"/>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A8BF1E" w14:textId="77777777" w:rsidR="00D87175" w:rsidRDefault="00D87175">
      <w:pPr>
        <w:spacing w:after="0" w:line="240" w:lineRule="auto"/>
      </w:pPr>
      <w:r>
        <w:separator/>
      </w:r>
    </w:p>
  </w:endnote>
  <w:endnote w:type="continuationSeparator" w:id="0">
    <w:p w14:paraId="27EDB707" w14:textId="77777777" w:rsidR="00D87175" w:rsidRDefault="00D87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tisSerif">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5268097"/>
      <w:docPartObj>
        <w:docPartGallery w:val="Page Numbers (Bottom of Page)"/>
        <w:docPartUnique/>
      </w:docPartObj>
    </w:sdtPr>
    <w:sdtEndPr>
      <w:rPr>
        <w:noProof/>
      </w:rPr>
    </w:sdtEndPr>
    <w:sdtContent>
      <w:p w14:paraId="07FB53C2" w14:textId="68937131" w:rsidR="008A7B3F" w:rsidRDefault="008A7B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E8B578" w14:textId="77777777" w:rsidR="00F74507" w:rsidRDefault="00F7450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4E488C" w14:textId="77777777" w:rsidR="00D87175" w:rsidRDefault="00D87175">
      <w:pPr>
        <w:spacing w:after="0" w:line="240" w:lineRule="auto"/>
      </w:pPr>
      <w:r>
        <w:separator/>
      </w:r>
    </w:p>
  </w:footnote>
  <w:footnote w:type="continuationSeparator" w:id="0">
    <w:p w14:paraId="1EDB0A6C" w14:textId="77777777" w:rsidR="00D87175" w:rsidRDefault="00D871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8D08B" w14:textId="16186162" w:rsidR="00F74507" w:rsidRDefault="00D87175">
    <w:pPr>
      <w:pBdr>
        <w:top w:val="nil"/>
        <w:left w:val="nil"/>
        <w:bottom w:val="nil"/>
        <w:right w:val="nil"/>
        <w:between w:val="nil"/>
      </w:pBdr>
      <w:tabs>
        <w:tab w:val="center" w:pos="4513"/>
        <w:tab w:val="right" w:pos="9026"/>
      </w:tabs>
      <w:spacing w:after="0" w:line="240" w:lineRule="auto"/>
      <w:ind w:firstLine="0"/>
      <w:rPr>
        <w:color w:val="000000"/>
      </w:rPr>
    </w:pPr>
    <w:r>
      <w:rPr>
        <w:color w:val="000000"/>
      </w:rPr>
      <w:t xml:space="preserve">Module No. SJEG7008       Assignment Title Equality: Gender and Sexual Diversity     </w:t>
    </w:r>
    <w:r>
      <w:rPr>
        <w:color w:val="000000"/>
      </w:rPr>
      <w:t xml:space="preserve">       Assessment 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74507"/>
    <w:rsid w:val="0002332F"/>
    <w:rsid w:val="000821AB"/>
    <w:rsid w:val="000D51E8"/>
    <w:rsid w:val="00131F7B"/>
    <w:rsid w:val="00183445"/>
    <w:rsid w:val="00225268"/>
    <w:rsid w:val="002A4452"/>
    <w:rsid w:val="003B677E"/>
    <w:rsid w:val="003D3AC1"/>
    <w:rsid w:val="003F4296"/>
    <w:rsid w:val="00440405"/>
    <w:rsid w:val="005558C6"/>
    <w:rsid w:val="00794250"/>
    <w:rsid w:val="007E660C"/>
    <w:rsid w:val="008A7B3F"/>
    <w:rsid w:val="008D3A54"/>
    <w:rsid w:val="00966862"/>
    <w:rsid w:val="009F79BA"/>
    <w:rsid w:val="00AA3728"/>
    <w:rsid w:val="00CA6212"/>
    <w:rsid w:val="00CE65D5"/>
    <w:rsid w:val="00CF1967"/>
    <w:rsid w:val="00CF45C6"/>
    <w:rsid w:val="00D87175"/>
    <w:rsid w:val="00D95A2D"/>
    <w:rsid w:val="00D97920"/>
    <w:rsid w:val="00DD3F5D"/>
    <w:rsid w:val="00DF3701"/>
    <w:rsid w:val="00F74507"/>
    <w:rsid w:val="00F75D24"/>
    <w:rsid w:val="00F95C8D"/>
    <w:rsid w:val="00FD3647"/>
    <w:rsid w:val="00FE5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F9E0D"/>
  <w15:docId w15:val="{CFEC9963-44C7-46BB-8D6E-F2F692F3F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2" w:lineRule="auto"/>
        <w:ind w:firstLine="72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D74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50F"/>
  </w:style>
  <w:style w:type="paragraph" w:styleId="Footer">
    <w:name w:val="footer"/>
    <w:basedOn w:val="Normal"/>
    <w:link w:val="FooterChar"/>
    <w:uiPriority w:val="99"/>
    <w:unhideWhenUsed/>
    <w:rsid w:val="00D74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50F"/>
  </w:style>
  <w:style w:type="paragraph" w:styleId="BalloonText">
    <w:name w:val="Balloon Text"/>
    <w:basedOn w:val="Normal"/>
    <w:link w:val="BalloonTextChar"/>
    <w:uiPriority w:val="99"/>
    <w:semiHidden/>
    <w:unhideWhenUsed/>
    <w:rsid w:val="00883C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3C49"/>
    <w:rPr>
      <w:rFonts w:ascii="Segoe UI" w:hAnsi="Segoe UI" w:cs="Segoe UI"/>
      <w:sz w:val="18"/>
      <w:szCs w:val="18"/>
    </w:rPr>
  </w:style>
  <w:style w:type="character" w:customStyle="1" w:styleId="nlmarticle-title">
    <w:name w:val="nlm_article-title"/>
    <w:basedOn w:val="DefaultParagraphFont"/>
    <w:rsid w:val="00705C83"/>
  </w:style>
  <w:style w:type="paragraph" w:customStyle="1" w:styleId="Default">
    <w:name w:val="Default"/>
    <w:rsid w:val="00071378"/>
    <w:pPr>
      <w:autoSpaceDE w:val="0"/>
      <w:autoSpaceDN w:val="0"/>
      <w:adjustRightInd w:val="0"/>
      <w:spacing w:after="0" w:line="240" w:lineRule="auto"/>
      <w:ind w:firstLine="0"/>
      <w:jc w:val="left"/>
    </w:pPr>
    <w:rPr>
      <w:rFonts w:ascii="RotisSerif" w:hAnsi="RotisSerif" w:cs="RotisSerif"/>
      <w:color w:val="000000"/>
      <w:sz w:val="24"/>
      <w:szCs w:val="24"/>
    </w:rPr>
  </w:style>
  <w:style w:type="paragraph" w:styleId="NormalWeb">
    <w:name w:val="Normal (Web)"/>
    <w:basedOn w:val="Normal"/>
    <w:uiPriority w:val="99"/>
    <w:unhideWhenUsed/>
    <w:rsid w:val="00A63598"/>
    <w:pPr>
      <w:spacing w:before="100" w:beforeAutospacing="1" w:after="100" w:afterAutospacing="1" w:line="240" w:lineRule="auto"/>
      <w:ind w:firstLine="0"/>
      <w:jc w:val="left"/>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DE6EB3"/>
    <w:pPr>
      <w:spacing w:after="0" w:line="240" w:lineRule="auto"/>
      <w:ind w:left="720" w:hanging="7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semiHidden/>
    <w:unhideWhenUsed/>
    <w:rsid w:val="00CF45C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1421</TotalTime>
  <Pages>9</Pages>
  <Words>11645</Words>
  <Characters>66380</Characters>
  <Application>Microsoft Office Word</Application>
  <DocSecurity>0</DocSecurity>
  <Lines>553</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Rita Patterson</cp:lastModifiedBy>
  <cp:revision>13</cp:revision>
  <cp:lastPrinted>2019-01-05T16:05:00Z</cp:lastPrinted>
  <dcterms:created xsi:type="dcterms:W3CDTF">2019-01-05T13:30:00Z</dcterms:created>
  <dcterms:modified xsi:type="dcterms:W3CDTF">2019-01-06T13:12:00Z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id="YlkX2eT9"/&gt;&lt;style id="http://www.zotero.org/styles/elsevier-harvard" hasBibliography="1" bibliographyStyleHasBeenSet="1"/&gt;&lt;prefs&gt;&lt;pref name="fieldType" value="Field"/&gt;&lt;/prefs&gt;&lt;/data&gt;</vt:lpwstr>
  </property>
</Properties>
</file>