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1E8E52" w14:textId="15729E52" w:rsidR="00056573" w:rsidRDefault="00056573">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2309416</w:t>
      </w:r>
    </w:p>
    <w:p w14:paraId="757D9526" w14:textId="297F2797" w:rsidR="00923143" w:rsidRDefault="00452688">
      <w:pPr>
        <w:rPr>
          <w:sz w:val="24"/>
          <w:szCs w:val="24"/>
        </w:rPr>
      </w:pPr>
      <w:r>
        <w:rPr>
          <w:sz w:val="24"/>
          <w:szCs w:val="24"/>
        </w:rPr>
        <w:t xml:space="preserve">A search of the Slave Voyages Database relating to the Zong </w:t>
      </w:r>
      <w:r w:rsidR="00C93A3D">
        <w:rPr>
          <w:sz w:val="24"/>
          <w:szCs w:val="24"/>
        </w:rPr>
        <w:t xml:space="preserve">yielded </w:t>
      </w:r>
      <w:r>
        <w:rPr>
          <w:sz w:val="24"/>
          <w:szCs w:val="24"/>
        </w:rPr>
        <w:t>only brief details of its slave-trad</w:t>
      </w:r>
      <w:r w:rsidR="00402AE2">
        <w:rPr>
          <w:sz w:val="24"/>
          <w:szCs w:val="24"/>
        </w:rPr>
        <w:t>ing history.</w:t>
      </w:r>
      <w:r>
        <w:rPr>
          <w:sz w:val="24"/>
          <w:szCs w:val="24"/>
        </w:rPr>
        <w:t xml:space="preserve"> </w:t>
      </w:r>
      <w:r w:rsidR="00402AE2">
        <w:rPr>
          <w:sz w:val="24"/>
          <w:szCs w:val="24"/>
        </w:rPr>
        <w:t>The entry reveals</w:t>
      </w:r>
      <w:r>
        <w:rPr>
          <w:sz w:val="24"/>
          <w:szCs w:val="24"/>
        </w:rPr>
        <w:t xml:space="preserve"> how the </w:t>
      </w:r>
      <w:r w:rsidR="009E33F7">
        <w:rPr>
          <w:sz w:val="24"/>
          <w:szCs w:val="24"/>
        </w:rPr>
        <w:t>Zong</w:t>
      </w:r>
      <w:r>
        <w:rPr>
          <w:sz w:val="24"/>
          <w:szCs w:val="24"/>
        </w:rPr>
        <w:t xml:space="preserve"> began its journey from Liverpool in September 1781 and reached its destination at Black River in the Americas in December</w:t>
      </w:r>
      <w:r w:rsidR="00C93A3D">
        <w:rPr>
          <w:sz w:val="24"/>
          <w:szCs w:val="24"/>
        </w:rPr>
        <w:t xml:space="preserve"> </w:t>
      </w:r>
      <w:r w:rsidR="006E4DDE">
        <w:rPr>
          <w:sz w:val="24"/>
          <w:szCs w:val="24"/>
        </w:rPr>
        <w:t xml:space="preserve">that </w:t>
      </w:r>
      <w:r w:rsidR="00C93A3D">
        <w:rPr>
          <w:sz w:val="24"/>
          <w:szCs w:val="24"/>
        </w:rPr>
        <w:t>year</w:t>
      </w:r>
      <w:r>
        <w:rPr>
          <w:sz w:val="24"/>
          <w:szCs w:val="24"/>
        </w:rPr>
        <w:t>. The captain of the ship</w:t>
      </w:r>
      <w:r w:rsidR="006E4DDE">
        <w:rPr>
          <w:sz w:val="24"/>
          <w:szCs w:val="24"/>
        </w:rPr>
        <w:t xml:space="preserve"> and </w:t>
      </w:r>
      <w:r>
        <w:rPr>
          <w:sz w:val="24"/>
          <w:szCs w:val="24"/>
        </w:rPr>
        <w:t>surgeon</w:t>
      </w:r>
      <w:r w:rsidR="003920E8">
        <w:rPr>
          <w:sz w:val="24"/>
          <w:szCs w:val="24"/>
        </w:rPr>
        <w:t>,</w:t>
      </w:r>
      <w:r>
        <w:rPr>
          <w:sz w:val="24"/>
          <w:szCs w:val="24"/>
        </w:rPr>
        <w:t xml:space="preserve"> Luke Howard Edward Collingwood, </w:t>
      </w:r>
      <w:r w:rsidR="00402AE2">
        <w:rPr>
          <w:sz w:val="24"/>
          <w:szCs w:val="24"/>
        </w:rPr>
        <w:t xml:space="preserve">was </w:t>
      </w:r>
      <w:r>
        <w:rPr>
          <w:sz w:val="24"/>
          <w:szCs w:val="24"/>
        </w:rPr>
        <w:t xml:space="preserve">an inexperienced sailor who had made nine or ten </w:t>
      </w:r>
      <w:r w:rsidR="003920E8">
        <w:rPr>
          <w:sz w:val="24"/>
          <w:szCs w:val="24"/>
        </w:rPr>
        <w:t xml:space="preserve">previous </w:t>
      </w:r>
      <w:r>
        <w:rPr>
          <w:sz w:val="24"/>
          <w:szCs w:val="24"/>
        </w:rPr>
        <w:t>Atlantic voyages but had never captained a ship.</w:t>
      </w:r>
      <w:r w:rsidR="00BA5AD5">
        <w:rPr>
          <w:rStyle w:val="FootnoteReference"/>
          <w:sz w:val="24"/>
          <w:szCs w:val="24"/>
        </w:rPr>
        <w:footnoteReference w:id="1"/>
      </w:r>
      <w:r w:rsidR="00BA5AD5">
        <w:rPr>
          <w:sz w:val="24"/>
          <w:szCs w:val="24"/>
        </w:rPr>
        <w:t xml:space="preserve"> According to the database, the ship carried 440 captives </w:t>
      </w:r>
      <w:r w:rsidR="00C93A3D">
        <w:rPr>
          <w:sz w:val="24"/>
          <w:szCs w:val="24"/>
        </w:rPr>
        <w:t xml:space="preserve">though </w:t>
      </w:r>
      <w:r w:rsidR="00BA5AD5">
        <w:rPr>
          <w:sz w:val="24"/>
          <w:szCs w:val="24"/>
        </w:rPr>
        <w:t>only 208 disembarked</w:t>
      </w:r>
      <w:r w:rsidR="00C93A3D">
        <w:rPr>
          <w:sz w:val="24"/>
          <w:szCs w:val="24"/>
        </w:rPr>
        <w:t xml:space="preserve"> at its final destination</w:t>
      </w:r>
      <w:r w:rsidR="00BA5AD5">
        <w:rPr>
          <w:sz w:val="24"/>
          <w:szCs w:val="24"/>
        </w:rPr>
        <w:t xml:space="preserve">, a discrepancy not </w:t>
      </w:r>
      <w:r w:rsidR="004D4F66">
        <w:rPr>
          <w:sz w:val="24"/>
          <w:szCs w:val="24"/>
        </w:rPr>
        <w:t>explained.</w:t>
      </w:r>
    </w:p>
    <w:p w14:paraId="5686439E" w14:textId="3F4B2821" w:rsidR="004B5968" w:rsidRDefault="004D4F66">
      <w:pPr>
        <w:rPr>
          <w:sz w:val="24"/>
          <w:szCs w:val="24"/>
        </w:rPr>
      </w:pPr>
      <w:r>
        <w:rPr>
          <w:sz w:val="24"/>
          <w:szCs w:val="24"/>
        </w:rPr>
        <w:t>The strengths and limitations of the Slaves Voyages website has been stressed by David Eltis of Emory University</w:t>
      </w:r>
      <w:r w:rsidR="00C93A3D">
        <w:rPr>
          <w:sz w:val="24"/>
          <w:szCs w:val="24"/>
        </w:rPr>
        <w:t xml:space="preserve">, who along with his colleague David Richardson </w:t>
      </w:r>
      <w:r w:rsidR="00DC42CB">
        <w:rPr>
          <w:sz w:val="24"/>
          <w:szCs w:val="24"/>
        </w:rPr>
        <w:t xml:space="preserve">oversaw the </w:t>
      </w:r>
      <w:r w:rsidR="00C93A3D">
        <w:rPr>
          <w:sz w:val="24"/>
          <w:szCs w:val="24"/>
        </w:rPr>
        <w:t>compil</w:t>
      </w:r>
      <w:r w:rsidR="00DC42CB">
        <w:rPr>
          <w:sz w:val="24"/>
          <w:szCs w:val="24"/>
        </w:rPr>
        <w:t xml:space="preserve">ation of </w:t>
      </w:r>
      <w:r w:rsidR="00C93A3D">
        <w:rPr>
          <w:sz w:val="24"/>
          <w:szCs w:val="24"/>
        </w:rPr>
        <w:t xml:space="preserve">the </w:t>
      </w:r>
      <w:r w:rsidR="00DC42CB">
        <w:rPr>
          <w:sz w:val="24"/>
          <w:szCs w:val="24"/>
        </w:rPr>
        <w:t>database s</w:t>
      </w:r>
      <w:r w:rsidR="00C93A3D">
        <w:rPr>
          <w:sz w:val="24"/>
          <w:szCs w:val="24"/>
        </w:rPr>
        <w:t>tatistics</w:t>
      </w:r>
      <w:r w:rsidR="00DC42CB">
        <w:rPr>
          <w:sz w:val="24"/>
          <w:szCs w:val="24"/>
        </w:rPr>
        <w:t>. H</w:t>
      </w:r>
      <w:r>
        <w:rPr>
          <w:sz w:val="24"/>
          <w:szCs w:val="24"/>
        </w:rPr>
        <w:t xml:space="preserve">e </w:t>
      </w:r>
      <w:r w:rsidR="00246064">
        <w:rPr>
          <w:sz w:val="24"/>
          <w:szCs w:val="24"/>
        </w:rPr>
        <w:t xml:space="preserve">reveals </w:t>
      </w:r>
      <w:r>
        <w:rPr>
          <w:sz w:val="24"/>
          <w:szCs w:val="24"/>
        </w:rPr>
        <w:t xml:space="preserve">that </w:t>
      </w:r>
      <w:r w:rsidR="00F96AFC">
        <w:rPr>
          <w:sz w:val="24"/>
          <w:szCs w:val="24"/>
        </w:rPr>
        <w:t xml:space="preserve">the data provided can only ever be an estimate and that </w:t>
      </w:r>
      <w:r>
        <w:rPr>
          <w:sz w:val="24"/>
          <w:szCs w:val="24"/>
        </w:rPr>
        <w:t xml:space="preserve">inconsistences may have arisen due </w:t>
      </w:r>
      <w:r w:rsidR="00402AE2">
        <w:rPr>
          <w:sz w:val="24"/>
          <w:szCs w:val="24"/>
        </w:rPr>
        <w:t xml:space="preserve">to a combination of factors </w:t>
      </w:r>
      <w:r w:rsidR="004B5968">
        <w:rPr>
          <w:sz w:val="24"/>
          <w:szCs w:val="24"/>
        </w:rPr>
        <w:t>which may not accurately reflect the true situation.</w:t>
      </w:r>
      <w:r w:rsidR="00056573">
        <w:rPr>
          <w:rStyle w:val="FootnoteReference"/>
          <w:sz w:val="24"/>
          <w:szCs w:val="24"/>
        </w:rPr>
        <w:footnoteReference w:id="2"/>
      </w:r>
      <w:r w:rsidR="00F96AFC">
        <w:rPr>
          <w:sz w:val="24"/>
          <w:szCs w:val="24"/>
        </w:rPr>
        <w:t xml:space="preserve"> Furthermore, the </w:t>
      </w:r>
      <w:r w:rsidR="00F74608">
        <w:rPr>
          <w:sz w:val="24"/>
          <w:szCs w:val="24"/>
        </w:rPr>
        <w:t xml:space="preserve">facts relating to the Zong can only provide a starting point in researching its history. The </w:t>
      </w:r>
      <w:r w:rsidR="00DC42CB">
        <w:rPr>
          <w:sz w:val="24"/>
          <w:szCs w:val="24"/>
        </w:rPr>
        <w:t>statistics</w:t>
      </w:r>
      <w:r w:rsidR="00F96AFC">
        <w:rPr>
          <w:sz w:val="24"/>
          <w:szCs w:val="24"/>
        </w:rPr>
        <w:t xml:space="preserve"> </w:t>
      </w:r>
      <w:r w:rsidR="00246064">
        <w:rPr>
          <w:sz w:val="24"/>
          <w:szCs w:val="24"/>
        </w:rPr>
        <w:t xml:space="preserve">cannot </w:t>
      </w:r>
      <w:r w:rsidR="00F96AFC">
        <w:rPr>
          <w:sz w:val="24"/>
          <w:szCs w:val="24"/>
        </w:rPr>
        <w:t>convey the full</w:t>
      </w:r>
      <w:r w:rsidR="00246064">
        <w:rPr>
          <w:sz w:val="24"/>
          <w:szCs w:val="24"/>
        </w:rPr>
        <w:t xml:space="preserve"> horrors of the Transatlantic slave trade</w:t>
      </w:r>
      <w:r w:rsidR="00F74608">
        <w:rPr>
          <w:sz w:val="24"/>
          <w:szCs w:val="24"/>
        </w:rPr>
        <w:t xml:space="preserve">, </w:t>
      </w:r>
      <w:r w:rsidR="00DC42CB">
        <w:rPr>
          <w:sz w:val="24"/>
          <w:szCs w:val="24"/>
        </w:rPr>
        <w:t xml:space="preserve">rather </w:t>
      </w:r>
      <w:r w:rsidR="00F74608">
        <w:rPr>
          <w:sz w:val="24"/>
          <w:szCs w:val="24"/>
        </w:rPr>
        <w:t xml:space="preserve">it </w:t>
      </w:r>
      <w:r w:rsidR="00246064">
        <w:rPr>
          <w:sz w:val="24"/>
          <w:szCs w:val="24"/>
        </w:rPr>
        <w:t xml:space="preserve">is the voices of the enslaved themselves along with the written logs of ships’ crews and doctors which reveal the lucrative yet </w:t>
      </w:r>
      <w:r w:rsidR="00402AE2">
        <w:rPr>
          <w:sz w:val="24"/>
          <w:szCs w:val="24"/>
        </w:rPr>
        <w:t>appalling</w:t>
      </w:r>
      <w:r w:rsidR="00246064">
        <w:rPr>
          <w:sz w:val="24"/>
          <w:szCs w:val="24"/>
        </w:rPr>
        <w:t xml:space="preserve"> </w:t>
      </w:r>
      <w:r w:rsidR="00402AE2">
        <w:rPr>
          <w:sz w:val="24"/>
          <w:szCs w:val="24"/>
        </w:rPr>
        <w:t>story</w:t>
      </w:r>
      <w:r w:rsidR="00246064">
        <w:rPr>
          <w:sz w:val="24"/>
          <w:szCs w:val="24"/>
        </w:rPr>
        <w:t xml:space="preserve"> of </w:t>
      </w:r>
      <w:r w:rsidR="00F74608">
        <w:rPr>
          <w:sz w:val="24"/>
          <w:szCs w:val="24"/>
        </w:rPr>
        <w:t>slavery. As Jeremy Paxman observed, the Transatlantic slave-trade was “opulence built on misery (</w:t>
      </w:r>
      <w:r w:rsidR="00DC42CB">
        <w:rPr>
          <w:sz w:val="24"/>
          <w:szCs w:val="24"/>
        </w:rPr>
        <w:t>that</w:t>
      </w:r>
      <w:r w:rsidR="00F74608">
        <w:rPr>
          <w:sz w:val="24"/>
          <w:szCs w:val="24"/>
        </w:rPr>
        <w:t>) could survive only by violence”.</w:t>
      </w:r>
      <w:r w:rsidR="00F74608">
        <w:rPr>
          <w:rStyle w:val="FootnoteReference"/>
          <w:sz w:val="24"/>
          <w:szCs w:val="24"/>
        </w:rPr>
        <w:footnoteReference w:id="3"/>
      </w:r>
      <w:r w:rsidR="009E33F7">
        <w:rPr>
          <w:sz w:val="24"/>
          <w:szCs w:val="24"/>
        </w:rPr>
        <w:t xml:space="preserve"> </w:t>
      </w:r>
    </w:p>
    <w:p w14:paraId="1143C5D0" w14:textId="05F473C9" w:rsidR="004D4F66" w:rsidRDefault="004B5968">
      <w:pPr>
        <w:rPr>
          <w:sz w:val="24"/>
          <w:szCs w:val="24"/>
        </w:rPr>
      </w:pPr>
      <w:r>
        <w:rPr>
          <w:sz w:val="24"/>
          <w:szCs w:val="24"/>
        </w:rPr>
        <w:t xml:space="preserve">The database facts relating to the Zong provide a useful starting point. </w:t>
      </w:r>
      <w:proofErr w:type="gramStart"/>
      <w:r>
        <w:rPr>
          <w:sz w:val="24"/>
          <w:szCs w:val="24"/>
        </w:rPr>
        <w:t>Nevertheless</w:t>
      </w:r>
      <w:proofErr w:type="gramEnd"/>
      <w:r>
        <w:rPr>
          <w:sz w:val="24"/>
          <w:szCs w:val="24"/>
        </w:rPr>
        <w:t xml:space="preserve"> due to limited available data, t</w:t>
      </w:r>
      <w:r w:rsidR="009E33F7">
        <w:rPr>
          <w:sz w:val="24"/>
          <w:szCs w:val="24"/>
        </w:rPr>
        <w:t>his assignment will incorporate both primary and secondary sources</w:t>
      </w:r>
      <w:r>
        <w:rPr>
          <w:sz w:val="24"/>
          <w:szCs w:val="24"/>
        </w:rPr>
        <w:t>,</w:t>
      </w:r>
      <w:r w:rsidR="009E33F7">
        <w:rPr>
          <w:sz w:val="24"/>
          <w:szCs w:val="24"/>
        </w:rPr>
        <w:t xml:space="preserve"> in an effort to uncover as far as possible the events occurring during the Zong’s journey and how typical it was of the Transatlantic trade as a whole.</w:t>
      </w:r>
    </w:p>
    <w:p w14:paraId="41FB2D75" w14:textId="53FD4FF0" w:rsidR="0018291B" w:rsidRDefault="00DC42CB" w:rsidP="00BC5D47">
      <w:pPr>
        <w:rPr>
          <w:sz w:val="24"/>
          <w:szCs w:val="24"/>
        </w:rPr>
      </w:pPr>
      <w:r>
        <w:rPr>
          <w:sz w:val="24"/>
          <w:szCs w:val="24"/>
        </w:rPr>
        <w:t xml:space="preserve">The Zong was part of the triangular </w:t>
      </w:r>
      <w:r w:rsidR="00E51CE5">
        <w:rPr>
          <w:sz w:val="24"/>
          <w:szCs w:val="24"/>
        </w:rPr>
        <w:t xml:space="preserve">trade in slaves, </w:t>
      </w:r>
      <w:r w:rsidR="00C72587">
        <w:rPr>
          <w:sz w:val="24"/>
          <w:szCs w:val="24"/>
        </w:rPr>
        <w:t>the</w:t>
      </w:r>
      <w:r w:rsidR="006E4DDE">
        <w:rPr>
          <w:sz w:val="24"/>
          <w:szCs w:val="24"/>
        </w:rPr>
        <w:t xml:space="preserve">ir </w:t>
      </w:r>
      <w:r w:rsidR="00C72587">
        <w:rPr>
          <w:sz w:val="24"/>
          <w:szCs w:val="24"/>
        </w:rPr>
        <w:t>capture usually orchestrated by West Africans who preyed on the unsuspecting inhabitants of isolated villages.</w:t>
      </w:r>
      <w:r w:rsidR="00C72587">
        <w:rPr>
          <w:rStyle w:val="FootnoteReference"/>
          <w:sz w:val="24"/>
          <w:szCs w:val="24"/>
        </w:rPr>
        <w:footnoteReference w:id="4"/>
      </w:r>
      <w:r w:rsidR="00C72587">
        <w:rPr>
          <w:sz w:val="24"/>
          <w:szCs w:val="24"/>
        </w:rPr>
        <w:t xml:space="preserve"> The </w:t>
      </w:r>
      <w:r w:rsidR="00E51CE5">
        <w:rPr>
          <w:sz w:val="24"/>
          <w:szCs w:val="24"/>
        </w:rPr>
        <w:t>industry guaranteed merchants a healthy profit on each phase of its journey</w:t>
      </w:r>
      <w:r w:rsidR="009E33F7">
        <w:rPr>
          <w:sz w:val="24"/>
          <w:szCs w:val="24"/>
        </w:rPr>
        <w:t xml:space="preserve"> as g</w:t>
      </w:r>
      <w:r w:rsidR="001F2563">
        <w:rPr>
          <w:sz w:val="24"/>
          <w:szCs w:val="24"/>
        </w:rPr>
        <w:t xml:space="preserve">oods including gold, sugar, tobacco and cotton were exchanged for enslaved Africans who were </w:t>
      </w:r>
      <w:r w:rsidR="00E33580">
        <w:rPr>
          <w:sz w:val="24"/>
          <w:szCs w:val="24"/>
        </w:rPr>
        <w:t xml:space="preserve">then </w:t>
      </w:r>
      <w:r w:rsidR="001F2563">
        <w:rPr>
          <w:sz w:val="24"/>
          <w:szCs w:val="24"/>
        </w:rPr>
        <w:t>transported to their final destination</w:t>
      </w:r>
      <w:r w:rsidR="00C72587">
        <w:rPr>
          <w:sz w:val="24"/>
          <w:szCs w:val="24"/>
        </w:rPr>
        <w:t xml:space="preserve"> for use as</w:t>
      </w:r>
      <w:r w:rsidR="001F2563">
        <w:rPr>
          <w:sz w:val="24"/>
          <w:szCs w:val="24"/>
        </w:rPr>
        <w:t xml:space="preserve"> forced labour on plantations </w:t>
      </w:r>
      <w:r w:rsidR="00E33580">
        <w:rPr>
          <w:sz w:val="24"/>
          <w:szCs w:val="24"/>
        </w:rPr>
        <w:t xml:space="preserve">or as </w:t>
      </w:r>
      <w:r w:rsidR="001F2563">
        <w:rPr>
          <w:sz w:val="24"/>
          <w:szCs w:val="24"/>
        </w:rPr>
        <w:t>domestic servants.</w:t>
      </w:r>
      <w:r w:rsidR="001F2563">
        <w:rPr>
          <w:rStyle w:val="FootnoteReference"/>
          <w:sz w:val="24"/>
          <w:szCs w:val="24"/>
        </w:rPr>
        <w:footnoteReference w:id="5"/>
      </w:r>
      <w:r w:rsidR="001F2563">
        <w:rPr>
          <w:sz w:val="24"/>
          <w:szCs w:val="24"/>
        </w:rPr>
        <w:t xml:space="preserve"> </w:t>
      </w:r>
      <w:r w:rsidR="00E51CE5">
        <w:rPr>
          <w:sz w:val="24"/>
          <w:szCs w:val="24"/>
        </w:rPr>
        <w:t xml:space="preserve"> </w:t>
      </w:r>
    </w:p>
    <w:p w14:paraId="37853787" w14:textId="50B34EA2" w:rsidR="002620BD" w:rsidRDefault="0018291B" w:rsidP="002620BD">
      <w:pPr>
        <w:rPr>
          <w:sz w:val="24"/>
          <w:szCs w:val="24"/>
        </w:rPr>
      </w:pPr>
      <w:r>
        <w:rPr>
          <w:sz w:val="24"/>
          <w:szCs w:val="24"/>
        </w:rPr>
        <w:t>As was common practice, captives were tightly packed onto slave ships, but the 459 people carried by the Zong on this voyage was way in excess of the 193 Africans typically carried by ships of a similar size.</w:t>
      </w:r>
      <w:r>
        <w:rPr>
          <w:rStyle w:val="FootnoteReference"/>
          <w:sz w:val="24"/>
          <w:szCs w:val="24"/>
        </w:rPr>
        <w:footnoteReference w:id="6"/>
      </w:r>
      <w:r>
        <w:rPr>
          <w:sz w:val="24"/>
          <w:szCs w:val="24"/>
        </w:rPr>
        <w:t xml:space="preserve"> </w:t>
      </w:r>
      <w:r w:rsidR="003920E8">
        <w:rPr>
          <w:sz w:val="24"/>
          <w:szCs w:val="24"/>
        </w:rPr>
        <w:t>On most slave vessels, m</w:t>
      </w:r>
      <w:r>
        <w:rPr>
          <w:sz w:val="24"/>
          <w:szCs w:val="24"/>
        </w:rPr>
        <w:t xml:space="preserve">en were secured by leg irons and were crammed together below deck while women and children were kept in separate parts of the ship exposing them to </w:t>
      </w:r>
      <w:r w:rsidR="009E33F7">
        <w:rPr>
          <w:sz w:val="24"/>
          <w:szCs w:val="24"/>
        </w:rPr>
        <w:t xml:space="preserve">both </w:t>
      </w:r>
      <w:r>
        <w:rPr>
          <w:sz w:val="24"/>
          <w:szCs w:val="24"/>
        </w:rPr>
        <w:t>physical and sexual abuse by the crew.</w:t>
      </w:r>
      <w:r>
        <w:rPr>
          <w:rStyle w:val="FootnoteReference"/>
          <w:sz w:val="24"/>
          <w:szCs w:val="24"/>
        </w:rPr>
        <w:footnoteReference w:id="7"/>
      </w:r>
      <w:r w:rsidRPr="0018291B">
        <w:rPr>
          <w:sz w:val="24"/>
          <w:szCs w:val="24"/>
        </w:rPr>
        <w:t xml:space="preserve"> </w:t>
      </w:r>
      <w:r w:rsidR="002620BD">
        <w:rPr>
          <w:sz w:val="24"/>
          <w:szCs w:val="24"/>
        </w:rPr>
        <w:t xml:space="preserve">The Atlantic slave trade </w:t>
      </w:r>
      <w:r w:rsidR="002620BD">
        <w:rPr>
          <w:sz w:val="24"/>
          <w:szCs w:val="24"/>
        </w:rPr>
        <w:lastRenderedPageBreak/>
        <w:t>was responsible for a large percentage of the deaths associated with long-distance global migration.</w:t>
      </w:r>
      <w:r w:rsidR="002620BD">
        <w:rPr>
          <w:rStyle w:val="FootnoteReference"/>
          <w:sz w:val="24"/>
          <w:szCs w:val="24"/>
        </w:rPr>
        <w:footnoteReference w:id="8"/>
      </w:r>
      <w:r w:rsidR="002620BD">
        <w:rPr>
          <w:sz w:val="24"/>
          <w:szCs w:val="24"/>
        </w:rPr>
        <w:t xml:space="preserve"> Many of the enslaved populations </w:t>
      </w:r>
      <w:r w:rsidR="009E33F7">
        <w:rPr>
          <w:sz w:val="24"/>
          <w:szCs w:val="24"/>
        </w:rPr>
        <w:t>suffered from vitamin deficiencies exace</w:t>
      </w:r>
      <w:r w:rsidR="002A45CF">
        <w:rPr>
          <w:sz w:val="24"/>
          <w:szCs w:val="24"/>
        </w:rPr>
        <w:t xml:space="preserve">rbated by a restricted diet, leaving them </w:t>
      </w:r>
      <w:r w:rsidR="009E33F7">
        <w:rPr>
          <w:sz w:val="24"/>
          <w:szCs w:val="24"/>
        </w:rPr>
        <w:t xml:space="preserve">susceptible to </w:t>
      </w:r>
      <w:r w:rsidR="002620BD">
        <w:rPr>
          <w:sz w:val="24"/>
          <w:szCs w:val="24"/>
        </w:rPr>
        <w:t>diarrhoea, dysentery</w:t>
      </w:r>
      <w:r w:rsidR="002A45CF">
        <w:rPr>
          <w:sz w:val="24"/>
          <w:szCs w:val="24"/>
        </w:rPr>
        <w:t xml:space="preserve"> and </w:t>
      </w:r>
      <w:r w:rsidR="002620BD">
        <w:rPr>
          <w:sz w:val="24"/>
          <w:szCs w:val="24"/>
        </w:rPr>
        <w:t xml:space="preserve">whooping cough, </w:t>
      </w:r>
      <w:r w:rsidR="002A45CF">
        <w:rPr>
          <w:sz w:val="24"/>
          <w:szCs w:val="24"/>
        </w:rPr>
        <w:t>not to mention other contagious diseases including small pox</w:t>
      </w:r>
      <w:r w:rsidR="003920E8">
        <w:rPr>
          <w:sz w:val="24"/>
          <w:szCs w:val="24"/>
        </w:rPr>
        <w:t>.</w:t>
      </w:r>
      <w:r w:rsidR="002620BD">
        <w:rPr>
          <w:rStyle w:val="FootnoteReference"/>
          <w:sz w:val="24"/>
          <w:szCs w:val="24"/>
        </w:rPr>
        <w:footnoteReference w:id="9"/>
      </w:r>
      <w:r w:rsidR="002620BD">
        <w:rPr>
          <w:sz w:val="24"/>
          <w:szCs w:val="24"/>
        </w:rPr>
        <w:t xml:space="preserve"> </w:t>
      </w:r>
    </w:p>
    <w:p w14:paraId="57461BD5" w14:textId="07AADBBA" w:rsidR="0018291B" w:rsidRDefault="002620BD" w:rsidP="0018291B">
      <w:pPr>
        <w:rPr>
          <w:sz w:val="24"/>
          <w:szCs w:val="24"/>
        </w:rPr>
      </w:pPr>
      <w:r>
        <w:rPr>
          <w:sz w:val="24"/>
          <w:szCs w:val="24"/>
        </w:rPr>
        <w:t>First-hand accounts of the enslaved are rare but t</w:t>
      </w:r>
      <w:r w:rsidR="0018291B">
        <w:rPr>
          <w:sz w:val="24"/>
          <w:szCs w:val="24"/>
        </w:rPr>
        <w:t xml:space="preserve">he testimonies of Olaudah Equiano and Aina both </w:t>
      </w:r>
      <w:r>
        <w:rPr>
          <w:sz w:val="24"/>
          <w:szCs w:val="24"/>
        </w:rPr>
        <w:t>captured</w:t>
      </w:r>
      <w:r w:rsidR="0018291B">
        <w:rPr>
          <w:sz w:val="24"/>
          <w:szCs w:val="24"/>
        </w:rPr>
        <w:t xml:space="preserve"> as children, exposed the reality of the slave </w:t>
      </w:r>
      <w:r w:rsidR="003920E8">
        <w:rPr>
          <w:sz w:val="24"/>
          <w:szCs w:val="24"/>
        </w:rPr>
        <w:t>industry</w:t>
      </w:r>
      <w:r w:rsidR="0018291B">
        <w:rPr>
          <w:sz w:val="24"/>
          <w:szCs w:val="24"/>
        </w:rPr>
        <w:t>. Equiano recounted the ‘loathsome stench’ when forced into the hold of a slave ship and his shock at hearing ‘the groans of the dying’ and the ‘shrieks of the women’.</w:t>
      </w:r>
      <w:r w:rsidR="0018291B">
        <w:rPr>
          <w:rStyle w:val="FootnoteReference"/>
          <w:sz w:val="24"/>
          <w:szCs w:val="24"/>
        </w:rPr>
        <w:footnoteReference w:id="10"/>
      </w:r>
      <w:r w:rsidR="0018291B">
        <w:rPr>
          <w:sz w:val="24"/>
          <w:szCs w:val="24"/>
        </w:rPr>
        <w:t xml:space="preserve"> Aina meanwhile described how a fellow slave was flogged by the ship’s crew who ‘beat him unmercifully’ then set the ship’s dog on him</w:t>
      </w:r>
      <w:r w:rsidR="002A45CF">
        <w:rPr>
          <w:sz w:val="24"/>
          <w:szCs w:val="24"/>
        </w:rPr>
        <w:t xml:space="preserve">; </w:t>
      </w:r>
      <w:r w:rsidR="0018291B">
        <w:rPr>
          <w:sz w:val="24"/>
          <w:szCs w:val="24"/>
        </w:rPr>
        <w:t xml:space="preserve">his ‘mangled carcass </w:t>
      </w:r>
      <w:r w:rsidR="002A45CF">
        <w:rPr>
          <w:sz w:val="24"/>
          <w:szCs w:val="24"/>
        </w:rPr>
        <w:t xml:space="preserve">(was) </w:t>
      </w:r>
      <w:r w:rsidR="0018291B">
        <w:rPr>
          <w:sz w:val="24"/>
          <w:szCs w:val="24"/>
        </w:rPr>
        <w:t>later thrown overboard’.</w:t>
      </w:r>
      <w:r w:rsidR="0018291B">
        <w:rPr>
          <w:rStyle w:val="FootnoteReference"/>
          <w:sz w:val="24"/>
          <w:szCs w:val="24"/>
        </w:rPr>
        <w:footnoteReference w:id="11"/>
      </w:r>
      <w:r w:rsidR="0018291B">
        <w:rPr>
          <w:sz w:val="24"/>
          <w:szCs w:val="24"/>
        </w:rPr>
        <w:t xml:space="preserve">As with all autobiographical accounts, caution needs to be exercised in uncritically accepting the narratives at face value. </w:t>
      </w:r>
      <w:r w:rsidR="0018291B" w:rsidRPr="005F41B9">
        <w:rPr>
          <w:sz w:val="24"/>
          <w:szCs w:val="24"/>
        </w:rPr>
        <w:t>While providing a rich source of detail</w:t>
      </w:r>
      <w:r w:rsidR="0018291B">
        <w:rPr>
          <w:sz w:val="24"/>
          <w:szCs w:val="24"/>
        </w:rPr>
        <w:t>,</w:t>
      </w:r>
      <w:r w:rsidR="0018291B" w:rsidRPr="005F41B9">
        <w:rPr>
          <w:sz w:val="24"/>
          <w:szCs w:val="24"/>
        </w:rPr>
        <w:t xml:space="preserve"> </w:t>
      </w:r>
      <w:r w:rsidR="0018291B">
        <w:rPr>
          <w:sz w:val="24"/>
          <w:szCs w:val="24"/>
        </w:rPr>
        <w:t xml:space="preserve">all autobiographical accounts </w:t>
      </w:r>
      <w:r w:rsidR="0018291B" w:rsidRPr="005F41B9">
        <w:rPr>
          <w:sz w:val="24"/>
          <w:szCs w:val="24"/>
        </w:rPr>
        <w:t>are selective to some degree and facts can become distorted over time.</w:t>
      </w:r>
      <w:r w:rsidR="0018291B" w:rsidRPr="005F41B9">
        <w:rPr>
          <w:rStyle w:val="FootnoteReference"/>
          <w:sz w:val="24"/>
          <w:szCs w:val="24"/>
        </w:rPr>
        <w:footnoteReference w:id="12"/>
      </w:r>
      <w:r w:rsidR="0018291B">
        <w:rPr>
          <w:sz w:val="24"/>
          <w:szCs w:val="24"/>
        </w:rPr>
        <w:t xml:space="preserve"> </w:t>
      </w:r>
      <w:bookmarkStart w:id="3" w:name="_Hlk152085474"/>
    </w:p>
    <w:p w14:paraId="2441D4A8" w14:textId="2153535E" w:rsidR="008B2F4A" w:rsidRDefault="008B2F4A" w:rsidP="008B2F4A">
      <w:pPr>
        <w:rPr>
          <w:sz w:val="24"/>
          <w:szCs w:val="24"/>
        </w:rPr>
      </w:pPr>
      <w:r>
        <w:rPr>
          <w:sz w:val="24"/>
          <w:szCs w:val="24"/>
        </w:rPr>
        <w:t>Further evidence of the horrors of the slave-trade was provided by Thomas Nelson, a doctor employed by the Royal Navy. In an attempt by Britain to end the international slave trade, hundreds of ships were commandeered by the Royal Navy and the enslaved relocated to safe colonies. It was Nelson’s role to inspect the condition of the captives and to document their physical condition. His account of 1841, written up at each visit makes unsettling reading. On one ship he found 300 Africans on deck and documented “the sickening smell of the suppurative stage of small pox (and) dysenteric discharge”. Further, “wretched beings lay stretched, many in the last stage of exhaustion and all covered with pustules of small pox”.</w:t>
      </w:r>
      <w:r>
        <w:rPr>
          <w:rStyle w:val="FootnoteReference"/>
          <w:sz w:val="24"/>
          <w:szCs w:val="24"/>
        </w:rPr>
        <w:footnoteReference w:id="13"/>
      </w:r>
    </w:p>
    <w:p w14:paraId="511BB631" w14:textId="40BC1D53" w:rsidR="00BC5D47" w:rsidRDefault="003920E8" w:rsidP="00BC5D47">
      <w:pPr>
        <w:rPr>
          <w:sz w:val="24"/>
          <w:szCs w:val="24"/>
        </w:rPr>
      </w:pPr>
      <w:r>
        <w:rPr>
          <w:sz w:val="24"/>
          <w:szCs w:val="24"/>
        </w:rPr>
        <w:t>T</w:t>
      </w:r>
      <w:r w:rsidR="008B2F4A">
        <w:rPr>
          <w:sz w:val="24"/>
          <w:szCs w:val="24"/>
        </w:rPr>
        <w:t xml:space="preserve">he log book of the Unity captained by Robert Norris </w:t>
      </w:r>
      <w:r>
        <w:rPr>
          <w:sz w:val="24"/>
          <w:szCs w:val="24"/>
        </w:rPr>
        <w:t xml:space="preserve">also </w:t>
      </w:r>
      <w:r w:rsidR="008B2F4A">
        <w:rPr>
          <w:sz w:val="24"/>
          <w:szCs w:val="24"/>
        </w:rPr>
        <w:t xml:space="preserve">provides a stark account of conditions on board slave ships including the deaths of enslaved Africans and </w:t>
      </w:r>
      <w:r w:rsidR="002620BD">
        <w:rPr>
          <w:sz w:val="24"/>
          <w:szCs w:val="24"/>
        </w:rPr>
        <w:t>multiple attempted rebellions</w:t>
      </w:r>
      <w:r w:rsidR="008B2F4A">
        <w:rPr>
          <w:sz w:val="24"/>
          <w:szCs w:val="24"/>
        </w:rPr>
        <w:t>. An entry for 6/6/1770 states that</w:t>
      </w:r>
      <w:r w:rsidR="002A45CF">
        <w:rPr>
          <w:sz w:val="24"/>
          <w:szCs w:val="24"/>
        </w:rPr>
        <w:t>,</w:t>
      </w:r>
      <w:r w:rsidR="008B2F4A">
        <w:rPr>
          <w:sz w:val="24"/>
          <w:szCs w:val="24"/>
        </w:rPr>
        <w:t xml:space="preserve"> “The slaves made an insurrection which was soon quelled with the loss of two women”. </w:t>
      </w:r>
      <w:r w:rsidR="002620BD">
        <w:rPr>
          <w:sz w:val="24"/>
          <w:szCs w:val="24"/>
        </w:rPr>
        <w:t>A further incident on</w:t>
      </w:r>
      <w:r w:rsidR="008B2F4A">
        <w:rPr>
          <w:sz w:val="24"/>
          <w:szCs w:val="24"/>
        </w:rPr>
        <w:t xml:space="preserve"> 27/6/70 </w:t>
      </w:r>
      <w:r w:rsidR="002620BD">
        <w:rPr>
          <w:sz w:val="24"/>
          <w:szCs w:val="24"/>
        </w:rPr>
        <w:t xml:space="preserve">records that </w:t>
      </w:r>
      <w:r w:rsidR="008B2F4A">
        <w:rPr>
          <w:sz w:val="24"/>
          <w:szCs w:val="24"/>
        </w:rPr>
        <w:t>the captain observed of the captives that “Their obstinacy put me under the necessity of shooting the ring leader”.</w:t>
      </w:r>
      <w:r w:rsidR="008B2F4A">
        <w:rPr>
          <w:rStyle w:val="FootnoteReference"/>
          <w:sz w:val="24"/>
          <w:szCs w:val="24"/>
        </w:rPr>
        <w:footnoteReference w:id="14"/>
      </w:r>
      <w:bookmarkEnd w:id="3"/>
    </w:p>
    <w:p w14:paraId="42C17FD0" w14:textId="06E54219" w:rsidR="00B6344B" w:rsidRDefault="00BC5D47" w:rsidP="00B6344B">
      <w:pPr>
        <w:rPr>
          <w:sz w:val="24"/>
          <w:szCs w:val="24"/>
        </w:rPr>
      </w:pPr>
      <w:r>
        <w:rPr>
          <w:sz w:val="24"/>
          <w:szCs w:val="24"/>
        </w:rPr>
        <w:t>The Zong came to represent the ‘depravity and heartless violence of the entire slave system’ in an incident that was widely reported in the press and which became the catalyst for the abolition movement.</w:t>
      </w:r>
      <w:r>
        <w:rPr>
          <w:rStyle w:val="FootnoteReference"/>
          <w:sz w:val="24"/>
          <w:szCs w:val="24"/>
        </w:rPr>
        <w:footnoteReference w:id="15"/>
      </w:r>
      <w:r w:rsidRPr="00BC5D47">
        <w:rPr>
          <w:sz w:val="24"/>
          <w:szCs w:val="24"/>
        </w:rPr>
        <w:t xml:space="preserve"> </w:t>
      </w:r>
      <w:r>
        <w:rPr>
          <w:sz w:val="24"/>
          <w:szCs w:val="24"/>
        </w:rPr>
        <w:t xml:space="preserve">To conserve the dwindling supply of drinking water on the </w:t>
      </w:r>
      <w:r w:rsidR="00B6344B">
        <w:rPr>
          <w:sz w:val="24"/>
          <w:szCs w:val="24"/>
        </w:rPr>
        <w:t>ship</w:t>
      </w:r>
      <w:r>
        <w:rPr>
          <w:sz w:val="24"/>
          <w:szCs w:val="24"/>
        </w:rPr>
        <w:t>, it was reported that captain Collingwood ordered his crew to throw overboard around 132 captives.</w:t>
      </w:r>
      <w:r w:rsidR="00B6344B">
        <w:rPr>
          <w:sz w:val="24"/>
          <w:szCs w:val="24"/>
        </w:rPr>
        <w:t xml:space="preserve"> </w:t>
      </w:r>
      <w:r w:rsidR="002A45CF">
        <w:rPr>
          <w:sz w:val="24"/>
          <w:szCs w:val="24"/>
        </w:rPr>
        <w:t xml:space="preserve">It is not documented, but it likely that these constituted </w:t>
      </w:r>
      <w:r w:rsidR="00CC0F1A">
        <w:rPr>
          <w:sz w:val="24"/>
          <w:szCs w:val="24"/>
        </w:rPr>
        <w:t>Africans</w:t>
      </w:r>
      <w:r w:rsidR="002A45CF">
        <w:rPr>
          <w:sz w:val="24"/>
          <w:szCs w:val="24"/>
        </w:rPr>
        <w:t xml:space="preserve"> who were </w:t>
      </w:r>
      <w:r w:rsidR="002A45CF">
        <w:rPr>
          <w:sz w:val="24"/>
          <w:szCs w:val="24"/>
        </w:rPr>
        <w:lastRenderedPageBreak/>
        <w:t>disposable due to sickness or impending death</w:t>
      </w:r>
      <w:r w:rsidR="00CC0F1A">
        <w:rPr>
          <w:sz w:val="24"/>
          <w:szCs w:val="24"/>
        </w:rPr>
        <w:t>. Sh</w:t>
      </w:r>
      <w:r w:rsidR="002A45CF">
        <w:rPr>
          <w:sz w:val="24"/>
          <w:szCs w:val="24"/>
        </w:rPr>
        <w:t xml:space="preserve">ips’ captains and surgeons had a vested interest in </w:t>
      </w:r>
      <w:r w:rsidR="00CC0F1A">
        <w:rPr>
          <w:sz w:val="24"/>
          <w:szCs w:val="24"/>
        </w:rPr>
        <w:t xml:space="preserve">keeping their captives alive as it was </w:t>
      </w:r>
      <w:r w:rsidR="002A45CF">
        <w:rPr>
          <w:sz w:val="24"/>
          <w:szCs w:val="24"/>
        </w:rPr>
        <w:t xml:space="preserve">common practice to pay </w:t>
      </w:r>
      <w:r w:rsidR="00CC0F1A">
        <w:rPr>
          <w:sz w:val="24"/>
          <w:szCs w:val="24"/>
        </w:rPr>
        <w:t xml:space="preserve">them </w:t>
      </w:r>
      <w:r w:rsidR="002A45CF">
        <w:rPr>
          <w:sz w:val="24"/>
          <w:szCs w:val="24"/>
        </w:rPr>
        <w:t xml:space="preserve">‘head money’ to </w:t>
      </w:r>
      <w:r w:rsidR="00CC0F1A">
        <w:rPr>
          <w:sz w:val="24"/>
          <w:szCs w:val="24"/>
        </w:rPr>
        <w:t>safeguard their consignment.</w:t>
      </w:r>
      <w:r w:rsidR="00CC0F1A">
        <w:rPr>
          <w:rStyle w:val="FootnoteReference"/>
          <w:sz w:val="24"/>
          <w:szCs w:val="24"/>
        </w:rPr>
        <w:footnoteReference w:id="16"/>
      </w:r>
      <w:r w:rsidR="002A45CF">
        <w:rPr>
          <w:sz w:val="24"/>
          <w:szCs w:val="24"/>
        </w:rPr>
        <w:t xml:space="preserve"> </w:t>
      </w:r>
      <w:r w:rsidR="00CC0F1A">
        <w:rPr>
          <w:sz w:val="24"/>
          <w:szCs w:val="24"/>
        </w:rPr>
        <w:t xml:space="preserve">Moreover, it was assumed by the crew </w:t>
      </w:r>
      <w:r w:rsidR="0018291B">
        <w:rPr>
          <w:sz w:val="24"/>
          <w:szCs w:val="24"/>
        </w:rPr>
        <w:t xml:space="preserve">that the owners </w:t>
      </w:r>
      <w:r w:rsidR="00B6344B">
        <w:rPr>
          <w:sz w:val="24"/>
          <w:szCs w:val="24"/>
        </w:rPr>
        <w:t xml:space="preserve">would </w:t>
      </w:r>
      <w:r w:rsidR="0018291B">
        <w:rPr>
          <w:sz w:val="24"/>
          <w:szCs w:val="24"/>
        </w:rPr>
        <w:t xml:space="preserve">be </w:t>
      </w:r>
      <w:r w:rsidR="00B6344B">
        <w:rPr>
          <w:sz w:val="24"/>
          <w:szCs w:val="24"/>
        </w:rPr>
        <w:t>entitle</w:t>
      </w:r>
      <w:r w:rsidR="0018291B">
        <w:rPr>
          <w:sz w:val="24"/>
          <w:szCs w:val="24"/>
        </w:rPr>
        <w:t>d</w:t>
      </w:r>
      <w:r w:rsidR="00B6344B">
        <w:rPr>
          <w:sz w:val="24"/>
          <w:szCs w:val="24"/>
        </w:rPr>
        <w:t xml:space="preserve"> to substantial </w:t>
      </w:r>
      <w:r w:rsidR="0018291B">
        <w:rPr>
          <w:sz w:val="24"/>
          <w:szCs w:val="24"/>
        </w:rPr>
        <w:t xml:space="preserve">compensation </w:t>
      </w:r>
      <w:r w:rsidR="00B6344B">
        <w:rPr>
          <w:sz w:val="24"/>
          <w:szCs w:val="24"/>
        </w:rPr>
        <w:t xml:space="preserve">as the captives were </w:t>
      </w:r>
      <w:r w:rsidR="0018291B">
        <w:rPr>
          <w:sz w:val="24"/>
          <w:szCs w:val="24"/>
        </w:rPr>
        <w:t xml:space="preserve">classified as </w:t>
      </w:r>
      <w:r w:rsidR="00CE1120">
        <w:rPr>
          <w:sz w:val="24"/>
          <w:szCs w:val="24"/>
        </w:rPr>
        <w:t>‘</w:t>
      </w:r>
      <w:r w:rsidR="0018291B">
        <w:rPr>
          <w:sz w:val="24"/>
          <w:szCs w:val="24"/>
        </w:rPr>
        <w:t>cargo</w:t>
      </w:r>
      <w:r w:rsidR="00CE1120">
        <w:rPr>
          <w:sz w:val="24"/>
          <w:szCs w:val="24"/>
        </w:rPr>
        <w:t>’</w:t>
      </w:r>
      <w:r w:rsidR="0018291B">
        <w:rPr>
          <w:sz w:val="24"/>
          <w:szCs w:val="24"/>
        </w:rPr>
        <w:t xml:space="preserve"> for insurance purposes.</w:t>
      </w:r>
      <w:r w:rsidR="00B6344B">
        <w:rPr>
          <w:rStyle w:val="FootnoteReference"/>
          <w:sz w:val="24"/>
          <w:szCs w:val="24"/>
        </w:rPr>
        <w:footnoteReference w:id="17"/>
      </w:r>
      <w:r w:rsidR="00B6344B">
        <w:rPr>
          <w:sz w:val="24"/>
          <w:szCs w:val="24"/>
        </w:rPr>
        <w:t xml:space="preserve"> </w:t>
      </w:r>
      <w:r w:rsidR="00B6344B">
        <w:rPr>
          <w:rStyle w:val="FootnoteReference"/>
          <w:sz w:val="24"/>
          <w:szCs w:val="24"/>
        </w:rPr>
        <w:footnoteReference w:id="18"/>
      </w:r>
      <w:r w:rsidR="00B6344B">
        <w:rPr>
          <w:sz w:val="24"/>
          <w:szCs w:val="24"/>
        </w:rPr>
        <w:t xml:space="preserve"> The owners claim</w:t>
      </w:r>
      <w:r w:rsidR="0018291B">
        <w:rPr>
          <w:sz w:val="24"/>
          <w:szCs w:val="24"/>
        </w:rPr>
        <w:t xml:space="preserve"> </w:t>
      </w:r>
      <w:r w:rsidR="00B6344B">
        <w:rPr>
          <w:sz w:val="24"/>
          <w:szCs w:val="24"/>
        </w:rPr>
        <w:t>that the slaves had been lost by ‘absolute necessity’</w:t>
      </w:r>
      <w:r w:rsidR="00CE1120">
        <w:rPr>
          <w:sz w:val="24"/>
          <w:szCs w:val="24"/>
        </w:rPr>
        <w:t>,</w:t>
      </w:r>
      <w:r w:rsidR="00B6344B">
        <w:rPr>
          <w:sz w:val="24"/>
          <w:szCs w:val="24"/>
        </w:rPr>
        <w:t xml:space="preserve"> </w:t>
      </w:r>
      <w:r w:rsidR="00CE1120">
        <w:rPr>
          <w:sz w:val="24"/>
          <w:szCs w:val="24"/>
        </w:rPr>
        <w:t>is a chilling reminder of the callousness of those involved in the trade</w:t>
      </w:r>
      <w:r w:rsidR="00CC0F1A">
        <w:rPr>
          <w:sz w:val="24"/>
          <w:szCs w:val="24"/>
        </w:rPr>
        <w:t xml:space="preserve"> though in the end the insurance company refused to settle their claim.</w:t>
      </w:r>
      <w:r w:rsidR="00B6344B">
        <w:rPr>
          <w:rStyle w:val="FootnoteReference"/>
          <w:sz w:val="24"/>
          <w:szCs w:val="24"/>
        </w:rPr>
        <w:footnoteReference w:id="19"/>
      </w:r>
    </w:p>
    <w:p w14:paraId="46D7D882" w14:textId="047CDE25" w:rsidR="00BF3251" w:rsidRDefault="004B5968" w:rsidP="00BF3251">
      <w:pPr>
        <w:rPr>
          <w:sz w:val="24"/>
          <w:szCs w:val="24"/>
        </w:rPr>
      </w:pPr>
      <w:r>
        <w:rPr>
          <w:sz w:val="24"/>
          <w:szCs w:val="24"/>
        </w:rPr>
        <w:t>This assignment has attempted to provide a brief overview of the Zong’s tragic history and how it was indicative of the slave-trade as a whole</w:t>
      </w:r>
      <w:r w:rsidR="00056573">
        <w:rPr>
          <w:sz w:val="24"/>
          <w:szCs w:val="24"/>
        </w:rPr>
        <w:t xml:space="preserve">. </w:t>
      </w:r>
      <w:r w:rsidR="00A93A74">
        <w:rPr>
          <w:sz w:val="24"/>
          <w:szCs w:val="24"/>
        </w:rPr>
        <w:t xml:space="preserve">A more in-depth account could have included </w:t>
      </w:r>
      <w:r w:rsidR="00BF3251">
        <w:rPr>
          <w:sz w:val="24"/>
          <w:szCs w:val="24"/>
        </w:rPr>
        <w:t>a</w:t>
      </w:r>
      <w:r w:rsidR="00B43BF8">
        <w:rPr>
          <w:sz w:val="24"/>
          <w:szCs w:val="24"/>
        </w:rPr>
        <w:t xml:space="preserve"> consideration of the discourse around race and the slave-trade and an examination </w:t>
      </w:r>
      <w:r w:rsidR="00BF3251">
        <w:rPr>
          <w:sz w:val="24"/>
          <w:szCs w:val="24"/>
        </w:rPr>
        <w:t xml:space="preserve">of social, political and economic factors associated with the slave </w:t>
      </w:r>
      <w:r w:rsidR="00B43BF8">
        <w:rPr>
          <w:sz w:val="24"/>
          <w:szCs w:val="24"/>
        </w:rPr>
        <w:t xml:space="preserve">industry </w:t>
      </w:r>
      <w:r w:rsidR="00BF3251">
        <w:rPr>
          <w:sz w:val="24"/>
          <w:szCs w:val="24"/>
        </w:rPr>
        <w:t xml:space="preserve">particularly in Britain. </w:t>
      </w:r>
    </w:p>
    <w:p w14:paraId="2A438C99" w14:textId="525CF8C0" w:rsidR="00056573" w:rsidRDefault="00056573">
      <w:pPr>
        <w:rPr>
          <w:sz w:val="24"/>
          <w:szCs w:val="24"/>
        </w:rPr>
      </w:pPr>
      <w:r>
        <w:rPr>
          <w:sz w:val="24"/>
          <w:szCs w:val="24"/>
        </w:rPr>
        <w:br w:type="page"/>
      </w:r>
    </w:p>
    <w:p w14:paraId="46BAE70A" w14:textId="492CBFEF" w:rsidR="00056573" w:rsidRDefault="00056573" w:rsidP="00B6344B">
      <w:pPr>
        <w:rPr>
          <w:b/>
          <w:bCs/>
          <w:sz w:val="24"/>
          <w:szCs w:val="24"/>
        </w:rPr>
      </w:pPr>
      <w:r w:rsidRPr="00056573">
        <w:rPr>
          <w:b/>
          <w:bCs/>
          <w:sz w:val="24"/>
          <w:szCs w:val="24"/>
        </w:rPr>
        <w:lastRenderedPageBreak/>
        <w:t>Bibliography</w:t>
      </w:r>
    </w:p>
    <w:p w14:paraId="0753909D" w14:textId="77777777" w:rsidR="00C91888" w:rsidRPr="00A174C5" w:rsidRDefault="00C91888" w:rsidP="00A174C5">
      <w:pPr>
        <w:pStyle w:val="FootnoteText"/>
        <w:rPr>
          <w:sz w:val="24"/>
          <w:szCs w:val="24"/>
        </w:rPr>
      </w:pPr>
    </w:p>
    <w:p w14:paraId="4D6F5FA7" w14:textId="58972E60" w:rsidR="00BF3251" w:rsidRDefault="00C91888" w:rsidP="00C91888">
      <w:pPr>
        <w:pStyle w:val="FootnoteText"/>
        <w:spacing w:line="276" w:lineRule="auto"/>
        <w:rPr>
          <w:sz w:val="24"/>
          <w:szCs w:val="24"/>
        </w:rPr>
      </w:pPr>
      <w:r w:rsidRPr="00A174C5">
        <w:rPr>
          <w:sz w:val="24"/>
          <w:szCs w:val="24"/>
        </w:rPr>
        <w:t xml:space="preserve">Barcia, </w:t>
      </w:r>
      <w:r>
        <w:rPr>
          <w:sz w:val="24"/>
          <w:szCs w:val="24"/>
        </w:rPr>
        <w:t xml:space="preserve">Manuel, </w:t>
      </w:r>
      <w:r w:rsidRPr="00A174C5">
        <w:rPr>
          <w:i/>
          <w:iCs/>
          <w:sz w:val="24"/>
          <w:szCs w:val="24"/>
        </w:rPr>
        <w:t xml:space="preserve">The Yellow Demon of Fever: Fighting Disease in the Nineteenth Century Transatlantic Slave Trade, </w:t>
      </w:r>
      <w:r w:rsidRPr="00A174C5">
        <w:rPr>
          <w:sz w:val="24"/>
          <w:szCs w:val="24"/>
        </w:rPr>
        <w:t>(Yale: University Press, 2020)</w:t>
      </w:r>
      <w:r>
        <w:rPr>
          <w:sz w:val="24"/>
          <w:szCs w:val="24"/>
        </w:rPr>
        <w:t>.</w:t>
      </w:r>
    </w:p>
    <w:p w14:paraId="51607457" w14:textId="77777777" w:rsidR="00C91888" w:rsidRPr="00A174C5" w:rsidRDefault="00C91888" w:rsidP="00C91888">
      <w:pPr>
        <w:pStyle w:val="FootnoteText"/>
        <w:spacing w:line="480" w:lineRule="auto"/>
        <w:rPr>
          <w:sz w:val="24"/>
          <w:szCs w:val="24"/>
        </w:rPr>
      </w:pPr>
    </w:p>
    <w:p w14:paraId="058E9AE6" w14:textId="41AA2914" w:rsidR="00C91888" w:rsidRDefault="00C91888" w:rsidP="00C91888">
      <w:pPr>
        <w:pStyle w:val="FootnoteText"/>
        <w:spacing w:line="276" w:lineRule="auto"/>
        <w:rPr>
          <w:sz w:val="24"/>
          <w:szCs w:val="24"/>
        </w:rPr>
      </w:pPr>
      <w:r w:rsidRPr="00A174C5">
        <w:rPr>
          <w:sz w:val="24"/>
          <w:szCs w:val="24"/>
        </w:rPr>
        <w:t>Equiano,</w:t>
      </w:r>
      <w:r w:rsidRPr="00A174C5">
        <w:rPr>
          <w:i/>
          <w:iCs/>
          <w:sz w:val="24"/>
          <w:szCs w:val="24"/>
        </w:rPr>
        <w:t xml:space="preserve"> </w:t>
      </w:r>
      <w:r w:rsidR="00BF3251">
        <w:rPr>
          <w:sz w:val="24"/>
          <w:szCs w:val="24"/>
        </w:rPr>
        <w:t xml:space="preserve">Olaudah, </w:t>
      </w:r>
      <w:r w:rsidR="00DB4F77">
        <w:rPr>
          <w:sz w:val="24"/>
          <w:szCs w:val="24"/>
        </w:rPr>
        <w:t>‘</w:t>
      </w:r>
      <w:r w:rsidRPr="00DB4F77">
        <w:rPr>
          <w:sz w:val="24"/>
          <w:szCs w:val="24"/>
        </w:rPr>
        <w:t>The Interesting Narrative of the Life of Olaudah Equiano, or Gustavus Vassa, the African</w:t>
      </w:r>
      <w:r w:rsidR="00DB4F77">
        <w:rPr>
          <w:sz w:val="24"/>
          <w:szCs w:val="24"/>
        </w:rPr>
        <w:t>’</w:t>
      </w:r>
      <w:r w:rsidRPr="00A174C5">
        <w:rPr>
          <w:i/>
          <w:iCs/>
          <w:sz w:val="24"/>
          <w:szCs w:val="24"/>
        </w:rPr>
        <w:t>,</w:t>
      </w:r>
      <w:r w:rsidRPr="00A174C5">
        <w:rPr>
          <w:sz w:val="24"/>
          <w:szCs w:val="24"/>
        </w:rPr>
        <w:t xml:space="preserve"> 2018, Digireads.com Publishing</w:t>
      </w:r>
      <w:r>
        <w:rPr>
          <w:sz w:val="24"/>
          <w:szCs w:val="24"/>
        </w:rPr>
        <w:t>.</w:t>
      </w:r>
    </w:p>
    <w:p w14:paraId="7CEEA487" w14:textId="77777777" w:rsidR="00DB4F77" w:rsidRDefault="00DB4F77" w:rsidP="00C91888">
      <w:pPr>
        <w:pStyle w:val="FootnoteText"/>
        <w:spacing w:line="276" w:lineRule="auto"/>
        <w:rPr>
          <w:sz w:val="24"/>
          <w:szCs w:val="24"/>
        </w:rPr>
      </w:pPr>
    </w:p>
    <w:p w14:paraId="0854EEC4" w14:textId="370DC0A5" w:rsidR="00C91888" w:rsidRDefault="00DB4F77" w:rsidP="00DB4F77">
      <w:pPr>
        <w:pStyle w:val="FootnoteText"/>
        <w:spacing w:line="276" w:lineRule="auto"/>
        <w:rPr>
          <w:sz w:val="24"/>
          <w:szCs w:val="24"/>
        </w:rPr>
      </w:pPr>
      <w:r>
        <w:rPr>
          <w:sz w:val="24"/>
          <w:szCs w:val="24"/>
        </w:rPr>
        <w:t xml:space="preserve">Hall, Catherine, “The racist ideas of slave owners are still with us today”, </w:t>
      </w:r>
      <w:r>
        <w:rPr>
          <w:i/>
          <w:iCs/>
          <w:sz w:val="24"/>
          <w:szCs w:val="24"/>
        </w:rPr>
        <w:t xml:space="preserve">The Guardian, </w:t>
      </w:r>
      <w:r>
        <w:rPr>
          <w:sz w:val="24"/>
          <w:szCs w:val="24"/>
        </w:rPr>
        <w:t>26 September 2016.</w:t>
      </w:r>
    </w:p>
    <w:p w14:paraId="2BBBF681" w14:textId="77777777" w:rsidR="00DB4F77" w:rsidRDefault="00DB4F77" w:rsidP="00DB4F77">
      <w:pPr>
        <w:pStyle w:val="FootnoteText"/>
        <w:spacing w:line="276" w:lineRule="auto"/>
        <w:rPr>
          <w:sz w:val="24"/>
          <w:szCs w:val="24"/>
        </w:rPr>
      </w:pPr>
    </w:p>
    <w:p w14:paraId="5DC29665" w14:textId="32932094" w:rsidR="00DB4F77" w:rsidRPr="00DB4F77" w:rsidRDefault="00DB4F77" w:rsidP="00DB4F77">
      <w:pPr>
        <w:pStyle w:val="FootnoteText"/>
        <w:spacing w:line="276" w:lineRule="auto"/>
        <w:rPr>
          <w:sz w:val="24"/>
          <w:szCs w:val="24"/>
        </w:rPr>
      </w:pPr>
      <w:r>
        <w:rPr>
          <w:sz w:val="24"/>
          <w:szCs w:val="24"/>
        </w:rPr>
        <w:t>Hall, Catherine, ‘</w:t>
      </w:r>
      <w:r w:rsidRPr="00DB4F77">
        <w:rPr>
          <w:sz w:val="24"/>
          <w:szCs w:val="24"/>
        </w:rPr>
        <w:t>The Slavery Business and the Making of Race in Britain and the Caribbean</w:t>
      </w:r>
      <w:r>
        <w:rPr>
          <w:sz w:val="24"/>
          <w:szCs w:val="24"/>
        </w:rPr>
        <w:t>’</w:t>
      </w:r>
      <w:r>
        <w:rPr>
          <w:i/>
          <w:iCs/>
          <w:sz w:val="24"/>
          <w:szCs w:val="24"/>
        </w:rPr>
        <w:t xml:space="preserve">, Current Anthropology, </w:t>
      </w:r>
      <w:r>
        <w:rPr>
          <w:sz w:val="24"/>
          <w:szCs w:val="24"/>
        </w:rPr>
        <w:t xml:space="preserve">61 (2020), </w:t>
      </w:r>
      <w:r w:rsidR="00B43BF8">
        <w:rPr>
          <w:sz w:val="24"/>
          <w:szCs w:val="24"/>
        </w:rPr>
        <w:t>S172-S182.</w:t>
      </w:r>
    </w:p>
    <w:p w14:paraId="0F7208C9" w14:textId="77777777" w:rsidR="00DB4F77" w:rsidRDefault="00DB4F77" w:rsidP="00DB4F77">
      <w:pPr>
        <w:pStyle w:val="FootnoteText"/>
        <w:spacing w:line="276" w:lineRule="auto"/>
        <w:rPr>
          <w:i/>
          <w:iCs/>
          <w:sz w:val="24"/>
          <w:szCs w:val="24"/>
        </w:rPr>
      </w:pPr>
    </w:p>
    <w:p w14:paraId="3C95FB59" w14:textId="2CF5D545" w:rsidR="007051E3" w:rsidRDefault="007051E3" w:rsidP="00DB4F77">
      <w:pPr>
        <w:pStyle w:val="FootnoteText"/>
        <w:spacing w:line="276" w:lineRule="auto"/>
        <w:rPr>
          <w:sz w:val="24"/>
          <w:szCs w:val="24"/>
        </w:rPr>
      </w:pPr>
      <w:r>
        <w:rPr>
          <w:sz w:val="24"/>
          <w:szCs w:val="24"/>
        </w:rPr>
        <w:t xml:space="preserve">Malik, Kenan, </w:t>
      </w:r>
      <w:r>
        <w:rPr>
          <w:i/>
          <w:iCs/>
          <w:sz w:val="24"/>
          <w:szCs w:val="24"/>
        </w:rPr>
        <w:t>Strange Fruit. Why Both Sides are Wrong in the Race Debate,</w:t>
      </w:r>
      <w:r>
        <w:rPr>
          <w:sz w:val="24"/>
          <w:szCs w:val="24"/>
        </w:rPr>
        <w:t xml:space="preserve"> (Glasgow: Oneworld Publications, 2008).</w:t>
      </w:r>
    </w:p>
    <w:p w14:paraId="16526D60" w14:textId="77777777" w:rsidR="007051E3" w:rsidRPr="007051E3" w:rsidRDefault="007051E3" w:rsidP="00DB4F77">
      <w:pPr>
        <w:pStyle w:val="FootnoteText"/>
        <w:spacing w:line="276" w:lineRule="auto"/>
        <w:rPr>
          <w:sz w:val="24"/>
          <w:szCs w:val="24"/>
        </w:rPr>
      </w:pPr>
    </w:p>
    <w:p w14:paraId="4AD90B59" w14:textId="77777777" w:rsidR="00C91888" w:rsidRDefault="00C91888" w:rsidP="00C91888">
      <w:pPr>
        <w:pStyle w:val="FootnoteText"/>
        <w:spacing w:line="276" w:lineRule="auto"/>
        <w:rPr>
          <w:sz w:val="24"/>
          <w:szCs w:val="24"/>
        </w:rPr>
      </w:pPr>
      <w:r w:rsidRPr="00A174C5">
        <w:rPr>
          <w:sz w:val="24"/>
          <w:szCs w:val="24"/>
        </w:rPr>
        <w:t xml:space="preserve">Oldham, </w:t>
      </w:r>
      <w:r>
        <w:rPr>
          <w:sz w:val="24"/>
          <w:szCs w:val="24"/>
        </w:rPr>
        <w:t xml:space="preserve">James, </w:t>
      </w:r>
      <w:r w:rsidRPr="00A174C5">
        <w:rPr>
          <w:sz w:val="24"/>
          <w:szCs w:val="24"/>
        </w:rPr>
        <w:t xml:space="preserve">‘Insurance Litigation Involving the Zong and Other British Slave Ships 1780-1807, </w:t>
      </w:r>
      <w:r w:rsidRPr="00A174C5">
        <w:rPr>
          <w:i/>
          <w:iCs/>
          <w:sz w:val="24"/>
          <w:szCs w:val="24"/>
        </w:rPr>
        <w:t>Journal of legal history</w:t>
      </w:r>
      <w:r w:rsidRPr="00A174C5">
        <w:rPr>
          <w:sz w:val="24"/>
          <w:szCs w:val="24"/>
        </w:rPr>
        <w:t xml:space="preserve">, 28, (2007), 299-318. </w:t>
      </w:r>
    </w:p>
    <w:p w14:paraId="0AA8340E" w14:textId="77777777" w:rsidR="00C91888" w:rsidRPr="00A174C5" w:rsidRDefault="00C91888" w:rsidP="00C91888">
      <w:pPr>
        <w:pStyle w:val="FootnoteText"/>
        <w:spacing w:line="480" w:lineRule="auto"/>
        <w:rPr>
          <w:sz w:val="24"/>
          <w:szCs w:val="24"/>
        </w:rPr>
      </w:pPr>
    </w:p>
    <w:p w14:paraId="2E0BC35E" w14:textId="48F9313E" w:rsidR="00C91888" w:rsidRDefault="00C91888" w:rsidP="00C91888">
      <w:pPr>
        <w:pStyle w:val="FootnoteText"/>
        <w:spacing w:line="360" w:lineRule="auto"/>
        <w:rPr>
          <w:sz w:val="24"/>
          <w:szCs w:val="24"/>
        </w:rPr>
      </w:pPr>
      <w:r w:rsidRPr="00A174C5">
        <w:rPr>
          <w:sz w:val="24"/>
          <w:szCs w:val="24"/>
        </w:rPr>
        <w:t xml:space="preserve">Paxman, </w:t>
      </w:r>
      <w:r>
        <w:rPr>
          <w:sz w:val="24"/>
          <w:szCs w:val="24"/>
        </w:rPr>
        <w:t xml:space="preserve">Jeremy, </w:t>
      </w:r>
      <w:r w:rsidRPr="00A174C5">
        <w:rPr>
          <w:i/>
          <w:iCs/>
          <w:sz w:val="24"/>
          <w:szCs w:val="24"/>
        </w:rPr>
        <w:t>Empire</w:t>
      </w:r>
      <w:r w:rsidRPr="00A174C5">
        <w:rPr>
          <w:sz w:val="24"/>
          <w:szCs w:val="24"/>
        </w:rPr>
        <w:t xml:space="preserve"> (UK: Penguin, 2012)</w:t>
      </w:r>
      <w:r>
        <w:rPr>
          <w:sz w:val="24"/>
          <w:szCs w:val="24"/>
        </w:rPr>
        <w:t>.</w:t>
      </w:r>
    </w:p>
    <w:p w14:paraId="0FBF898C" w14:textId="77777777" w:rsidR="00C91888" w:rsidRDefault="00C91888" w:rsidP="00C91888">
      <w:pPr>
        <w:pStyle w:val="FootnoteText"/>
        <w:spacing w:line="360" w:lineRule="auto"/>
        <w:rPr>
          <w:sz w:val="24"/>
          <w:szCs w:val="24"/>
        </w:rPr>
      </w:pPr>
    </w:p>
    <w:p w14:paraId="2EB3525E" w14:textId="102825AD" w:rsidR="007051E3" w:rsidRPr="007051E3" w:rsidRDefault="007051E3" w:rsidP="00C91888">
      <w:pPr>
        <w:pStyle w:val="FootnoteText"/>
        <w:spacing w:line="360" w:lineRule="auto"/>
        <w:rPr>
          <w:sz w:val="24"/>
          <w:szCs w:val="24"/>
        </w:rPr>
      </w:pPr>
      <w:r>
        <w:rPr>
          <w:sz w:val="24"/>
          <w:szCs w:val="24"/>
        </w:rPr>
        <w:t xml:space="preserve">Sanghera, </w:t>
      </w:r>
      <w:proofErr w:type="spellStart"/>
      <w:r>
        <w:rPr>
          <w:sz w:val="24"/>
          <w:szCs w:val="24"/>
        </w:rPr>
        <w:t>Sathnam</w:t>
      </w:r>
      <w:proofErr w:type="spellEnd"/>
      <w:r>
        <w:rPr>
          <w:sz w:val="24"/>
          <w:szCs w:val="24"/>
        </w:rPr>
        <w:t xml:space="preserve">, </w:t>
      </w:r>
      <w:proofErr w:type="spellStart"/>
      <w:r>
        <w:rPr>
          <w:i/>
          <w:iCs/>
          <w:sz w:val="24"/>
          <w:szCs w:val="24"/>
        </w:rPr>
        <w:t>Empireland</w:t>
      </w:r>
      <w:proofErr w:type="spellEnd"/>
      <w:r>
        <w:rPr>
          <w:i/>
          <w:iCs/>
          <w:sz w:val="24"/>
          <w:szCs w:val="24"/>
        </w:rPr>
        <w:t>: How Imperialism has Shaped the World,</w:t>
      </w:r>
      <w:r>
        <w:rPr>
          <w:sz w:val="24"/>
          <w:szCs w:val="24"/>
        </w:rPr>
        <w:t xml:space="preserve"> (UK: Penguin, 2021).</w:t>
      </w:r>
    </w:p>
    <w:p w14:paraId="0CC9A1F6" w14:textId="77777777" w:rsidR="00C91888" w:rsidRDefault="00C91888" w:rsidP="00C91888">
      <w:pPr>
        <w:spacing w:line="360" w:lineRule="auto"/>
        <w:rPr>
          <w:sz w:val="24"/>
          <w:szCs w:val="24"/>
        </w:rPr>
      </w:pPr>
      <w:r w:rsidRPr="00C91888">
        <w:rPr>
          <w:sz w:val="24"/>
          <w:szCs w:val="24"/>
        </w:rPr>
        <w:t xml:space="preserve">Sears, Christine, review of James Walvin, </w:t>
      </w:r>
      <w:r w:rsidRPr="00C91888">
        <w:rPr>
          <w:i/>
          <w:iCs/>
          <w:sz w:val="24"/>
          <w:szCs w:val="24"/>
        </w:rPr>
        <w:t>The Zong: a massacre, the law and the end of slavery</w:t>
      </w:r>
      <w:r w:rsidRPr="00C91888">
        <w:rPr>
          <w:sz w:val="24"/>
          <w:szCs w:val="24"/>
        </w:rPr>
        <w:t xml:space="preserve"> (2011),</w:t>
      </w:r>
      <w:r w:rsidRPr="00C91888">
        <w:rPr>
          <w:i/>
          <w:iCs/>
          <w:sz w:val="24"/>
          <w:szCs w:val="24"/>
        </w:rPr>
        <w:t xml:space="preserve"> Journal of World History</w:t>
      </w:r>
      <w:r w:rsidRPr="00C91888">
        <w:rPr>
          <w:sz w:val="24"/>
          <w:szCs w:val="24"/>
        </w:rPr>
        <w:t xml:space="preserve">, 24.4 (2013), 890-892. </w:t>
      </w:r>
    </w:p>
    <w:p w14:paraId="2804C826" w14:textId="77777777" w:rsidR="00C91888" w:rsidRPr="00C91888" w:rsidRDefault="00C91888" w:rsidP="00C91888">
      <w:pPr>
        <w:spacing w:line="360" w:lineRule="auto"/>
        <w:rPr>
          <w:sz w:val="24"/>
          <w:szCs w:val="24"/>
        </w:rPr>
      </w:pPr>
    </w:p>
    <w:p w14:paraId="2E571CE8" w14:textId="77777777" w:rsidR="00C91888" w:rsidRDefault="00C91888" w:rsidP="00C91888">
      <w:pPr>
        <w:pStyle w:val="FootnoteText"/>
        <w:spacing w:line="360" w:lineRule="auto"/>
        <w:rPr>
          <w:sz w:val="24"/>
          <w:szCs w:val="24"/>
        </w:rPr>
      </w:pPr>
      <w:r w:rsidRPr="00A174C5">
        <w:rPr>
          <w:sz w:val="24"/>
          <w:szCs w:val="24"/>
        </w:rPr>
        <w:t xml:space="preserve">Shumay, </w:t>
      </w:r>
      <w:r>
        <w:rPr>
          <w:sz w:val="24"/>
          <w:szCs w:val="24"/>
        </w:rPr>
        <w:t>Rebecca, r</w:t>
      </w:r>
      <w:r w:rsidRPr="00A174C5">
        <w:rPr>
          <w:sz w:val="24"/>
          <w:szCs w:val="24"/>
        </w:rPr>
        <w:t xml:space="preserve">eview of </w:t>
      </w:r>
      <w:r w:rsidRPr="00A174C5">
        <w:rPr>
          <w:i/>
          <w:iCs/>
          <w:sz w:val="24"/>
          <w:szCs w:val="24"/>
        </w:rPr>
        <w:t>The Zong: A Massacre, the law and the End of Slavery’</w:t>
      </w:r>
      <w:r w:rsidRPr="00A174C5">
        <w:rPr>
          <w:sz w:val="24"/>
          <w:szCs w:val="24"/>
        </w:rPr>
        <w:t xml:space="preserve"> by James Walvin, (2011), </w:t>
      </w:r>
      <w:r w:rsidRPr="00A174C5">
        <w:rPr>
          <w:i/>
          <w:iCs/>
          <w:sz w:val="24"/>
          <w:szCs w:val="24"/>
        </w:rPr>
        <w:t>History London,</w:t>
      </w:r>
      <w:r w:rsidRPr="00A174C5">
        <w:rPr>
          <w:sz w:val="24"/>
          <w:szCs w:val="24"/>
        </w:rPr>
        <w:t xml:space="preserve"> 99 (334),</w:t>
      </w:r>
      <w:r w:rsidRPr="00A174C5">
        <w:rPr>
          <w:i/>
          <w:iCs/>
          <w:sz w:val="24"/>
          <w:szCs w:val="24"/>
        </w:rPr>
        <w:t xml:space="preserve"> </w:t>
      </w:r>
      <w:r w:rsidRPr="00A174C5">
        <w:rPr>
          <w:sz w:val="24"/>
          <w:szCs w:val="24"/>
        </w:rPr>
        <w:t>(2014), 184-186.</w:t>
      </w:r>
    </w:p>
    <w:p w14:paraId="3035ABA6" w14:textId="77777777" w:rsidR="00C91888" w:rsidRDefault="00C91888" w:rsidP="00C91888">
      <w:pPr>
        <w:pStyle w:val="FootnoteText"/>
        <w:spacing w:line="360" w:lineRule="auto"/>
        <w:rPr>
          <w:sz w:val="24"/>
          <w:szCs w:val="24"/>
        </w:rPr>
      </w:pPr>
    </w:p>
    <w:p w14:paraId="5EFCAF25" w14:textId="77777777" w:rsidR="00C91888" w:rsidRDefault="00C91888" w:rsidP="00C91888">
      <w:pPr>
        <w:pStyle w:val="FootnoteText"/>
        <w:spacing w:line="360" w:lineRule="auto"/>
        <w:rPr>
          <w:sz w:val="24"/>
          <w:szCs w:val="24"/>
        </w:rPr>
      </w:pPr>
      <w:r w:rsidRPr="00A174C5">
        <w:rPr>
          <w:i/>
          <w:iCs/>
          <w:sz w:val="24"/>
          <w:szCs w:val="24"/>
        </w:rPr>
        <w:t>The History of George Dale, a native of Africa 1790.</w:t>
      </w:r>
      <w:r w:rsidRPr="00A174C5">
        <w:rPr>
          <w:sz w:val="24"/>
          <w:szCs w:val="24"/>
        </w:rPr>
        <w:t xml:space="preserve"> Transcript of the story of George Dale. National Records of Scotland reference, GD50/235/6, </w:t>
      </w:r>
      <w:hyperlink w:history="1">
        <w:r w:rsidRPr="00A174C5">
          <w:rPr>
            <w:rStyle w:val="Hyperlink"/>
            <w:sz w:val="24"/>
            <w:szCs w:val="24"/>
          </w:rPr>
          <w:t xml:space="preserve">https://nrscotland.gov.uk </w:t>
        </w:r>
      </w:hyperlink>
      <w:r w:rsidRPr="00A174C5">
        <w:rPr>
          <w:sz w:val="24"/>
          <w:szCs w:val="24"/>
        </w:rPr>
        <w:t xml:space="preserve"> </w:t>
      </w:r>
    </w:p>
    <w:p w14:paraId="1C6C98A8" w14:textId="77777777" w:rsidR="00C91888" w:rsidRDefault="00C91888" w:rsidP="00C91888">
      <w:pPr>
        <w:pStyle w:val="FootnoteText"/>
        <w:spacing w:line="360" w:lineRule="auto"/>
        <w:rPr>
          <w:sz w:val="24"/>
          <w:szCs w:val="24"/>
        </w:rPr>
      </w:pPr>
    </w:p>
    <w:p w14:paraId="1ED8077E" w14:textId="77777777" w:rsidR="00C91888" w:rsidRDefault="00C91888" w:rsidP="00C91888">
      <w:pPr>
        <w:pStyle w:val="FootnoteText"/>
        <w:spacing w:line="360" w:lineRule="auto"/>
        <w:rPr>
          <w:sz w:val="24"/>
          <w:szCs w:val="24"/>
        </w:rPr>
      </w:pPr>
      <w:r w:rsidRPr="00A174C5">
        <w:rPr>
          <w:sz w:val="24"/>
          <w:szCs w:val="24"/>
        </w:rPr>
        <w:t xml:space="preserve">Tosh, </w:t>
      </w:r>
      <w:r>
        <w:rPr>
          <w:sz w:val="24"/>
          <w:szCs w:val="24"/>
        </w:rPr>
        <w:t xml:space="preserve">John, </w:t>
      </w:r>
      <w:r w:rsidRPr="00A174C5">
        <w:rPr>
          <w:i/>
          <w:iCs/>
          <w:sz w:val="24"/>
          <w:szCs w:val="24"/>
        </w:rPr>
        <w:t>The Pursuit of History</w:t>
      </w:r>
      <w:r w:rsidRPr="00A174C5">
        <w:rPr>
          <w:sz w:val="24"/>
          <w:szCs w:val="24"/>
        </w:rPr>
        <w:t xml:space="preserve">, </w:t>
      </w:r>
      <w:r>
        <w:rPr>
          <w:sz w:val="24"/>
          <w:szCs w:val="24"/>
        </w:rPr>
        <w:t>(</w:t>
      </w:r>
      <w:r w:rsidRPr="00A174C5">
        <w:rPr>
          <w:sz w:val="24"/>
          <w:szCs w:val="24"/>
        </w:rPr>
        <w:t>Abingdon: Routledge, 2015</w:t>
      </w:r>
      <w:r>
        <w:rPr>
          <w:sz w:val="24"/>
          <w:szCs w:val="24"/>
        </w:rPr>
        <w:t>)</w:t>
      </w:r>
      <w:r w:rsidRPr="00A174C5">
        <w:rPr>
          <w:sz w:val="24"/>
          <w:szCs w:val="24"/>
        </w:rPr>
        <w:t>.</w:t>
      </w:r>
    </w:p>
    <w:p w14:paraId="36802571" w14:textId="77777777" w:rsidR="00C91888" w:rsidRDefault="00C91888" w:rsidP="00C91888">
      <w:pPr>
        <w:pStyle w:val="FootnoteText"/>
        <w:spacing w:line="360" w:lineRule="auto"/>
        <w:rPr>
          <w:sz w:val="24"/>
          <w:szCs w:val="24"/>
        </w:rPr>
      </w:pPr>
    </w:p>
    <w:p w14:paraId="60A43993" w14:textId="77777777" w:rsidR="00C91888" w:rsidRDefault="00C91888" w:rsidP="00C91888">
      <w:pPr>
        <w:pStyle w:val="FootnoteText"/>
        <w:spacing w:line="480" w:lineRule="auto"/>
        <w:rPr>
          <w:sz w:val="24"/>
          <w:szCs w:val="24"/>
        </w:rPr>
      </w:pPr>
      <w:r w:rsidRPr="00A174C5">
        <w:rPr>
          <w:sz w:val="24"/>
          <w:szCs w:val="24"/>
        </w:rPr>
        <w:t xml:space="preserve">Walvin, </w:t>
      </w:r>
      <w:r>
        <w:rPr>
          <w:sz w:val="24"/>
          <w:szCs w:val="24"/>
        </w:rPr>
        <w:t xml:space="preserve">James, </w:t>
      </w:r>
      <w:r w:rsidRPr="00A174C5">
        <w:rPr>
          <w:i/>
          <w:iCs/>
          <w:sz w:val="24"/>
          <w:szCs w:val="24"/>
        </w:rPr>
        <w:t xml:space="preserve">The Zong: A massacre, the law and the end of slavery, </w:t>
      </w:r>
      <w:r w:rsidRPr="00A174C5">
        <w:rPr>
          <w:sz w:val="24"/>
          <w:szCs w:val="24"/>
        </w:rPr>
        <w:t>(Yale: University Press, 2011)</w:t>
      </w:r>
      <w:r>
        <w:rPr>
          <w:sz w:val="24"/>
          <w:szCs w:val="24"/>
        </w:rPr>
        <w:t>.</w:t>
      </w:r>
    </w:p>
    <w:p w14:paraId="3986A9D4" w14:textId="6FACD2CB" w:rsidR="005F41B9" w:rsidRPr="005F41B9" w:rsidRDefault="005F41B9" w:rsidP="005F41B9">
      <w:pPr>
        <w:rPr>
          <w:sz w:val="24"/>
          <w:szCs w:val="24"/>
        </w:rPr>
      </w:pPr>
    </w:p>
    <w:p w14:paraId="5DE73C4E" w14:textId="77777777" w:rsidR="00C91888" w:rsidRDefault="00C91888" w:rsidP="001F2563">
      <w:pPr>
        <w:rPr>
          <w:b/>
          <w:bCs/>
          <w:sz w:val="24"/>
          <w:szCs w:val="24"/>
        </w:rPr>
      </w:pPr>
    </w:p>
    <w:p w14:paraId="2AA552B6" w14:textId="6D292116" w:rsidR="009618E5" w:rsidRPr="00C91888" w:rsidRDefault="00C91888" w:rsidP="001F2563">
      <w:pPr>
        <w:rPr>
          <w:b/>
          <w:bCs/>
          <w:sz w:val="24"/>
          <w:szCs w:val="24"/>
        </w:rPr>
      </w:pPr>
      <w:r w:rsidRPr="00C91888">
        <w:rPr>
          <w:b/>
          <w:bCs/>
          <w:sz w:val="24"/>
          <w:szCs w:val="24"/>
        </w:rPr>
        <w:t>Websites</w:t>
      </w:r>
    </w:p>
    <w:p w14:paraId="72B65428" w14:textId="77777777" w:rsidR="00C91888" w:rsidRPr="00A174C5" w:rsidRDefault="00C91888" w:rsidP="00C91888">
      <w:pPr>
        <w:pStyle w:val="FootnoteText"/>
        <w:rPr>
          <w:sz w:val="24"/>
          <w:szCs w:val="24"/>
        </w:rPr>
      </w:pPr>
    </w:p>
    <w:p w14:paraId="2DDFE790" w14:textId="77777777" w:rsidR="00C91888" w:rsidRDefault="00C91888" w:rsidP="00C91888">
      <w:pPr>
        <w:pStyle w:val="FootnoteText"/>
        <w:rPr>
          <w:sz w:val="24"/>
          <w:szCs w:val="24"/>
        </w:rPr>
      </w:pPr>
      <w:r w:rsidRPr="00A174C5">
        <w:rPr>
          <w:sz w:val="24"/>
          <w:szCs w:val="24"/>
        </w:rPr>
        <w:t xml:space="preserve">Eltis, </w:t>
      </w:r>
      <w:r>
        <w:rPr>
          <w:sz w:val="24"/>
          <w:szCs w:val="24"/>
        </w:rPr>
        <w:t xml:space="preserve">David, </w:t>
      </w:r>
      <w:r w:rsidRPr="00A174C5">
        <w:rPr>
          <w:sz w:val="24"/>
          <w:szCs w:val="24"/>
        </w:rPr>
        <w:t xml:space="preserve">A brief Overview of the Transatlantic Slae Trade’, in </w:t>
      </w:r>
      <w:r w:rsidRPr="00A174C5">
        <w:rPr>
          <w:i/>
          <w:iCs/>
          <w:sz w:val="24"/>
          <w:szCs w:val="24"/>
        </w:rPr>
        <w:t>Slave Voyages,</w:t>
      </w:r>
      <w:r w:rsidRPr="00A174C5">
        <w:rPr>
          <w:sz w:val="24"/>
          <w:szCs w:val="24"/>
        </w:rPr>
        <w:t xml:space="preserve"> </w:t>
      </w:r>
      <w:hyperlink r:id="rId7" w:history="1">
        <w:r w:rsidRPr="00843D18">
          <w:rPr>
            <w:rStyle w:val="Hyperlink"/>
            <w:sz w:val="24"/>
            <w:szCs w:val="24"/>
          </w:rPr>
          <w:t>https://www.slavevoyages.org</w:t>
        </w:r>
      </w:hyperlink>
    </w:p>
    <w:p w14:paraId="01C3496C" w14:textId="77777777" w:rsidR="00C91888" w:rsidRPr="00A174C5" w:rsidRDefault="00C91888" w:rsidP="00C91888">
      <w:pPr>
        <w:pStyle w:val="FootnoteText"/>
        <w:rPr>
          <w:sz w:val="24"/>
          <w:szCs w:val="24"/>
        </w:rPr>
      </w:pPr>
    </w:p>
    <w:p w14:paraId="52BCE783" w14:textId="77777777" w:rsidR="00A93A74" w:rsidRDefault="00A93A74" w:rsidP="00A93A74">
      <w:pPr>
        <w:pStyle w:val="FootnoteText"/>
        <w:spacing w:line="276" w:lineRule="auto"/>
        <w:rPr>
          <w:sz w:val="24"/>
          <w:szCs w:val="24"/>
        </w:rPr>
      </w:pPr>
      <w:r w:rsidRPr="00A174C5">
        <w:rPr>
          <w:sz w:val="24"/>
          <w:szCs w:val="24"/>
        </w:rPr>
        <w:t xml:space="preserve">McMillian, </w:t>
      </w:r>
      <w:r>
        <w:rPr>
          <w:sz w:val="24"/>
          <w:szCs w:val="24"/>
        </w:rPr>
        <w:t xml:space="preserve">Angela, </w:t>
      </w:r>
      <w:r w:rsidRPr="00A174C5">
        <w:rPr>
          <w:sz w:val="24"/>
          <w:szCs w:val="24"/>
        </w:rPr>
        <w:t xml:space="preserve">‘Slavery in America: A Resource Guide’, </w:t>
      </w:r>
      <w:hyperlink r:id="rId8" w:history="1">
        <w:r w:rsidRPr="00843D18">
          <w:rPr>
            <w:rStyle w:val="Hyperlink"/>
            <w:sz w:val="24"/>
            <w:szCs w:val="24"/>
          </w:rPr>
          <w:t>https://guides.loc.gov/slavery-in-america</w:t>
        </w:r>
      </w:hyperlink>
    </w:p>
    <w:p w14:paraId="340A817B" w14:textId="77777777" w:rsidR="00A93A74" w:rsidRPr="00A174C5" w:rsidRDefault="00A93A74" w:rsidP="00A93A74">
      <w:pPr>
        <w:pStyle w:val="FootnoteText"/>
        <w:spacing w:line="480" w:lineRule="auto"/>
        <w:rPr>
          <w:sz w:val="24"/>
          <w:szCs w:val="24"/>
        </w:rPr>
      </w:pPr>
    </w:p>
    <w:p w14:paraId="757B91EC" w14:textId="77777777" w:rsidR="00713853" w:rsidRDefault="00713853" w:rsidP="00713853">
      <w:pPr>
        <w:pStyle w:val="FootnoteText"/>
        <w:rPr>
          <w:sz w:val="24"/>
          <w:szCs w:val="24"/>
        </w:rPr>
      </w:pPr>
      <w:r w:rsidRPr="00A174C5">
        <w:rPr>
          <w:sz w:val="24"/>
          <w:szCs w:val="24"/>
        </w:rPr>
        <w:t xml:space="preserve">The Gilder Lehrman Institute of American History </w:t>
      </w:r>
      <w:hyperlink r:id="rId9" w:history="1">
        <w:r w:rsidRPr="00843D18">
          <w:rPr>
            <w:rStyle w:val="Hyperlink"/>
            <w:sz w:val="24"/>
            <w:szCs w:val="24"/>
          </w:rPr>
          <w:t>https://www.gilderlehrman.org</w:t>
        </w:r>
      </w:hyperlink>
    </w:p>
    <w:p w14:paraId="6A1E3EB5" w14:textId="1F0F9B50" w:rsidR="00DC42CB" w:rsidRDefault="00DC42CB">
      <w:pPr>
        <w:rPr>
          <w:sz w:val="24"/>
          <w:szCs w:val="24"/>
        </w:rPr>
      </w:pPr>
    </w:p>
    <w:p w14:paraId="7011C897" w14:textId="77777777" w:rsidR="00713853" w:rsidRDefault="00713853" w:rsidP="00713853">
      <w:pPr>
        <w:pStyle w:val="FootnoteText"/>
        <w:rPr>
          <w:sz w:val="24"/>
          <w:szCs w:val="24"/>
        </w:rPr>
      </w:pPr>
      <w:r w:rsidRPr="00A174C5">
        <w:rPr>
          <w:sz w:val="24"/>
          <w:szCs w:val="24"/>
        </w:rPr>
        <w:t xml:space="preserve">The Transatlantic Slave Trade, </w:t>
      </w:r>
      <w:hyperlink r:id="rId10" w:history="1">
        <w:r w:rsidRPr="00A174C5">
          <w:rPr>
            <w:rStyle w:val="Hyperlink"/>
            <w:sz w:val="24"/>
            <w:szCs w:val="24"/>
          </w:rPr>
          <w:t>https://liverpoolmuseums.org.uk/international-slavery-museum</w:t>
        </w:r>
      </w:hyperlink>
    </w:p>
    <w:p w14:paraId="754937BF" w14:textId="77777777" w:rsidR="00713853" w:rsidRDefault="00713853" w:rsidP="00713853">
      <w:pPr>
        <w:pStyle w:val="FootnoteText"/>
        <w:rPr>
          <w:sz w:val="24"/>
          <w:szCs w:val="24"/>
        </w:rPr>
      </w:pPr>
    </w:p>
    <w:p w14:paraId="14EC9400" w14:textId="77777777" w:rsidR="00713853" w:rsidRDefault="00713853" w:rsidP="00713853">
      <w:pPr>
        <w:pStyle w:val="FootnoteText"/>
        <w:rPr>
          <w:sz w:val="24"/>
          <w:szCs w:val="24"/>
        </w:rPr>
      </w:pPr>
    </w:p>
    <w:p w14:paraId="3AB2B523" w14:textId="77777777" w:rsidR="00F74608" w:rsidRPr="00452688" w:rsidRDefault="00F74608">
      <w:pPr>
        <w:rPr>
          <w:sz w:val="24"/>
          <w:szCs w:val="24"/>
        </w:rPr>
      </w:pPr>
    </w:p>
    <w:sectPr w:rsidR="00F74608" w:rsidRPr="00452688" w:rsidSect="001D651D">
      <w:footerReference w:type="default" r:id="rId11"/>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020558" w14:textId="77777777" w:rsidR="00173EDC" w:rsidRDefault="00173EDC" w:rsidP="00BA5AD5">
      <w:pPr>
        <w:spacing w:after="0" w:line="240" w:lineRule="auto"/>
      </w:pPr>
      <w:r>
        <w:separator/>
      </w:r>
    </w:p>
  </w:endnote>
  <w:endnote w:type="continuationSeparator" w:id="0">
    <w:p w14:paraId="5D30578E" w14:textId="77777777" w:rsidR="00173EDC" w:rsidRDefault="00173EDC" w:rsidP="00BA5A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8067556"/>
      <w:docPartObj>
        <w:docPartGallery w:val="Page Numbers (Bottom of Page)"/>
        <w:docPartUnique/>
      </w:docPartObj>
    </w:sdtPr>
    <w:sdtEndPr>
      <w:rPr>
        <w:noProof/>
      </w:rPr>
    </w:sdtEndPr>
    <w:sdtContent>
      <w:p w14:paraId="5D0198A8" w14:textId="37B6EA0E" w:rsidR="00056573" w:rsidRDefault="000565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1F52A0" w14:textId="77777777" w:rsidR="00056573" w:rsidRDefault="000565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C3C4E7" w14:textId="77777777" w:rsidR="00173EDC" w:rsidRDefault="00173EDC" w:rsidP="00BA5AD5">
      <w:pPr>
        <w:spacing w:after="0" w:line="240" w:lineRule="auto"/>
      </w:pPr>
      <w:r>
        <w:separator/>
      </w:r>
    </w:p>
  </w:footnote>
  <w:footnote w:type="continuationSeparator" w:id="0">
    <w:p w14:paraId="6E4CD9B5" w14:textId="77777777" w:rsidR="00173EDC" w:rsidRDefault="00173EDC" w:rsidP="00BA5AD5">
      <w:pPr>
        <w:spacing w:after="0" w:line="240" w:lineRule="auto"/>
      </w:pPr>
      <w:r>
        <w:continuationSeparator/>
      </w:r>
    </w:p>
  </w:footnote>
  <w:footnote w:id="1">
    <w:p w14:paraId="5566836C" w14:textId="6CBC1B39" w:rsidR="00BA5AD5" w:rsidRDefault="00BA5AD5">
      <w:pPr>
        <w:pStyle w:val="FootnoteText"/>
      </w:pPr>
      <w:r>
        <w:rPr>
          <w:rStyle w:val="FootnoteReference"/>
        </w:rPr>
        <w:footnoteRef/>
      </w:r>
      <w:r>
        <w:t xml:space="preserve"> </w:t>
      </w:r>
      <w:bookmarkStart w:id="0" w:name="_Hlk152006455"/>
      <w:r>
        <w:t xml:space="preserve"> </w:t>
      </w:r>
      <w:bookmarkStart w:id="1" w:name="_Hlk152181697"/>
      <w:r>
        <w:t xml:space="preserve">Christine Sears, review of James Walvin, </w:t>
      </w:r>
      <w:r>
        <w:rPr>
          <w:i/>
          <w:iCs/>
        </w:rPr>
        <w:t>The Zong: a massacre, the law and the end of slavery</w:t>
      </w:r>
      <w:r>
        <w:t xml:space="preserve"> (2011),</w:t>
      </w:r>
      <w:r>
        <w:rPr>
          <w:i/>
          <w:iCs/>
        </w:rPr>
        <w:t xml:space="preserve"> J</w:t>
      </w:r>
      <w:r w:rsidR="00056573">
        <w:rPr>
          <w:i/>
          <w:iCs/>
        </w:rPr>
        <w:t>ournal o</w:t>
      </w:r>
      <w:r>
        <w:rPr>
          <w:i/>
          <w:iCs/>
        </w:rPr>
        <w:t>f World History</w:t>
      </w:r>
      <w:r>
        <w:t>, 24.4 (2013), 890-892.</w:t>
      </w:r>
      <w:bookmarkEnd w:id="0"/>
      <w:bookmarkEnd w:id="1"/>
    </w:p>
  </w:footnote>
  <w:footnote w:id="2">
    <w:p w14:paraId="414F5793" w14:textId="62F7BF23" w:rsidR="00056573" w:rsidRPr="002F03DC" w:rsidRDefault="00056573">
      <w:pPr>
        <w:pStyle w:val="FootnoteText"/>
      </w:pPr>
      <w:r>
        <w:rPr>
          <w:rStyle w:val="FootnoteReference"/>
        </w:rPr>
        <w:footnoteRef/>
      </w:r>
      <w:r>
        <w:t xml:space="preserve"> </w:t>
      </w:r>
      <w:r w:rsidR="002F03DC">
        <w:t xml:space="preserve">David Eltis, </w:t>
      </w:r>
      <w:r w:rsidR="00D815F8">
        <w:t>‘A brief Overview of the Transatlantic Slae Trade’</w:t>
      </w:r>
      <w:r w:rsidR="002F03DC">
        <w:t xml:space="preserve">, </w:t>
      </w:r>
      <w:r w:rsidR="00D815F8">
        <w:t xml:space="preserve">in </w:t>
      </w:r>
      <w:r w:rsidR="002F03DC">
        <w:rPr>
          <w:i/>
          <w:iCs/>
        </w:rPr>
        <w:t>Slave Voyages,</w:t>
      </w:r>
      <w:r w:rsidR="002F03DC">
        <w:t xml:space="preserve"> </w:t>
      </w:r>
      <w:r w:rsidR="00D815F8">
        <w:t>&lt;</w:t>
      </w:r>
      <w:hyperlink r:id="rId1" w:history="1">
        <w:r w:rsidR="00D815F8" w:rsidRPr="00843D18">
          <w:rPr>
            <w:rStyle w:val="Hyperlink"/>
          </w:rPr>
          <w:t>https://www.slavevoyages.org</w:t>
        </w:r>
      </w:hyperlink>
      <w:r w:rsidR="00D815F8">
        <w:t>&gt;</w:t>
      </w:r>
      <w:r w:rsidR="002F03DC">
        <w:t xml:space="preserve"> [accessed 20 November 2023].</w:t>
      </w:r>
    </w:p>
  </w:footnote>
  <w:footnote w:id="3">
    <w:p w14:paraId="72EA8DB0" w14:textId="1F383AB0" w:rsidR="00F74608" w:rsidRDefault="00F74608">
      <w:pPr>
        <w:pStyle w:val="FootnoteText"/>
      </w:pPr>
      <w:r>
        <w:rPr>
          <w:rStyle w:val="FootnoteReference"/>
        </w:rPr>
        <w:footnoteRef/>
      </w:r>
      <w:r>
        <w:t xml:space="preserve"> Jeremy Paxman, </w:t>
      </w:r>
      <w:r w:rsidRPr="00253F3C">
        <w:rPr>
          <w:i/>
          <w:iCs/>
        </w:rPr>
        <w:t>Empire</w:t>
      </w:r>
      <w:r>
        <w:t xml:space="preserve"> </w:t>
      </w:r>
      <w:r w:rsidR="002F03DC">
        <w:t xml:space="preserve">(UK: Penguin, </w:t>
      </w:r>
      <w:r>
        <w:t>2012</w:t>
      </w:r>
      <w:r w:rsidR="002F03DC">
        <w:t>),</w:t>
      </w:r>
      <w:r>
        <w:t xml:space="preserve"> p.24</w:t>
      </w:r>
      <w:r w:rsidR="0080267F">
        <w:t>.</w:t>
      </w:r>
    </w:p>
  </w:footnote>
  <w:footnote w:id="4">
    <w:p w14:paraId="4C612D00" w14:textId="1E7AAE28" w:rsidR="00C72587" w:rsidRDefault="00C72587">
      <w:pPr>
        <w:pStyle w:val="FootnoteText"/>
      </w:pPr>
      <w:r>
        <w:rPr>
          <w:rStyle w:val="FootnoteReference"/>
        </w:rPr>
        <w:footnoteRef/>
      </w:r>
      <w:r>
        <w:t xml:space="preserve"> </w:t>
      </w:r>
      <w:r w:rsidR="00C85FC2">
        <w:t>Angela McMillian, ‘</w:t>
      </w:r>
      <w:r w:rsidR="0080267F">
        <w:t xml:space="preserve">Slavery in America: A Resource Guide’, </w:t>
      </w:r>
      <w:r w:rsidR="00C85FC2">
        <w:t>&lt;</w:t>
      </w:r>
      <w:hyperlink r:id="rId2" w:history="1">
        <w:r w:rsidR="00C85FC2" w:rsidRPr="00843D18">
          <w:rPr>
            <w:rStyle w:val="Hyperlink"/>
          </w:rPr>
          <w:t>https://guides.loc.gov/slavery-in-america</w:t>
        </w:r>
      </w:hyperlink>
      <w:r w:rsidR="00C85FC2">
        <w:t>&gt;</w:t>
      </w:r>
      <w:r w:rsidR="0080267F">
        <w:t xml:space="preserve"> [accessed 19 November</w:t>
      </w:r>
      <w:r w:rsidR="00C85FC2">
        <w:t xml:space="preserve"> 2023</w:t>
      </w:r>
      <w:r w:rsidR="0080267F">
        <w:t>].</w:t>
      </w:r>
    </w:p>
  </w:footnote>
  <w:footnote w:id="5">
    <w:p w14:paraId="1E9B51A9" w14:textId="77777777" w:rsidR="001F2563" w:rsidRDefault="001F2563" w:rsidP="001F2563">
      <w:pPr>
        <w:pStyle w:val="FootnoteText"/>
      </w:pPr>
      <w:r>
        <w:rPr>
          <w:rStyle w:val="FootnoteReference"/>
        </w:rPr>
        <w:footnoteRef/>
      </w:r>
      <w:r>
        <w:t xml:space="preserve"> ibid</w:t>
      </w:r>
    </w:p>
  </w:footnote>
  <w:footnote w:id="6">
    <w:p w14:paraId="1B892D9A" w14:textId="77777777" w:rsidR="0018291B" w:rsidRPr="0099649E" w:rsidRDefault="0018291B" w:rsidP="0018291B">
      <w:pPr>
        <w:pStyle w:val="FootnoteText"/>
      </w:pPr>
      <w:r>
        <w:rPr>
          <w:rStyle w:val="FootnoteReference"/>
        </w:rPr>
        <w:footnoteRef/>
      </w:r>
      <w:r>
        <w:t xml:space="preserve"> James Walvin, </w:t>
      </w:r>
      <w:r>
        <w:rPr>
          <w:i/>
          <w:iCs/>
        </w:rPr>
        <w:t xml:space="preserve">The Zong: A massacre, the law and the end of slavery, </w:t>
      </w:r>
      <w:r>
        <w:t>(Yale: University Press, 2011), p. 28.</w:t>
      </w:r>
    </w:p>
  </w:footnote>
  <w:footnote w:id="7">
    <w:p w14:paraId="78A73699" w14:textId="3DC5F940" w:rsidR="0018291B" w:rsidRDefault="0018291B" w:rsidP="0018291B">
      <w:pPr>
        <w:pStyle w:val="FootnoteText"/>
      </w:pPr>
      <w:r>
        <w:rPr>
          <w:rStyle w:val="FootnoteReference"/>
        </w:rPr>
        <w:footnoteRef/>
      </w:r>
      <w:r>
        <w:t xml:space="preserve"> </w:t>
      </w:r>
      <w:bookmarkStart w:id="2" w:name="_Hlk152180604"/>
      <w:r w:rsidR="00880668">
        <w:t xml:space="preserve">The Transatlantic Slave Trade, </w:t>
      </w:r>
      <w:hyperlink r:id="rId3" w:history="1">
        <w:r w:rsidR="00253F3C" w:rsidRPr="00843D18">
          <w:rPr>
            <w:rStyle w:val="Hyperlink"/>
          </w:rPr>
          <w:t>https://liverpoolmuseums.org.uk/international-slavery-museum</w:t>
        </w:r>
      </w:hyperlink>
      <w:bookmarkEnd w:id="2"/>
      <w:r w:rsidR="00253F3C">
        <w:t xml:space="preserve"> [accessed 23 November 2023].</w:t>
      </w:r>
    </w:p>
  </w:footnote>
  <w:footnote w:id="8">
    <w:p w14:paraId="564D6614" w14:textId="5D112C96" w:rsidR="002620BD" w:rsidRDefault="002620BD" w:rsidP="002620BD">
      <w:pPr>
        <w:pStyle w:val="FootnoteText"/>
      </w:pPr>
      <w:r>
        <w:rPr>
          <w:rStyle w:val="FootnoteReference"/>
        </w:rPr>
        <w:footnoteRef/>
      </w:r>
      <w:r>
        <w:t xml:space="preserve"> The Gilder Lehrman Institute of American History </w:t>
      </w:r>
      <w:r w:rsidR="00E72ACB">
        <w:t>&lt;</w:t>
      </w:r>
      <w:hyperlink r:id="rId4" w:history="1">
        <w:r w:rsidR="00E72ACB" w:rsidRPr="00843D18">
          <w:rPr>
            <w:rStyle w:val="Hyperlink"/>
          </w:rPr>
          <w:t>https://www.gilderlehrman.org</w:t>
        </w:r>
      </w:hyperlink>
      <w:r w:rsidR="00E72ACB">
        <w:t>&gt;</w:t>
      </w:r>
      <w:r>
        <w:t xml:space="preserve"> </w:t>
      </w:r>
      <w:r w:rsidR="00606886">
        <w:t>[</w:t>
      </w:r>
      <w:r>
        <w:t>accessed 26</w:t>
      </w:r>
      <w:r w:rsidR="00C57CD3">
        <w:t xml:space="preserve"> November 2023].</w:t>
      </w:r>
    </w:p>
  </w:footnote>
  <w:footnote w:id="9">
    <w:p w14:paraId="7251F32A" w14:textId="223CF590" w:rsidR="002620BD" w:rsidRDefault="002620BD" w:rsidP="002620BD">
      <w:pPr>
        <w:pStyle w:val="FootnoteText"/>
      </w:pPr>
      <w:r>
        <w:rPr>
          <w:rStyle w:val="FootnoteReference"/>
        </w:rPr>
        <w:footnoteRef/>
      </w:r>
      <w:r>
        <w:t xml:space="preserve"> </w:t>
      </w:r>
      <w:r w:rsidR="00606886">
        <w:t>I</w:t>
      </w:r>
      <w:r>
        <w:t>bid</w:t>
      </w:r>
      <w:r w:rsidR="00606886">
        <w:t>.</w:t>
      </w:r>
    </w:p>
  </w:footnote>
  <w:footnote w:id="10">
    <w:p w14:paraId="0C79FB0E" w14:textId="4194379E" w:rsidR="0018291B" w:rsidRDefault="0018291B" w:rsidP="0018291B">
      <w:pPr>
        <w:pStyle w:val="FootnoteText"/>
      </w:pPr>
      <w:r>
        <w:rPr>
          <w:rStyle w:val="FootnoteReference"/>
        </w:rPr>
        <w:footnoteRef/>
      </w:r>
      <w:r>
        <w:t xml:space="preserve"> </w:t>
      </w:r>
      <w:r w:rsidRPr="00C57CD3">
        <w:rPr>
          <w:i/>
          <w:iCs/>
        </w:rPr>
        <w:t>Olaudah Equiano, The Interesting Narrative of the Life of Olaudah Equiano</w:t>
      </w:r>
      <w:r w:rsidR="00606886" w:rsidRPr="00C57CD3">
        <w:rPr>
          <w:i/>
          <w:iCs/>
        </w:rPr>
        <w:t>, or Gustavus Vassa, the African,</w:t>
      </w:r>
      <w:r w:rsidR="00606886">
        <w:t xml:space="preserve"> 2018, Digireads.com Publishing</w:t>
      </w:r>
    </w:p>
  </w:footnote>
  <w:footnote w:id="11">
    <w:p w14:paraId="3EA0F5B8" w14:textId="31878A72" w:rsidR="0018291B" w:rsidRDefault="0018291B" w:rsidP="0018291B">
      <w:pPr>
        <w:pStyle w:val="FootnoteText"/>
      </w:pPr>
      <w:r>
        <w:rPr>
          <w:rStyle w:val="FootnoteReference"/>
        </w:rPr>
        <w:footnoteRef/>
      </w:r>
      <w:r>
        <w:t xml:space="preserve"> </w:t>
      </w:r>
      <w:r w:rsidRPr="00C57CD3">
        <w:rPr>
          <w:i/>
          <w:iCs/>
        </w:rPr>
        <w:t>The History of George Dale, a native of Africa 1790.</w:t>
      </w:r>
      <w:r>
        <w:t xml:space="preserve"> Transcript of the story of George Dale. National Records of Scotland reference</w:t>
      </w:r>
      <w:r w:rsidR="00C57CD3">
        <w:t xml:space="preserve">, </w:t>
      </w:r>
      <w:r>
        <w:t>GD50/235/6</w:t>
      </w:r>
      <w:r w:rsidR="00C57CD3">
        <w:t>,</w:t>
      </w:r>
      <w:r>
        <w:t xml:space="preserve"> </w:t>
      </w:r>
      <w:hyperlink w:history="1">
        <w:r w:rsidR="00C57CD3" w:rsidRPr="00843D18">
          <w:rPr>
            <w:rStyle w:val="Hyperlink"/>
          </w:rPr>
          <w:t xml:space="preserve">https://nrscotland.gov.uk </w:t>
        </w:r>
      </w:hyperlink>
      <w:r w:rsidR="00C57CD3">
        <w:t xml:space="preserve"> [accessed 21 November 2023].</w:t>
      </w:r>
    </w:p>
  </w:footnote>
  <w:footnote w:id="12">
    <w:p w14:paraId="3FFF5F12" w14:textId="546FCA8A" w:rsidR="0018291B" w:rsidRDefault="0018291B" w:rsidP="0018291B">
      <w:pPr>
        <w:pStyle w:val="FootnoteText"/>
      </w:pPr>
      <w:r>
        <w:rPr>
          <w:rStyle w:val="FootnoteReference"/>
        </w:rPr>
        <w:footnoteRef/>
      </w:r>
      <w:r>
        <w:t xml:space="preserve"> John Tosh, </w:t>
      </w:r>
      <w:r w:rsidRPr="00A174C5">
        <w:rPr>
          <w:i/>
          <w:iCs/>
        </w:rPr>
        <w:t>The Pursuit of History</w:t>
      </w:r>
      <w:r>
        <w:t xml:space="preserve">, </w:t>
      </w:r>
      <w:r w:rsidR="005D2905">
        <w:t>(</w:t>
      </w:r>
      <w:r w:rsidR="00C57CD3">
        <w:t xml:space="preserve">Abingdon: </w:t>
      </w:r>
      <w:r>
        <w:t>Routledge, 2015</w:t>
      </w:r>
      <w:r w:rsidR="00C57CD3">
        <w:t>)</w:t>
      </w:r>
      <w:r>
        <w:t>, p.77</w:t>
      </w:r>
      <w:r w:rsidR="00C57CD3">
        <w:t>.</w:t>
      </w:r>
    </w:p>
  </w:footnote>
  <w:footnote w:id="13">
    <w:p w14:paraId="1CA13214" w14:textId="77777777" w:rsidR="008B2F4A" w:rsidRPr="001F27C4" w:rsidRDefault="008B2F4A" w:rsidP="008B2F4A">
      <w:pPr>
        <w:pStyle w:val="FootnoteText"/>
      </w:pPr>
      <w:r>
        <w:rPr>
          <w:rStyle w:val="FootnoteReference"/>
        </w:rPr>
        <w:footnoteRef/>
      </w:r>
      <w:r>
        <w:t xml:space="preserve"> Manuel Barcia, </w:t>
      </w:r>
      <w:r>
        <w:rPr>
          <w:i/>
          <w:iCs/>
        </w:rPr>
        <w:t xml:space="preserve">The Yellow Demon of Fever: Fighting Disease in the Nineteenth Century Transatlantic Slave Trade, </w:t>
      </w:r>
      <w:r>
        <w:t>(Yale: University Press, 2020), p.1.</w:t>
      </w:r>
    </w:p>
  </w:footnote>
  <w:footnote w:id="14">
    <w:p w14:paraId="6F0ADDB6" w14:textId="45285410" w:rsidR="008B2F4A" w:rsidRDefault="008B2F4A" w:rsidP="008B2F4A">
      <w:pPr>
        <w:pStyle w:val="FootnoteText"/>
      </w:pPr>
      <w:r>
        <w:rPr>
          <w:rStyle w:val="FootnoteReference"/>
        </w:rPr>
        <w:footnoteRef/>
      </w:r>
      <w:r>
        <w:t xml:space="preserve"> </w:t>
      </w:r>
      <w:r w:rsidR="00C57CD3">
        <w:t>I</w:t>
      </w:r>
      <w:r>
        <w:t>bid</w:t>
      </w:r>
      <w:r w:rsidR="00C57CD3">
        <w:t>.</w:t>
      </w:r>
    </w:p>
  </w:footnote>
  <w:footnote w:id="15">
    <w:p w14:paraId="0A030DC6" w14:textId="74ABF00C" w:rsidR="00BC5D47" w:rsidRDefault="00BC5D47" w:rsidP="00BC5D47">
      <w:pPr>
        <w:pStyle w:val="FootnoteText"/>
      </w:pPr>
      <w:r>
        <w:rPr>
          <w:rStyle w:val="FootnoteReference"/>
        </w:rPr>
        <w:footnoteRef/>
      </w:r>
      <w:r>
        <w:t xml:space="preserve"> </w:t>
      </w:r>
      <w:r w:rsidR="00C57CD3">
        <w:t xml:space="preserve">James </w:t>
      </w:r>
      <w:r>
        <w:t>Walvin</w:t>
      </w:r>
      <w:r w:rsidR="00C57CD3">
        <w:t xml:space="preserve">, </w:t>
      </w:r>
      <w:r w:rsidR="00C57CD3" w:rsidRPr="00C57CD3">
        <w:rPr>
          <w:i/>
          <w:iCs/>
        </w:rPr>
        <w:t>The Zong, the law, a massacre and the end of slavery,</w:t>
      </w:r>
      <w:r w:rsidR="00C57CD3">
        <w:t xml:space="preserve"> (Yale: University Press, 2011),</w:t>
      </w:r>
      <w:r>
        <w:t xml:space="preserve"> p.2</w:t>
      </w:r>
      <w:r w:rsidR="00C57CD3">
        <w:t>.</w:t>
      </w:r>
    </w:p>
  </w:footnote>
  <w:footnote w:id="16">
    <w:p w14:paraId="7092760B" w14:textId="34249118" w:rsidR="00CC0F1A" w:rsidRDefault="00CC0F1A">
      <w:pPr>
        <w:pStyle w:val="FootnoteText"/>
      </w:pPr>
      <w:r>
        <w:rPr>
          <w:rStyle w:val="FootnoteReference"/>
        </w:rPr>
        <w:footnoteRef/>
      </w:r>
      <w:r>
        <w:t xml:space="preserve"> </w:t>
      </w:r>
      <w:r w:rsidR="00C57CD3">
        <w:t xml:space="preserve">The Transatlantic Slave Trade, </w:t>
      </w:r>
      <w:hyperlink r:id="rId5" w:history="1">
        <w:r w:rsidR="0092049F" w:rsidRPr="00843D18">
          <w:rPr>
            <w:rStyle w:val="Hyperlink"/>
          </w:rPr>
          <w:t>https://liverpoolmuseums.org.uk/international-slavery-museum</w:t>
        </w:r>
      </w:hyperlink>
      <w:r w:rsidR="0092049F">
        <w:t xml:space="preserve"> [accessed 28 November 2023].</w:t>
      </w:r>
    </w:p>
  </w:footnote>
  <w:footnote w:id="17">
    <w:p w14:paraId="59572201" w14:textId="105BF9FF" w:rsidR="00B6344B" w:rsidRDefault="00B6344B" w:rsidP="00B6344B">
      <w:pPr>
        <w:pStyle w:val="FootnoteText"/>
      </w:pPr>
      <w:r>
        <w:rPr>
          <w:rStyle w:val="FootnoteReference"/>
        </w:rPr>
        <w:footnoteRef/>
      </w:r>
      <w:r>
        <w:t xml:space="preserve"> Walvin</w:t>
      </w:r>
      <w:r w:rsidR="0092049F">
        <w:t xml:space="preserve">, </w:t>
      </w:r>
      <w:r>
        <w:t>p.2.</w:t>
      </w:r>
    </w:p>
  </w:footnote>
  <w:footnote w:id="18">
    <w:p w14:paraId="3D78ED9A" w14:textId="4901F6C8" w:rsidR="00B6344B" w:rsidRPr="0092049F" w:rsidRDefault="00B6344B" w:rsidP="00B6344B">
      <w:pPr>
        <w:pStyle w:val="FootnoteText"/>
      </w:pPr>
      <w:r>
        <w:rPr>
          <w:rStyle w:val="FootnoteReference"/>
        </w:rPr>
        <w:footnoteRef/>
      </w:r>
      <w:r>
        <w:t xml:space="preserve"> Rebecca Shumay, review of </w:t>
      </w:r>
      <w:r w:rsidRPr="0092049F">
        <w:rPr>
          <w:i/>
          <w:iCs/>
        </w:rPr>
        <w:t>The Zong: A Massacre, the law and the End of Slavery’</w:t>
      </w:r>
      <w:r>
        <w:t xml:space="preserve"> by James Walvin</w:t>
      </w:r>
      <w:r w:rsidR="0092049F">
        <w:t xml:space="preserve">, (2011), </w:t>
      </w:r>
      <w:r w:rsidR="0092049F" w:rsidRPr="0092049F">
        <w:rPr>
          <w:i/>
          <w:iCs/>
        </w:rPr>
        <w:t>History London</w:t>
      </w:r>
      <w:r w:rsidR="0092049F">
        <w:rPr>
          <w:i/>
          <w:iCs/>
        </w:rPr>
        <w:t>,</w:t>
      </w:r>
      <w:r w:rsidR="0092049F">
        <w:t xml:space="preserve"> 99 (334),</w:t>
      </w:r>
      <w:r w:rsidR="0092049F">
        <w:rPr>
          <w:i/>
          <w:iCs/>
        </w:rPr>
        <w:t xml:space="preserve"> </w:t>
      </w:r>
      <w:r w:rsidR="0092049F">
        <w:t>(2014), 184-186.</w:t>
      </w:r>
    </w:p>
  </w:footnote>
  <w:footnote w:id="19">
    <w:p w14:paraId="69525EC6" w14:textId="5B318DDF" w:rsidR="00B6344B" w:rsidRDefault="00B6344B" w:rsidP="00B6344B">
      <w:pPr>
        <w:pStyle w:val="FootnoteText"/>
      </w:pPr>
      <w:r>
        <w:rPr>
          <w:rStyle w:val="FootnoteReference"/>
        </w:rPr>
        <w:footnoteRef/>
      </w:r>
      <w:r>
        <w:t xml:space="preserve"> James Oldham, ‘Insurance Litigation Involving the Zong and Other British Slave Ships 1780-1807, </w:t>
      </w:r>
      <w:r w:rsidRPr="00253F3C">
        <w:rPr>
          <w:i/>
          <w:iCs/>
        </w:rPr>
        <w:t>J</w:t>
      </w:r>
      <w:r w:rsidR="00253F3C" w:rsidRPr="00253F3C">
        <w:rPr>
          <w:i/>
          <w:iCs/>
        </w:rPr>
        <w:t>ournal</w:t>
      </w:r>
      <w:r w:rsidRPr="00253F3C">
        <w:rPr>
          <w:i/>
          <w:iCs/>
        </w:rPr>
        <w:t xml:space="preserve"> </w:t>
      </w:r>
      <w:r w:rsidR="0092049F" w:rsidRPr="00253F3C">
        <w:rPr>
          <w:i/>
          <w:iCs/>
        </w:rPr>
        <w:t>o</w:t>
      </w:r>
      <w:r w:rsidRPr="00253F3C">
        <w:rPr>
          <w:i/>
          <w:iCs/>
        </w:rPr>
        <w:t>f legal history</w:t>
      </w:r>
      <w:r w:rsidRPr="0092049F">
        <w:t xml:space="preserve">, </w:t>
      </w:r>
      <w:r>
        <w:t>28</w:t>
      </w:r>
      <w:r w:rsidR="00253F3C">
        <w:t xml:space="preserve">, (2007), </w:t>
      </w:r>
      <w:r>
        <w:t xml:space="preserve">299-318.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688"/>
    <w:rsid w:val="00056573"/>
    <w:rsid w:val="00173EDC"/>
    <w:rsid w:val="0018291B"/>
    <w:rsid w:val="001D651D"/>
    <w:rsid w:val="001F2563"/>
    <w:rsid w:val="00246064"/>
    <w:rsid w:val="00253F3C"/>
    <w:rsid w:val="002620BD"/>
    <w:rsid w:val="002A45CF"/>
    <w:rsid w:val="002E6142"/>
    <w:rsid w:val="002F03DC"/>
    <w:rsid w:val="003920E8"/>
    <w:rsid w:val="00402AE2"/>
    <w:rsid w:val="00452688"/>
    <w:rsid w:val="004B5968"/>
    <w:rsid w:val="004D2C9C"/>
    <w:rsid w:val="004D4F66"/>
    <w:rsid w:val="00544603"/>
    <w:rsid w:val="005D2905"/>
    <w:rsid w:val="005F41B9"/>
    <w:rsid w:val="00606886"/>
    <w:rsid w:val="00634064"/>
    <w:rsid w:val="006E4DDE"/>
    <w:rsid w:val="007051E3"/>
    <w:rsid w:val="00713853"/>
    <w:rsid w:val="0080267F"/>
    <w:rsid w:val="008646F8"/>
    <w:rsid w:val="00880668"/>
    <w:rsid w:val="008875A3"/>
    <w:rsid w:val="00887E21"/>
    <w:rsid w:val="0089167C"/>
    <w:rsid w:val="00891E40"/>
    <w:rsid w:val="008B2F4A"/>
    <w:rsid w:val="0092049F"/>
    <w:rsid w:val="00923143"/>
    <w:rsid w:val="009618E5"/>
    <w:rsid w:val="0099649E"/>
    <w:rsid w:val="009E33F7"/>
    <w:rsid w:val="00A174C5"/>
    <w:rsid w:val="00A77AE4"/>
    <w:rsid w:val="00A93A74"/>
    <w:rsid w:val="00B43BF8"/>
    <w:rsid w:val="00B555D3"/>
    <w:rsid w:val="00B6344B"/>
    <w:rsid w:val="00BA5AD5"/>
    <w:rsid w:val="00BC5D47"/>
    <w:rsid w:val="00BE48A6"/>
    <w:rsid w:val="00BF3251"/>
    <w:rsid w:val="00C34FE2"/>
    <w:rsid w:val="00C57CD3"/>
    <w:rsid w:val="00C72587"/>
    <w:rsid w:val="00C85FC2"/>
    <w:rsid w:val="00C91888"/>
    <w:rsid w:val="00C93A3D"/>
    <w:rsid w:val="00CC0F1A"/>
    <w:rsid w:val="00CC451F"/>
    <w:rsid w:val="00CE1120"/>
    <w:rsid w:val="00D13106"/>
    <w:rsid w:val="00D815F8"/>
    <w:rsid w:val="00D93410"/>
    <w:rsid w:val="00DB4F77"/>
    <w:rsid w:val="00DC42CB"/>
    <w:rsid w:val="00E33580"/>
    <w:rsid w:val="00E51CE5"/>
    <w:rsid w:val="00E72ACB"/>
    <w:rsid w:val="00EE4516"/>
    <w:rsid w:val="00F74608"/>
    <w:rsid w:val="00F96AFC"/>
    <w:rsid w:val="00FF57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AB333C"/>
  <w15:chartTrackingRefBased/>
  <w15:docId w15:val="{31E131A9-B499-4B88-89AE-6C73A4DA92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BA5AD5"/>
    <w:pPr>
      <w:spacing w:after="0" w:line="240" w:lineRule="auto"/>
    </w:pPr>
    <w:rPr>
      <w:sz w:val="20"/>
      <w:szCs w:val="20"/>
    </w:rPr>
  </w:style>
  <w:style w:type="character" w:customStyle="1" w:styleId="FootnoteTextChar">
    <w:name w:val="Footnote Text Char"/>
    <w:basedOn w:val="DefaultParagraphFont"/>
    <w:link w:val="FootnoteText"/>
    <w:uiPriority w:val="99"/>
    <w:rsid w:val="00BA5AD5"/>
    <w:rPr>
      <w:sz w:val="20"/>
      <w:szCs w:val="20"/>
    </w:rPr>
  </w:style>
  <w:style w:type="character" w:styleId="FootnoteReference">
    <w:name w:val="footnote reference"/>
    <w:basedOn w:val="DefaultParagraphFont"/>
    <w:uiPriority w:val="99"/>
    <w:semiHidden/>
    <w:unhideWhenUsed/>
    <w:rsid w:val="00BA5AD5"/>
    <w:rPr>
      <w:vertAlign w:val="superscript"/>
    </w:rPr>
  </w:style>
  <w:style w:type="character" w:styleId="Hyperlink">
    <w:name w:val="Hyperlink"/>
    <w:basedOn w:val="DefaultParagraphFont"/>
    <w:uiPriority w:val="99"/>
    <w:unhideWhenUsed/>
    <w:rsid w:val="002620BD"/>
    <w:rPr>
      <w:color w:val="0563C1" w:themeColor="hyperlink"/>
      <w:u w:val="single"/>
    </w:rPr>
  </w:style>
  <w:style w:type="paragraph" w:styleId="Header">
    <w:name w:val="header"/>
    <w:basedOn w:val="Normal"/>
    <w:link w:val="HeaderChar"/>
    <w:uiPriority w:val="99"/>
    <w:unhideWhenUsed/>
    <w:rsid w:val="000565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6573"/>
  </w:style>
  <w:style w:type="paragraph" w:styleId="Footer">
    <w:name w:val="footer"/>
    <w:basedOn w:val="Normal"/>
    <w:link w:val="FooterChar"/>
    <w:uiPriority w:val="99"/>
    <w:unhideWhenUsed/>
    <w:rsid w:val="000565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6573"/>
  </w:style>
  <w:style w:type="character" w:styleId="UnresolvedMention">
    <w:name w:val="Unresolved Mention"/>
    <w:basedOn w:val="DefaultParagraphFont"/>
    <w:uiPriority w:val="99"/>
    <w:semiHidden/>
    <w:unhideWhenUsed/>
    <w:rsid w:val="002F03DC"/>
    <w:rPr>
      <w:color w:val="605E5C"/>
      <w:shd w:val="clear" w:color="auto" w:fill="E1DFDD"/>
    </w:rPr>
  </w:style>
  <w:style w:type="character" w:styleId="FollowedHyperlink">
    <w:name w:val="FollowedHyperlink"/>
    <w:basedOn w:val="DefaultParagraphFont"/>
    <w:uiPriority w:val="99"/>
    <w:semiHidden/>
    <w:unhideWhenUsed/>
    <w:rsid w:val="00D815F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uides.loc.gov/slavery-in-america"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lavevoyages.org"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liverpoolmuseums.org.uk/international-slavery-museum" TargetMode="External"/><Relationship Id="rId4" Type="http://schemas.openxmlformats.org/officeDocument/2006/relationships/webSettings" Target="webSettings.xml"/><Relationship Id="rId9" Type="http://schemas.openxmlformats.org/officeDocument/2006/relationships/hyperlink" Target="https://www.gilderlehrman.org"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liverpoolmuseums.org.uk/international-slavery-museum" TargetMode="External"/><Relationship Id="rId2" Type="http://schemas.openxmlformats.org/officeDocument/2006/relationships/hyperlink" Target="https://guides.loc.gov/slavery-in-america" TargetMode="External"/><Relationship Id="rId1" Type="http://schemas.openxmlformats.org/officeDocument/2006/relationships/hyperlink" Target="https://www.slavevoyages.org" TargetMode="External"/><Relationship Id="rId5" Type="http://schemas.openxmlformats.org/officeDocument/2006/relationships/hyperlink" Target="https://liverpoolmuseums.org.uk/international-slavery-museum" TargetMode="External"/><Relationship Id="rId4" Type="http://schemas.openxmlformats.org/officeDocument/2006/relationships/hyperlink" Target="https://www.gilderlehrman.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A1AF96-9DED-47C2-902F-8C7A7F18D6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1302</Words>
  <Characters>7425</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 Goatcher</dc:creator>
  <cp:keywords/>
  <dc:description/>
  <cp:lastModifiedBy>Joan Goatcher</cp:lastModifiedBy>
  <cp:revision>2</cp:revision>
  <dcterms:created xsi:type="dcterms:W3CDTF">2023-12-01T15:12:00Z</dcterms:created>
  <dcterms:modified xsi:type="dcterms:W3CDTF">2023-12-01T15:12:00Z</dcterms:modified>
</cp:coreProperties>
</file>