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5569FF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0B6E92">
              <w:rPr>
                <w:rFonts w:ascii="Arial" w:hAnsi="Arial" w:cs="Arial"/>
                <w:b/>
                <w:sz w:val="22"/>
                <w:szCs w:val="22"/>
              </w:rPr>
              <w:t>Jessica SOMERS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098F1B01" w:rsidR="003B3F9D" w:rsidRPr="009601B8" w:rsidRDefault="000B6E92" w:rsidP="001E57C1">
            <w:pPr>
              <w:spacing w:before="120" w:after="120"/>
              <w:jc w:val="both"/>
              <w:rPr>
                <w:rFonts w:ascii="Arial" w:hAnsi="Arial" w:cs="Arial"/>
                <w:b/>
                <w:sz w:val="22"/>
                <w:szCs w:val="22"/>
              </w:rPr>
            </w:pPr>
            <w:r>
              <w:rPr>
                <w:rFonts w:ascii="Arial" w:hAnsi="Arial" w:cs="Arial"/>
                <w:b/>
                <w:sz w:val="22"/>
                <w:szCs w:val="22"/>
              </w:rPr>
              <w:t>1910968</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F038D40" w:rsidR="00474229" w:rsidRPr="009601B8" w:rsidRDefault="00894D56"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894D56">
              <w:rPr>
                <w:rFonts w:ascii="Arial" w:eastAsia="Calibri" w:hAnsi="Arial" w:cs="Arial"/>
                <w:b/>
                <w:bCs/>
                <w:sz w:val="22"/>
                <w:szCs w:val="22"/>
                <w:vertAlign w:val="superscript"/>
              </w:rPr>
              <w:t>th</w:t>
            </w:r>
            <w:r>
              <w:rPr>
                <w:rFonts w:ascii="Arial" w:eastAsia="Calibri" w:hAnsi="Arial" w:cs="Arial"/>
                <w:b/>
                <w:bCs/>
                <w:sz w:val="22"/>
                <w:szCs w:val="22"/>
              </w:rPr>
              <w:t xml:space="preserve"> July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w:t>
      </w:r>
      <w:r w:rsidRPr="00454735">
        <w:rPr>
          <w:rFonts w:ascii="Calibri" w:eastAsia="Calibri" w:hAnsi="Calibri" w:cs="Calibri"/>
          <w:sz w:val="28"/>
          <w:szCs w:val="28"/>
        </w:rPr>
        <w:lastRenderedPageBreak/>
        <w:t xml:space="preserve">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lastRenderedPageBreak/>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B35E82">
          <w:headerReference w:type="even" r:id="rId12"/>
          <w:headerReference w:type="default" r:id="rId13"/>
          <w:footerReference w:type="even" r:id="rId14"/>
          <w:footerReference w:type="default" r:id="rId15"/>
          <w:headerReference w:type="first" r:id="rId16"/>
          <w:footerReference w:type="first" r:id="rId17"/>
          <w:pgSz w:w="11894" w:h="16834"/>
          <w:pgMar w:top="720" w:right="720" w:bottom="720" w:left="720" w:header="706" w:footer="454" w:gutter="0"/>
          <w:paperSrc w:first="1" w:other="1"/>
          <w:cols w:space="720"/>
          <w:titlePg/>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3C11A385" w14:textId="77777777" w:rsidR="000B6E92" w:rsidRDefault="000B6E92" w:rsidP="000B6E92">
      <w:pPr>
        <w:rPr>
          <w:rFonts w:ascii="Arial" w:hAnsi="Arial" w:cs="Arial"/>
          <w:b/>
          <w:i/>
          <w:u w:val="single"/>
        </w:rPr>
      </w:pPr>
    </w:p>
    <w:p w14:paraId="31DD9FB9" w14:textId="162C49A3" w:rsidR="000B6E92" w:rsidRPr="000B6E92" w:rsidRDefault="000B6E92" w:rsidP="00A15F22">
      <w:pPr>
        <w:spacing w:line="360" w:lineRule="auto"/>
        <w:rPr>
          <w:rFonts w:ascii="Arial" w:hAnsi="Arial" w:cs="Arial"/>
          <w:b/>
          <w:i/>
          <w:u w:val="single"/>
        </w:rPr>
      </w:pPr>
      <w:r w:rsidRPr="000B6E92">
        <w:rPr>
          <w:rFonts w:ascii="Arial" w:hAnsi="Arial" w:cs="Arial"/>
          <w:b/>
          <w:i/>
          <w:u w:val="single"/>
        </w:rPr>
        <w:t>Understanding the role of Constable/Maintaining Professional Standards</w:t>
      </w:r>
    </w:p>
    <w:p w14:paraId="1E455380"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Title 1: Critically evaluate the concept of ‘the professionalization of the police service’ considering how ‘Maintaining Professional Standards’ ‘ethical and inclusive’ and ‘Coaching and Mentoring’ approaches contribute to this.</w:t>
      </w:r>
    </w:p>
    <w:p w14:paraId="64A1206D" w14:textId="77777777" w:rsidR="000B6E92" w:rsidRPr="000B6E92" w:rsidRDefault="000B6E92" w:rsidP="00A15F22">
      <w:pPr>
        <w:spacing w:line="360" w:lineRule="auto"/>
        <w:rPr>
          <w:rFonts w:ascii="Arial" w:hAnsi="Arial" w:cs="Arial"/>
        </w:rPr>
      </w:pPr>
      <w:r w:rsidRPr="000B6E92">
        <w:rPr>
          <w:rFonts w:ascii="Arial" w:hAnsi="Arial" w:cs="Arial"/>
        </w:rPr>
        <w:t>In 2019 Police forces across England and Wales changed the entry routes for new police officers, this is because in 2016 the National Police Chiefs’ Council (NPCC) and Association of police and crime commissioners’ (APCC) released the Policing Vision 2025. This set out what police forces wanted to achieve over the next 10 years. “By 2025 policing will be a profession with a more representative workforce that will align the right skills, powers and experience to meet challenging requirements” (Policing vision 2025, 2016). This aim led to the need in change of entry requirements or on job training. As previously noted one element of a profession involves prolonged training and a formal qualification. Until 2019 the education requirements for the Police force were a minimum of C/Level 4 grades in English and Math in order to pass the entrance exams.</w:t>
      </w:r>
    </w:p>
    <w:p w14:paraId="1465E804" w14:textId="77777777" w:rsidR="000B6E92" w:rsidRPr="000B6E92" w:rsidRDefault="000B6E92" w:rsidP="00A15F22">
      <w:pPr>
        <w:spacing w:line="360" w:lineRule="auto"/>
        <w:rPr>
          <w:rFonts w:ascii="Arial" w:hAnsi="Arial" w:cs="Arial"/>
        </w:rPr>
      </w:pPr>
      <w:r w:rsidRPr="000B6E92">
        <w:rPr>
          <w:rFonts w:ascii="Arial" w:hAnsi="Arial" w:cs="Arial"/>
        </w:rPr>
        <w:t>The Police Constable Degree Apprenticeship (PDCA) is available for anyone who does not have a degree with no age dictation this takes three years to complete and entails a combination of work and studying with other education providers for example universities with continued assessment of academic and of the on the job work being undertaken. At the end of the approximate 3 years, successful completion of the apprenticeship will see the person gain a degree in professional policing practice. (College of policing,2018).</w:t>
      </w:r>
    </w:p>
    <w:p w14:paraId="2482A2F1" w14:textId="77777777" w:rsidR="000B6E92" w:rsidRPr="000B6E92" w:rsidRDefault="000B6E92" w:rsidP="00A15F22">
      <w:pPr>
        <w:spacing w:line="360" w:lineRule="auto"/>
        <w:rPr>
          <w:rFonts w:ascii="Arial" w:hAnsi="Arial" w:cs="Arial"/>
        </w:rPr>
      </w:pPr>
      <w:r w:rsidRPr="000B6E92">
        <w:rPr>
          <w:rFonts w:ascii="Arial" w:hAnsi="Arial" w:cs="Arial"/>
        </w:rPr>
        <w:t>The second entry route is the Degree Holder Entry Programme. This entry route allows for anyone who already has any degree in any subject to join the police force and follow a work based programme, supported by off the job learning and at the end of approximately 2 years you will gain a graduate diploma in professional policing practice. The assessment process is the same no matter which entry route is taken however the time on probation is shortened to 2 years as there is no need to complete a secondary degree. (College of policing,2019). This entry route recognizes that people may have originally wanted different career paths and changed to wanting to be in the police force accepting any degree subject as long as you have a grade 2:2 or above.</w:t>
      </w:r>
    </w:p>
    <w:p w14:paraId="42B1C7F3" w14:textId="77777777" w:rsidR="000B6E92" w:rsidRPr="000B6E92" w:rsidRDefault="000B6E92" w:rsidP="00A15F22">
      <w:pPr>
        <w:spacing w:line="360" w:lineRule="auto"/>
        <w:rPr>
          <w:rFonts w:ascii="Arial" w:hAnsi="Arial" w:cs="Arial"/>
        </w:rPr>
      </w:pPr>
      <w:r w:rsidRPr="000B6E92">
        <w:rPr>
          <w:rFonts w:ascii="Arial" w:hAnsi="Arial" w:cs="Arial"/>
        </w:rPr>
        <w:lastRenderedPageBreak/>
        <w:t>In south wales police this new entry system works along-side the already existing training to become a constable. Officers will complete a 6 month classroom based training where they complete 4, 2 hour, short answer exams which they must pass in order to continue on to pass out as a police constable. Once passed out the student will spend 12 weeks with a Tutor constable, these are officers who have experience as constables and have undergone training courses to help guide the new student. During these 12 weeks student officers will be with their tutor at all times and will try and attend all range of incidents that they may encounter when independent. The tutor constable will need to be satisfied that the student is competent in these area’s before signing them off independent, this is the occupational competency portfolio. This is all while the officer is also completing research based work books with questions based on policing totalling to approximately 10,000 words.</w:t>
      </w:r>
    </w:p>
    <w:p w14:paraId="39508B4C" w14:textId="77777777" w:rsidR="000B6E92" w:rsidRPr="000B6E92" w:rsidRDefault="000B6E92" w:rsidP="00A15F22">
      <w:pPr>
        <w:spacing w:line="360" w:lineRule="auto"/>
        <w:rPr>
          <w:rFonts w:ascii="Arial" w:hAnsi="Arial" w:cs="Arial"/>
        </w:rPr>
      </w:pPr>
      <w:r w:rsidRPr="000B6E92">
        <w:rPr>
          <w:rFonts w:ascii="Arial" w:hAnsi="Arial" w:cs="Arial"/>
        </w:rPr>
        <w:t xml:space="preserve">The positives of these new recruitment system mean that the officers written abilities should be developed by the end to a level 6/degree level. This is what the demand on response officers is deemed to be due to the complex nature of statements and other important forms and casefiles built by officers However it is important to note that the statements are written in a different style to what is expected of the university due to the clear and concise, factual need of statements. Research also shows that persons with a degree showed higher levels of critical thought (Punch, M. 2004) and professional standards which are key competency’s required by the police force.  </w:t>
      </w:r>
    </w:p>
    <w:p w14:paraId="61FCAA2A" w14:textId="77777777" w:rsidR="000B6E92" w:rsidRPr="000B6E92" w:rsidRDefault="000B6E92" w:rsidP="00A15F22">
      <w:pPr>
        <w:spacing w:line="360" w:lineRule="auto"/>
        <w:rPr>
          <w:rFonts w:ascii="Arial" w:hAnsi="Arial" w:cs="Arial"/>
        </w:rPr>
      </w:pPr>
      <w:r w:rsidRPr="000B6E92">
        <w:rPr>
          <w:rFonts w:ascii="Arial" w:hAnsi="Arial" w:cs="Arial"/>
        </w:rPr>
        <w:t>The difficulty that has been raised with this new concept to professionalise the police is also the demand on officers. Constables not only working a range of shifts including nights, are required to manage a workload like any other officer who has not completed the PCDA or DHEP and this means the demand on officers is more all while trying to learn the complex job that policing is. Officers are then expected to balance a full time job, full time university course and potential of family life. The ethical impact of this of preventing officers to having down time and stress release due to sheer demand has been brought into question.</w:t>
      </w:r>
    </w:p>
    <w:p w14:paraId="3518F901" w14:textId="77777777" w:rsidR="000B6E92" w:rsidRPr="000B6E92" w:rsidRDefault="000B6E92" w:rsidP="00A15F22">
      <w:pPr>
        <w:spacing w:line="360" w:lineRule="auto"/>
        <w:rPr>
          <w:rFonts w:ascii="Arial" w:hAnsi="Arial" w:cs="Arial"/>
        </w:rPr>
      </w:pPr>
      <w:r w:rsidRPr="000B6E92">
        <w:rPr>
          <w:rFonts w:ascii="Arial" w:hAnsi="Arial" w:cs="Arial"/>
        </w:rPr>
        <w:t>The inclusivity of this new professionalization can also be looked at when analysing its effectiveness. South Wales Police, the same as all police forces across the UK prides itself on being diverse and inclusive, wanting a force that is representative of the communities they police. If this is true then the question must be put that is having a degree actually representative of the community. With many communities across the country being considered areas of poverty this reduces the accessibility for young people to good educations including higher education to achieve a degree. This does not mean that these people would not make really good potential recruits simply because they have not achieved a degree. This is where the PCDA programme bridges the gap, allowing persons who may not have had university given to them as an option previously in life to gain one at the expense of the force. However, passing the courses is must in order to pass the probation period, there is currently no regard given for officers who may have glowing reviews from supervisors, provide excellent services to the community and even show potential for more specialist roles, but they may face dismissal due to the inability to pass the written work given by the university.</w:t>
      </w:r>
    </w:p>
    <w:p w14:paraId="1A157CD9" w14:textId="77777777" w:rsidR="000B6E92" w:rsidRPr="000B6E92" w:rsidRDefault="000B6E92" w:rsidP="00A15F22">
      <w:pPr>
        <w:spacing w:line="360" w:lineRule="auto"/>
        <w:rPr>
          <w:rFonts w:ascii="Arial" w:hAnsi="Arial" w:cs="Arial"/>
        </w:rPr>
      </w:pPr>
      <w:r w:rsidRPr="000B6E92">
        <w:rPr>
          <w:rFonts w:ascii="Arial" w:hAnsi="Arial" w:cs="Arial"/>
        </w:rPr>
        <w:t>The professionalization of police forces across England and Wales is still very new so research into its ongoing application is extremely important and it may take a few years and many intakes of new constables to really recognise the impact it will have on police forces.</w:t>
      </w:r>
    </w:p>
    <w:p w14:paraId="4563505F" w14:textId="77777777" w:rsidR="000B6E92" w:rsidRPr="000B6E92" w:rsidRDefault="000B6E92" w:rsidP="00A15F22">
      <w:pPr>
        <w:spacing w:line="360" w:lineRule="auto"/>
        <w:rPr>
          <w:rFonts w:ascii="Arial" w:hAnsi="Arial" w:cs="Arial"/>
          <w:b/>
          <w:i/>
          <w:u w:val="single"/>
        </w:rPr>
      </w:pPr>
      <w:r w:rsidRPr="000B6E92">
        <w:rPr>
          <w:rFonts w:ascii="Arial" w:hAnsi="Arial" w:cs="Arial"/>
          <w:b/>
          <w:u w:val="single"/>
        </w:rPr>
        <w:t>998.</w:t>
      </w:r>
    </w:p>
    <w:p w14:paraId="0E0F278E"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Community/Response Policing/Policing roads/Conducting Investigations /Digital Policing</w:t>
      </w:r>
    </w:p>
    <w:p w14:paraId="766D1A4C"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Title 2: Critically evaluate the role of the police in one of the following areas:</w:t>
      </w:r>
    </w:p>
    <w:p w14:paraId="5296B9CA"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w:t>
      </w:r>
      <w:r w:rsidRPr="000B6E92">
        <w:rPr>
          <w:rFonts w:ascii="Arial" w:hAnsi="Arial" w:cs="Arial"/>
          <w:b/>
          <w:i/>
          <w:u w:val="single"/>
        </w:rPr>
        <w:tab/>
        <w:t>Response policing (public perception and critical/major incidents)</w:t>
      </w:r>
    </w:p>
    <w:p w14:paraId="7B624EAD" w14:textId="77777777" w:rsidR="000B6E92" w:rsidRPr="000B6E92" w:rsidRDefault="000B6E92" w:rsidP="00A15F22">
      <w:pPr>
        <w:spacing w:line="360" w:lineRule="auto"/>
        <w:rPr>
          <w:rFonts w:ascii="Arial" w:hAnsi="Arial" w:cs="Arial"/>
        </w:rPr>
      </w:pPr>
      <w:r w:rsidRPr="000B6E92">
        <w:rPr>
          <w:rFonts w:ascii="Arial" w:hAnsi="Arial" w:cs="Arial"/>
        </w:rPr>
        <w:t>The perception that the public have of the police is one that is vitally important to allow officers to complete the job to the bed standard. A good working relationship between the police and the public means that officers can often obtain more information when at incidents due to the cooperation from the public, it often means that the public are also more inclined to give useful information on what is going on in their area that can often be developed into intelligence. The perception of police is managed by not only how we act and follow policies and procedures to ensure public confidence, including being held accountable for our actions via complaints procedures to PSD and independent investigations by the IOPC, but also as simple as how we dress. A simple uniform and presented smartly that is highly recognised worldwide, a uniform that must both be approachable and still authoritative in order to give the perception that the police provide safety and order. Sir Robert Peel who founded the first police force, the London Metropolitan, when he was Home Secretary between 1822 and 1827 is said to have stated “</w:t>
      </w:r>
      <w:r w:rsidRPr="000B6E92">
        <w:rPr>
          <w:rFonts w:ascii="Arial" w:hAnsi="Arial" w:cs="Arial"/>
          <w:i/>
        </w:rPr>
        <w:t xml:space="preserve">the police are the public and the public are the police”. </w:t>
      </w:r>
      <w:r w:rsidRPr="000B6E92">
        <w:rPr>
          <w:rFonts w:ascii="Arial" w:hAnsi="Arial" w:cs="Arial"/>
        </w:rPr>
        <w:t xml:space="preserve">This notion indicated how the police are simply members of our own society and representative of that and how also the public play such a significant role in both allowing, and helping response officers to do their job. In recent years the public perception of the police is one that is more difficult to maintain. It is often easily brought down by one incident rather than the many good things officers do on a daily basis. </w:t>
      </w:r>
    </w:p>
    <w:p w14:paraId="057129F4" w14:textId="77777777" w:rsidR="000B6E92" w:rsidRPr="000B6E92" w:rsidRDefault="000B6E92" w:rsidP="00A15F22">
      <w:pPr>
        <w:spacing w:line="360" w:lineRule="auto"/>
        <w:rPr>
          <w:rFonts w:ascii="Arial" w:hAnsi="Arial" w:cs="Arial"/>
        </w:rPr>
      </w:pPr>
      <w:r w:rsidRPr="000B6E92">
        <w:rPr>
          <w:rFonts w:ascii="Arial" w:hAnsi="Arial" w:cs="Arial"/>
        </w:rPr>
        <w:t xml:space="preserve">The ACPO definition of a critical incident is 'any incident where the effectiveness of the police response is likely to have a significant impact on the confidence of the victim, their family and/or the community'. All incidents that officers attend have the potential to become critical incidents and they can be escalations can occur from a number of types of incidents; from ASB, hate crime, public order or pre planned events to the more obvious incidents which result in serious injury or death. When responding to and managing critical incidents there are a number pieces of legislation, protocols and guidelines which are relevant depending on the specific nature of the incident itself.  Any officer should </w:t>
      </w:r>
      <w:r w:rsidRPr="000B6E92">
        <w:rPr>
          <w:rFonts w:ascii="Arial" w:hAnsi="Arial" w:cs="Arial"/>
        </w:rPr>
        <w:lastRenderedPageBreak/>
        <w:t>be able to recognise a critical incident and bring this to the attention of their sergeant however it is usually only the rank of Inspector or above that will declare a critical incident to prevent the over use of it. This is a positive action in preventing the dilution of critical incidents.</w:t>
      </w:r>
    </w:p>
    <w:p w14:paraId="616326B8" w14:textId="77777777" w:rsidR="000B6E92" w:rsidRPr="000B6E92" w:rsidRDefault="000B6E92" w:rsidP="00A15F22">
      <w:pPr>
        <w:spacing w:line="360" w:lineRule="auto"/>
        <w:rPr>
          <w:rFonts w:ascii="Arial" w:hAnsi="Arial" w:cs="Arial"/>
        </w:rPr>
      </w:pPr>
      <w:r w:rsidRPr="000B6E92">
        <w:rPr>
          <w:rFonts w:ascii="Arial" w:hAnsi="Arial" w:cs="Arial"/>
        </w:rPr>
        <w:t xml:space="preserve">For example; In the case of a reported hate crime, the victim is persecuted due to characteristic or group they belong to; this means that the effects may not only be caused to the victim but to the group or community involved resulting in the potential for it to develop into a critical incident. </w:t>
      </w:r>
      <w:r w:rsidRPr="000B6E92">
        <w:rPr>
          <w:rFonts w:ascii="Arial" w:hAnsi="Arial" w:cs="Arial"/>
          <w:u w:val="single"/>
        </w:rPr>
        <w:t>Section 28, Crime and Disorder Act 1998</w:t>
      </w:r>
      <w:r w:rsidRPr="000B6E92">
        <w:rPr>
          <w:rFonts w:ascii="Arial" w:hAnsi="Arial" w:cs="Arial"/>
        </w:rPr>
        <w:t xml:space="preserve"> allows for certain offences to be racially or religiously aggravated which increases the seriousness of the offence and the penalty associated with it. It is important that an officers actions taken with this incident are positive in order to achieve the best outcome to ensure that public confidence is maintained. This actions do not have to be of a grand nature but often as small as supporting the victim through what to them may feel very traumatic.</w:t>
      </w:r>
    </w:p>
    <w:p w14:paraId="33D139B6" w14:textId="77777777" w:rsidR="000B6E92" w:rsidRPr="000B6E92" w:rsidRDefault="000B6E92" w:rsidP="00A15F22">
      <w:pPr>
        <w:spacing w:line="360" w:lineRule="auto"/>
        <w:rPr>
          <w:rFonts w:ascii="Arial" w:hAnsi="Arial" w:cs="Arial"/>
        </w:rPr>
      </w:pPr>
      <w:r w:rsidRPr="000B6E92">
        <w:rPr>
          <w:rFonts w:ascii="Arial" w:hAnsi="Arial" w:cs="Arial"/>
        </w:rPr>
        <w:t>In order to ensure this is done South Wales Police have a Hate crime/ Hate incident policy which provides victims with an enhanced service. This also includes making sure that risk assessments are completed by officers to manage the incident and place an assessment on how likely this is to occur again, or place the individual at harm. A positive of these actions by officers is that the Risk assessment is done by officers on the internal local policing system meaning that supervisors and other specialist departments can access it. However, although this is policy to complete, human error may mean these haven’t been completed, or lack of experience may mean that an officer does not input the gravity of the incident.</w:t>
      </w:r>
    </w:p>
    <w:p w14:paraId="7C9FBEED" w14:textId="77777777" w:rsidR="000B6E92" w:rsidRPr="000B6E92" w:rsidRDefault="000B6E92" w:rsidP="00A15F22">
      <w:pPr>
        <w:spacing w:line="360" w:lineRule="auto"/>
        <w:rPr>
          <w:rFonts w:ascii="Arial" w:hAnsi="Arial" w:cs="Arial"/>
        </w:rPr>
      </w:pPr>
      <w:r w:rsidRPr="000B6E92">
        <w:rPr>
          <w:rFonts w:ascii="Arial" w:hAnsi="Arial" w:cs="Arial"/>
        </w:rPr>
        <w:t>Other incidents that will have an impact on public perception is Major incidents, these by nature of the name are likely to have a wide impact on public perception of police. A major incident is any emergency that requires the implementation of special arrangements by one or more of the emergency services, and generally includes the involvement, either directly or indirectly or large number of people. Major incidents often have a large presence of police and other agencies and this can often be concerning for the public and with the modern day use of social media images of such incidents now have the potential to reach much wider than the direct community. South Wales Police had recognised this and so often will use social media to an advantage with these incidents by giving some reassurance to the public by posting on social media and recognising that the public may want some information, this has often had a positive response and allows for another avenue of engagement with officers.</w:t>
      </w:r>
    </w:p>
    <w:p w14:paraId="176C72B3" w14:textId="77777777" w:rsidR="000B6E92" w:rsidRPr="000B6E92" w:rsidRDefault="000B6E92" w:rsidP="00A15F22">
      <w:pPr>
        <w:spacing w:line="360" w:lineRule="auto"/>
        <w:rPr>
          <w:rFonts w:ascii="Arial" w:hAnsi="Arial" w:cs="Arial"/>
        </w:rPr>
      </w:pPr>
      <w:r w:rsidRPr="000B6E92">
        <w:rPr>
          <w:rFonts w:ascii="Arial" w:hAnsi="Arial" w:cs="Arial"/>
        </w:rPr>
        <w:t>Major incidents are likely to come under a lot of scrutiny due to the impact they have on multiple services and so it is recognised that organisation is key in these incidents and this often comes from the right information being shared early. METHANE is now the recognised model for passing incident information between services and their control rooms. All services have used similar models for passing information in the past, but METHANE has instigated the use of a common model that means information is shared in a consistent way, quickly and easily between emergency service providers. METHANE; Major Incident Declared, Exact location, Type of incident, Hazards, Access, Number and type of casualties, Emergency services present and required. (JESIP,2021). By using this effective model to deal with these incidents, the response time and the time it takes to manage and deal with this incidents is shorter. With an efficient and effective response from emergency services the public is witness to this and this often can help to maintain public confidence.</w:t>
      </w:r>
    </w:p>
    <w:p w14:paraId="36790662" w14:textId="77777777" w:rsidR="000B6E92" w:rsidRPr="000B6E92" w:rsidRDefault="000B6E92" w:rsidP="00A15F22">
      <w:pPr>
        <w:spacing w:line="360" w:lineRule="auto"/>
        <w:rPr>
          <w:rFonts w:ascii="Arial" w:hAnsi="Arial" w:cs="Arial"/>
          <w:b/>
          <w:u w:val="single"/>
        </w:rPr>
      </w:pPr>
      <w:r w:rsidRPr="000B6E92">
        <w:rPr>
          <w:rFonts w:ascii="Arial" w:hAnsi="Arial" w:cs="Arial"/>
          <w:b/>
          <w:u w:val="single"/>
        </w:rPr>
        <w:t>1042.</w:t>
      </w:r>
    </w:p>
    <w:p w14:paraId="5BF6B0C5" w14:textId="77777777" w:rsidR="000B6E92" w:rsidRPr="000B6E92" w:rsidRDefault="000B6E92" w:rsidP="00A15F22">
      <w:pPr>
        <w:spacing w:line="360" w:lineRule="auto"/>
        <w:rPr>
          <w:rFonts w:ascii="Arial" w:hAnsi="Arial" w:cs="Arial"/>
          <w:b/>
          <w:i/>
          <w:u w:val="single"/>
        </w:rPr>
      </w:pPr>
    </w:p>
    <w:p w14:paraId="21E8673C"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Information and Intelligence/Communication Skills</w:t>
      </w:r>
    </w:p>
    <w:p w14:paraId="6BCD3153"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Title 3: Critically evaluate the methods used by police in gathering information and intelligence, how information contributes to the ‘tasking and coordinating’ process and how information and intelligence is communicated.</w:t>
      </w:r>
    </w:p>
    <w:p w14:paraId="39EA36C3" w14:textId="77777777" w:rsidR="000B6E92" w:rsidRPr="000B6E92" w:rsidRDefault="000B6E92" w:rsidP="00A15F22">
      <w:pPr>
        <w:spacing w:line="360" w:lineRule="auto"/>
        <w:rPr>
          <w:rFonts w:ascii="Arial" w:hAnsi="Arial" w:cs="Arial"/>
        </w:rPr>
      </w:pPr>
      <w:r w:rsidRPr="000B6E92">
        <w:rPr>
          <w:rFonts w:ascii="Arial" w:hAnsi="Arial" w:cs="Arial"/>
        </w:rPr>
        <w:t>Information can take many forms and is gathered in a raw format by attending officers, it can be anything that an officer perceives relevant to a policing purpose. Intelligence is information that has been subject to a defined evaluation and risk assessment process in order to assist police decision making and is not necessarily evidential in its self but can be used to provide a wider picture. Intelligence can come from a range of sources including but not limited to Police generated intelligence, first hand, seen and submitted by officers.</w:t>
      </w:r>
    </w:p>
    <w:p w14:paraId="6943A92F" w14:textId="77777777" w:rsidR="000B6E92" w:rsidRPr="000B6E92" w:rsidRDefault="000B6E92" w:rsidP="00A15F22">
      <w:pPr>
        <w:spacing w:line="360" w:lineRule="auto"/>
        <w:rPr>
          <w:rFonts w:ascii="Arial" w:hAnsi="Arial" w:cs="Arial"/>
        </w:rPr>
      </w:pPr>
      <w:r w:rsidRPr="000B6E92">
        <w:rPr>
          <w:rFonts w:ascii="Arial" w:hAnsi="Arial" w:cs="Arial"/>
        </w:rPr>
        <w:t>The intelligence is then graded and given a numerical rating of reliability using the 3x5x2 model. This numerical rating is based on the reliability of the source and whether the intelligence has tested or untested. This reliability is in relation to the source although the source may be recorded the person who is the source of the information but not be identified in the main body of the intelligence when submitted and forces must have measures to prevent the source of the information being revealed. The numerical rating, the 2 from the model, related to how the intelligence should be handled and shared by forces. Quality assured information and intelligence is then disseminated to other forces. Intelligence may also have be developed from vehicles from a previous incident or multiple incidents.</w:t>
      </w:r>
    </w:p>
    <w:p w14:paraId="63BE61D0" w14:textId="77777777" w:rsidR="000B6E92" w:rsidRPr="000B6E92" w:rsidRDefault="000B6E92" w:rsidP="00A15F22">
      <w:pPr>
        <w:spacing w:line="360" w:lineRule="auto"/>
        <w:rPr>
          <w:rFonts w:ascii="Arial" w:hAnsi="Arial" w:cs="Arial"/>
        </w:rPr>
      </w:pPr>
      <w:r w:rsidRPr="000B6E92">
        <w:rPr>
          <w:rFonts w:ascii="Arial" w:hAnsi="Arial" w:cs="Arial"/>
        </w:rPr>
        <w:t xml:space="preserve">Gathering intelligence can be broken down into two main methods, these are Covert and Overt. Covert intelligence gathering, as the name suggests is when the subject the intelligence is gathered from does not know. This can be done by various means and must follow strict guidelines so as not to entrap people or put people providing the intelligence at risk of harm. In 2021 a bill was passed in parliament to regulate and set out guidelines for covert intelligence gathering, </w:t>
      </w:r>
      <w:r w:rsidRPr="000B6E92">
        <w:rPr>
          <w:rFonts w:ascii="Arial" w:hAnsi="Arial" w:cs="Arial"/>
          <w:i/>
          <w:u w:val="single"/>
        </w:rPr>
        <w:t xml:space="preserve">Covert Human Intelligence Sources (Criminal Conduct) Act 2021. </w:t>
      </w:r>
      <w:r w:rsidRPr="000B6E92">
        <w:rPr>
          <w:rFonts w:ascii="Arial" w:hAnsi="Arial" w:cs="Arial"/>
        </w:rPr>
        <w:t xml:space="preserve">This act also set out what laws may be broken by a Covert intelligence source (CHIS) that they cannot then be prosecuted for. It is important to not though this is in relation to CHIS’ that are usually government officers, police or Military intelligence officers. CHIS’ can also be members of society/public who may have been or are known by police to still be involved in crime at a low level that report back to handlers or police officers information at a much lower and local level than government </w:t>
      </w:r>
      <w:r w:rsidRPr="000B6E92">
        <w:rPr>
          <w:rFonts w:ascii="Arial" w:hAnsi="Arial" w:cs="Arial"/>
        </w:rPr>
        <w:lastRenderedPageBreak/>
        <w:t>employed CHIS. Regardless of which there are both advantages and disadvantages to using CHIS’, benefits usually relate to the reliability of the intelligence. As the informant does not know the information is being passed to police and they have some level of trust in that person, the quality of that intelligence can be higher. However there is an increased risk of harm when using a CHIS, should a CHIS be discovered as reporting to the police they may be at risk of physical harm or other repercussions.</w:t>
      </w:r>
    </w:p>
    <w:p w14:paraId="19BB5E6D" w14:textId="77777777" w:rsidR="000B6E92" w:rsidRPr="000B6E92" w:rsidRDefault="000B6E92" w:rsidP="00A15F22">
      <w:pPr>
        <w:spacing w:line="360" w:lineRule="auto"/>
        <w:rPr>
          <w:rFonts w:ascii="Arial" w:hAnsi="Arial" w:cs="Arial"/>
        </w:rPr>
      </w:pPr>
      <w:r w:rsidRPr="000B6E92">
        <w:rPr>
          <w:rFonts w:ascii="Arial" w:hAnsi="Arial" w:cs="Arial"/>
        </w:rPr>
        <w:t xml:space="preserve">Other forms of covert intelligence gathering may include surveillance. This may take the form of officers covertly </w:t>
      </w:r>
      <w:bookmarkStart w:id="6" w:name="_GoBack"/>
      <w:bookmarkEnd w:id="6"/>
      <w:r w:rsidRPr="000B6E92">
        <w:rPr>
          <w:rFonts w:ascii="Arial" w:hAnsi="Arial" w:cs="Arial"/>
        </w:rPr>
        <w:t xml:space="preserve">monitoring a person or place of interest directly e.g. following, sitting outside premises or via electronic means such as microphones or camera’s that can monitor these persons or places of interest to police. Covert surveillance is heavily legislated with what officers can and can’t do due to the impact a persons’ humans rights such as </w:t>
      </w:r>
      <w:r w:rsidRPr="000B6E92">
        <w:rPr>
          <w:rFonts w:ascii="Arial" w:hAnsi="Arial" w:cs="Arial"/>
          <w:u w:val="single"/>
        </w:rPr>
        <w:t>Article 8 a persons right to private life</w:t>
      </w:r>
      <w:r w:rsidRPr="000B6E92">
        <w:rPr>
          <w:rFonts w:ascii="Arial" w:hAnsi="Arial" w:cs="Arial"/>
        </w:rPr>
        <w:t xml:space="preserve"> that are set out in </w:t>
      </w:r>
      <w:r w:rsidRPr="000B6E92">
        <w:rPr>
          <w:rFonts w:ascii="Arial" w:hAnsi="Arial" w:cs="Arial"/>
          <w:i/>
          <w:u w:val="single"/>
        </w:rPr>
        <w:t xml:space="preserve">European Convention on Human Rights (ECHR) </w:t>
      </w:r>
      <w:r w:rsidRPr="000B6E92">
        <w:rPr>
          <w:rFonts w:ascii="Arial" w:hAnsi="Arial" w:cs="Arial"/>
        </w:rPr>
        <w:t>and then entrenched in UK law by</w:t>
      </w:r>
      <w:r w:rsidRPr="000B6E92">
        <w:rPr>
          <w:rFonts w:ascii="Arial" w:hAnsi="Arial" w:cs="Arial"/>
          <w:i/>
          <w:u w:val="single"/>
        </w:rPr>
        <w:t xml:space="preserve"> Human Rights Act 1998 (HRA).</w:t>
      </w:r>
      <w:r w:rsidRPr="000B6E92">
        <w:rPr>
          <w:rFonts w:ascii="Arial" w:hAnsi="Arial" w:cs="Arial"/>
        </w:rPr>
        <w:t xml:space="preserve">  Two of the main legislations that are considered when planning and conducting surveillance are </w:t>
      </w:r>
      <w:r w:rsidRPr="000B6E92">
        <w:rPr>
          <w:rFonts w:ascii="Arial" w:hAnsi="Arial" w:cs="Arial"/>
          <w:i/>
          <w:u w:val="single"/>
        </w:rPr>
        <w:t xml:space="preserve">Regulation of Investigatory Powers Act 2000 (RIPA) </w:t>
      </w:r>
      <w:r w:rsidRPr="000B6E92">
        <w:rPr>
          <w:rFonts w:ascii="Arial" w:hAnsi="Arial" w:cs="Arial"/>
        </w:rPr>
        <w:t>and the</w:t>
      </w:r>
      <w:r w:rsidRPr="000B6E92">
        <w:rPr>
          <w:rFonts w:ascii="Arial" w:hAnsi="Arial" w:cs="Arial"/>
          <w:i/>
          <w:u w:val="single"/>
        </w:rPr>
        <w:t xml:space="preserve"> General Data Protection Regulation (GDPR).</w:t>
      </w:r>
      <w:r w:rsidRPr="000B6E92">
        <w:rPr>
          <w:rFonts w:ascii="Arial" w:hAnsi="Arial" w:cs="Arial"/>
        </w:rPr>
        <w:t xml:space="preserve">RIPA looks to make sure that all covert investigations are both proportionate and necessary to the investigation, these guidelines are a positive step in maintaining the legality, safety and integrity of investigations.  </w:t>
      </w:r>
    </w:p>
    <w:p w14:paraId="44224AB9" w14:textId="77777777" w:rsidR="000B6E92" w:rsidRPr="000B6E92" w:rsidRDefault="000B6E92" w:rsidP="00A15F22">
      <w:pPr>
        <w:spacing w:line="360" w:lineRule="auto"/>
        <w:rPr>
          <w:rFonts w:ascii="Arial" w:hAnsi="Arial" w:cs="Arial"/>
        </w:rPr>
      </w:pPr>
      <w:r w:rsidRPr="000B6E92">
        <w:rPr>
          <w:rFonts w:ascii="Arial" w:hAnsi="Arial" w:cs="Arial"/>
        </w:rPr>
        <w:t>Overt intelligence gathering is much more common and often can be done all the way from a local level up. Overt intelligence can come first hand from police officers which is reliable by nature but can also come from members of the public which although would still go through the 3x5x2 model to test reliability it may be malicious therefore reducing the reliability. Another disadvantage to overt intelligence if a source knows that the information has been passed to police they could quickly change it an example of this could be the location of a cannabis farm. If the subject of the intelligence find out that police have been making enquiries into a location that is a cannabis farm they could quickly take it down and move it somewhere else destroying any evidence.</w:t>
      </w:r>
    </w:p>
    <w:p w14:paraId="72996DDA" w14:textId="77777777" w:rsidR="000B6E92" w:rsidRPr="000B6E92" w:rsidRDefault="000B6E92" w:rsidP="00A15F22">
      <w:pPr>
        <w:spacing w:line="360" w:lineRule="auto"/>
        <w:rPr>
          <w:rFonts w:ascii="Arial" w:hAnsi="Arial" w:cs="Arial"/>
        </w:rPr>
      </w:pPr>
      <w:r w:rsidRPr="000B6E92">
        <w:rPr>
          <w:rFonts w:ascii="Arial" w:hAnsi="Arial" w:cs="Arial"/>
        </w:rPr>
        <w:t>Information and intelligence sharing between police forces and other agencies across the UK is something that has been criticized in the past. For example a serious case review was conducted into the death of 17 month old Peter Connelly (Baby P) where it was deemed that lack of information sharing between police, social services and health care was detrimental and significant role in his death.(HMRC Department for Education, 2010). One of the most common ways for information to be shared across police forces in the UK is the Police National Computer (PNC). PNC is a system that stores and shares criminal records information across the UK. Before ACRO [created PNC], agencies relied on police forces to facilitate their requests. By centralising this work, “ACRO has made it more efficient, provided a consistent delivery and reduced the burden on forces” (ACRO. UNKOWN). This is contrary to local computer systems for example South Wales Police use NICHE that may store information on a person from the contact that South Wales Police officers have had in their area but will not include contact from other force area’s who do not use the system, this could potentially allow for a person wanted for an offence but not yet shared on PNC to be seen and stopped by officers but let go due to lack of data sharing, showing some let downs in information sharing.</w:t>
      </w:r>
    </w:p>
    <w:p w14:paraId="03182B73"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1010.</w:t>
      </w:r>
    </w:p>
    <w:p w14:paraId="514799F1" w14:textId="77777777" w:rsidR="000B6E92" w:rsidRPr="000B6E92" w:rsidRDefault="000B6E92" w:rsidP="00A15F22">
      <w:pPr>
        <w:spacing w:line="360" w:lineRule="auto"/>
        <w:rPr>
          <w:rFonts w:ascii="Arial" w:hAnsi="Arial" w:cs="Arial"/>
        </w:rPr>
      </w:pPr>
    </w:p>
    <w:p w14:paraId="42E9911D"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Public Protection</w:t>
      </w:r>
    </w:p>
    <w:p w14:paraId="1570D8DC" w14:textId="32ACEF8E" w:rsidR="000B6E92" w:rsidRDefault="000B6E92" w:rsidP="00A15F22">
      <w:pPr>
        <w:spacing w:line="360" w:lineRule="auto"/>
        <w:rPr>
          <w:rFonts w:ascii="Arial" w:hAnsi="Arial" w:cs="Arial"/>
          <w:b/>
          <w:i/>
          <w:u w:val="single"/>
        </w:rPr>
      </w:pPr>
      <w:r w:rsidRPr="000B6E92">
        <w:rPr>
          <w:rFonts w:ascii="Arial" w:hAnsi="Arial" w:cs="Arial"/>
          <w:b/>
          <w:i/>
          <w:u w:val="single"/>
        </w:rPr>
        <w:t>Title 4: 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w:t>
      </w:r>
    </w:p>
    <w:p w14:paraId="2F6ED628" w14:textId="5ADE96E2" w:rsidR="008D308A" w:rsidRDefault="008D308A" w:rsidP="00A15F22">
      <w:pPr>
        <w:spacing w:line="360" w:lineRule="auto"/>
        <w:rPr>
          <w:rFonts w:ascii="Arial" w:hAnsi="Arial" w:cs="Arial"/>
          <w:b/>
          <w:i/>
          <w:u w:val="single"/>
        </w:rPr>
      </w:pPr>
    </w:p>
    <w:p w14:paraId="0CC97253" w14:textId="77777777" w:rsidR="00A17235" w:rsidRDefault="00853319" w:rsidP="00A15F22">
      <w:pPr>
        <w:spacing w:line="360" w:lineRule="auto"/>
        <w:rPr>
          <w:rFonts w:ascii="Arial" w:hAnsi="Arial" w:cs="Arial"/>
        </w:rPr>
      </w:pPr>
      <w:r>
        <w:rPr>
          <w:rFonts w:ascii="Arial" w:hAnsi="Arial" w:cs="Arial"/>
        </w:rPr>
        <w:t>Protecting the public from harm is the number one role that a Police Officer does. How this is done however differs from incident to incident depending on the demands and the vulne</w:t>
      </w:r>
      <w:r w:rsidR="00A17235">
        <w:rPr>
          <w:rFonts w:ascii="Arial" w:hAnsi="Arial" w:cs="Arial"/>
        </w:rPr>
        <w:t>rability of that member of the</w:t>
      </w:r>
      <w:r>
        <w:rPr>
          <w:rFonts w:ascii="Arial" w:hAnsi="Arial" w:cs="Arial"/>
        </w:rPr>
        <w:t xml:space="preserve"> public. </w:t>
      </w:r>
      <w:r w:rsidR="00A17235">
        <w:rPr>
          <w:rFonts w:ascii="Arial" w:hAnsi="Arial" w:cs="Arial"/>
        </w:rPr>
        <w:t>Recognising the needs and support a victim needs early can be helpful in the overall investigation. Sometimes this also means helping a person to recognise that they actually are a victim. The connotation of being a victim to some people can be hard to accept, a person may believe that by identifying as a victim of a crime they are weaker or unable to protect themselves and this conflicting attitude can cause for them not to want to pursue action against offenders. An example of this is in Domestic Violence/Abuse cases. The victim although suffering abuse due to the personal connection or relationship with that person may not actually be able to identify the abusive behaviour for themselves and it can sometimes take an outside influence to recognise this. This is often where police officers must make sure to take an overall unbiased approach to the investigation and advocate for the victims.</w:t>
      </w:r>
    </w:p>
    <w:p w14:paraId="284F4A3F" w14:textId="1C5A1C43" w:rsidR="00853319" w:rsidRDefault="00A17235" w:rsidP="00A15F22">
      <w:pPr>
        <w:spacing w:line="360" w:lineRule="auto"/>
        <w:rPr>
          <w:rFonts w:ascii="Arial" w:hAnsi="Arial" w:cs="Arial"/>
        </w:rPr>
      </w:pPr>
      <w:r>
        <w:rPr>
          <w:rFonts w:ascii="Arial" w:hAnsi="Arial" w:cs="Arial"/>
        </w:rPr>
        <w:t>When a person becomes a victim of crime they may have been subject to physical or materialistic harm however it is important to note the psychological impact of this also</w:t>
      </w:r>
      <w:r w:rsidR="000A0981">
        <w:rPr>
          <w:rFonts w:ascii="Arial" w:hAnsi="Arial" w:cs="Arial"/>
        </w:rPr>
        <w:t>, this can be shown through mental health issues such as anxiety or depression or sometimes even physically through stress related illness’</w:t>
      </w:r>
      <w:r>
        <w:rPr>
          <w:rFonts w:ascii="Arial" w:hAnsi="Arial" w:cs="Arial"/>
        </w:rPr>
        <w:t xml:space="preserve">. </w:t>
      </w:r>
      <w:r w:rsidRPr="00A17235">
        <w:rPr>
          <w:rFonts w:ascii="Arial" w:hAnsi="Arial" w:cs="Arial"/>
        </w:rPr>
        <w:t>The Ministry of Justice set out a report of Victims strategy (2018) with commitments to improve support for all victims of crime, whether or not they were they reported the crime and to improve the support offered to victims of crime with actions from multiple agencies including the police, courts, Crown Prosecution Service and other agencies involved in the justice system. The victim’s strategy was a criminal justice system wide response to improving the support offered to victims of crime and incorporates actions from all criminal justice agencies, including the police, CPS and courts</w:t>
      </w:r>
      <w:r w:rsidR="003F6383">
        <w:rPr>
          <w:rFonts w:ascii="Arial" w:hAnsi="Arial" w:cs="Arial"/>
        </w:rPr>
        <w:t>. Keeping Victims at the heart of the investigation and giving “an enhanced service” is key to helping minimise the impact on victims, this is as small as keeping the victim regularly up to date with the investigation in a way they wish to be contacted, offering the opportunity to complete a victim personal statement that can be read in court, this statement goes alongside an evidential statement and allows the victim to discuss the impact that this crime has had on them and allow a Magistrate of Jury to consider that impact when making decision in court.</w:t>
      </w:r>
    </w:p>
    <w:p w14:paraId="2898AF2A" w14:textId="63272233" w:rsidR="003F6383" w:rsidRDefault="003F6383" w:rsidP="00A15F22">
      <w:pPr>
        <w:spacing w:line="360" w:lineRule="auto"/>
        <w:rPr>
          <w:rFonts w:ascii="Arial" w:hAnsi="Arial" w:cs="Arial"/>
        </w:rPr>
      </w:pPr>
      <w:r>
        <w:rPr>
          <w:rFonts w:ascii="Arial" w:hAnsi="Arial" w:cs="Arial"/>
        </w:rPr>
        <w:t>Sharing data with other agencies is also a key step in supporting victims of abuse. A Public Protection Notification Report (PPN) can be submitted by officers after attending any incident where they feel a person if potentially vulnerable or at risk of further harm, this referral is shared with relevant partner agencies such as health boards, social services and even charities to help provide a tailored support system for that person.</w:t>
      </w:r>
      <w:r w:rsidR="000A0981">
        <w:rPr>
          <w:rFonts w:ascii="Arial" w:hAnsi="Arial" w:cs="Arial"/>
        </w:rPr>
        <w:t xml:space="preserve"> </w:t>
      </w:r>
      <w:r>
        <w:rPr>
          <w:rFonts w:ascii="Arial" w:hAnsi="Arial" w:cs="Arial"/>
        </w:rPr>
        <w:t>The outcome of this data sharing could be pivotal to the support of prosecution of an offender that a victim may.</w:t>
      </w:r>
    </w:p>
    <w:p w14:paraId="1AB42E4B" w14:textId="77777777" w:rsidR="00317003" w:rsidRDefault="003F6383" w:rsidP="00A15F22">
      <w:pPr>
        <w:spacing w:line="360" w:lineRule="auto"/>
        <w:rPr>
          <w:rFonts w:ascii="Helvetica" w:hAnsi="Helvetica"/>
          <w:shd w:val="clear" w:color="auto" w:fill="FFFFFF"/>
        </w:rPr>
      </w:pPr>
      <w:r>
        <w:rPr>
          <w:rFonts w:ascii="Arial" w:hAnsi="Arial" w:cs="Arial"/>
        </w:rPr>
        <w:t>Data sharing through agencies in order to protect the public is vital. Incidents where the lack of information sharing have proven to be detrimental have unfortunately been seen in cases for example; the death of 17 month old Peter Connelly (Baby P)</w:t>
      </w:r>
      <w:r w:rsidR="00317003">
        <w:rPr>
          <w:rFonts w:ascii="Arial" w:hAnsi="Arial" w:cs="Arial"/>
        </w:rPr>
        <w:t xml:space="preserve"> who dies august 2007 after suffering serious physical abuse</w:t>
      </w:r>
      <w:r>
        <w:rPr>
          <w:rFonts w:ascii="Arial" w:hAnsi="Arial" w:cs="Arial"/>
        </w:rPr>
        <w:t xml:space="preserve"> went under a serious case review where it was </w:t>
      </w:r>
      <w:r w:rsidR="00317003">
        <w:rPr>
          <w:rFonts w:ascii="Arial" w:hAnsi="Arial" w:cs="Arial"/>
        </w:rPr>
        <w:t>found that “</w:t>
      </w:r>
      <w:r w:rsidR="00317003" w:rsidRPr="00317003">
        <w:rPr>
          <w:rFonts w:ascii="Arial" w:hAnsi="Arial" w:cs="Arial"/>
          <w:i/>
        </w:rPr>
        <w:t>[Peter] was seen 60 times by the authorities in the eight months prior to this death. Ten agencies were involved with Peter or his family. Peter was placed on the ‘child protection/at risk’ register on 22 December 2006, though insufficient actions by professionals and agencies failed to protect him.” (</w:t>
      </w:r>
      <w:r w:rsidR="00317003">
        <w:rPr>
          <w:rFonts w:ascii="Arial" w:hAnsi="Arial" w:cs="Arial"/>
          <w:i/>
        </w:rPr>
        <w:t xml:space="preserve">Haringey Local Authority,2009) </w:t>
      </w:r>
      <w:r w:rsidR="00317003" w:rsidRPr="00317003">
        <w:rPr>
          <w:rFonts w:ascii="Helvetica" w:hAnsi="Helvetica"/>
          <w:shd w:val="clear" w:color="auto" w:fill="FFFFFF"/>
        </w:rPr>
        <w:t>There was then publication of statutory guidance following the unnecessary</w:t>
      </w:r>
      <w:r w:rsidR="00317003">
        <w:rPr>
          <w:rFonts w:ascii="Helvetica" w:hAnsi="Helvetica"/>
          <w:shd w:val="clear" w:color="auto" w:fill="FFFFFF"/>
        </w:rPr>
        <w:t xml:space="preserve"> death of Baby P</w:t>
      </w:r>
      <w:r w:rsidR="00317003" w:rsidRPr="00317003">
        <w:rPr>
          <w:rFonts w:ascii="Helvetica" w:hAnsi="Helvetica"/>
          <w:shd w:val="clear" w:color="auto" w:fill="FFFFFF"/>
        </w:rPr>
        <w:t>, ‘Working Together to Safeguard Children’ (2010), which aimed to support multi-agency working and joined up approaches to child protection.</w:t>
      </w:r>
    </w:p>
    <w:p w14:paraId="57B0154A" w14:textId="5311E760" w:rsidR="00317003" w:rsidRDefault="00317003" w:rsidP="00A15F22">
      <w:pPr>
        <w:spacing w:line="360" w:lineRule="auto"/>
        <w:rPr>
          <w:rFonts w:ascii="Helvetica" w:hAnsi="Helvetica"/>
          <w:shd w:val="clear" w:color="auto" w:fill="FFFFFF"/>
        </w:rPr>
      </w:pPr>
      <w:r>
        <w:rPr>
          <w:rFonts w:ascii="Helvetica" w:hAnsi="Helvetica"/>
          <w:shd w:val="clear" w:color="auto" w:fill="FFFFFF"/>
        </w:rPr>
        <w:t>Police now play there role in attending Multi-agency Safeguarding Hubs (MASH) and Multi A</w:t>
      </w:r>
      <w:r w:rsidR="000A0981">
        <w:rPr>
          <w:rFonts w:ascii="Helvetica" w:hAnsi="Helvetica"/>
          <w:shd w:val="clear" w:color="auto" w:fill="FFFFFF"/>
        </w:rPr>
        <w:t>gency Risk Assessment Meetings where relevant agencies that would have all received a PPN as above from the police that has identified some level of vulnerability, will develop a working strategy to keep that person safe from harm. This will be specific to each individual providing a tailored approach to their needs. For example a victim of Domestic abuse would have the police there who will have in-depth knowledge of the incident that brought the victim tot there attention and potentially previous incidents also, Health bboards may be there with an in-depth knowledge of any mental health or injuries being suffered, charities such as live fear free who aim to assist in keeping victims of Domestic abuse safe who may be able to assist, Social Services will attend.</w:t>
      </w:r>
    </w:p>
    <w:p w14:paraId="20DB92A9" w14:textId="143E3E57" w:rsidR="000B6E92" w:rsidRDefault="000A0981" w:rsidP="00A15F22">
      <w:pPr>
        <w:spacing w:line="360" w:lineRule="auto"/>
        <w:rPr>
          <w:rFonts w:ascii="Arial" w:hAnsi="Arial" w:cs="Arial"/>
        </w:rPr>
      </w:pPr>
      <w:r>
        <w:rPr>
          <w:rFonts w:ascii="Arial" w:hAnsi="Arial" w:cs="Arial"/>
        </w:rPr>
        <w:t>There is often public protection issues that are raised due to serious and organised crime groups. One of many issues in particular that is concerning to police is the exploitation of vulnerable persons, including but not limited to children. Organised crime groups will sometimes target vulnerable persons who perhaps have come from poverty or unstable backgrounds and befriend these vulnerable persons with the intention of exploiting them. An</w:t>
      </w:r>
      <w:r w:rsidR="00A15F22">
        <w:rPr>
          <w:rFonts w:ascii="Arial" w:hAnsi="Arial" w:cs="Arial"/>
        </w:rPr>
        <w:t xml:space="preserve"> example of this is a</w:t>
      </w:r>
      <w:r w:rsidRPr="000A0981">
        <w:rPr>
          <w:rFonts w:ascii="Arial" w:hAnsi="Arial" w:cs="Arial"/>
        </w:rPr>
        <w:t xml:space="preserve"> trial at Liverpool Crown Court in 2012 </w:t>
      </w:r>
      <w:r w:rsidR="00A15F22">
        <w:rPr>
          <w:rFonts w:ascii="Arial" w:hAnsi="Arial" w:cs="Arial"/>
        </w:rPr>
        <w:t>“</w:t>
      </w:r>
      <w:r w:rsidRPr="00A15F22">
        <w:rPr>
          <w:rFonts w:ascii="Arial" w:hAnsi="Arial" w:cs="Arial"/>
          <w:i/>
        </w:rPr>
        <w:t>heard five girls - aged between 13 and 15 - were given alcohol, food and money in return for sex but there were times when violence was used.</w:t>
      </w:r>
      <w:r w:rsidR="00A15F22" w:rsidRPr="00A15F22">
        <w:rPr>
          <w:rFonts w:ascii="Arial" w:hAnsi="Arial" w:cs="Arial"/>
          <w:i/>
        </w:rPr>
        <w:t xml:space="preserve"> </w:t>
      </w:r>
      <w:r w:rsidRPr="00A15F22">
        <w:rPr>
          <w:rFonts w:ascii="Arial" w:hAnsi="Arial" w:cs="Arial"/>
          <w:i/>
        </w:rPr>
        <w:t>Police said the victims were from “chaotic”, “council estate” backgrounds and as many as 50 girls could have been victims of the gang.</w:t>
      </w:r>
      <w:r w:rsidR="00A15F22">
        <w:rPr>
          <w:rFonts w:ascii="Arial" w:hAnsi="Arial" w:cs="Arial"/>
          <w:i/>
        </w:rPr>
        <w:t xml:space="preserve">” (Nelson,S. 2017). </w:t>
      </w:r>
      <w:r w:rsidR="00A15F22">
        <w:rPr>
          <w:rFonts w:ascii="Arial" w:hAnsi="Arial" w:cs="Arial"/>
        </w:rPr>
        <w:t xml:space="preserve">Protecting the public from this sort of exploitation from Organised crime groups is of the upmost importance and data sharing over Child Exploitation is a must. </w:t>
      </w:r>
    </w:p>
    <w:p w14:paraId="32EA3D9D" w14:textId="5FF572C6" w:rsidR="00A15F22" w:rsidRPr="00A15F22" w:rsidRDefault="00A15F22" w:rsidP="00A15F22">
      <w:pPr>
        <w:spacing w:line="360" w:lineRule="auto"/>
        <w:rPr>
          <w:rFonts w:ascii="Arial" w:hAnsi="Arial" w:cs="Arial"/>
        </w:rPr>
      </w:pPr>
      <w:r>
        <w:rPr>
          <w:rFonts w:ascii="Arial" w:hAnsi="Arial" w:cs="Arial"/>
        </w:rPr>
        <w:t>Overall public protection incidents are what officers deal with on a daily basis, but data sharing and the recognition of vulnerable persons will always be vital in protecting them, it is something that the police and other agencies look to improve on all the time as the challenges towards police also grows.</w:t>
      </w:r>
    </w:p>
    <w:p w14:paraId="3C8D090D" w14:textId="09A107D3" w:rsidR="000B6E92" w:rsidRDefault="000B6E92" w:rsidP="00A15F22">
      <w:pPr>
        <w:spacing w:line="360" w:lineRule="auto"/>
        <w:rPr>
          <w:rFonts w:ascii="Arial" w:hAnsi="Arial" w:cs="Arial"/>
          <w:b/>
          <w:i/>
          <w:u w:val="single"/>
        </w:rPr>
      </w:pPr>
    </w:p>
    <w:p w14:paraId="01B5E3CD" w14:textId="3341ABB3" w:rsidR="000B6E92" w:rsidRDefault="00A15F22" w:rsidP="00A15F22">
      <w:pPr>
        <w:spacing w:line="360" w:lineRule="auto"/>
        <w:rPr>
          <w:rFonts w:ascii="Arial" w:hAnsi="Arial" w:cs="Arial"/>
          <w:b/>
          <w:i/>
          <w:u w:val="single"/>
        </w:rPr>
      </w:pPr>
      <w:r>
        <w:rPr>
          <w:rFonts w:ascii="Arial" w:hAnsi="Arial" w:cs="Arial"/>
          <w:b/>
          <w:i/>
          <w:u w:val="single"/>
        </w:rPr>
        <w:t>1023 words</w:t>
      </w:r>
    </w:p>
    <w:p w14:paraId="68FA590E" w14:textId="77777777" w:rsidR="000B6E92" w:rsidRPr="000B6E92" w:rsidRDefault="000B6E92" w:rsidP="00A15F22">
      <w:pPr>
        <w:spacing w:line="360" w:lineRule="auto"/>
        <w:rPr>
          <w:rFonts w:ascii="Arial" w:hAnsi="Arial" w:cs="Arial"/>
          <w:b/>
          <w:i/>
          <w:u w:val="single"/>
        </w:rPr>
      </w:pPr>
    </w:p>
    <w:p w14:paraId="33648405"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Evidence based policing/criminology and crime prevention/criminal Justice</w:t>
      </w:r>
    </w:p>
    <w:p w14:paraId="32298B2F" w14:textId="77777777" w:rsidR="000B6E92" w:rsidRPr="000B6E92" w:rsidRDefault="000B6E92" w:rsidP="00A15F22">
      <w:pPr>
        <w:spacing w:line="360" w:lineRule="auto"/>
        <w:rPr>
          <w:rFonts w:ascii="Arial" w:hAnsi="Arial" w:cs="Arial"/>
          <w:b/>
          <w:i/>
          <w:u w:val="single"/>
        </w:rPr>
      </w:pPr>
      <w:r w:rsidRPr="000B6E92">
        <w:rPr>
          <w:rFonts w:ascii="Arial" w:hAnsi="Arial" w:cs="Arial"/>
          <w:b/>
          <w:i/>
          <w:u w:val="single"/>
        </w:rPr>
        <w:t>Title 5: Critically analyse the concept of evidence-based policing and ‘what works’ in policing evaluating crime prevention theories and strategies and considering the options open to reduce re offending.</w:t>
      </w:r>
    </w:p>
    <w:p w14:paraId="274E2764" w14:textId="4DDEEC13" w:rsidR="000B6E92" w:rsidRDefault="000B6E92" w:rsidP="00A15F22">
      <w:pPr>
        <w:spacing w:line="360" w:lineRule="auto"/>
        <w:rPr>
          <w:rFonts w:ascii="Arial" w:hAnsi="Arial" w:cs="Arial"/>
        </w:rPr>
      </w:pPr>
      <w:r w:rsidRPr="000B6E92">
        <w:rPr>
          <w:rFonts w:ascii="Arial" w:hAnsi="Arial" w:cs="Arial"/>
        </w:rPr>
        <w:t>The concept of evidence based policing was developed by Professor Lawrence Sherman in 1998. (Sherman, L. (1998). Evidence based policing works on the concept that gathering research on policing and using previous incidents and analysing the incident to create new policy and procedures within forces based on the results of the research.</w:t>
      </w:r>
      <w:r w:rsidR="007D3715">
        <w:rPr>
          <w:rFonts w:ascii="Arial" w:hAnsi="Arial" w:cs="Arial"/>
        </w:rPr>
        <w:t xml:space="preserve"> This theory means that real life incidents, that real police officers are attending on potentially a regular basis are then the foundation for procedures going forward, with in depth research into the why of the incident; </w:t>
      </w:r>
      <w:r w:rsidR="007602B4">
        <w:rPr>
          <w:rFonts w:ascii="Arial" w:hAnsi="Arial" w:cs="Arial"/>
        </w:rPr>
        <w:t>why</w:t>
      </w:r>
      <w:r w:rsidR="007D3715">
        <w:rPr>
          <w:rFonts w:ascii="Arial" w:hAnsi="Arial" w:cs="Arial"/>
        </w:rPr>
        <w:t xml:space="preserve"> did this work? Why didn’t </w:t>
      </w:r>
      <w:r w:rsidR="007602B4">
        <w:rPr>
          <w:rFonts w:ascii="Arial" w:hAnsi="Arial" w:cs="Arial"/>
        </w:rPr>
        <w:t>this work? Including sometimes w</w:t>
      </w:r>
      <w:r w:rsidR="007D3715">
        <w:rPr>
          <w:rFonts w:ascii="Arial" w:hAnsi="Arial" w:cs="Arial"/>
        </w:rPr>
        <w:t>hy hasn’t this issue been ad</w:t>
      </w:r>
      <w:r w:rsidR="007602B4">
        <w:rPr>
          <w:rFonts w:ascii="Arial" w:hAnsi="Arial" w:cs="Arial"/>
        </w:rPr>
        <w:t>dressed before?</w:t>
      </w:r>
    </w:p>
    <w:p w14:paraId="066DFAF9" w14:textId="14E0BB44" w:rsidR="007D3715" w:rsidRDefault="007D3715" w:rsidP="00A15F22">
      <w:pPr>
        <w:spacing w:line="360" w:lineRule="auto"/>
        <w:rPr>
          <w:rFonts w:ascii="Arial" w:hAnsi="Arial" w:cs="Arial"/>
        </w:rPr>
      </w:pPr>
      <w:r>
        <w:rPr>
          <w:rFonts w:ascii="Arial" w:hAnsi="Arial" w:cs="Arial"/>
        </w:rPr>
        <w:t xml:space="preserve">Crime prevention theories and strategies play a significant role in the way that we police today. The recognition of the link between behavioural sciences that have developed so much over the last few decades and applying them in a </w:t>
      </w:r>
      <w:r>
        <w:rPr>
          <w:rFonts w:ascii="Arial" w:hAnsi="Arial" w:cs="Arial"/>
        </w:rPr>
        <w:lastRenderedPageBreak/>
        <w:t>proactive and preventative measure not just</w:t>
      </w:r>
      <w:r w:rsidR="00402347">
        <w:rPr>
          <w:rFonts w:ascii="Arial" w:hAnsi="Arial" w:cs="Arial"/>
        </w:rPr>
        <w:t xml:space="preserve"> a</w:t>
      </w:r>
      <w:r>
        <w:rPr>
          <w:rFonts w:ascii="Arial" w:hAnsi="Arial" w:cs="Arial"/>
        </w:rPr>
        <w:t xml:space="preserve"> reactive</w:t>
      </w:r>
      <w:r w:rsidR="00402347">
        <w:rPr>
          <w:rFonts w:ascii="Arial" w:hAnsi="Arial" w:cs="Arial"/>
        </w:rPr>
        <w:t xml:space="preserve"> policing approach</w:t>
      </w:r>
      <w:r>
        <w:rPr>
          <w:rFonts w:ascii="Arial" w:hAnsi="Arial" w:cs="Arial"/>
        </w:rPr>
        <w:t>. Why people commit crime is a question open to many criminologists across the UK and it appears there is no one definitive answer, but giving police officers proven theories to consider and take with them is an invaluable tool to the modern day police officer.</w:t>
      </w:r>
    </w:p>
    <w:p w14:paraId="567F36E9" w14:textId="67EB5FD3" w:rsidR="00EC57A9" w:rsidRPr="00EC57A9" w:rsidRDefault="007D3715" w:rsidP="00A15F22">
      <w:pPr>
        <w:spacing w:line="360" w:lineRule="auto"/>
        <w:rPr>
          <w:rFonts w:ascii="Arial" w:hAnsi="Arial" w:cs="Arial"/>
        </w:rPr>
      </w:pPr>
      <w:r>
        <w:rPr>
          <w:rFonts w:ascii="Arial" w:hAnsi="Arial" w:cs="Arial"/>
        </w:rPr>
        <w:t>Crime prevention theories such as the “Broken Windows Theory</w:t>
      </w:r>
      <w:r w:rsidR="003528C4">
        <w:rPr>
          <w:rFonts w:ascii="Arial" w:hAnsi="Arial" w:cs="Arial"/>
        </w:rPr>
        <w:t>” state</w:t>
      </w:r>
      <w:r w:rsidR="005974B0" w:rsidRPr="005974B0">
        <w:rPr>
          <w:rFonts w:ascii="Arial" w:hAnsi="Arial" w:cs="Arial"/>
        </w:rPr>
        <w:t xml:space="preserve"> that any visible signs of crime and civil d</w:t>
      </w:r>
      <w:r w:rsidR="00772D57">
        <w:rPr>
          <w:rFonts w:ascii="Arial" w:hAnsi="Arial" w:cs="Arial"/>
        </w:rPr>
        <w:t xml:space="preserve">isorder, such as broken windows, </w:t>
      </w:r>
      <w:r w:rsidR="005974B0" w:rsidRPr="005974B0">
        <w:rPr>
          <w:rFonts w:ascii="Arial" w:hAnsi="Arial" w:cs="Arial"/>
        </w:rPr>
        <w:t>vandalism, loitering, public drinking, create an urban environment that promotes even more crime and disorder (Wilson &amp; Kelling, 1982).</w:t>
      </w:r>
      <w:r w:rsidR="00772D57">
        <w:rPr>
          <w:rFonts w:ascii="Arial" w:hAnsi="Arial" w:cs="Arial"/>
        </w:rPr>
        <w:t xml:space="preserve"> </w:t>
      </w:r>
      <w:r w:rsidR="003528C4">
        <w:rPr>
          <w:rFonts w:ascii="Arial" w:hAnsi="Arial" w:cs="Arial"/>
        </w:rPr>
        <w:t xml:space="preserve">This theory can be applied to prevent crime escalation by recognising the lower level, potentially Anti-social behaviour calls that may be happening in an area, for example graffiti even littering and addressing it early on by engaging with partner agencies and local councils. If the over all perception of the area is clean and well lit this prevents crime being opportunistic in those area’s as it would stick out an irregularity for that area. An example of this is a study that took place in New York regarding lighting areas around social housing </w:t>
      </w:r>
      <w:r w:rsidR="00EC57A9">
        <w:rPr>
          <w:rFonts w:ascii="Arial" w:hAnsi="Arial" w:cs="Arial"/>
        </w:rPr>
        <w:t>“</w:t>
      </w:r>
      <w:r w:rsidR="003528C4" w:rsidRPr="00EC57A9">
        <w:rPr>
          <w:rFonts w:ascii="Arial" w:hAnsi="Arial" w:cs="Arial"/>
          <w:i/>
        </w:rPr>
        <w:t xml:space="preserve">Among other findings, the study concluded that increased levels of lighting led to a 36% reduction in "index crimes" — a subset of serious felony crimes that includes murder, robbery and aggravated assault, as </w:t>
      </w:r>
      <w:r w:rsidR="00EC57A9">
        <w:rPr>
          <w:rFonts w:ascii="Arial" w:hAnsi="Arial" w:cs="Arial"/>
          <w:i/>
        </w:rPr>
        <w:t xml:space="preserve">well as certain property crimes”. </w:t>
      </w:r>
      <w:r w:rsidR="00EC57A9">
        <w:rPr>
          <w:rFonts w:ascii="Arial" w:hAnsi="Arial" w:cs="Arial"/>
        </w:rPr>
        <w:t>By adding lighting to the area it prevented the availability for what may deemed as opportunistic crime to take place in that area.</w:t>
      </w:r>
    </w:p>
    <w:p w14:paraId="6CDCD9C5" w14:textId="3B001672" w:rsidR="000B6E92" w:rsidRDefault="00EC57A9" w:rsidP="00A15F22">
      <w:pPr>
        <w:spacing w:line="360" w:lineRule="auto"/>
        <w:rPr>
          <w:rFonts w:ascii="Arial" w:hAnsi="Arial" w:cs="Arial"/>
        </w:rPr>
      </w:pPr>
      <w:r>
        <w:rPr>
          <w:rFonts w:ascii="Arial" w:hAnsi="Arial" w:cs="Arial"/>
        </w:rPr>
        <w:t>Another theory that is recognised by police forces as having the potential to decrease crime and decrease the criminalisation of young people significantly, not just in the short term but over a longer period is Adverse Childhood Experiences (ACE’s). ACE’s is a working strategy developed from different research from multiple partner agencies that recognises that when a child is exposed to elements of criminality the likely hood of them going on to commit crime increases</w:t>
      </w:r>
      <w:r w:rsidR="003E59CB">
        <w:rPr>
          <w:rFonts w:ascii="Arial" w:hAnsi="Arial" w:cs="Arial"/>
        </w:rPr>
        <w:t>.</w:t>
      </w:r>
      <w:r w:rsidR="00707745" w:rsidRPr="00707745">
        <w:t xml:space="preserve"> </w:t>
      </w:r>
      <w:r w:rsidR="00707745" w:rsidRPr="00707745">
        <w:rPr>
          <w:rFonts w:ascii="Arial" w:hAnsi="Arial" w:cs="Arial"/>
        </w:rPr>
        <w:t>Adverse Childhood Experiences range from suffering verbal, mental, sexual and physical abuse, to being raised in a household where domestic violence, alcohol abuse, parental separation or drug abuse is present</w:t>
      </w:r>
      <w:r w:rsidR="00707745">
        <w:rPr>
          <w:rFonts w:ascii="Arial" w:hAnsi="Arial" w:cs="Arial"/>
        </w:rPr>
        <w:t>.</w:t>
      </w:r>
    </w:p>
    <w:p w14:paraId="5AA341AE" w14:textId="577B6541" w:rsidR="003E59CB" w:rsidRPr="003E59CB" w:rsidRDefault="00707745" w:rsidP="00A15F22">
      <w:pPr>
        <w:spacing w:line="360" w:lineRule="auto"/>
        <w:rPr>
          <w:rFonts w:ascii="Arial" w:hAnsi="Arial" w:cs="Arial"/>
        </w:rPr>
      </w:pPr>
      <w:r>
        <w:rPr>
          <w:rFonts w:ascii="Arial" w:hAnsi="Arial" w:cs="Arial"/>
        </w:rPr>
        <w:t xml:space="preserve">Public Health Wales reported that </w:t>
      </w:r>
      <w:r w:rsidR="003E59CB" w:rsidRPr="003E59CB">
        <w:rPr>
          <w:rFonts w:ascii="Arial" w:hAnsi="Arial" w:cs="Arial"/>
        </w:rPr>
        <w:t xml:space="preserve">reporting that adults who experienced 4 or more ACEs when compared to those with no ACEs, were: </w:t>
      </w:r>
    </w:p>
    <w:p w14:paraId="441BA5A0" w14:textId="77777777" w:rsidR="003E59CB" w:rsidRPr="00707745" w:rsidRDefault="003E59CB" w:rsidP="00A15F22">
      <w:pPr>
        <w:pStyle w:val="ListParagraph"/>
        <w:numPr>
          <w:ilvl w:val="0"/>
          <w:numId w:val="34"/>
        </w:numPr>
        <w:spacing w:line="360" w:lineRule="auto"/>
        <w:rPr>
          <w:rFonts w:ascii="Arial" w:hAnsi="Arial" w:cs="Arial"/>
        </w:rPr>
      </w:pPr>
      <w:r w:rsidRPr="00707745">
        <w:rPr>
          <w:rFonts w:ascii="Arial" w:hAnsi="Arial" w:cs="Arial"/>
        </w:rPr>
        <w:t xml:space="preserve">15 times more likely to have committed violence against another person; </w:t>
      </w:r>
    </w:p>
    <w:p w14:paraId="73ADB6CD" w14:textId="77777777" w:rsidR="003E59CB" w:rsidRPr="00707745" w:rsidRDefault="003E59CB" w:rsidP="00A15F22">
      <w:pPr>
        <w:pStyle w:val="ListParagraph"/>
        <w:numPr>
          <w:ilvl w:val="0"/>
          <w:numId w:val="34"/>
        </w:numPr>
        <w:spacing w:line="360" w:lineRule="auto"/>
        <w:rPr>
          <w:rFonts w:ascii="Arial" w:hAnsi="Arial" w:cs="Arial"/>
        </w:rPr>
      </w:pPr>
      <w:r w:rsidRPr="00707745">
        <w:rPr>
          <w:rFonts w:ascii="Arial" w:hAnsi="Arial" w:cs="Arial"/>
        </w:rPr>
        <w:t xml:space="preserve">14 times more likely to have been a victim of violence; </w:t>
      </w:r>
    </w:p>
    <w:p w14:paraId="6A4AC1D8" w14:textId="77777777" w:rsidR="003E59CB" w:rsidRPr="00707745" w:rsidRDefault="003E59CB" w:rsidP="00A15F22">
      <w:pPr>
        <w:pStyle w:val="ListParagraph"/>
        <w:numPr>
          <w:ilvl w:val="0"/>
          <w:numId w:val="34"/>
        </w:numPr>
        <w:spacing w:line="360" w:lineRule="auto"/>
        <w:rPr>
          <w:rFonts w:ascii="Arial" w:hAnsi="Arial" w:cs="Arial"/>
        </w:rPr>
      </w:pPr>
      <w:r w:rsidRPr="00707745">
        <w:rPr>
          <w:rFonts w:ascii="Arial" w:hAnsi="Arial" w:cs="Arial"/>
        </w:rPr>
        <w:t xml:space="preserve">16 times more likely to have taken crack cocaine or heroin over the past 12 months; </w:t>
      </w:r>
    </w:p>
    <w:p w14:paraId="6F9B584B" w14:textId="5DFEEBE5" w:rsidR="000B6E92" w:rsidRDefault="00707745" w:rsidP="00A15F22">
      <w:pPr>
        <w:spacing w:line="360" w:lineRule="auto"/>
        <w:rPr>
          <w:rFonts w:ascii="Arial" w:hAnsi="Arial" w:cs="Arial"/>
        </w:rPr>
      </w:pPr>
      <w:r>
        <w:rPr>
          <w:rFonts w:ascii="Arial" w:hAnsi="Arial" w:cs="Arial"/>
        </w:rPr>
        <w:t>These statistics show the impact that ACE’s have on crime, and therefore if the police can assist in preventing these ACE’s from occurring they are actually reducing and preventing crime before it has even occurred. It is important to note that these studies take in a lot of data and although accurate it is not to suggest that a person who has been subject to ACE’s will definitely go on to commit crime.</w:t>
      </w:r>
    </w:p>
    <w:p w14:paraId="17AC98B8" w14:textId="77777777" w:rsidR="00707745" w:rsidRDefault="00707745" w:rsidP="00A15F22">
      <w:pPr>
        <w:spacing w:line="360" w:lineRule="auto"/>
        <w:rPr>
          <w:rFonts w:ascii="Arial" w:hAnsi="Arial" w:cs="Arial"/>
        </w:rPr>
      </w:pPr>
    </w:p>
    <w:p w14:paraId="7E06557E" w14:textId="78FE29B6" w:rsidR="00707745" w:rsidRDefault="00707745" w:rsidP="00A15F22">
      <w:pPr>
        <w:spacing w:line="360" w:lineRule="auto"/>
        <w:rPr>
          <w:rFonts w:ascii="Arial" w:hAnsi="Arial" w:cs="Arial"/>
        </w:rPr>
      </w:pPr>
      <w:r>
        <w:rPr>
          <w:rFonts w:ascii="Arial" w:hAnsi="Arial" w:cs="Arial"/>
        </w:rPr>
        <w:t xml:space="preserve">Often a concept overlooked when looking to reduce crime is the reduction of reoffending. When a person commits a crime, arrest and charge through the courts is not the </w:t>
      </w:r>
      <w:r w:rsidR="00317003">
        <w:rPr>
          <w:rFonts w:ascii="Arial" w:hAnsi="Arial" w:cs="Arial"/>
        </w:rPr>
        <w:t>only option for lower level non-</w:t>
      </w:r>
      <w:r>
        <w:rPr>
          <w:rFonts w:ascii="Arial" w:hAnsi="Arial" w:cs="Arial"/>
        </w:rPr>
        <w:t xml:space="preserve">violent crime. Police officers often have out of court disposals available to them. These out of court disposals are a tool for officers where a person who potentially has no previous convictions can be prevented from developing a criminal history if willing to accept </w:t>
      </w:r>
      <w:r w:rsidR="00317003">
        <w:rPr>
          <w:rFonts w:ascii="Arial" w:hAnsi="Arial" w:cs="Arial"/>
        </w:rPr>
        <w:t>their</w:t>
      </w:r>
      <w:r>
        <w:rPr>
          <w:rFonts w:ascii="Arial" w:hAnsi="Arial" w:cs="Arial"/>
        </w:rPr>
        <w:t xml:space="preserve"> role in the crime and willing to seek help. However even if a person is charged with an offence there is still opportunities available to prevent that person committing further offences, for example</w:t>
      </w:r>
      <w:r w:rsidR="00DE15C8">
        <w:rPr>
          <w:rFonts w:ascii="Arial" w:hAnsi="Arial" w:cs="Arial"/>
        </w:rPr>
        <w:t xml:space="preserve"> a young person can be refer</w:t>
      </w:r>
      <w:r w:rsidR="00317003">
        <w:rPr>
          <w:rFonts w:ascii="Arial" w:hAnsi="Arial" w:cs="Arial"/>
        </w:rPr>
        <w:t>r</w:t>
      </w:r>
      <w:r w:rsidR="00DE15C8">
        <w:rPr>
          <w:rFonts w:ascii="Arial" w:hAnsi="Arial" w:cs="Arial"/>
        </w:rPr>
        <w:t>ed to the Youth Offending Team who look at low level of crime entrance crimes and work with that person to get them back on track, this may be assisting with home and school life, setting up meeting with social workers and bringing some involvement and support from them for that young person. This engagement can lead to healthy relationships between the young person and the police and therefore reduce the risk of reoffending and help to prevent a criminal history for that young person.</w:t>
      </w:r>
      <w:r w:rsidR="00317003">
        <w:rPr>
          <w:rFonts w:ascii="Arial" w:hAnsi="Arial" w:cs="Arial"/>
        </w:rPr>
        <w:t xml:space="preserve"> </w:t>
      </w:r>
      <w:r w:rsidR="00DE15C8">
        <w:rPr>
          <w:rFonts w:ascii="Arial" w:hAnsi="Arial" w:cs="Arial"/>
        </w:rPr>
        <w:t>The disadvantage of this service however is that it is often voluntary and cannot be enforced by police and it relies heavily on the engagement of the individual to want to do better in order to work.</w:t>
      </w:r>
    </w:p>
    <w:p w14:paraId="57E99C09" w14:textId="5FFCF78C" w:rsidR="00707745" w:rsidRDefault="00DE15C8" w:rsidP="00A15F22">
      <w:pPr>
        <w:spacing w:line="360" w:lineRule="auto"/>
        <w:rPr>
          <w:rFonts w:ascii="Arial" w:hAnsi="Arial" w:cs="Arial"/>
        </w:rPr>
      </w:pPr>
      <w:r>
        <w:rPr>
          <w:rFonts w:ascii="Arial" w:hAnsi="Arial" w:cs="Arial"/>
        </w:rPr>
        <w:t>For those committing crime that are not under the age of 18 who have committed crime a person will be referred to the Integrated Offender Management Unit (IOMU). This is where multi-agency approaches, including the police, probation, health boards and other agencies will work together in order to develop a type of “care package” to a person to help reduce their likely hood to reoffend. A positive of the IOMU is that persons have to comply with visits meaning that they are being monitored and any issues or signs of potential reoffending can be addressed early.</w:t>
      </w:r>
    </w:p>
    <w:p w14:paraId="4B7C01BC" w14:textId="6FCED0C2" w:rsidR="00DE15C8" w:rsidRDefault="00DE15C8" w:rsidP="00A15F22">
      <w:pPr>
        <w:spacing w:line="360" w:lineRule="auto"/>
        <w:rPr>
          <w:rFonts w:ascii="Arial" w:hAnsi="Arial" w:cs="Arial"/>
        </w:rPr>
      </w:pPr>
      <w:r>
        <w:rPr>
          <w:rFonts w:ascii="Arial" w:hAnsi="Arial" w:cs="Arial"/>
        </w:rPr>
        <w:t>Rehabilitation is the often looked at as being the key to reducing reoffending. DRIVE is a scheme used by police to try and rehabilitate high risk domestic violence offenders</w:t>
      </w:r>
      <w:r w:rsidR="00853319">
        <w:rPr>
          <w:rFonts w:ascii="Arial" w:hAnsi="Arial" w:cs="Arial"/>
        </w:rPr>
        <w:t xml:space="preserve"> by rehabilitating them by changing their mindset, this can be through therapy, anger management help, mental health advise</w:t>
      </w:r>
      <w:r>
        <w:rPr>
          <w:rFonts w:ascii="Arial" w:hAnsi="Arial" w:cs="Arial"/>
        </w:rPr>
        <w:t>. This</w:t>
      </w:r>
      <w:r w:rsidR="00853319">
        <w:rPr>
          <w:rFonts w:ascii="Arial" w:hAnsi="Arial" w:cs="Arial"/>
        </w:rPr>
        <w:t xml:space="preserve"> is similar to the IOMU where it looks to monitor a persons behaviour in order to prevent any further crime being committed however the disadvantage of this is it relies on the offender recognising that there is an issue with themselves and it is a voluntary approach. This recognition by offenders, and offenders taking ownership of their actions and behaviours is ultimately what will determine the likelihood of a person going on to commit further crime.</w:t>
      </w:r>
    </w:p>
    <w:p w14:paraId="40978610" w14:textId="6D3F9EBF" w:rsidR="00853319" w:rsidRDefault="00853319" w:rsidP="00A15F22">
      <w:pPr>
        <w:spacing w:line="360" w:lineRule="auto"/>
        <w:rPr>
          <w:rFonts w:ascii="Arial" w:hAnsi="Arial" w:cs="Arial"/>
        </w:rPr>
      </w:pPr>
      <w:r>
        <w:rPr>
          <w:rFonts w:ascii="Arial" w:hAnsi="Arial" w:cs="Arial"/>
        </w:rPr>
        <w:t>Overall the science behind why people commit crime is one that will adapt and change with society and is individual to each person, prevention of crime will only ever be a small proportion of the job that police officers do as not all theories will apply to all people.</w:t>
      </w:r>
    </w:p>
    <w:p w14:paraId="3CB9F854" w14:textId="7ABA815D" w:rsidR="00853319" w:rsidRPr="00853319" w:rsidRDefault="00853319" w:rsidP="00A15F22">
      <w:pPr>
        <w:spacing w:line="360" w:lineRule="auto"/>
        <w:rPr>
          <w:rFonts w:ascii="Arial" w:hAnsi="Arial" w:cs="Arial"/>
          <w:b/>
          <w:u w:val="single"/>
        </w:rPr>
      </w:pPr>
      <w:r w:rsidRPr="00853319">
        <w:rPr>
          <w:rFonts w:ascii="Arial" w:hAnsi="Arial" w:cs="Arial"/>
          <w:b/>
          <w:u w:val="single"/>
        </w:rPr>
        <w:t>1141 words</w:t>
      </w:r>
    </w:p>
    <w:p w14:paraId="5E6B8BF1" w14:textId="77777777" w:rsidR="00853319" w:rsidRPr="000B6E92" w:rsidRDefault="00853319" w:rsidP="000B6E92">
      <w:pPr>
        <w:rPr>
          <w:rFonts w:ascii="Arial" w:hAnsi="Arial" w:cs="Arial"/>
        </w:rPr>
      </w:pPr>
    </w:p>
    <w:p w14:paraId="24F56A0E" w14:textId="77777777" w:rsidR="000B6E92" w:rsidRPr="000B6E92" w:rsidRDefault="000B6E92" w:rsidP="000B6E92">
      <w:pPr>
        <w:rPr>
          <w:rFonts w:ascii="Arial" w:hAnsi="Arial" w:cs="Arial"/>
        </w:rPr>
      </w:pPr>
    </w:p>
    <w:p w14:paraId="75F26DBB" w14:textId="77777777" w:rsidR="000B6E92" w:rsidRPr="000B6E92" w:rsidRDefault="000B6E92" w:rsidP="000B6E92">
      <w:pPr>
        <w:rPr>
          <w:rFonts w:ascii="Arial" w:hAnsi="Arial" w:cs="Arial"/>
          <w:b/>
          <w:u w:val="single"/>
        </w:rPr>
      </w:pPr>
      <w:r w:rsidRPr="000B6E92">
        <w:rPr>
          <w:rFonts w:ascii="Arial" w:hAnsi="Arial" w:cs="Arial"/>
          <w:b/>
          <w:u w:val="single"/>
        </w:rPr>
        <w:t xml:space="preserve">BIBLIOGRAPHY </w:t>
      </w:r>
    </w:p>
    <w:p w14:paraId="72A71EA0" w14:textId="77777777" w:rsidR="00A15F22" w:rsidRDefault="00A15F22" w:rsidP="00152E9D">
      <w:pPr>
        <w:rPr>
          <w:rFonts w:ascii="Arial" w:hAnsi="Arial" w:cs="Arial"/>
        </w:rPr>
      </w:pPr>
    </w:p>
    <w:p w14:paraId="14F97789" w14:textId="01C8E9A2" w:rsidR="00A15F22" w:rsidRPr="000B6E92" w:rsidRDefault="00A15F22" w:rsidP="000B6E92">
      <w:pPr>
        <w:rPr>
          <w:rFonts w:ascii="Arial" w:hAnsi="Arial" w:cs="Arial"/>
        </w:rPr>
      </w:pPr>
      <w:r w:rsidRPr="000B6E92">
        <w:rPr>
          <w:rFonts w:ascii="Arial" w:hAnsi="Arial" w:cs="Arial"/>
        </w:rPr>
        <w:t xml:space="preserve">ACRO criminal records office (UNKOWN). </w:t>
      </w:r>
      <w:r w:rsidRPr="000B6E92">
        <w:rPr>
          <w:rFonts w:ascii="Arial" w:hAnsi="Arial" w:cs="Arial"/>
          <w:i/>
          <w:u w:val="single"/>
        </w:rPr>
        <w:t xml:space="preserve">Police National Computer services. </w:t>
      </w:r>
      <w:r w:rsidRPr="000B6E92">
        <w:rPr>
          <w:rFonts w:ascii="Arial" w:hAnsi="Arial" w:cs="Arial"/>
        </w:rPr>
        <w:t xml:space="preserve">Available at; </w:t>
      </w:r>
      <w:hyperlink r:id="rId18" w:anchor=":~:text=The%20Police%20National%20Computer%20%28PNC%29%20is%20a%20system,justice%20work%20of%20a%20range%20of%20organisations%20including%3A" w:history="1">
        <w:r w:rsidRPr="000B6E92">
          <w:rPr>
            <w:rStyle w:val="Hyperlink"/>
            <w:rFonts w:ascii="Arial" w:hAnsi="Arial" w:cs="Arial"/>
          </w:rPr>
          <w:t>https://www.acro.police.uk/PNC-services#:~:text=The%20Police%20National%20Computer%20%28PNC%29%20is%20a%20system,justice%20work%20of%20a%20range%20of%20organisations%20including%3A</w:t>
        </w:r>
      </w:hyperlink>
    </w:p>
    <w:p w14:paraId="1A2B3F24" w14:textId="77777777" w:rsidR="00A15F22" w:rsidRDefault="00A15F22" w:rsidP="000B6E92">
      <w:pPr>
        <w:rPr>
          <w:rFonts w:ascii="Arial" w:hAnsi="Arial" w:cs="Arial"/>
        </w:rPr>
      </w:pPr>
    </w:p>
    <w:p w14:paraId="416B78CB" w14:textId="340AB76A" w:rsidR="00A15F22" w:rsidRPr="000B6E92" w:rsidRDefault="00A15F22" w:rsidP="000B6E92">
      <w:pPr>
        <w:rPr>
          <w:rFonts w:ascii="Arial" w:hAnsi="Arial" w:cs="Arial"/>
        </w:rPr>
      </w:pPr>
      <w:r w:rsidRPr="000B6E92">
        <w:rPr>
          <w:rFonts w:ascii="Arial" w:hAnsi="Arial" w:cs="Arial"/>
        </w:rPr>
        <w:t xml:space="preserve">College of policing. 2018. Degree Holder Entry Programme. [ONLINE] Available at: </w:t>
      </w:r>
      <w:hyperlink r:id="rId19" w:history="1">
        <w:r w:rsidRPr="000B6E92">
          <w:rPr>
            <w:rStyle w:val="Hyperlink"/>
            <w:rFonts w:ascii="Arial" w:hAnsi="Arial" w:cs="Arial"/>
          </w:rPr>
          <w:t>https://www.college.police.uk/What-we-do/Learning/Policing-Education-Qualifications-Framework/Entry-routes-for-police-constables/Degree-holder-entry-programme/Pages/Degree-holder-entry-programme.aspx</w:t>
        </w:r>
      </w:hyperlink>
      <w:r w:rsidRPr="000B6E92">
        <w:rPr>
          <w:rFonts w:ascii="Arial" w:hAnsi="Arial" w:cs="Arial"/>
        </w:rPr>
        <w:t>.</w:t>
      </w:r>
    </w:p>
    <w:p w14:paraId="01E79B98" w14:textId="77777777" w:rsidR="00A15F22" w:rsidRDefault="00A15F22" w:rsidP="000B6E92">
      <w:pPr>
        <w:rPr>
          <w:rFonts w:ascii="Arial" w:hAnsi="Arial" w:cs="Arial"/>
        </w:rPr>
      </w:pPr>
    </w:p>
    <w:p w14:paraId="5305DC29" w14:textId="15CD594D" w:rsidR="00A15F22" w:rsidRPr="000B6E92" w:rsidRDefault="00A15F22" w:rsidP="000B6E92">
      <w:pPr>
        <w:rPr>
          <w:rFonts w:ascii="Arial" w:hAnsi="Arial" w:cs="Arial"/>
        </w:rPr>
      </w:pPr>
      <w:r w:rsidRPr="000B6E92">
        <w:rPr>
          <w:rFonts w:ascii="Arial" w:hAnsi="Arial" w:cs="Arial"/>
        </w:rPr>
        <w:t xml:space="preserve">College of policing. 2019. Police Constable Degree Apprenticeship. [ONLINE] Available at: </w:t>
      </w:r>
      <w:hyperlink r:id="rId20" w:history="1">
        <w:r w:rsidRPr="000B6E92">
          <w:rPr>
            <w:rStyle w:val="Hyperlink"/>
            <w:rFonts w:ascii="Arial" w:hAnsi="Arial" w:cs="Arial"/>
          </w:rPr>
          <w:t>https://www.college.police.uk/What-we-do/Learning/Policing-Education-Qualifications-Framework/Entry-routes-for-police-constables/Police-Constable-Degree-Apprenticeship/Pages/police-constable-degree-apprenticeship.aspx</w:t>
        </w:r>
      </w:hyperlink>
      <w:r w:rsidRPr="000B6E92">
        <w:rPr>
          <w:rFonts w:ascii="Arial" w:hAnsi="Arial" w:cs="Arial"/>
        </w:rPr>
        <w:t>.</w:t>
      </w:r>
    </w:p>
    <w:p w14:paraId="60960037" w14:textId="77777777" w:rsidR="00A15F22" w:rsidRDefault="00A15F22" w:rsidP="00152E9D">
      <w:pPr>
        <w:rPr>
          <w:rFonts w:ascii="Arial" w:hAnsi="Arial" w:cs="Arial"/>
        </w:rPr>
      </w:pPr>
    </w:p>
    <w:p w14:paraId="22DBF7A0" w14:textId="53A0F2F8" w:rsidR="00A15F22" w:rsidRDefault="00A15F22" w:rsidP="00152E9D">
      <w:pPr>
        <w:rPr>
          <w:rFonts w:ascii="Arial" w:hAnsi="Arial" w:cs="Arial"/>
        </w:rPr>
      </w:pPr>
      <w:r>
        <w:rPr>
          <w:rFonts w:ascii="Arial" w:hAnsi="Arial" w:cs="Arial"/>
        </w:rPr>
        <w:t>Haringey Local Authority (2009)</w:t>
      </w:r>
      <w:r>
        <w:rPr>
          <w:rFonts w:ascii="Arial" w:hAnsi="Arial" w:cs="Arial"/>
          <w:i/>
        </w:rPr>
        <w:t xml:space="preserve"> Peter Connelly: Serious Case review. (Available at;</w:t>
      </w:r>
      <w:r>
        <w:rPr>
          <w:rFonts w:ascii="Arial" w:hAnsi="Arial" w:cs="Arial"/>
        </w:rPr>
        <w:t xml:space="preserve"> </w:t>
      </w:r>
      <w:r w:rsidRPr="00317003">
        <w:rPr>
          <w:rFonts w:ascii="Arial" w:hAnsi="Arial" w:cs="Arial"/>
        </w:rPr>
        <w:t>https://www.virtual-college.co.uk/resources/2019/12/serious-case-review-baby-p-(2009)</w:t>
      </w:r>
    </w:p>
    <w:p w14:paraId="0DA119E1" w14:textId="77777777" w:rsidR="00A15F22" w:rsidRDefault="00A15F22" w:rsidP="000B6E92">
      <w:pPr>
        <w:rPr>
          <w:rFonts w:ascii="Arial" w:hAnsi="Arial" w:cs="Arial"/>
        </w:rPr>
      </w:pPr>
    </w:p>
    <w:p w14:paraId="6BB769B9" w14:textId="28F6582A" w:rsidR="00A15F22" w:rsidRPr="000B6E92" w:rsidRDefault="00A15F22" w:rsidP="000B6E92">
      <w:pPr>
        <w:rPr>
          <w:rFonts w:ascii="Arial" w:hAnsi="Arial" w:cs="Arial"/>
        </w:rPr>
      </w:pPr>
      <w:r w:rsidRPr="000B6E92">
        <w:rPr>
          <w:rFonts w:ascii="Arial" w:hAnsi="Arial" w:cs="Arial"/>
        </w:rPr>
        <w:t xml:space="preserve">HMRC, Department for Education. (2010) </w:t>
      </w:r>
      <w:r w:rsidRPr="000B6E92">
        <w:rPr>
          <w:rFonts w:ascii="Arial" w:hAnsi="Arial" w:cs="Arial"/>
          <w:i/>
          <w:u w:val="single"/>
        </w:rPr>
        <w:t xml:space="preserve">Peter Connelly Serious Case Review reports published. </w:t>
      </w:r>
      <w:r w:rsidRPr="000B6E92">
        <w:rPr>
          <w:rFonts w:ascii="Arial" w:hAnsi="Arial" w:cs="Arial"/>
        </w:rPr>
        <w:t xml:space="preserve">Available at; </w:t>
      </w:r>
      <w:hyperlink r:id="rId21" w:history="1">
        <w:r w:rsidRPr="000B6E92">
          <w:rPr>
            <w:rStyle w:val="Hyperlink"/>
            <w:rFonts w:ascii="Arial" w:hAnsi="Arial" w:cs="Arial"/>
          </w:rPr>
          <w:t>https://www.gov.uk/government/news/peter-connelly-serious-case-review-reports-published</w:t>
        </w:r>
      </w:hyperlink>
    </w:p>
    <w:p w14:paraId="64929B84" w14:textId="77777777" w:rsidR="00A15F22" w:rsidRDefault="00A15F22" w:rsidP="000B6E92">
      <w:pPr>
        <w:rPr>
          <w:rFonts w:ascii="Arial" w:hAnsi="Arial" w:cs="Arial"/>
        </w:rPr>
      </w:pPr>
    </w:p>
    <w:p w14:paraId="765FCBAD" w14:textId="16B2CDEC" w:rsidR="00A15F22" w:rsidRPr="000B6E92" w:rsidRDefault="00A15F22" w:rsidP="000B6E92">
      <w:pPr>
        <w:rPr>
          <w:rFonts w:ascii="Arial" w:hAnsi="Arial" w:cs="Arial"/>
        </w:rPr>
      </w:pPr>
      <w:r w:rsidRPr="000B6E92">
        <w:rPr>
          <w:rFonts w:ascii="Arial" w:hAnsi="Arial" w:cs="Arial"/>
        </w:rPr>
        <w:t xml:space="preserve">JESIP. (2021) </w:t>
      </w:r>
      <w:r w:rsidRPr="000B6E92">
        <w:rPr>
          <w:rFonts w:ascii="Arial" w:hAnsi="Arial" w:cs="Arial"/>
          <w:i/>
          <w:u w:val="single"/>
        </w:rPr>
        <w:t>M/ETHANE.</w:t>
      </w:r>
      <w:r w:rsidRPr="000B6E92">
        <w:rPr>
          <w:rFonts w:ascii="Arial" w:hAnsi="Arial" w:cs="Arial"/>
        </w:rPr>
        <w:t xml:space="preserve"> </w:t>
      </w:r>
      <w:r w:rsidRPr="000B6E92">
        <w:rPr>
          <w:rFonts w:ascii="Arial" w:hAnsi="Arial" w:cs="Arial"/>
          <w:i/>
        </w:rPr>
        <w:t xml:space="preserve">Available at; </w:t>
      </w:r>
      <w:hyperlink r:id="rId22" w:history="1">
        <w:r w:rsidRPr="000B6E92">
          <w:rPr>
            <w:rStyle w:val="Hyperlink"/>
            <w:rFonts w:ascii="Arial" w:hAnsi="Arial" w:cs="Arial"/>
          </w:rPr>
          <w:t>https://www.jesip.org.uk/methane</w:t>
        </w:r>
      </w:hyperlink>
      <w:r w:rsidRPr="000B6E92">
        <w:rPr>
          <w:rFonts w:ascii="Arial" w:hAnsi="Arial" w:cs="Arial"/>
        </w:rPr>
        <w:t xml:space="preserve"> . Accessed on Wednesday 02</w:t>
      </w:r>
      <w:r w:rsidRPr="000B6E92">
        <w:rPr>
          <w:rFonts w:ascii="Arial" w:hAnsi="Arial" w:cs="Arial"/>
          <w:vertAlign w:val="superscript"/>
        </w:rPr>
        <w:t>nd</w:t>
      </w:r>
      <w:r w:rsidRPr="000B6E92">
        <w:rPr>
          <w:rFonts w:ascii="Arial" w:hAnsi="Arial" w:cs="Arial"/>
        </w:rPr>
        <w:t xml:space="preserve"> June 2021.</w:t>
      </w:r>
    </w:p>
    <w:p w14:paraId="46609354" w14:textId="77777777" w:rsidR="00A15F22" w:rsidRDefault="00A15F22" w:rsidP="00152E9D">
      <w:pPr>
        <w:rPr>
          <w:rFonts w:ascii="Arial" w:hAnsi="Arial" w:cs="Arial"/>
        </w:rPr>
      </w:pPr>
    </w:p>
    <w:p w14:paraId="026D2B47" w14:textId="77777777" w:rsidR="00A15F22" w:rsidRDefault="00A15F22" w:rsidP="00152E9D">
      <w:pPr>
        <w:rPr>
          <w:rFonts w:ascii="Arial" w:hAnsi="Arial" w:cs="Arial"/>
          <w:i/>
        </w:rPr>
      </w:pPr>
      <w:r>
        <w:rPr>
          <w:rFonts w:ascii="Arial" w:hAnsi="Arial" w:cs="Arial"/>
        </w:rPr>
        <w:t xml:space="preserve">Nelson,S. (2017) </w:t>
      </w:r>
      <w:r>
        <w:rPr>
          <w:rFonts w:ascii="Arial" w:hAnsi="Arial" w:cs="Arial"/>
          <w:i/>
        </w:rPr>
        <w:t>Three girls :</w:t>
      </w:r>
      <w:r w:rsidRPr="00A15F22">
        <w:t xml:space="preserve"> </w:t>
      </w:r>
      <w:r w:rsidRPr="00A15F22">
        <w:rPr>
          <w:rFonts w:ascii="Arial" w:hAnsi="Arial" w:cs="Arial"/>
          <w:i/>
        </w:rPr>
        <w:t>The True Story Of The Rochdale Grooming And Child Abuse Case</w:t>
      </w:r>
      <w:r>
        <w:rPr>
          <w:rFonts w:ascii="Arial" w:hAnsi="Arial" w:cs="Arial"/>
          <w:i/>
        </w:rPr>
        <w:t xml:space="preserve">. (Available at: </w:t>
      </w:r>
      <w:hyperlink r:id="rId23" w:history="1">
        <w:r w:rsidRPr="00CC1C7D">
          <w:rPr>
            <w:rStyle w:val="Hyperlink"/>
            <w:rFonts w:ascii="Arial" w:hAnsi="Arial" w:cs="Arial"/>
            <w:i/>
          </w:rPr>
          <w:t>https://www.huffingtonpost.co.uk/entry/three-girls-the-true-story-of-the-rochdale-grooming-and-child-abuse-case_uk_591c2e8</w:t>
        </w:r>
      </w:hyperlink>
    </w:p>
    <w:p w14:paraId="0CA185F1" w14:textId="77777777" w:rsidR="00A15F22" w:rsidRDefault="00A15F22" w:rsidP="00152E9D">
      <w:pPr>
        <w:rPr>
          <w:rFonts w:ascii="Arial" w:hAnsi="Arial" w:cs="Arial"/>
          <w:i/>
        </w:rPr>
      </w:pPr>
    </w:p>
    <w:p w14:paraId="63ED69EE" w14:textId="77777777" w:rsidR="00A15F22" w:rsidRPr="000B6E92" w:rsidRDefault="00A15F22" w:rsidP="00A15F22">
      <w:pPr>
        <w:rPr>
          <w:rFonts w:ascii="Arial" w:hAnsi="Arial" w:cs="Arial"/>
          <w:i/>
        </w:rPr>
      </w:pPr>
      <w:r w:rsidRPr="000B6E92">
        <w:rPr>
          <w:rFonts w:ascii="Arial" w:hAnsi="Arial" w:cs="Arial"/>
        </w:rPr>
        <w:t>PEEL, R (unknown) .</w:t>
      </w:r>
      <w:r w:rsidRPr="000B6E92">
        <w:rPr>
          <w:rFonts w:ascii="Arial" w:hAnsi="Arial" w:cs="Arial"/>
          <w:i/>
        </w:rPr>
        <w:t xml:space="preserve">The police are the public. </w:t>
      </w:r>
      <w:r w:rsidRPr="000B6E92">
        <w:rPr>
          <w:rFonts w:ascii="Arial" w:hAnsi="Arial" w:cs="Arial"/>
        </w:rPr>
        <w:t>Available at;</w:t>
      </w:r>
      <w:r w:rsidRPr="000B6E92">
        <w:rPr>
          <w:rFonts w:ascii="Arial" w:hAnsi="Arial" w:cs="Arial"/>
          <w:i/>
        </w:rPr>
        <w:t xml:space="preserve"> </w:t>
      </w:r>
      <w:hyperlink r:id="rId24" w:anchor=":~:text=This%20is%20a%20tradition%20we%20value.%20It%20dates,the%20public%20and%20the%20public%20are%20the%20police%E2%80%99" w:history="1">
        <w:r w:rsidRPr="000B6E92">
          <w:rPr>
            <w:rStyle w:val="Hyperlink"/>
            <w:rFonts w:ascii="Arial" w:hAnsi="Arial" w:cs="Arial"/>
          </w:rPr>
          <w:t>https://southyorkshire-pcc.gov.uk/blogs/the-police-are-the-public-and-the-public-are-the-police/#:~:text=This%20is%20a%20tradition%20we%20value.%20It%20dates,the%20public%20and%20the%20public%20are%20the%20police%E2%80%99</w:t>
        </w:r>
      </w:hyperlink>
      <w:r w:rsidRPr="000B6E92">
        <w:rPr>
          <w:rFonts w:ascii="Arial" w:hAnsi="Arial" w:cs="Arial"/>
        </w:rPr>
        <w:t>.</w:t>
      </w:r>
    </w:p>
    <w:p w14:paraId="2605C254" w14:textId="77777777" w:rsidR="00A15F22" w:rsidRDefault="00A15F22" w:rsidP="00A15F22">
      <w:pPr>
        <w:rPr>
          <w:rFonts w:ascii="Arial" w:hAnsi="Arial" w:cs="Arial"/>
        </w:rPr>
      </w:pPr>
    </w:p>
    <w:p w14:paraId="45FCD573" w14:textId="77777777" w:rsidR="00A15F22" w:rsidRPr="000B6E92" w:rsidRDefault="00A15F22" w:rsidP="00A15F22">
      <w:pPr>
        <w:rPr>
          <w:rFonts w:ascii="Arial" w:hAnsi="Arial" w:cs="Arial"/>
        </w:rPr>
      </w:pPr>
      <w:r w:rsidRPr="000B6E92">
        <w:rPr>
          <w:rFonts w:ascii="Arial" w:hAnsi="Arial" w:cs="Arial"/>
        </w:rPr>
        <w:t>Sherman, L. (1998) Evidence-Based Policing. Ideas in American Policing Series. Washington, DC: Police Foundation.</w:t>
      </w:r>
    </w:p>
    <w:p w14:paraId="0F957AD1" w14:textId="77777777" w:rsidR="00A15F22" w:rsidRDefault="00A15F22" w:rsidP="00A15F22">
      <w:pPr>
        <w:rPr>
          <w:rFonts w:ascii="Arial" w:hAnsi="Arial" w:cs="Arial"/>
        </w:rPr>
      </w:pPr>
    </w:p>
    <w:p w14:paraId="749555D3" w14:textId="77777777" w:rsidR="00A15F22" w:rsidRDefault="00A15F22" w:rsidP="00A15F22">
      <w:pPr>
        <w:rPr>
          <w:rFonts w:ascii="Arial" w:hAnsi="Arial" w:cs="Arial"/>
        </w:rPr>
      </w:pPr>
      <w:r w:rsidRPr="00707745">
        <w:rPr>
          <w:rFonts w:ascii="Arial" w:hAnsi="Arial" w:cs="Arial"/>
        </w:rPr>
        <w:t xml:space="preserve">Public Health Network Cymru </w:t>
      </w:r>
      <w:r>
        <w:rPr>
          <w:rFonts w:ascii="Arial" w:hAnsi="Arial" w:cs="Arial"/>
        </w:rPr>
        <w:t>(</w:t>
      </w:r>
      <w:r w:rsidRPr="00707745">
        <w:rPr>
          <w:rFonts w:ascii="Arial" w:hAnsi="Arial" w:cs="Arial"/>
        </w:rPr>
        <w:t>2020</w:t>
      </w:r>
      <w:r>
        <w:rPr>
          <w:rFonts w:ascii="Arial" w:hAnsi="Arial" w:cs="Arial"/>
        </w:rPr>
        <w:t xml:space="preserve">) </w:t>
      </w:r>
      <w:r w:rsidRPr="00707745">
        <w:rPr>
          <w:rFonts w:ascii="Arial" w:hAnsi="Arial" w:cs="Arial"/>
          <w:i/>
        </w:rPr>
        <w:t>The collaboration between South Wales Police, NSPCC and PHW to understand the Police response to vulnerability’</w:t>
      </w:r>
      <w:r w:rsidRPr="00707745">
        <w:rPr>
          <w:rFonts w:ascii="Arial" w:hAnsi="Arial" w:cs="Arial"/>
        </w:rPr>
        <w:t xml:space="preserve"> Available at:https://research.publichealthnetwork.cymru/en/news-and-funding/public-health-research-policy-and-practice-working-together-wales-conference/collaboration-between-south-wales-police-nspcc-phw-understand-police-response-vulnerability/</w:t>
      </w:r>
    </w:p>
    <w:p w14:paraId="200A7ECF" w14:textId="77777777" w:rsidR="00A15F22" w:rsidRDefault="00A15F22" w:rsidP="00A15F22">
      <w:pPr>
        <w:rPr>
          <w:rFonts w:ascii="Arial" w:hAnsi="Arial" w:cs="Arial"/>
        </w:rPr>
      </w:pPr>
    </w:p>
    <w:p w14:paraId="4DAF881E" w14:textId="77777777" w:rsidR="00A15F22" w:rsidRPr="003E59CB" w:rsidRDefault="00A15F22" w:rsidP="00A15F22">
      <w:pPr>
        <w:rPr>
          <w:rFonts w:ascii="Arial" w:hAnsi="Arial" w:cs="Arial"/>
        </w:rPr>
      </w:pPr>
      <w:r>
        <w:rPr>
          <w:rFonts w:ascii="Arial" w:hAnsi="Arial" w:cs="Arial"/>
        </w:rPr>
        <w:t xml:space="preserve">University of Chicago.(2018) </w:t>
      </w:r>
      <w:r w:rsidRPr="00EC57A9">
        <w:rPr>
          <w:rFonts w:ascii="Arial" w:hAnsi="Arial" w:cs="Arial"/>
          <w:i/>
        </w:rPr>
        <w:t>Crime Lab New York: Can Street Lighting Reduce Crime?</w:t>
      </w:r>
      <w:r>
        <w:rPr>
          <w:rFonts w:ascii="Arial" w:hAnsi="Arial" w:cs="Arial"/>
          <w:i/>
        </w:rPr>
        <w:t>(</w:t>
      </w:r>
      <w:r>
        <w:rPr>
          <w:rFonts w:ascii="Arial" w:hAnsi="Arial" w:cs="Arial"/>
        </w:rPr>
        <w:t>Available at:</w:t>
      </w:r>
      <w:r w:rsidRPr="003E59CB">
        <w:t xml:space="preserve"> </w:t>
      </w:r>
      <w:hyperlink r:id="rId25" w:history="1">
        <w:r w:rsidRPr="00CC1C7D">
          <w:rPr>
            <w:rStyle w:val="Hyperlink"/>
            <w:rFonts w:ascii="Arial" w:hAnsi="Arial" w:cs="Arial"/>
          </w:rPr>
          <w:t>https://urbanlabs.uchicago.edu/projects/crime-lights-study</w:t>
        </w:r>
      </w:hyperlink>
      <w:r>
        <w:rPr>
          <w:rFonts w:ascii="Arial" w:hAnsi="Arial" w:cs="Arial"/>
        </w:rPr>
        <w:t xml:space="preserve">).  </w:t>
      </w:r>
    </w:p>
    <w:p w14:paraId="7341CC55" w14:textId="210D0C67" w:rsidR="00A15F22" w:rsidRPr="00A15F22" w:rsidRDefault="00A15F22" w:rsidP="00152E9D">
      <w:pPr>
        <w:rPr>
          <w:rFonts w:ascii="Arial" w:hAnsi="Arial" w:cs="Arial"/>
          <w:i/>
        </w:rPr>
        <w:sectPr w:rsidR="00A15F22" w:rsidRPr="00A15F22" w:rsidSect="00B35E82">
          <w:headerReference w:type="even" r:id="rId26"/>
          <w:headerReference w:type="default" r:id="rId27"/>
          <w:footerReference w:type="even" r:id="rId28"/>
          <w:footerReference w:type="default" r:id="rId29"/>
          <w:headerReference w:type="first" r:id="rId30"/>
          <w:footerReference w:type="first" r:id="rId31"/>
          <w:type w:val="continuous"/>
          <w:pgSz w:w="11894" w:h="16834"/>
          <w:pgMar w:top="720" w:right="720" w:bottom="720" w:left="720" w:header="706" w:footer="706" w:gutter="0"/>
          <w:paperSrc w:first="1" w:other="1"/>
          <w:cols w:space="720"/>
          <w:titlePg/>
          <w:docGrid w:linePitch="272"/>
        </w:sectPr>
      </w:pPr>
      <w:r>
        <w:rPr>
          <w:rFonts w:ascii="Arial" w:hAnsi="Arial" w:cs="Arial"/>
          <w:i/>
        </w:rPr>
        <w:br/>
      </w:r>
    </w:p>
    <w:p w14:paraId="5885306B" w14:textId="77777777" w:rsidR="00C073F1" w:rsidRDefault="00C073F1" w:rsidP="00152E9D">
      <w:pPr>
        <w:rPr>
          <w:rFonts w:ascii="Arial" w:hAnsi="Arial" w:cs="Arial"/>
          <w:vanish/>
        </w:rPr>
        <w:sectPr w:rsidR="00C073F1" w:rsidSect="00B35E82">
          <w:headerReference w:type="even" r:id="rId32"/>
          <w:headerReference w:type="default" r:id="rId33"/>
          <w:footerReference w:type="even" r:id="rId34"/>
          <w:footerReference w:type="default" r:id="rId35"/>
          <w:headerReference w:type="first" r:id="rId36"/>
          <w:footerReference w:type="first" r:id="rId37"/>
          <w:pgSz w:w="16834" w:h="11894" w:orient="landscape"/>
          <w:pgMar w:top="720" w:right="720" w:bottom="720" w:left="720" w:header="706" w:footer="706" w:gutter="0"/>
          <w:paperSrc w:first="1" w:other="1"/>
          <w:cols w:space="720"/>
          <w:titlePg/>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7D3715">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7D3715">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7D3715">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7D371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7D3715">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7D3715">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7D371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7D371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7D371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7D3715">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7D371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7D371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7D371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7D371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7D371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7D371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7D371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7D371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7D371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7D371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t>
            </w:r>
            <w:r w:rsidRPr="009200F3">
              <w:rPr>
                <w:rFonts w:ascii="Arial" w:hAnsi="Arial" w:cs="Arial"/>
              </w:rPr>
              <w:lastRenderedPageBreak/>
              <w:t>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7D3715">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7D371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7D371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7D371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7D371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7D3715">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7D371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7D371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7D371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7D3715">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7D371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7D3715">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7D3715">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7D3715">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7D3715">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7D3715">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7D3715">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7D3715">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7D371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w:t>
            </w:r>
            <w:r>
              <w:rPr>
                <w:rFonts w:ascii="Arial" w:eastAsia="Arial" w:hAnsi="Arial" w:cs="Arial"/>
                <w:bCs/>
                <w:sz w:val="18"/>
                <w:szCs w:val="18"/>
              </w:rPr>
              <w:lastRenderedPageBreak/>
              <w:t xml:space="preserve">argument and judgement.) </w:t>
            </w:r>
          </w:p>
        </w:tc>
        <w:tc>
          <w:tcPr>
            <w:tcW w:w="1736" w:type="dxa"/>
          </w:tcPr>
          <w:p w14:paraId="39465210" w14:textId="77777777" w:rsidR="00C073F1" w:rsidRDefault="00C073F1" w:rsidP="007D3715">
            <w:pPr>
              <w:rPr>
                <w:rFonts w:ascii="Arial" w:hAnsi="Arial" w:cs="Arial"/>
              </w:rPr>
            </w:pPr>
            <w:r>
              <w:rPr>
                <w:rFonts w:ascii="Arial" w:hAnsi="Arial" w:cs="Arial"/>
              </w:rPr>
              <w:lastRenderedPageBreak/>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7D371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7D3715">
            <w:pPr>
              <w:rPr>
                <w:rFonts w:ascii="Arial" w:hAnsi="Arial" w:cs="Arial"/>
              </w:rPr>
            </w:pPr>
          </w:p>
        </w:tc>
        <w:tc>
          <w:tcPr>
            <w:tcW w:w="1736" w:type="dxa"/>
          </w:tcPr>
          <w:p w14:paraId="1E350914" w14:textId="77777777" w:rsidR="00C073F1" w:rsidRPr="00B669B1" w:rsidRDefault="00C073F1" w:rsidP="007D3715">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7D3715">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7D3715">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lastRenderedPageBreak/>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7D3715">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7D3715">
            <w:pPr>
              <w:rPr>
                <w:rFonts w:ascii="Arial" w:hAnsi="Arial" w:cs="Arial"/>
              </w:rPr>
            </w:pPr>
          </w:p>
        </w:tc>
        <w:tc>
          <w:tcPr>
            <w:tcW w:w="1736" w:type="dxa"/>
          </w:tcPr>
          <w:p w14:paraId="677FE6A5" w14:textId="77777777" w:rsidR="00C073F1" w:rsidRPr="00B669B1" w:rsidRDefault="00C073F1" w:rsidP="007D3715">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7D3715">
            <w:pPr>
              <w:rPr>
                <w:rFonts w:ascii="Arial" w:hAnsi="Arial" w:cs="Arial"/>
              </w:rPr>
            </w:pPr>
            <w:r w:rsidRPr="00B669B1">
              <w:rPr>
                <w:rFonts w:ascii="Arial" w:hAnsi="Arial" w:cs="Arial"/>
              </w:rPr>
              <w:t xml:space="preserve">An emerging awareness of different stances </w:t>
            </w:r>
            <w:r w:rsidRPr="00B669B1">
              <w:rPr>
                <w:rFonts w:ascii="Arial" w:hAnsi="Arial" w:cs="Arial"/>
              </w:rPr>
              <w:lastRenderedPageBreak/>
              <w:t xml:space="preserve">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7D371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7D3715">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w:t>
            </w:r>
            <w:r w:rsidRPr="00795507">
              <w:rPr>
                <w:rFonts w:ascii="Arial" w:hAnsi="Arial" w:cs="Arial"/>
              </w:rPr>
              <w:lastRenderedPageBreak/>
              <w:t xml:space="preserve">and significance of evidence (that may be incomplete) to make mostly appropriate and valid judgements. </w:t>
            </w:r>
          </w:p>
          <w:p w14:paraId="616CB8C3" w14:textId="77777777" w:rsidR="00C073F1" w:rsidRPr="00B669B1" w:rsidRDefault="00C073F1" w:rsidP="007D3715">
            <w:pPr>
              <w:rPr>
                <w:rFonts w:ascii="Arial" w:hAnsi="Arial" w:cs="Arial"/>
              </w:rPr>
            </w:pPr>
          </w:p>
        </w:tc>
        <w:tc>
          <w:tcPr>
            <w:tcW w:w="1736" w:type="dxa"/>
          </w:tcPr>
          <w:p w14:paraId="22F905BB" w14:textId="77777777" w:rsidR="00C073F1" w:rsidRPr="00B669B1" w:rsidRDefault="00C073F1" w:rsidP="007D3715">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lastRenderedPageBreak/>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7D3715">
            <w:pPr>
              <w:rPr>
                <w:rFonts w:ascii="Arial" w:hAnsi="Arial" w:cs="Arial"/>
              </w:rPr>
            </w:pPr>
          </w:p>
        </w:tc>
        <w:tc>
          <w:tcPr>
            <w:tcW w:w="1736" w:type="dxa"/>
          </w:tcPr>
          <w:p w14:paraId="0FA49806" w14:textId="77777777" w:rsidR="00C073F1" w:rsidRPr="00B669B1" w:rsidRDefault="00C073F1" w:rsidP="007D3715">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7D371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w:t>
            </w:r>
            <w:r w:rsidRPr="002637C7">
              <w:rPr>
                <w:rFonts w:ascii="Arial" w:hAnsi="Arial" w:cs="Arial"/>
              </w:rPr>
              <w:lastRenderedPageBreak/>
              <w:t>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7D371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7D371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7D3715">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7D3715">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7D371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7D371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0EF044F" w14:textId="77777777" w:rsidR="00C073F1" w:rsidRDefault="00C073F1" w:rsidP="007D3715">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C853925" w14:textId="77777777" w:rsidR="00C073F1" w:rsidRPr="00B669B1" w:rsidRDefault="00C073F1" w:rsidP="007D371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7D3715">
            <w:pPr>
              <w:rPr>
                <w:rFonts w:ascii="Arial" w:hAnsi="Arial" w:cs="Arial"/>
              </w:rPr>
            </w:pPr>
          </w:p>
          <w:p w14:paraId="70F79EE5" w14:textId="77777777" w:rsidR="00C073F1" w:rsidRPr="00B669B1" w:rsidRDefault="00C073F1" w:rsidP="007D3715">
            <w:pPr>
              <w:rPr>
                <w:rFonts w:ascii="Arial" w:hAnsi="Arial" w:cs="Arial"/>
              </w:rPr>
            </w:pPr>
          </w:p>
        </w:tc>
        <w:tc>
          <w:tcPr>
            <w:tcW w:w="1736" w:type="dxa"/>
          </w:tcPr>
          <w:p w14:paraId="6697BDD6" w14:textId="77777777" w:rsidR="00C073F1" w:rsidRPr="00B669B1" w:rsidRDefault="00C073F1" w:rsidP="007D3715">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7D371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7D3715">
            <w:pPr>
              <w:rPr>
                <w:rFonts w:ascii="Arial" w:hAnsi="Arial" w:cs="Arial"/>
              </w:rPr>
            </w:pPr>
            <w:r w:rsidRPr="003F205C">
              <w:rPr>
                <w:rFonts w:ascii="Arial" w:hAnsi="Arial" w:cs="Arial"/>
              </w:rPr>
              <w:lastRenderedPageBreak/>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7D3715">
            <w:pPr>
              <w:rPr>
                <w:rFonts w:ascii="Arial" w:hAnsi="Arial" w:cs="Arial"/>
              </w:rPr>
            </w:pPr>
            <w:r w:rsidRPr="00B669B1">
              <w:rPr>
                <w:rFonts w:ascii="Arial" w:hAnsi="Arial" w:cs="Arial"/>
              </w:rPr>
              <w:lastRenderedPageBreak/>
              <w:t>A good and appropriate application of standard methods, materials, tools and/or techniques.</w:t>
            </w:r>
          </w:p>
          <w:p w14:paraId="416F5517" w14:textId="77777777" w:rsidR="00C073F1" w:rsidRDefault="00C073F1" w:rsidP="007D371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7D3715">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7D3715">
            <w:pPr>
              <w:rPr>
                <w:rFonts w:ascii="Arial" w:hAnsi="Arial" w:cs="Arial"/>
              </w:rPr>
            </w:pPr>
            <w:r w:rsidRPr="00B669B1">
              <w:rPr>
                <w:rFonts w:ascii="Arial" w:hAnsi="Arial" w:cs="Arial"/>
              </w:rPr>
              <w:lastRenderedPageBreak/>
              <w:t>A very good application of a range of methods, materials, tools and/or techniques.</w:t>
            </w:r>
          </w:p>
          <w:p w14:paraId="27D33B3C" w14:textId="77777777" w:rsidR="00C073F1" w:rsidRPr="00B669B1" w:rsidRDefault="00C073F1" w:rsidP="007D371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7D3715">
            <w:pPr>
              <w:rPr>
                <w:rFonts w:ascii="Arial" w:hAnsi="Arial" w:cs="Arial"/>
              </w:rPr>
            </w:pPr>
            <w:r w:rsidRPr="00B669B1">
              <w:rPr>
                <w:rFonts w:ascii="Arial" w:hAnsi="Arial" w:cs="Arial"/>
              </w:rPr>
              <w:lastRenderedPageBreak/>
              <w:t xml:space="preserve">Evidence of some innovation and creativity. </w:t>
            </w:r>
          </w:p>
        </w:tc>
        <w:tc>
          <w:tcPr>
            <w:tcW w:w="1736" w:type="dxa"/>
          </w:tcPr>
          <w:p w14:paraId="69616FAC" w14:textId="77777777" w:rsidR="00C073F1" w:rsidRPr="00B669B1" w:rsidRDefault="00C073F1" w:rsidP="007D3715">
            <w:pPr>
              <w:rPr>
                <w:rFonts w:ascii="Arial" w:hAnsi="Arial" w:cs="Arial"/>
              </w:rPr>
            </w:pPr>
            <w:r w:rsidRPr="00B669B1">
              <w:rPr>
                <w:rFonts w:ascii="Arial" w:hAnsi="Arial" w:cs="Arial"/>
              </w:rPr>
              <w:lastRenderedPageBreak/>
              <w:t>An advanced application of a range of methods, materials, tools and/or techniques.</w:t>
            </w:r>
          </w:p>
          <w:p w14:paraId="5A061557" w14:textId="77777777" w:rsidR="00C073F1" w:rsidRPr="00B669B1" w:rsidRDefault="00C073F1" w:rsidP="007D371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7D3715">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lastRenderedPageBreak/>
              <w:t>Innovation and creativity evident.</w:t>
            </w:r>
          </w:p>
        </w:tc>
        <w:tc>
          <w:tcPr>
            <w:tcW w:w="1736" w:type="dxa"/>
          </w:tcPr>
          <w:p w14:paraId="23F1AA68" w14:textId="77777777" w:rsidR="00C073F1" w:rsidRPr="00B669B1" w:rsidRDefault="00C073F1" w:rsidP="007D3715">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cutting edge </w:t>
            </w:r>
            <w:r w:rsidRPr="00B669B1">
              <w:rPr>
                <w:rFonts w:ascii="Arial" w:hAnsi="Arial" w:cs="Arial"/>
              </w:rPr>
              <w:lastRenderedPageBreak/>
              <w:t>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7D371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7D3715">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7D3715">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7D371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7D3715">
            <w:pPr>
              <w:rPr>
                <w:rFonts w:ascii="Arial" w:hAnsi="Arial" w:cs="Arial"/>
              </w:rPr>
            </w:pPr>
          </w:p>
          <w:p w14:paraId="1F6375EF" w14:textId="77777777" w:rsidR="00C073F1" w:rsidRPr="00E07BE3" w:rsidRDefault="00C073F1" w:rsidP="007D371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7D371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7D371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w:t>
            </w:r>
            <w:r>
              <w:rPr>
                <w:rFonts w:ascii="Arial" w:hAnsi="Arial" w:cs="Arial"/>
              </w:rPr>
              <w:lastRenderedPageBreak/>
              <w:t>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7D371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7D371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7D371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xml:space="preserve">, </w:t>
            </w:r>
            <w:r>
              <w:rPr>
                <w:rFonts w:ascii="Arial" w:hAnsi="Arial" w:cs="Arial"/>
              </w:rPr>
              <w:lastRenderedPageBreak/>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7D3715">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7D371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7D3715">
            <w:pPr>
              <w:rPr>
                <w:rFonts w:ascii="Arial" w:hAnsi="Arial" w:cs="Arial"/>
              </w:rPr>
            </w:pPr>
            <w:r w:rsidRPr="005F01A6">
              <w:rPr>
                <w:rFonts w:ascii="Arial" w:hAnsi="Arial" w:cs="Arial"/>
              </w:rPr>
              <w:t xml:space="preserve">Demonstrates the skills required in graduate employment, with some areas </w:t>
            </w:r>
            <w:r w:rsidRPr="005F01A6">
              <w:rPr>
                <w:rFonts w:ascii="Arial" w:hAnsi="Arial" w:cs="Arial"/>
              </w:rPr>
              <w:lastRenderedPageBreak/>
              <w:t xml:space="preserve">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7D3715">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7D371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7D371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7D3715">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7D371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lastRenderedPageBreak/>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7D3715">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7D371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exceptional graduate employment skills and an appetite for </w:t>
            </w:r>
            <w:r>
              <w:rPr>
                <w:rFonts w:ascii="Arial" w:hAnsi="Arial" w:cs="Arial"/>
              </w:rPr>
              <w:lastRenderedPageBreak/>
              <w:t>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B35E82">
      <w:headerReference w:type="even" r:id="rId38"/>
      <w:headerReference w:type="default" r:id="rId39"/>
      <w:footerReference w:type="even" r:id="rId40"/>
      <w:footerReference w:type="default" r:id="rId41"/>
      <w:headerReference w:type="first" r:id="rId42"/>
      <w:footerReference w:type="first" r:id="rId43"/>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2792C" w14:textId="77777777" w:rsidR="000A0981" w:rsidRDefault="000A0981">
      <w:r>
        <w:separator/>
      </w:r>
    </w:p>
  </w:endnote>
  <w:endnote w:type="continuationSeparator" w:id="0">
    <w:p w14:paraId="34BE4251" w14:textId="77777777" w:rsidR="000A0981" w:rsidRDefault="000A0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9BDBD" w14:textId="133799A8" w:rsidR="000A0981" w:rsidRDefault="00AD6D63" w:rsidP="00AD6D63">
    <w:pPr>
      <w:pStyle w:val="Footer"/>
      <w:rPr>
        <w:color w:val="000000"/>
        <w:sz w:val="17"/>
      </w:rPr>
    </w:pPr>
    <w:bookmarkStart w:id="2" w:name="TITUS1FooterEvenPages"/>
    <w:r>
      <w:rPr>
        <w:color w:val="000000"/>
        <w:sz w:val="17"/>
      </w:rPr>
      <w:t> </w:t>
    </w:r>
  </w:p>
  <w:bookmarkEnd w:id="2"/>
  <w:p w14:paraId="1818F6BD" w14:textId="380A3389" w:rsidR="000A0981" w:rsidRDefault="000A0981" w:rsidP="00B35E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6D6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6D63">
      <w:rPr>
        <w:b/>
        <w:noProof/>
      </w:rPr>
      <w:t>22</w:t>
    </w:r>
    <w:r>
      <w:rPr>
        <w:b/>
        <w:sz w:val="24"/>
        <w:szCs w:val="24"/>
      </w:rPr>
      <w:fldChar w:fldCharType="end"/>
    </w:r>
  </w:p>
  <w:p w14:paraId="10BE6B8F" w14:textId="77777777" w:rsidR="000A0981" w:rsidRDefault="000A0981" w:rsidP="00B35E82">
    <w:pPr>
      <w:pStyle w:val="Footer"/>
      <w:jc w:val="right"/>
      <w:rPr>
        <w:sz w:val="16"/>
      </w:rPr>
    </w:pPr>
  </w:p>
  <w:p w14:paraId="5F0E7691" w14:textId="77777777" w:rsidR="000A0981" w:rsidRDefault="000A0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B7771" w14:textId="2A612ABB" w:rsidR="000A0981" w:rsidRDefault="00AD6D63" w:rsidP="00AD6D63">
    <w:pPr>
      <w:pStyle w:val="Footer"/>
      <w:rPr>
        <w:color w:val="000000"/>
        <w:sz w:val="17"/>
      </w:rPr>
    </w:pPr>
    <w:bookmarkStart w:id="3" w:name="TITUS1FooterPrimary"/>
    <w:r>
      <w:rPr>
        <w:color w:val="000000"/>
        <w:sz w:val="17"/>
      </w:rPr>
      <w:t> </w:t>
    </w:r>
  </w:p>
  <w:bookmarkEnd w:id="3"/>
  <w:p w14:paraId="2F984959" w14:textId="700686FC" w:rsidR="000A0981" w:rsidRDefault="000A098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6D6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6D63">
      <w:rPr>
        <w:b/>
        <w:noProof/>
      </w:rPr>
      <w:t>22</w:t>
    </w:r>
    <w:r>
      <w:rPr>
        <w:b/>
        <w:sz w:val="24"/>
        <w:szCs w:val="24"/>
      </w:rPr>
      <w:fldChar w:fldCharType="end"/>
    </w:r>
  </w:p>
  <w:p w14:paraId="0042A60A" w14:textId="77777777" w:rsidR="000A0981" w:rsidRDefault="000A098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F89E3" w14:textId="7D1860B5" w:rsidR="000A0981" w:rsidRDefault="00AD6D63" w:rsidP="00AD6D63">
    <w:pPr>
      <w:pStyle w:val="Footer"/>
      <w:rPr>
        <w:color w:val="000000"/>
        <w:sz w:val="17"/>
      </w:rPr>
    </w:pPr>
    <w:bookmarkStart w:id="5" w:name="TITUS1FooterFirstPage"/>
    <w:r>
      <w:rPr>
        <w:color w:val="000000"/>
        <w:sz w:val="17"/>
      </w:rPr>
      <w:t> </w:t>
    </w:r>
  </w:p>
  <w:bookmarkEnd w:id="5"/>
  <w:p w14:paraId="52957B89" w14:textId="17D3183F" w:rsidR="000A0981" w:rsidRDefault="000A0981" w:rsidP="00B35E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6D6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6D63">
      <w:rPr>
        <w:b/>
        <w:noProof/>
      </w:rPr>
      <w:t>22</w:t>
    </w:r>
    <w:r>
      <w:rPr>
        <w:b/>
        <w:sz w:val="24"/>
        <w:szCs w:val="24"/>
      </w:rPr>
      <w:fldChar w:fldCharType="end"/>
    </w:r>
  </w:p>
  <w:p w14:paraId="4BB10A77" w14:textId="77777777" w:rsidR="000A0981" w:rsidRDefault="000A0981" w:rsidP="00B35E82">
    <w:pPr>
      <w:pStyle w:val="Footer"/>
      <w:jc w:val="right"/>
      <w:rPr>
        <w:sz w:val="16"/>
      </w:rPr>
    </w:pPr>
  </w:p>
  <w:p w14:paraId="373EDBDE" w14:textId="77777777" w:rsidR="000A0981" w:rsidRDefault="000A09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3800C" w14:textId="4B2A3ED4" w:rsidR="00A15F22" w:rsidRDefault="00AD6D63" w:rsidP="00AD6D63">
    <w:pPr>
      <w:pStyle w:val="Footer"/>
      <w:rPr>
        <w:color w:val="000000"/>
        <w:sz w:val="17"/>
      </w:rPr>
    </w:pPr>
    <w:bookmarkStart w:id="9" w:name="TITUS2FooterEvenPages"/>
    <w:r>
      <w:rPr>
        <w:color w:val="000000"/>
        <w:sz w:val="17"/>
      </w:rPr>
      <w:t> </w:t>
    </w:r>
  </w:p>
  <w:bookmarkEnd w:id="9"/>
  <w:p w14:paraId="545432A3" w14:textId="77777777" w:rsidR="00A15F22" w:rsidRDefault="00A15F22" w:rsidP="00B35E82">
    <w:pPr>
      <w:pStyle w:val="Footer"/>
      <w:jc w:val="center"/>
    </w:pPr>
  </w:p>
  <w:p w14:paraId="3D276EBB" w14:textId="3062C9EA" w:rsidR="00A15F22" w:rsidRDefault="00A15F22" w:rsidP="00B35E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6D63">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6D63">
      <w:rPr>
        <w:b/>
        <w:noProof/>
      </w:rPr>
      <w:t>22</w:t>
    </w:r>
    <w:r>
      <w:rPr>
        <w:b/>
        <w:sz w:val="24"/>
        <w:szCs w:val="24"/>
      </w:rPr>
      <w:fldChar w:fldCharType="end"/>
    </w:r>
  </w:p>
  <w:p w14:paraId="2CCFDBC5" w14:textId="77777777" w:rsidR="00A15F22" w:rsidRDefault="00A15F22" w:rsidP="00B35E82">
    <w:pPr>
      <w:pStyle w:val="Footer"/>
      <w:jc w:val="right"/>
      <w:rPr>
        <w:sz w:val="16"/>
      </w:rPr>
    </w:pPr>
  </w:p>
  <w:p w14:paraId="3D2ED442" w14:textId="77777777" w:rsidR="00A15F22" w:rsidRDefault="00A15F2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A28B1" w14:textId="69CA7D76" w:rsidR="00A15F22" w:rsidRDefault="00AD6D63" w:rsidP="00AD6D63">
    <w:pPr>
      <w:pStyle w:val="Footer"/>
      <w:rPr>
        <w:color w:val="000000"/>
        <w:sz w:val="17"/>
      </w:rPr>
    </w:pPr>
    <w:bookmarkStart w:id="10" w:name="TITUS2FooterPrimary"/>
    <w:r>
      <w:rPr>
        <w:color w:val="000000"/>
        <w:sz w:val="17"/>
      </w:rPr>
      <w:t> </w:t>
    </w:r>
  </w:p>
  <w:bookmarkEnd w:id="10"/>
  <w:p w14:paraId="1307CCDE" w14:textId="77777777" w:rsidR="00A15F22" w:rsidRDefault="00A15F22">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8BB8A" w14:textId="062DD2CE" w:rsidR="00A15F22" w:rsidRDefault="00AD6D63" w:rsidP="00AD6D63">
    <w:pPr>
      <w:pStyle w:val="Footer"/>
      <w:rPr>
        <w:color w:val="000000"/>
        <w:sz w:val="17"/>
      </w:rPr>
    </w:pPr>
    <w:bookmarkStart w:id="12" w:name="TITUS2FooterFirstPage"/>
    <w:r>
      <w:rPr>
        <w:color w:val="000000"/>
        <w:sz w:val="17"/>
      </w:rPr>
      <w:t> </w:t>
    </w:r>
  </w:p>
  <w:bookmarkEnd w:id="12"/>
  <w:p w14:paraId="75EF7459" w14:textId="77777777" w:rsidR="00A15F22" w:rsidRDefault="00A15F2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E7177" w14:textId="4B12BA2C" w:rsidR="000A0981" w:rsidRDefault="00AD6D63" w:rsidP="00AD6D63">
    <w:pPr>
      <w:pStyle w:val="Footer"/>
      <w:rPr>
        <w:color w:val="000000"/>
        <w:sz w:val="17"/>
      </w:rPr>
    </w:pPr>
    <w:bookmarkStart w:id="15" w:name="TITUS3FooterEvenPages"/>
    <w:r>
      <w:rPr>
        <w:color w:val="000000"/>
        <w:sz w:val="17"/>
      </w:rPr>
      <w:t> </w:t>
    </w:r>
  </w:p>
  <w:bookmarkEnd w:id="15"/>
  <w:p w14:paraId="5DE48063" w14:textId="77777777" w:rsidR="000A0981" w:rsidRDefault="000A0981" w:rsidP="00B35E82">
    <w:pPr>
      <w:pStyle w:val="Footer"/>
      <w:jc w:val="center"/>
    </w:pPr>
  </w:p>
  <w:p w14:paraId="770399E6" w14:textId="77777777" w:rsidR="000A0981" w:rsidRDefault="000A0981" w:rsidP="00B35E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60340B2F" w14:textId="77777777" w:rsidR="000A0981" w:rsidRDefault="000A0981" w:rsidP="00B35E82">
    <w:pPr>
      <w:pStyle w:val="Footer"/>
      <w:jc w:val="right"/>
      <w:rPr>
        <w:sz w:val="16"/>
      </w:rPr>
    </w:pPr>
  </w:p>
  <w:p w14:paraId="479DE304" w14:textId="77777777" w:rsidR="000A0981" w:rsidRDefault="000A098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D8EDC" w14:textId="75D0B160" w:rsidR="000A0981" w:rsidRDefault="00AD6D63" w:rsidP="00AD6D63">
    <w:pPr>
      <w:pStyle w:val="Footer"/>
      <w:rPr>
        <w:color w:val="000000"/>
        <w:sz w:val="17"/>
      </w:rPr>
    </w:pPr>
    <w:bookmarkStart w:id="16" w:name="TITUS3FooterPrimary"/>
    <w:r>
      <w:rPr>
        <w:color w:val="000000"/>
        <w:sz w:val="17"/>
      </w:rPr>
      <w:t> </w:t>
    </w:r>
  </w:p>
  <w:bookmarkEnd w:id="16"/>
  <w:p w14:paraId="7EC34635" w14:textId="77777777" w:rsidR="000A0981" w:rsidRDefault="000A0981">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33D6C" w14:textId="7B004622" w:rsidR="000A0981" w:rsidRDefault="00AD6D63" w:rsidP="00AD6D63">
    <w:pPr>
      <w:pStyle w:val="Footer"/>
      <w:rPr>
        <w:color w:val="000000"/>
        <w:sz w:val="17"/>
      </w:rPr>
    </w:pPr>
    <w:bookmarkStart w:id="18" w:name="TITUS3FooterFirstPage"/>
    <w:r>
      <w:rPr>
        <w:color w:val="000000"/>
        <w:sz w:val="17"/>
      </w:rPr>
      <w:t> </w:t>
    </w:r>
  </w:p>
  <w:bookmarkEnd w:id="18"/>
  <w:p w14:paraId="4ACADFE4" w14:textId="77777777" w:rsidR="000A0981" w:rsidRDefault="000A0981" w:rsidP="00B35E82">
    <w:pPr>
      <w:pStyle w:val="Footer"/>
      <w:jc w:val="right"/>
      <w:rPr>
        <w:sz w:val="16"/>
      </w:rPr>
    </w:pPr>
  </w:p>
  <w:p w14:paraId="2A710384" w14:textId="77777777" w:rsidR="000A0981" w:rsidRDefault="000A098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C6AE9" w14:textId="30ECACAA" w:rsidR="000A0981" w:rsidRDefault="00AD6D63" w:rsidP="00AD6D63">
    <w:pPr>
      <w:pStyle w:val="Footer"/>
      <w:rPr>
        <w:color w:val="000000"/>
        <w:sz w:val="17"/>
      </w:rPr>
    </w:pPr>
    <w:bookmarkStart w:id="21" w:name="TITUS4FooterEvenPages"/>
    <w:r>
      <w:rPr>
        <w:color w:val="000000"/>
        <w:sz w:val="17"/>
      </w:rPr>
      <w:t> </w:t>
    </w:r>
  </w:p>
  <w:bookmarkEnd w:id="21"/>
  <w:p w14:paraId="37639072" w14:textId="77777777" w:rsidR="000A0981" w:rsidRDefault="000A0981" w:rsidP="00B35E82">
    <w:pPr>
      <w:pStyle w:val="Footer"/>
      <w:jc w:val="center"/>
    </w:pPr>
  </w:p>
  <w:p w14:paraId="0A8E66DB" w14:textId="14CE62EF" w:rsidR="000A0981" w:rsidRDefault="000A0981" w:rsidP="00B35E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6D63">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6D63">
      <w:rPr>
        <w:b/>
        <w:noProof/>
      </w:rPr>
      <w:t>22</w:t>
    </w:r>
    <w:r>
      <w:rPr>
        <w:b/>
        <w:sz w:val="24"/>
        <w:szCs w:val="24"/>
      </w:rPr>
      <w:fldChar w:fldCharType="end"/>
    </w:r>
  </w:p>
  <w:p w14:paraId="140C9CEE" w14:textId="77777777" w:rsidR="000A0981" w:rsidRDefault="000A0981" w:rsidP="00B35E82">
    <w:pPr>
      <w:pStyle w:val="Footer"/>
      <w:jc w:val="right"/>
      <w:rPr>
        <w:sz w:val="16"/>
      </w:rPr>
    </w:pPr>
  </w:p>
  <w:p w14:paraId="42ED00DF" w14:textId="77777777" w:rsidR="000A0981" w:rsidRDefault="000A098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F8783" w14:textId="20729BD1" w:rsidR="000A0981" w:rsidRDefault="00AD6D63" w:rsidP="00AD6D63">
    <w:pPr>
      <w:pStyle w:val="Footer"/>
      <w:rPr>
        <w:color w:val="000000"/>
        <w:sz w:val="17"/>
      </w:rPr>
    </w:pPr>
    <w:bookmarkStart w:id="22" w:name="TITUS4FooterPrimary"/>
    <w:r>
      <w:rPr>
        <w:color w:val="000000"/>
        <w:sz w:val="17"/>
      </w:rPr>
      <w:t> </w:t>
    </w:r>
  </w:p>
  <w:bookmarkEnd w:id="22"/>
  <w:p w14:paraId="45090535" w14:textId="77777777" w:rsidR="000A0981" w:rsidRDefault="000A0981">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7A16E" w14:textId="216AC0DC" w:rsidR="000A0981" w:rsidRDefault="00AD6D63" w:rsidP="00AD6D63">
    <w:pPr>
      <w:pStyle w:val="Footer"/>
      <w:rPr>
        <w:color w:val="000000"/>
        <w:sz w:val="17"/>
      </w:rPr>
    </w:pPr>
    <w:bookmarkStart w:id="24" w:name="TITUS4FooterFirstPage"/>
    <w:r>
      <w:rPr>
        <w:color w:val="000000"/>
        <w:sz w:val="17"/>
      </w:rPr>
      <w:t> </w:t>
    </w:r>
  </w:p>
  <w:bookmarkEnd w:id="24"/>
  <w:p w14:paraId="4D552F6E" w14:textId="77777777" w:rsidR="000A0981" w:rsidRDefault="000A0981" w:rsidP="00B35E82">
    <w:pPr>
      <w:pStyle w:val="Footer"/>
      <w:jc w:val="right"/>
      <w:rPr>
        <w:sz w:val="16"/>
      </w:rPr>
    </w:pPr>
  </w:p>
  <w:p w14:paraId="5ED95161" w14:textId="77777777" w:rsidR="000A0981" w:rsidRDefault="000A0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B7C09" w14:textId="77777777" w:rsidR="000A0981" w:rsidRDefault="000A0981">
      <w:r>
        <w:separator/>
      </w:r>
    </w:p>
  </w:footnote>
  <w:footnote w:type="continuationSeparator" w:id="0">
    <w:p w14:paraId="71AC4E6A" w14:textId="77777777" w:rsidR="000A0981" w:rsidRDefault="000A0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482CD" w14:textId="2A2147A6" w:rsidR="00AD6D63" w:rsidRDefault="00AD6D63" w:rsidP="00AD6D63">
    <w:pPr>
      <w:pStyle w:val="Header"/>
      <w:rPr>
        <w:color w:val="000000"/>
        <w:sz w:val="17"/>
      </w:rPr>
    </w:pPr>
    <w:bookmarkStart w:id="0" w:name="TITUS1HeaderEvenPages"/>
    <w:r w:rsidRPr="00AD6D63">
      <w:rPr>
        <w:color w:val="000000"/>
        <w:sz w:val="17"/>
      </w:rPr>
      <w:t> </w:t>
    </w:r>
  </w:p>
  <w:bookmarkEnd w:id="0"/>
  <w:p w14:paraId="595E0687" w14:textId="77777777" w:rsidR="00AD6D63" w:rsidRDefault="00AD6D63" w:rsidP="00AD6D63">
    <w:pPr>
      <w:pStyle w:val="Header"/>
    </w:pPr>
  </w:p>
  <w:p w14:paraId="1596F688" w14:textId="77777777" w:rsidR="000A0981" w:rsidRDefault="000A09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093EF" w14:textId="7E4B0324" w:rsidR="000A0981" w:rsidRDefault="00AD6D63" w:rsidP="00AD6D63">
    <w:pPr>
      <w:pStyle w:val="Header"/>
      <w:rPr>
        <w:color w:val="000000"/>
        <w:sz w:val="17"/>
      </w:rPr>
    </w:pPr>
    <w:bookmarkStart w:id="1" w:name="TITUS1HeaderPrimary"/>
    <w:r>
      <w:rPr>
        <w:color w:val="000000"/>
        <w:sz w:val="17"/>
      </w:rPr>
      <w:t> </w:t>
    </w:r>
  </w:p>
  <w:bookmarkEnd w:id="1"/>
  <w:p w14:paraId="0857B393" w14:textId="77777777" w:rsidR="000A0981" w:rsidRDefault="000A09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3A87E" w14:textId="2062E2E4" w:rsidR="000A0981" w:rsidRDefault="00AD6D63" w:rsidP="00AD6D63">
    <w:pPr>
      <w:pStyle w:val="Header"/>
      <w:rPr>
        <w:color w:val="000000"/>
        <w:sz w:val="17"/>
      </w:rPr>
    </w:pPr>
    <w:bookmarkStart w:id="4" w:name="TITUS1HeaderFirstPage"/>
    <w:r>
      <w:rPr>
        <w:color w:val="000000"/>
        <w:sz w:val="17"/>
      </w:rPr>
      <w:t> </w:t>
    </w:r>
  </w:p>
  <w:bookmarkEnd w:id="4"/>
  <w:p w14:paraId="10249E02" w14:textId="77777777" w:rsidR="000A0981" w:rsidRDefault="000A09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58944" w14:textId="593AB8E5" w:rsidR="00A15F22" w:rsidRDefault="00AD6D63" w:rsidP="00AD6D63">
    <w:pPr>
      <w:pStyle w:val="Header"/>
      <w:rPr>
        <w:color w:val="000000"/>
        <w:sz w:val="17"/>
      </w:rPr>
    </w:pPr>
    <w:bookmarkStart w:id="7" w:name="TITUS2HeaderEvenPages"/>
    <w:r>
      <w:rPr>
        <w:color w:val="000000"/>
        <w:sz w:val="17"/>
      </w:rPr>
      <w:t> </w:t>
    </w:r>
  </w:p>
  <w:bookmarkEnd w:id="7"/>
  <w:p w14:paraId="05DFC941" w14:textId="77777777" w:rsidR="00A15F22" w:rsidRDefault="00A15F22" w:rsidP="00B35E82">
    <w:pPr>
      <w:pStyle w:val="Header"/>
    </w:pPr>
  </w:p>
  <w:p w14:paraId="75386407" w14:textId="77777777" w:rsidR="00A15F22" w:rsidRDefault="00A15F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7905B" w14:textId="0139FEE8" w:rsidR="00A15F22" w:rsidRDefault="00AD6D63" w:rsidP="00AD6D63">
    <w:pPr>
      <w:pStyle w:val="Header"/>
      <w:rPr>
        <w:color w:val="000000"/>
        <w:sz w:val="17"/>
      </w:rPr>
    </w:pPr>
    <w:bookmarkStart w:id="8" w:name="TITUS2HeaderPrimary"/>
    <w:r>
      <w:rPr>
        <w:color w:val="000000"/>
        <w:sz w:val="17"/>
      </w:rPr>
      <w:t> </w:t>
    </w:r>
  </w:p>
  <w:bookmarkEnd w:id="8"/>
  <w:p w14:paraId="0AA9E10F" w14:textId="77777777" w:rsidR="00A15F22" w:rsidRDefault="00A15F2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9D4F0" w14:textId="0AC0378C" w:rsidR="00A15F22" w:rsidRDefault="00AD6D63" w:rsidP="00AD6D63">
    <w:pPr>
      <w:pStyle w:val="Header"/>
      <w:rPr>
        <w:color w:val="000000"/>
        <w:sz w:val="17"/>
      </w:rPr>
    </w:pPr>
    <w:bookmarkStart w:id="11" w:name="TITUS2HeaderFirstPage"/>
    <w:r>
      <w:rPr>
        <w:color w:val="000000"/>
        <w:sz w:val="17"/>
      </w:rPr>
      <w:t> </w:t>
    </w:r>
  </w:p>
  <w:bookmarkEnd w:id="11"/>
  <w:p w14:paraId="37DADA7F" w14:textId="77777777" w:rsidR="00A15F22" w:rsidRDefault="00A15F22" w:rsidP="00B35E82">
    <w:pPr>
      <w:pStyle w:val="Header"/>
    </w:pPr>
  </w:p>
  <w:p w14:paraId="61FD15C6" w14:textId="77777777" w:rsidR="00A15F22" w:rsidRDefault="00A15F2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9B827" w14:textId="0D31904B" w:rsidR="000A0981" w:rsidRDefault="00AD6D63" w:rsidP="00AD6D63">
    <w:pPr>
      <w:pStyle w:val="Header"/>
      <w:rPr>
        <w:color w:val="000000"/>
        <w:sz w:val="17"/>
      </w:rPr>
    </w:pPr>
    <w:bookmarkStart w:id="13" w:name="TITUS3HeaderEvenPages"/>
    <w:r>
      <w:rPr>
        <w:color w:val="000000"/>
        <w:sz w:val="17"/>
      </w:rPr>
      <w:t> </w:t>
    </w:r>
  </w:p>
  <w:bookmarkEnd w:id="13"/>
  <w:p w14:paraId="2238BD03" w14:textId="77777777" w:rsidR="000A0981" w:rsidRDefault="000A0981" w:rsidP="00B35E82">
    <w:pPr>
      <w:pStyle w:val="Header"/>
    </w:pPr>
  </w:p>
  <w:p w14:paraId="6E7A7FBD" w14:textId="77777777" w:rsidR="000A0981" w:rsidRDefault="000A098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640E" w14:textId="62CBE5BF" w:rsidR="000A0981" w:rsidRDefault="00AD6D63" w:rsidP="00AD6D63">
    <w:pPr>
      <w:pStyle w:val="Header"/>
      <w:rPr>
        <w:color w:val="000000"/>
        <w:sz w:val="17"/>
      </w:rPr>
    </w:pPr>
    <w:bookmarkStart w:id="14" w:name="TITUS3HeaderPrimary"/>
    <w:r>
      <w:rPr>
        <w:color w:val="000000"/>
        <w:sz w:val="17"/>
      </w:rPr>
      <w:t> </w:t>
    </w:r>
  </w:p>
  <w:bookmarkEnd w:id="14"/>
  <w:p w14:paraId="1EF205B2" w14:textId="77777777" w:rsidR="000A0981" w:rsidRDefault="000A098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85E52" w14:textId="45333730" w:rsidR="000A0981" w:rsidRDefault="00AD6D63" w:rsidP="00AD6D63">
    <w:pPr>
      <w:pStyle w:val="Header"/>
      <w:rPr>
        <w:color w:val="000000"/>
        <w:sz w:val="17"/>
      </w:rPr>
    </w:pPr>
    <w:bookmarkStart w:id="17" w:name="TITUS3HeaderFirstPage"/>
    <w:r>
      <w:rPr>
        <w:color w:val="000000"/>
        <w:sz w:val="17"/>
      </w:rPr>
      <w:t> </w:t>
    </w:r>
  </w:p>
  <w:bookmarkEnd w:id="17"/>
  <w:p w14:paraId="7E0EB1C5" w14:textId="77777777" w:rsidR="000A0981" w:rsidRDefault="000A0981" w:rsidP="00B35E82">
    <w:pPr>
      <w:pStyle w:val="Header"/>
    </w:pPr>
  </w:p>
  <w:p w14:paraId="459D9552" w14:textId="77777777" w:rsidR="000A0981" w:rsidRDefault="000A098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1013C" w14:textId="3C112A64" w:rsidR="000A0981" w:rsidRDefault="00AD6D63" w:rsidP="00AD6D63">
    <w:pPr>
      <w:pStyle w:val="Header"/>
      <w:rPr>
        <w:color w:val="000000"/>
        <w:sz w:val="17"/>
      </w:rPr>
    </w:pPr>
    <w:bookmarkStart w:id="19" w:name="TITUS4HeaderEvenPages"/>
    <w:r>
      <w:rPr>
        <w:color w:val="000000"/>
        <w:sz w:val="17"/>
      </w:rPr>
      <w:t> </w:t>
    </w:r>
  </w:p>
  <w:bookmarkEnd w:id="19"/>
  <w:p w14:paraId="44B5C35B" w14:textId="77777777" w:rsidR="000A0981" w:rsidRDefault="000A0981" w:rsidP="00B35E82">
    <w:pPr>
      <w:pStyle w:val="Header"/>
    </w:pPr>
  </w:p>
  <w:p w14:paraId="2768F818" w14:textId="77777777" w:rsidR="000A0981" w:rsidRDefault="000A098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F80AC" w14:textId="1A383268" w:rsidR="000A0981" w:rsidRDefault="00AD6D63" w:rsidP="00AD6D63">
    <w:pPr>
      <w:pStyle w:val="Header"/>
      <w:rPr>
        <w:color w:val="000000"/>
        <w:sz w:val="17"/>
      </w:rPr>
    </w:pPr>
    <w:bookmarkStart w:id="20" w:name="TITUS4HeaderPrimary"/>
    <w:r>
      <w:rPr>
        <w:color w:val="000000"/>
        <w:sz w:val="17"/>
      </w:rPr>
      <w:t> </w:t>
    </w:r>
  </w:p>
  <w:bookmarkEnd w:id="20"/>
  <w:p w14:paraId="763DAAA9" w14:textId="77777777" w:rsidR="000A0981" w:rsidRDefault="000A098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715E9" w14:textId="698993AD" w:rsidR="000A0981" w:rsidRDefault="00AD6D63" w:rsidP="00AD6D63">
    <w:pPr>
      <w:pStyle w:val="Header"/>
      <w:rPr>
        <w:color w:val="000000"/>
        <w:sz w:val="17"/>
      </w:rPr>
    </w:pPr>
    <w:bookmarkStart w:id="23" w:name="TITUS4HeaderFirstPage"/>
    <w:r>
      <w:rPr>
        <w:color w:val="000000"/>
        <w:sz w:val="17"/>
      </w:rPr>
      <w:t> </w:t>
    </w:r>
  </w:p>
  <w:bookmarkEnd w:id="23"/>
  <w:p w14:paraId="5A339E98" w14:textId="77777777" w:rsidR="000A0981" w:rsidRDefault="000A0981" w:rsidP="00B35E82">
    <w:pPr>
      <w:pStyle w:val="Header"/>
    </w:pPr>
  </w:p>
  <w:p w14:paraId="3221CAB5" w14:textId="77777777" w:rsidR="000A0981" w:rsidRDefault="000A09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D2A4C"/>
    <w:multiLevelType w:val="hybridMultilevel"/>
    <w:tmpl w:val="6A5849FE"/>
    <w:lvl w:ilvl="0" w:tplc="AC4C69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A86578"/>
    <w:multiLevelType w:val="hybridMultilevel"/>
    <w:tmpl w:val="61429660"/>
    <w:lvl w:ilvl="0" w:tplc="0B00775C">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3" w15:restartNumberingAfterBreak="0">
    <w:nsid w:val="5042292C"/>
    <w:multiLevelType w:val="hybridMultilevel"/>
    <w:tmpl w:val="6F4A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6"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3"/>
  </w:num>
  <w:num w:numId="6">
    <w:abstractNumId w:val="21"/>
  </w:num>
  <w:num w:numId="7">
    <w:abstractNumId w:val="12"/>
  </w:num>
  <w:num w:numId="8">
    <w:abstractNumId w:val="32"/>
  </w:num>
  <w:num w:numId="9">
    <w:abstractNumId w:val="6"/>
  </w:num>
  <w:num w:numId="10">
    <w:abstractNumId w:val="29"/>
  </w:num>
  <w:num w:numId="11">
    <w:abstractNumId w:val="17"/>
  </w:num>
  <w:num w:numId="12">
    <w:abstractNumId w:val="8"/>
  </w:num>
  <w:num w:numId="13">
    <w:abstractNumId w:val="9"/>
  </w:num>
  <w:num w:numId="14">
    <w:abstractNumId w:val="14"/>
  </w:num>
  <w:num w:numId="15">
    <w:abstractNumId w:val="27"/>
  </w:num>
  <w:num w:numId="16">
    <w:abstractNumId w:val="7"/>
  </w:num>
  <w:num w:numId="17">
    <w:abstractNumId w:val="0"/>
  </w:num>
  <w:num w:numId="18">
    <w:abstractNumId w:val="10"/>
  </w:num>
  <w:num w:numId="19">
    <w:abstractNumId w:val="28"/>
  </w:num>
  <w:num w:numId="20">
    <w:abstractNumId w:val="4"/>
  </w:num>
  <w:num w:numId="21">
    <w:abstractNumId w:val="15"/>
  </w:num>
  <w:num w:numId="22">
    <w:abstractNumId w:val="2"/>
  </w:num>
  <w:num w:numId="23">
    <w:abstractNumId w:val="19"/>
  </w:num>
  <w:num w:numId="24">
    <w:abstractNumId w:val="25"/>
  </w:num>
  <w:num w:numId="25">
    <w:abstractNumId w:val="1"/>
  </w:num>
  <w:num w:numId="26">
    <w:abstractNumId w:val="31"/>
  </w:num>
  <w:num w:numId="27">
    <w:abstractNumId w:val="5"/>
  </w:num>
  <w:num w:numId="28">
    <w:abstractNumId w:val="26"/>
  </w:num>
  <w:num w:numId="29">
    <w:abstractNumId w:val="30"/>
  </w:num>
  <w:num w:numId="30">
    <w:abstractNumId w:val="24"/>
  </w:num>
  <w:num w:numId="31">
    <w:abstractNumId w:val="13"/>
  </w:num>
  <w:num w:numId="32">
    <w:abstractNumId w:val="22"/>
  </w:num>
  <w:num w:numId="33">
    <w:abstractNumId w:val="20"/>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ECF"/>
    <w:rsid w:val="00026B02"/>
    <w:rsid w:val="00045D04"/>
    <w:rsid w:val="000822E5"/>
    <w:rsid w:val="000971FC"/>
    <w:rsid w:val="000A0981"/>
    <w:rsid w:val="000A2A3A"/>
    <w:rsid w:val="000A492A"/>
    <w:rsid w:val="000B6E92"/>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A489C"/>
    <w:rsid w:val="001B405C"/>
    <w:rsid w:val="001B4CA3"/>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7003"/>
    <w:rsid w:val="003223E0"/>
    <w:rsid w:val="003528C4"/>
    <w:rsid w:val="00352C4A"/>
    <w:rsid w:val="00362560"/>
    <w:rsid w:val="003732FD"/>
    <w:rsid w:val="003753B2"/>
    <w:rsid w:val="00376559"/>
    <w:rsid w:val="00382BAA"/>
    <w:rsid w:val="00384D73"/>
    <w:rsid w:val="00393EB6"/>
    <w:rsid w:val="003A3CE5"/>
    <w:rsid w:val="003B366F"/>
    <w:rsid w:val="003B3F9D"/>
    <w:rsid w:val="003B6C95"/>
    <w:rsid w:val="003C259E"/>
    <w:rsid w:val="003E5751"/>
    <w:rsid w:val="003E59CB"/>
    <w:rsid w:val="003F6383"/>
    <w:rsid w:val="00402347"/>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974B0"/>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7745"/>
    <w:rsid w:val="007366DF"/>
    <w:rsid w:val="00757839"/>
    <w:rsid w:val="007602B4"/>
    <w:rsid w:val="0076406B"/>
    <w:rsid w:val="00770C81"/>
    <w:rsid w:val="00772D57"/>
    <w:rsid w:val="00791024"/>
    <w:rsid w:val="00793F0A"/>
    <w:rsid w:val="00795507"/>
    <w:rsid w:val="007A2657"/>
    <w:rsid w:val="007C682C"/>
    <w:rsid w:val="007D2385"/>
    <w:rsid w:val="007D3715"/>
    <w:rsid w:val="007E6F99"/>
    <w:rsid w:val="007F214F"/>
    <w:rsid w:val="00800069"/>
    <w:rsid w:val="008042F0"/>
    <w:rsid w:val="008310A0"/>
    <w:rsid w:val="00835D29"/>
    <w:rsid w:val="00842E7F"/>
    <w:rsid w:val="008510CE"/>
    <w:rsid w:val="00852933"/>
    <w:rsid w:val="00853319"/>
    <w:rsid w:val="008566E5"/>
    <w:rsid w:val="008566FE"/>
    <w:rsid w:val="00865B46"/>
    <w:rsid w:val="00894D56"/>
    <w:rsid w:val="00896134"/>
    <w:rsid w:val="008A62BC"/>
    <w:rsid w:val="008B43E7"/>
    <w:rsid w:val="008D308A"/>
    <w:rsid w:val="008D763F"/>
    <w:rsid w:val="008F036F"/>
    <w:rsid w:val="008F1308"/>
    <w:rsid w:val="008F78C2"/>
    <w:rsid w:val="00904568"/>
    <w:rsid w:val="00911394"/>
    <w:rsid w:val="0091689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15F22"/>
    <w:rsid w:val="00A17235"/>
    <w:rsid w:val="00A24221"/>
    <w:rsid w:val="00A3505D"/>
    <w:rsid w:val="00A4036F"/>
    <w:rsid w:val="00A406E5"/>
    <w:rsid w:val="00A4641C"/>
    <w:rsid w:val="00A55876"/>
    <w:rsid w:val="00A67FB1"/>
    <w:rsid w:val="00A85BFE"/>
    <w:rsid w:val="00AB6FE7"/>
    <w:rsid w:val="00AB7AD7"/>
    <w:rsid w:val="00AC5F32"/>
    <w:rsid w:val="00AD2430"/>
    <w:rsid w:val="00AD6D63"/>
    <w:rsid w:val="00AE41A6"/>
    <w:rsid w:val="00AF0E34"/>
    <w:rsid w:val="00AF271D"/>
    <w:rsid w:val="00AF56C2"/>
    <w:rsid w:val="00B004E6"/>
    <w:rsid w:val="00B0744D"/>
    <w:rsid w:val="00B35E82"/>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15C8"/>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C57A9"/>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00171">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www.acro.police.uk/PNC-services" TargetMode="External"/><Relationship Id="rId26" Type="http://schemas.openxmlformats.org/officeDocument/2006/relationships/header" Target="header4.xml"/><Relationship Id="rId39"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yperlink" Target="https://www.gov.uk/government/news/peter-connelly-serious-case-review-reports-published" TargetMode="External"/><Relationship Id="rId34" Type="http://schemas.openxmlformats.org/officeDocument/2006/relationships/footer" Target="footer7.xml"/><Relationship Id="rId42" Type="http://schemas.openxmlformats.org/officeDocument/2006/relationships/header" Target="header12.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urbanlabs.uchicago.edu/projects/crime-lights-study" TargetMode="External"/><Relationship Id="rId33" Type="http://schemas.openxmlformats.org/officeDocument/2006/relationships/header" Target="header8.xml"/><Relationship Id="rId38"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college.police.uk/What-we-do/Learning/Policing-Education-Qualifications-Framework/Entry-routes-for-police-constables/Police-Constable-Degree-Apprenticeship/Pages/police-constable-degree-apprenticeship.aspx" TargetMode="External"/><Relationship Id="rId29" Type="http://schemas.openxmlformats.org/officeDocument/2006/relationships/footer" Target="footer5.xm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southyorkshire-pcc.gov.uk/blogs/the-police-are-the-public-and-the-public-are-the-police/" TargetMode="Externa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oter" Target="footer10.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huffingtonpost.co.uk/entry/three-girls-the-true-story-of-the-rochdale-grooming-and-child-abuse-case_uk_591c2e8" TargetMode="External"/><Relationship Id="rId28" Type="http://schemas.openxmlformats.org/officeDocument/2006/relationships/footer" Target="footer4.xml"/><Relationship Id="rId36" Type="http://schemas.openxmlformats.org/officeDocument/2006/relationships/header" Target="header9.xml"/><Relationship Id="rId10" Type="http://schemas.openxmlformats.org/officeDocument/2006/relationships/image" Target="media/image1.png"/><Relationship Id="rId19" Type="http://schemas.openxmlformats.org/officeDocument/2006/relationships/hyperlink" Target="https://www.college.police.uk/What-we-do/Learning/Policing-Education-Qualifications-Framework/Entry-routes-for-police-constables/Degree-holder-entry-programme/Pages/Degree-holder-entry-programme.aspx" TargetMode="External"/><Relationship Id="rId31" Type="http://schemas.openxmlformats.org/officeDocument/2006/relationships/footer" Target="footer6.xm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s://www.jesip.org.uk/methane"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8.xml"/><Relationship Id="rId43" Type="http://schemas.openxmlformats.org/officeDocument/2006/relationships/footer" Target="footer1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22</Pages>
  <Words>9217</Words>
  <Characters>53870</Characters>
  <Application>Microsoft Office Word</Application>
  <DocSecurity>0</DocSecurity>
  <Lines>448</Lines>
  <Paragraphs>125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Somers,Jessica swp6549</cp:lastModifiedBy>
  <cp:revision>3</cp:revision>
  <cp:lastPrinted>2014-10-10T07:42:00Z</cp:lastPrinted>
  <dcterms:created xsi:type="dcterms:W3CDTF">2021-08-02T19:16:00Z</dcterms:created>
  <dcterms:modified xsi:type="dcterms:W3CDTF">2021-08-02T19:19:00Z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903ae99b-a048-493f-a5ba-0aa5a94b5646</vt:lpwstr>
  </property>
  <property fmtid="{D5CDD505-2E9C-101B-9397-08002B2CF9AE}" pid="7" name="Classification">
    <vt:lpwstr>OFFICIAL</vt:lpwstr>
  </property>
  <property fmtid="{D5CDD505-2E9C-101B-9397-08002B2CF9AE}" pid="8" name="Visibility">
    <vt:lpwstr>NOT VISIBLE</vt:lpwstr>
  </property>
</Properties>
</file>